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9A5CF" w14:textId="600AC10D" w:rsidR="001D5358" w:rsidRPr="00CF3C36" w:rsidRDefault="001D5358" w:rsidP="001D5358">
      <w:pPr>
        <w:pStyle w:val="Title"/>
        <w:rPr>
          <w:b/>
          <w:sz w:val="16"/>
          <w:szCs w:val="16"/>
          <w:lang w:val="en-GB"/>
          <w14:textOutline w14:w="6350" w14:cap="rnd" w14:cmpd="sng" w14:algn="ctr">
            <w14:noFill/>
            <w14:prstDash w14:val="solid"/>
            <w14:bevel/>
          </w14:textOutline>
        </w:rPr>
      </w:pPr>
      <w:bookmarkStart w:id="0" w:name="_GoBack"/>
      <w:bookmarkEnd w:id="0"/>
      <w:r w:rsidRPr="00CF3C36">
        <w:rPr>
          <w:b/>
          <w:noProof/>
          <w:sz w:val="16"/>
          <w:szCs w:val="16"/>
          <w:lang w:eastAsia="nl-NL"/>
        </w:rPr>
        <w:drawing>
          <wp:anchor distT="0" distB="0" distL="114300" distR="114300" simplePos="0" relativeHeight="251669504" behindDoc="1" locked="0" layoutInCell="1" allowOverlap="1" wp14:anchorId="3CB7125D" wp14:editId="18BAC385">
            <wp:simplePos x="0" y="0"/>
            <wp:positionH relativeFrom="margin">
              <wp:align>center</wp:align>
            </wp:positionH>
            <wp:positionV relativeFrom="paragraph">
              <wp:posOffset>-471805</wp:posOffset>
            </wp:positionV>
            <wp:extent cx="3695700" cy="782973"/>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adbou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5700" cy="782973"/>
                    </a:xfrm>
                    <a:prstGeom prst="rect">
                      <a:avLst/>
                    </a:prstGeom>
                  </pic:spPr>
                </pic:pic>
              </a:graphicData>
            </a:graphic>
            <wp14:sizeRelH relativeFrom="margin">
              <wp14:pctWidth>0</wp14:pctWidth>
            </wp14:sizeRelH>
            <wp14:sizeRelV relativeFrom="margin">
              <wp14:pctHeight>0</wp14:pctHeight>
            </wp14:sizeRelV>
          </wp:anchor>
        </w:drawing>
      </w:r>
      <w:r w:rsidRPr="00CF3C36">
        <w:rPr>
          <w:b/>
          <w:sz w:val="16"/>
          <w:szCs w:val="16"/>
          <w:lang w:val="en-GB"/>
          <w14:textOutline w14:w="6350" w14:cap="rnd" w14:cmpd="sng" w14:algn="ctr">
            <w14:noFill/>
            <w14:prstDash w14:val="solid"/>
            <w14:bevel/>
          </w14:textOutline>
        </w:rPr>
        <w:tab/>
      </w:r>
      <w:r w:rsidRPr="00CF3C36">
        <w:rPr>
          <w:b/>
          <w:sz w:val="16"/>
          <w:szCs w:val="16"/>
          <w:lang w:val="en-GB"/>
          <w14:textOutline w14:w="6350" w14:cap="rnd" w14:cmpd="sng" w14:algn="ctr">
            <w14:noFill/>
            <w14:prstDash w14:val="solid"/>
            <w14:bevel/>
          </w14:textOutline>
        </w:rPr>
        <w:tab/>
      </w:r>
      <w:r w:rsidRPr="00CF3C36">
        <w:rPr>
          <w:b/>
          <w:sz w:val="16"/>
          <w:szCs w:val="16"/>
          <w:lang w:val="en-GB"/>
          <w14:textOutline w14:w="6350" w14:cap="rnd" w14:cmpd="sng" w14:algn="ctr">
            <w14:noFill/>
            <w14:prstDash w14:val="solid"/>
            <w14:bevel/>
          </w14:textOutline>
        </w:rPr>
        <w:tab/>
      </w:r>
    </w:p>
    <w:p w14:paraId="175B3B16" w14:textId="5D496D74" w:rsidR="001D5358" w:rsidRPr="00CF3C36" w:rsidRDefault="001D5358" w:rsidP="00501380">
      <w:pPr>
        <w:jc w:val="center"/>
        <w:rPr>
          <w:rFonts w:ascii="Times New Roman" w:eastAsiaTheme="majorEastAsia" w:hAnsi="Times New Roman" w:cs="Times New Roman"/>
          <w:spacing w:val="-10"/>
          <w:kern w:val="28"/>
          <w:sz w:val="24"/>
          <w:szCs w:val="24"/>
          <w:lang w:val="en-GB"/>
          <w14:textOutline w14:w="6350" w14:cap="rnd" w14:cmpd="sng" w14:algn="ctr">
            <w14:noFill/>
            <w14:prstDash w14:val="solid"/>
            <w14:bevel/>
          </w14:textOutline>
        </w:rPr>
      </w:pPr>
      <w:r w:rsidRPr="00CF3C36">
        <w:rPr>
          <w:rFonts w:ascii="Times New Roman" w:eastAsiaTheme="majorEastAsia" w:hAnsi="Times New Roman" w:cs="Times New Roman"/>
          <w:spacing w:val="-10"/>
          <w:kern w:val="28"/>
          <w:sz w:val="24"/>
          <w:szCs w:val="24"/>
          <w:lang w:val="en-GB"/>
          <w14:textOutline w14:w="6350" w14:cap="rnd" w14:cmpd="sng" w14:algn="ctr">
            <w14:noFill/>
            <w14:prstDash w14:val="solid"/>
            <w14:bevel/>
          </w14:textOutline>
        </w:rPr>
        <w:t>Nijmegen School of Management</w:t>
      </w:r>
    </w:p>
    <w:p w14:paraId="43F72D7E" w14:textId="77777777" w:rsidR="001D5358" w:rsidRPr="00CF3C36" w:rsidRDefault="001D5358" w:rsidP="001D5358">
      <w:pPr>
        <w:rPr>
          <w:lang w:val="en-GB"/>
        </w:rPr>
      </w:pPr>
    </w:p>
    <w:p w14:paraId="22062D0F" w14:textId="0F8ECE00" w:rsidR="00916CCF" w:rsidRPr="00CF3C36" w:rsidRDefault="001D5358" w:rsidP="00916CCF">
      <w:pPr>
        <w:jc w:val="center"/>
        <w:rPr>
          <w:rFonts w:ascii="Times New Roman" w:hAnsi="Times New Roman" w:cs="Times New Roman"/>
          <w:b/>
          <w:smallCaps/>
          <w:sz w:val="32"/>
          <w:szCs w:val="32"/>
          <w:lang w:val="en-GB"/>
        </w:rPr>
      </w:pPr>
      <w:r w:rsidRPr="00CF3C36">
        <w:rPr>
          <w:rFonts w:ascii="Times New Roman" w:hAnsi="Times New Roman" w:cs="Times New Roman"/>
          <w:b/>
          <w:smallCaps/>
          <w:sz w:val="32"/>
          <w:szCs w:val="32"/>
          <w:lang w:val="en-GB"/>
        </w:rPr>
        <w:t>The effect of environmental regulation on the environmental footprint of foreign direct investment.</w:t>
      </w:r>
    </w:p>
    <w:p w14:paraId="74819B28" w14:textId="25377710" w:rsidR="00916CCF" w:rsidRPr="00CF3C36" w:rsidRDefault="00287A94" w:rsidP="00916CCF">
      <w:pPr>
        <w:jc w:val="center"/>
        <w:rPr>
          <w:rFonts w:ascii="Times New Roman" w:hAnsi="Times New Roman" w:cs="Times New Roman"/>
          <w:smallCaps/>
          <w:sz w:val="24"/>
          <w:szCs w:val="32"/>
          <w:lang w:val="en-GB"/>
        </w:rPr>
      </w:pPr>
      <w:r w:rsidRPr="00CF3C36">
        <w:rPr>
          <w:noProof/>
          <w:lang w:eastAsia="nl-NL"/>
        </w:rPr>
        <w:drawing>
          <wp:anchor distT="0" distB="0" distL="114300" distR="114300" simplePos="0" relativeHeight="251658240" behindDoc="1" locked="0" layoutInCell="1" allowOverlap="1" wp14:anchorId="0AF6E0E2" wp14:editId="3CCB1DC4">
            <wp:simplePos x="0" y="0"/>
            <wp:positionH relativeFrom="page">
              <wp:align>left</wp:align>
            </wp:positionH>
            <wp:positionV relativeFrom="paragraph">
              <wp:posOffset>357505</wp:posOffset>
            </wp:positionV>
            <wp:extent cx="7572801" cy="425998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net-fdi-background-slider.jpg"/>
                    <pic:cNvPicPr/>
                  </pic:nvPicPr>
                  <pic:blipFill>
                    <a:blip r:embed="rId9">
                      <a:extLst>
                        <a:ext uri="{28A0092B-C50C-407E-A947-70E740481C1C}">
                          <a14:useLocalDpi xmlns:a14="http://schemas.microsoft.com/office/drawing/2010/main" val="0"/>
                        </a:ext>
                      </a:extLst>
                    </a:blip>
                    <a:stretch>
                      <a:fillRect/>
                    </a:stretch>
                  </pic:blipFill>
                  <pic:spPr>
                    <a:xfrm>
                      <a:off x="0" y="0"/>
                      <a:ext cx="7572801" cy="4259981"/>
                    </a:xfrm>
                    <a:prstGeom prst="rect">
                      <a:avLst/>
                    </a:prstGeom>
                  </pic:spPr>
                </pic:pic>
              </a:graphicData>
            </a:graphic>
            <wp14:sizeRelH relativeFrom="page">
              <wp14:pctWidth>0</wp14:pctWidth>
            </wp14:sizeRelH>
            <wp14:sizeRelV relativeFrom="page">
              <wp14:pctHeight>0</wp14:pctHeight>
            </wp14:sizeRelV>
          </wp:anchor>
        </w:drawing>
      </w:r>
      <w:r w:rsidR="00916CCF" w:rsidRPr="00CF3C36">
        <w:rPr>
          <w:rFonts w:ascii="Times New Roman" w:hAnsi="Times New Roman" w:cs="Times New Roman"/>
          <w:i/>
          <w:smallCaps/>
          <w:sz w:val="24"/>
          <w:szCs w:val="32"/>
          <w:lang w:val="en-GB"/>
        </w:rPr>
        <w:t xml:space="preserve"> </w:t>
      </w:r>
      <w:r w:rsidR="00916CCF" w:rsidRPr="00CF3C36">
        <w:rPr>
          <w:rFonts w:ascii="Times New Roman" w:hAnsi="Times New Roman" w:cs="Times New Roman"/>
          <w:smallCaps/>
          <w:sz w:val="24"/>
          <w:szCs w:val="32"/>
          <w:lang w:val="en-GB"/>
        </w:rPr>
        <w:t xml:space="preserve">Maarten Paquay </w:t>
      </w:r>
      <w:r w:rsidR="0042495F" w:rsidRPr="00CF3C36">
        <w:rPr>
          <w:rFonts w:ascii="Times New Roman" w:hAnsi="Times New Roman" w:cs="Times New Roman"/>
          <w:smallCaps/>
          <w:sz w:val="24"/>
          <w:szCs w:val="32"/>
          <w:lang w:val="en-GB"/>
        </w:rPr>
        <w:t>(4519515)</w:t>
      </w:r>
    </w:p>
    <w:p w14:paraId="072ADD69" w14:textId="6591CB77" w:rsidR="00A444F2" w:rsidRPr="00CF3C36" w:rsidRDefault="00AF6DA8" w:rsidP="007D2FB8">
      <w:pPr>
        <w:jc w:val="both"/>
        <w:rPr>
          <w:lang w:val="en-GB"/>
        </w:rPr>
      </w:pPr>
      <w:r w:rsidRPr="00CF3C36">
        <w:rPr>
          <w:lang w:val="en-GB"/>
        </w:rPr>
        <w:tab/>
      </w:r>
    </w:p>
    <w:p w14:paraId="127CC835" w14:textId="75390EC6" w:rsidR="00A444F2" w:rsidRPr="00CF3C36" w:rsidRDefault="00A444F2" w:rsidP="007D2FB8">
      <w:pPr>
        <w:jc w:val="both"/>
        <w:rPr>
          <w:lang w:val="en-GB"/>
        </w:rPr>
      </w:pPr>
    </w:p>
    <w:p w14:paraId="58196288" w14:textId="692C7A36" w:rsidR="00A444F2" w:rsidRPr="00CF3C36" w:rsidRDefault="00A444F2" w:rsidP="007D2FB8">
      <w:pPr>
        <w:jc w:val="both"/>
        <w:rPr>
          <w:lang w:val="en-GB"/>
        </w:rPr>
      </w:pPr>
    </w:p>
    <w:p w14:paraId="60E5EDF8" w14:textId="5B47CE9C" w:rsidR="00A444F2" w:rsidRPr="00CF3C36" w:rsidRDefault="00A444F2" w:rsidP="007D2FB8">
      <w:pPr>
        <w:jc w:val="both"/>
        <w:rPr>
          <w:lang w:val="en-GB"/>
        </w:rPr>
      </w:pPr>
    </w:p>
    <w:p w14:paraId="6FE738E1" w14:textId="432FE958" w:rsidR="00A444F2" w:rsidRPr="00CF3C36" w:rsidRDefault="00A444F2" w:rsidP="007D2FB8">
      <w:pPr>
        <w:jc w:val="both"/>
        <w:rPr>
          <w:lang w:val="en-GB"/>
        </w:rPr>
      </w:pPr>
    </w:p>
    <w:p w14:paraId="147DFE43" w14:textId="402A1A53" w:rsidR="00A444F2" w:rsidRPr="00CF3C36" w:rsidRDefault="00A444F2" w:rsidP="007D2FB8">
      <w:pPr>
        <w:jc w:val="both"/>
        <w:rPr>
          <w:lang w:val="en-GB"/>
        </w:rPr>
      </w:pPr>
    </w:p>
    <w:p w14:paraId="409000D2" w14:textId="77777777" w:rsidR="00A444F2" w:rsidRPr="00CF3C36" w:rsidRDefault="00A444F2" w:rsidP="007D2FB8">
      <w:pPr>
        <w:jc w:val="both"/>
        <w:rPr>
          <w:lang w:val="en-GB"/>
        </w:rPr>
      </w:pPr>
    </w:p>
    <w:p w14:paraId="6F7C3FC5" w14:textId="77777777" w:rsidR="00A444F2" w:rsidRPr="00CF3C36" w:rsidRDefault="00A444F2" w:rsidP="007D2FB8">
      <w:pPr>
        <w:jc w:val="both"/>
        <w:rPr>
          <w:lang w:val="en-GB"/>
        </w:rPr>
      </w:pPr>
    </w:p>
    <w:p w14:paraId="0CA74D59" w14:textId="684D4C8E" w:rsidR="00A444F2" w:rsidRPr="00CF3C36" w:rsidRDefault="00A444F2" w:rsidP="007D2FB8">
      <w:pPr>
        <w:jc w:val="both"/>
        <w:rPr>
          <w:lang w:val="en-GB"/>
        </w:rPr>
      </w:pPr>
    </w:p>
    <w:p w14:paraId="094F0EA6" w14:textId="77777777" w:rsidR="00A444F2" w:rsidRPr="00CF3C36" w:rsidRDefault="00A444F2" w:rsidP="007D2FB8">
      <w:pPr>
        <w:jc w:val="both"/>
        <w:rPr>
          <w:lang w:val="en-GB"/>
        </w:rPr>
      </w:pPr>
    </w:p>
    <w:p w14:paraId="38F1BC70" w14:textId="5EAA868E" w:rsidR="00A444F2" w:rsidRPr="00CF3C36" w:rsidRDefault="00A444F2" w:rsidP="007D2FB8">
      <w:pPr>
        <w:jc w:val="both"/>
        <w:rPr>
          <w:lang w:val="en-GB"/>
        </w:rPr>
      </w:pPr>
    </w:p>
    <w:p w14:paraId="2CD6EF21" w14:textId="77777777" w:rsidR="00A444F2" w:rsidRPr="00CF3C36" w:rsidRDefault="00A444F2" w:rsidP="007D2FB8">
      <w:pPr>
        <w:jc w:val="both"/>
        <w:rPr>
          <w:lang w:val="en-GB"/>
        </w:rPr>
      </w:pPr>
    </w:p>
    <w:p w14:paraId="4CA081AE" w14:textId="495E985A" w:rsidR="00A444F2" w:rsidRPr="00CF3C36" w:rsidRDefault="00A444F2" w:rsidP="007D2FB8">
      <w:pPr>
        <w:jc w:val="both"/>
        <w:rPr>
          <w:lang w:val="en-GB"/>
        </w:rPr>
      </w:pPr>
    </w:p>
    <w:p w14:paraId="449BCEFF" w14:textId="4F6B1D70" w:rsidR="00A444F2" w:rsidRPr="00CF3C36" w:rsidRDefault="00A444F2" w:rsidP="007D2FB8">
      <w:pPr>
        <w:jc w:val="both"/>
        <w:rPr>
          <w:lang w:val="en-GB"/>
        </w:rPr>
      </w:pPr>
    </w:p>
    <w:p w14:paraId="2860DDDC" w14:textId="2FA7A1EF" w:rsidR="00A444F2" w:rsidRPr="00CF3C36" w:rsidRDefault="00A444F2" w:rsidP="007D2FB8">
      <w:pPr>
        <w:jc w:val="both"/>
        <w:rPr>
          <w:lang w:val="en-GB"/>
        </w:rPr>
      </w:pPr>
    </w:p>
    <w:p w14:paraId="272C16DE" w14:textId="6475BC4F" w:rsidR="00A444F2" w:rsidRPr="00CF3C36" w:rsidRDefault="00A444F2" w:rsidP="007D2FB8">
      <w:pPr>
        <w:jc w:val="both"/>
        <w:rPr>
          <w:lang w:val="en-GB"/>
        </w:rPr>
      </w:pPr>
    </w:p>
    <w:p w14:paraId="6657A664" w14:textId="31A2E8E9" w:rsidR="0039280B" w:rsidRPr="00CF3C36" w:rsidRDefault="00287A94" w:rsidP="007D2FB8">
      <w:pPr>
        <w:jc w:val="both"/>
        <w:rPr>
          <w:lang w:val="en-GB"/>
        </w:rPr>
      </w:pPr>
      <w:r w:rsidRPr="00CF3C36">
        <w:rPr>
          <w:b/>
          <w:lang w:val="en-GB"/>
        </w:rPr>
        <w:t xml:space="preserve">Abstract: </w:t>
      </w:r>
      <w:r w:rsidRPr="00CF3C36">
        <w:rPr>
          <w:lang w:val="en-GB"/>
        </w:rPr>
        <w:t>This studies analyses the effect of environmental regulation on the environmental footprint of inward FDI in the host country</w:t>
      </w:r>
      <w:r w:rsidR="00673AC7" w:rsidRPr="00CF3C36">
        <w:rPr>
          <w:lang w:val="en-GB"/>
        </w:rPr>
        <w:t xml:space="preserve"> due to the investment decisions of foreign firms</w:t>
      </w:r>
      <w:r w:rsidR="00014231" w:rsidRPr="00CF3C36">
        <w:rPr>
          <w:lang w:val="en-GB"/>
        </w:rPr>
        <w:t xml:space="preserve">. In this </w:t>
      </w:r>
      <w:r w:rsidRPr="00CF3C36">
        <w:rPr>
          <w:lang w:val="en-GB"/>
        </w:rPr>
        <w:t>study a broad range of countries from varied regions in the world are analysed in the period 2009-201</w:t>
      </w:r>
      <w:r w:rsidR="00295B0C" w:rsidRPr="00CF3C36">
        <w:rPr>
          <w:lang w:val="en-GB"/>
        </w:rPr>
        <w:t>6</w:t>
      </w:r>
      <w:r w:rsidRPr="00CF3C36">
        <w:rPr>
          <w:lang w:val="en-GB"/>
        </w:rPr>
        <w:t xml:space="preserve">. Based on </w:t>
      </w:r>
      <w:r w:rsidR="00014231" w:rsidRPr="00CF3C36">
        <w:rPr>
          <w:lang w:val="en-GB"/>
        </w:rPr>
        <w:t xml:space="preserve">a </w:t>
      </w:r>
      <w:r w:rsidRPr="00CF3C36">
        <w:rPr>
          <w:lang w:val="en-GB"/>
        </w:rPr>
        <w:t xml:space="preserve">thorough literature review, a theoretical model is proposed which serves as a basis of an estimation using panel data techniques. </w:t>
      </w:r>
      <w:r w:rsidR="00C61A6C" w:rsidRPr="00CF3C36">
        <w:rPr>
          <w:lang w:val="en-GB"/>
        </w:rPr>
        <w:t xml:space="preserve">The study also entails a specific analysis of the energy sector in which the effect of environmental policy on </w:t>
      </w:r>
      <w:r w:rsidR="00E519C2" w:rsidRPr="00CF3C36">
        <w:rPr>
          <w:lang w:val="en-GB"/>
        </w:rPr>
        <w:t xml:space="preserve">inward </w:t>
      </w:r>
      <w:r w:rsidR="00C61A6C" w:rsidRPr="00CF3C36">
        <w:rPr>
          <w:lang w:val="en-GB"/>
        </w:rPr>
        <w:t>FDI in green an</w:t>
      </w:r>
      <w:r w:rsidR="00A762C2" w:rsidRPr="00CF3C36">
        <w:rPr>
          <w:lang w:val="en-GB"/>
        </w:rPr>
        <w:t>d</w:t>
      </w:r>
      <w:r w:rsidR="00C61A6C" w:rsidRPr="00CF3C36">
        <w:rPr>
          <w:lang w:val="en-GB"/>
        </w:rPr>
        <w:t xml:space="preserve"> brown energy is studied.</w:t>
      </w:r>
      <w:r w:rsidRPr="00CF3C36">
        <w:rPr>
          <w:lang w:val="en-GB"/>
        </w:rPr>
        <w:t xml:space="preserve"> </w:t>
      </w:r>
      <w:r w:rsidR="00673AC7" w:rsidRPr="00CF3C36">
        <w:rPr>
          <w:lang w:val="en-GB"/>
        </w:rPr>
        <w:t>The hypotheses posed in this studied</w:t>
      </w:r>
      <w:r w:rsidR="009A6D8B" w:rsidRPr="00CF3C36">
        <w:rPr>
          <w:lang w:val="en-GB"/>
        </w:rPr>
        <w:t xml:space="preserve"> stating that more stringent environmental regulation would decrease the environmental footprint of FDI by repelling polluting firms and attracting clean firms</w:t>
      </w:r>
      <w:r w:rsidR="00673AC7" w:rsidRPr="00CF3C36">
        <w:rPr>
          <w:lang w:val="en-GB"/>
        </w:rPr>
        <w:t xml:space="preserve"> had to be rejected</w:t>
      </w:r>
      <w:r w:rsidR="009A6D8B" w:rsidRPr="00CF3C36">
        <w:rPr>
          <w:lang w:val="en-GB"/>
        </w:rPr>
        <w:t>. This</w:t>
      </w:r>
      <w:r w:rsidR="00673AC7" w:rsidRPr="00CF3C36">
        <w:rPr>
          <w:lang w:val="en-GB"/>
        </w:rPr>
        <w:t xml:space="preserve"> </w:t>
      </w:r>
      <w:r w:rsidR="009A6D8B" w:rsidRPr="00CF3C36">
        <w:rPr>
          <w:lang w:val="en-GB"/>
        </w:rPr>
        <w:t>indicates</w:t>
      </w:r>
      <w:r w:rsidR="007B7CBF" w:rsidRPr="00CF3C36">
        <w:rPr>
          <w:lang w:val="en-GB"/>
        </w:rPr>
        <w:t xml:space="preserve"> that environmental regulation has an insignificant influence on the investment decisions of firm. </w:t>
      </w:r>
      <w:r w:rsidR="00065EA8" w:rsidRPr="00CF3C36">
        <w:rPr>
          <w:lang w:val="en-GB"/>
        </w:rPr>
        <w:t xml:space="preserve">This </w:t>
      </w:r>
      <w:r w:rsidR="006A5E34" w:rsidRPr="00CF3C36">
        <w:rPr>
          <w:lang w:val="en-GB"/>
        </w:rPr>
        <w:t>might suggest</w:t>
      </w:r>
      <w:r w:rsidR="00065EA8" w:rsidRPr="00CF3C36">
        <w:rPr>
          <w:lang w:val="en-GB"/>
        </w:rPr>
        <w:t xml:space="preserve"> that foreign firms are not likely to move away from a country that implements more stringent environmental regul</w:t>
      </w:r>
      <w:r w:rsidR="005259BD" w:rsidRPr="00CF3C36">
        <w:rPr>
          <w:lang w:val="en-GB"/>
        </w:rPr>
        <w:t>ations</w:t>
      </w:r>
      <w:r w:rsidR="006A5E34" w:rsidRPr="00CF3C36">
        <w:rPr>
          <w:lang w:val="en-GB"/>
        </w:rPr>
        <w:t xml:space="preserve"> </w:t>
      </w:r>
      <w:r w:rsidR="005259BD" w:rsidRPr="00CF3C36">
        <w:rPr>
          <w:lang w:val="en-GB"/>
        </w:rPr>
        <w:t xml:space="preserve">and therefore will </w:t>
      </w:r>
      <w:r w:rsidR="006A5E34" w:rsidRPr="00CF3C36">
        <w:rPr>
          <w:lang w:val="en-GB"/>
        </w:rPr>
        <w:t xml:space="preserve">abide by the new regulations. Which could cause the environmental footprint to </w:t>
      </w:r>
      <w:r w:rsidR="00403E4D" w:rsidRPr="00CF3C36">
        <w:rPr>
          <w:lang w:val="en-GB"/>
        </w:rPr>
        <w:t>decrease</w:t>
      </w:r>
      <w:r w:rsidR="004C450C" w:rsidRPr="00CF3C36">
        <w:rPr>
          <w:lang w:val="en-GB"/>
        </w:rPr>
        <w:t xml:space="preserve"> via this mechanism, therefore this might be seen as an incentive to implement more stringent environmental regulations.</w:t>
      </w:r>
    </w:p>
    <w:sdt>
      <w:sdtPr>
        <w:rPr>
          <w:rFonts w:asciiTheme="minorHAnsi" w:eastAsiaTheme="minorHAnsi" w:hAnsiTheme="minorHAnsi" w:cstheme="minorBidi"/>
          <w:color w:val="auto"/>
          <w:sz w:val="22"/>
          <w:szCs w:val="22"/>
          <w:lang w:val="en-GB"/>
        </w:rPr>
        <w:id w:val="-1937051484"/>
        <w:docPartObj>
          <w:docPartGallery w:val="Table of Contents"/>
          <w:docPartUnique/>
        </w:docPartObj>
      </w:sdtPr>
      <w:sdtEndPr>
        <w:rPr>
          <w:b/>
          <w:bCs/>
          <w:noProof/>
        </w:rPr>
      </w:sdtEndPr>
      <w:sdtContent>
        <w:p w14:paraId="4C7D6E4D" w14:textId="6BD70E52" w:rsidR="00AB3866" w:rsidRPr="00CF3C36" w:rsidRDefault="009A6D8B">
          <w:pPr>
            <w:pStyle w:val="TOCHeading"/>
            <w:rPr>
              <w:lang w:val="en-GB"/>
            </w:rPr>
          </w:pPr>
          <w:r w:rsidRPr="00CF3C36">
            <w:rPr>
              <w:lang w:val="en-GB"/>
            </w:rPr>
            <w:t>Table of C</w:t>
          </w:r>
          <w:r w:rsidR="00AB3866" w:rsidRPr="00CF3C36">
            <w:rPr>
              <w:lang w:val="en-GB"/>
            </w:rPr>
            <w:t>ontents</w:t>
          </w:r>
        </w:p>
        <w:p w14:paraId="141920DD" w14:textId="3468B965" w:rsidR="00757FDF" w:rsidRDefault="00AB3866">
          <w:pPr>
            <w:pStyle w:val="TOC1"/>
            <w:tabs>
              <w:tab w:val="right" w:leader="dot" w:pos="9062"/>
            </w:tabs>
            <w:rPr>
              <w:rFonts w:eastAsiaTheme="minorEastAsia"/>
              <w:noProof/>
              <w:lang w:eastAsia="nl-NL"/>
            </w:rPr>
          </w:pPr>
          <w:r w:rsidRPr="00CF3C36">
            <w:rPr>
              <w:lang w:val="en-GB"/>
            </w:rPr>
            <w:fldChar w:fldCharType="begin"/>
          </w:r>
          <w:r w:rsidRPr="00CF3C36">
            <w:rPr>
              <w:lang w:val="en-GB"/>
            </w:rPr>
            <w:instrText xml:space="preserve"> TOC \o "1-3" \h \z \u </w:instrText>
          </w:r>
          <w:r w:rsidRPr="00CF3C36">
            <w:rPr>
              <w:lang w:val="en-GB"/>
            </w:rPr>
            <w:fldChar w:fldCharType="separate"/>
          </w:r>
          <w:hyperlink w:anchor="_Toc15479996" w:history="1">
            <w:r w:rsidR="00757FDF" w:rsidRPr="00B87BDD">
              <w:rPr>
                <w:rStyle w:val="Hyperlink"/>
                <w:noProof/>
                <w:lang w:val="en-GB"/>
              </w:rPr>
              <w:t>1. Introduction</w:t>
            </w:r>
            <w:r w:rsidR="00757FDF">
              <w:rPr>
                <w:noProof/>
                <w:webHidden/>
              </w:rPr>
              <w:tab/>
            </w:r>
            <w:r w:rsidR="00757FDF">
              <w:rPr>
                <w:noProof/>
                <w:webHidden/>
              </w:rPr>
              <w:fldChar w:fldCharType="begin"/>
            </w:r>
            <w:r w:rsidR="00757FDF">
              <w:rPr>
                <w:noProof/>
                <w:webHidden/>
              </w:rPr>
              <w:instrText xml:space="preserve"> PAGEREF _Toc15479996 \h </w:instrText>
            </w:r>
            <w:r w:rsidR="00757FDF">
              <w:rPr>
                <w:noProof/>
                <w:webHidden/>
              </w:rPr>
            </w:r>
            <w:r w:rsidR="00757FDF">
              <w:rPr>
                <w:noProof/>
                <w:webHidden/>
              </w:rPr>
              <w:fldChar w:fldCharType="separate"/>
            </w:r>
            <w:r w:rsidR="00757FDF">
              <w:rPr>
                <w:noProof/>
                <w:webHidden/>
              </w:rPr>
              <w:t>5</w:t>
            </w:r>
            <w:r w:rsidR="00757FDF">
              <w:rPr>
                <w:noProof/>
                <w:webHidden/>
              </w:rPr>
              <w:fldChar w:fldCharType="end"/>
            </w:r>
          </w:hyperlink>
        </w:p>
        <w:p w14:paraId="230E8D1D" w14:textId="05FE499F" w:rsidR="00757FDF" w:rsidRDefault="00D8656F">
          <w:pPr>
            <w:pStyle w:val="TOC1"/>
            <w:tabs>
              <w:tab w:val="right" w:leader="dot" w:pos="9062"/>
            </w:tabs>
            <w:rPr>
              <w:rFonts w:eastAsiaTheme="minorEastAsia"/>
              <w:noProof/>
              <w:lang w:eastAsia="nl-NL"/>
            </w:rPr>
          </w:pPr>
          <w:hyperlink w:anchor="_Toc15479997" w:history="1">
            <w:r w:rsidR="00757FDF" w:rsidRPr="00B87BDD">
              <w:rPr>
                <w:rStyle w:val="Hyperlink"/>
                <w:noProof/>
                <w:lang w:val="en-GB"/>
              </w:rPr>
              <w:t>2. Literature Review and Research Problem</w:t>
            </w:r>
            <w:r w:rsidR="00757FDF">
              <w:rPr>
                <w:noProof/>
                <w:webHidden/>
              </w:rPr>
              <w:tab/>
            </w:r>
            <w:r w:rsidR="00757FDF">
              <w:rPr>
                <w:noProof/>
                <w:webHidden/>
              </w:rPr>
              <w:fldChar w:fldCharType="begin"/>
            </w:r>
            <w:r w:rsidR="00757FDF">
              <w:rPr>
                <w:noProof/>
                <w:webHidden/>
              </w:rPr>
              <w:instrText xml:space="preserve"> PAGEREF _Toc15479997 \h </w:instrText>
            </w:r>
            <w:r w:rsidR="00757FDF">
              <w:rPr>
                <w:noProof/>
                <w:webHidden/>
              </w:rPr>
            </w:r>
            <w:r w:rsidR="00757FDF">
              <w:rPr>
                <w:noProof/>
                <w:webHidden/>
              </w:rPr>
              <w:fldChar w:fldCharType="separate"/>
            </w:r>
            <w:r w:rsidR="00757FDF">
              <w:rPr>
                <w:noProof/>
                <w:webHidden/>
              </w:rPr>
              <w:t>8</w:t>
            </w:r>
            <w:r w:rsidR="00757FDF">
              <w:rPr>
                <w:noProof/>
                <w:webHidden/>
              </w:rPr>
              <w:fldChar w:fldCharType="end"/>
            </w:r>
          </w:hyperlink>
        </w:p>
        <w:p w14:paraId="00484850" w14:textId="68FFDFF8" w:rsidR="00757FDF" w:rsidRDefault="00D8656F">
          <w:pPr>
            <w:pStyle w:val="TOC2"/>
            <w:tabs>
              <w:tab w:val="right" w:leader="dot" w:pos="9062"/>
            </w:tabs>
            <w:rPr>
              <w:rFonts w:eastAsiaTheme="minorEastAsia"/>
              <w:noProof/>
              <w:lang w:eastAsia="nl-NL"/>
            </w:rPr>
          </w:pPr>
          <w:hyperlink w:anchor="_Toc15479998" w:history="1">
            <w:r w:rsidR="00757FDF" w:rsidRPr="00B87BDD">
              <w:rPr>
                <w:rStyle w:val="Hyperlink"/>
                <w:noProof/>
                <w:lang w:val="en-GB"/>
              </w:rPr>
              <w:t>2.1 Foreign Direct Investment and the host-country economy</w:t>
            </w:r>
            <w:r w:rsidR="00757FDF">
              <w:rPr>
                <w:noProof/>
                <w:webHidden/>
              </w:rPr>
              <w:tab/>
            </w:r>
            <w:r w:rsidR="00757FDF">
              <w:rPr>
                <w:noProof/>
                <w:webHidden/>
              </w:rPr>
              <w:fldChar w:fldCharType="begin"/>
            </w:r>
            <w:r w:rsidR="00757FDF">
              <w:rPr>
                <w:noProof/>
                <w:webHidden/>
              </w:rPr>
              <w:instrText xml:space="preserve"> PAGEREF _Toc15479998 \h </w:instrText>
            </w:r>
            <w:r w:rsidR="00757FDF">
              <w:rPr>
                <w:noProof/>
                <w:webHidden/>
              </w:rPr>
            </w:r>
            <w:r w:rsidR="00757FDF">
              <w:rPr>
                <w:noProof/>
                <w:webHidden/>
              </w:rPr>
              <w:fldChar w:fldCharType="separate"/>
            </w:r>
            <w:r w:rsidR="00757FDF">
              <w:rPr>
                <w:noProof/>
                <w:webHidden/>
              </w:rPr>
              <w:t>8</w:t>
            </w:r>
            <w:r w:rsidR="00757FDF">
              <w:rPr>
                <w:noProof/>
                <w:webHidden/>
              </w:rPr>
              <w:fldChar w:fldCharType="end"/>
            </w:r>
          </w:hyperlink>
        </w:p>
        <w:p w14:paraId="700AD012" w14:textId="71C4D04B" w:rsidR="00757FDF" w:rsidRDefault="00D8656F">
          <w:pPr>
            <w:pStyle w:val="TOC2"/>
            <w:tabs>
              <w:tab w:val="right" w:leader="dot" w:pos="9062"/>
            </w:tabs>
            <w:rPr>
              <w:rFonts w:eastAsiaTheme="minorEastAsia"/>
              <w:noProof/>
              <w:lang w:eastAsia="nl-NL"/>
            </w:rPr>
          </w:pPr>
          <w:hyperlink w:anchor="_Toc15479999" w:history="1">
            <w:r w:rsidR="00757FDF" w:rsidRPr="00B87BDD">
              <w:rPr>
                <w:rStyle w:val="Hyperlink"/>
                <w:noProof/>
                <w:lang w:val="en-GB"/>
              </w:rPr>
              <w:t>2.2 Foreign Direct Investment and Sustainable Development</w:t>
            </w:r>
            <w:r w:rsidR="00757FDF">
              <w:rPr>
                <w:noProof/>
                <w:webHidden/>
              </w:rPr>
              <w:tab/>
            </w:r>
            <w:r w:rsidR="00757FDF">
              <w:rPr>
                <w:noProof/>
                <w:webHidden/>
              </w:rPr>
              <w:fldChar w:fldCharType="begin"/>
            </w:r>
            <w:r w:rsidR="00757FDF">
              <w:rPr>
                <w:noProof/>
                <w:webHidden/>
              </w:rPr>
              <w:instrText xml:space="preserve"> PAGEREF _Toc15479999 \h </w:instrText>
            </w:r>
            <w:r w:rsidR="00757FDF">
              <w:rPr>
                <w:noProof/>
                <w:webHidden/>
              </w:rPr>
            </w:r>
            <w:r w:rsidR="00757FDF">
              <w:rPr>
                <w:noProof/>
                <w:webHidden/>
              </w:rPr>
              <w:fldChar w:fldCharType="separate"/>
            </w:r>
            <w:r w:rsidR="00757FDF">
              <w:rPr>
                <w:noProof/>
                <w:webHidden/>
              </w:rPr>
              <w:t>10</w:t>
            </w:r>
            <w:r w:rsidR="00757FDF">
              <w:rPr>
                <w:noProof/>
                <w:webHidden/>
              </w:rPr>
              <w:fldChar w:fldCharType="end"/>
            </w:r>
          </w:hyperlink>
        </w:p>
        <w:p w14:paraId="69DD266B" w14:textId="1B4E7E62" w:rsidR="00757FDF" w:rsidRDefault="00D8656F">
          <w:pPr>
            <w:pStyle w:val="TOC2"/>
            <w:tabs>
              <w:tab w:val="right" w:leader="dot" w:pos="9062"/>
            </w:tabs>
            <w:rPr>
              <w:rFonts w:eastAsiaTheme="minorEastAsia"/>
              <w:noProof/>
              <w:lang w:eastAsia="nl-NL"/>
            </w:rPr>
          </w:pPr>
          <w:hyperlink w:anchor="_Toc15480000" w:history="1">
            <w:r w:rsidR="00757FDF" w:rsidRPr="00B87BDD">
              <w:rPr>
                <w:rStyle w:val="Hyperlink"/>
                <w:noProof/>
                <w:lang w:val="en-GB"/>
              </w:rPr>
              <w:t>2.3 Foreign Direct Investment and the host-country environment</w:t>
            </w:r>
            <w:r w:rsidR="00757FDF">
              <w:rPr>
                <w:noProof/>
                <w:webHidden/>
              </w:rPr>
              <w:tab/>
            </w:r>
            <w:r w:rsidR="00757FDF">
              <w:rPr>
                <w:noProof/>
                <w:webHidden/>
              </w:rPr>
              <w:fldChar w:fldCharType="begin"/>
            </w:r>
            <w:r w:rsidR="00757FDF">
              <w:rPr>
                <w:noProof/>
                <w:webHidden/>
              </w:rPr>
              <w:instrText xml:space="preserve"> PAGEREF _Toc15480000 \h </w:instrText>
            </w:r>
            <w:r w:rsidR="00757FDF">
              <w:rPr>
                <w:noProof/>
                <w:webHidden/>
              </w:rPr>
            </w:r>
            <w:r w:rsidR="00757FDF">
              <w:rPr>
                <w:noProof/>
                <w:webHidden/>
              </w:rPr>
              <w:fldChar w:fldCharType="separate"/>
            </w:r>
            <w:r w:rsidR="00757FDF">
              <w:rPr>
                <w:noProof/>
                <w:webHidden/>
              </w:rPr>
              <w:t>12</w:t>
            </w:r>
            <w:r w:rsidR="00757FDF">
              <w:rPr>
                <w:noProof/>
                <w:webHidden/>
              </w:rPr>
              <w:fldChar w:fldCharType="end"/>
            </w:r>
          </w:hyperlink>
        </w:p>
        <w:p w14:paraId="6417C40A" w14:textId="5A7D77DB" w:rsidR="00757FDF" w:rsidRDefault="00D8656F">
          <w:pPr>
            <w:pStyle w:val="TOC3"/>
            <w:tabs>
              <w:tab w:val="right" w:leader="dot" w:pos="9062"/>
            </w:tabs>
            <w:rPr>
              <w:rFonts w:eastAsiaTheme="minorEastAsia"/>
              <w:noProof/>
              <w:lang w:eastAsia="nl-NL"/>
            </w:rPr>
          </w:pPr>
          <w:hyperlink w:anchor="_Toc15480001" w:history="1">
            <w:r w:rsidR="00757FDF" w:rsidRPr="00B87BDD">
              <w:rPr>
                <w:rStyle w:val="Hyperlink"/>
                <w:noProof/>
                <w:lang w:val="en-GB"/>
              </w:rPr>
              <w:t>2.3.1 Previous theories</w:t>
            </w:r>
            <w:r w:rsidR="00757FDF">
              <w:rPr>
                <w:noProof/>
                <w:webHidden/>
              </w:rPr>
              <w:tab/>
            </w:r>
            <w:r w:rsidR="00757FDF">
              <w:rPr>
                <w:noProof/>
                <w:webHidden/>
              </w:rPr>
              <w:fldChar w:fldCharType="begin"/>
            </w:r>
            <w:r w:rsidR="00757FDF">
              <w:rPr>
                <w:noProof/>
                <w:webHidden/>
              </w:rPr>
              <w:instrText xml:space="preserve"> PAGEREF _Toc15480001 \h </w:instrText>
            </w:r>
            <w:r w:rsidR="00757FDF">
              <w:rPr>
                <w:noProof/>
                <w:webHidden/>
              </w:rPr>
            </w:r>
            <w:r w:rsidR="00757FDF">
              <w:rPr>
                <w:noProof/>
                <w:webHidden/>
              </w:rPr>
              <w:fldChar w:fldCharType="separate"/>
            </w:r>
            <w:r w:rsidR="00757FDF">
              <w:rPr>
                <w:noProof/>
                <w:webHidden/>
              </w:rPr>
              <w:t>12</w:t>
            </w:r>
            <w:r w:rsidR="00757FDF">
              <w:rPr>
                <w:noProof/>
                <w:webHidden/>
              </w:rPr>
              <w:fldChar w:fldCharType="end"/>
            </w:r>
          </w:hyperlink>
        </w:p>
        <w:p w14:paraId="7EC8A66B" w14:textId="6FEA0944" w:rsidR="00757FDF" w:rsidRDefault="00D8656F">
          <w:pPr>
            <w:pStyle w:val="TOC3"/>
            <w:tabs>
              <w:tab w:val="right" w:leader="dot" w:pos="9062"/>
            </w:tabs>
            <w:rPr>
              <w:rFonts w:eastAsiaTheme="minorEastAsia"/>
              <w:noProof/>
              <w:lang w:eastAsia="nl-NL"/>
            </w:rPr>
          </w:pPr>
          <w:hyperlink w:anchor="_Toc15480002" w:history="1">
            <w:r w:rsidR="00757FDF" w:rsidRPr="00B87BDD">
              <w:rPr>
                <w:rStyle w:val="Hyperlink"/>
                <w:noProof/>
                <w:lang w:val="en-GB"/>
              </w:rPr>
              <w:t>2.3.2 Effects of the environmental footprint of FDI</w:t>
            </w:r>
            <w:r w:rsidR="00757FDF">
              <w:rPr>
                <w:noProof/>
                <w:webHidden/>
              </w:rPr>
              <w:tab/>
            </w:r>
            <w:r w:rsidR="00757FDF">
              <w:rPr>
                <w:noProof/>
                <w:webHidden/>
              </w:rPr>
              <w:fldChar w:fldCharType="begin"/>
            </w:r>
            <w:r w:rsidR="00757FDF">
              <w:rPr>
                <w:noProof/>
                <w:webHidden/>
              </w:rPr>
              <w:instrText xml:space="preserve"> PAGEREF _Toc15480002 \h </w:instrText>
            </w:r>
            <w:r w:rsidR="00757FDF">
              <w:rPr>
                <w:noProof/>
                <w:webHidden/>
              </w:rPr>
            </w:r>
            <w:r w:rsidR="00757FDF">
              <w:rPr>
                <w:noProof/>
                <w:webHidden/>
              </w:rPr>
              <w:fldChar w:fldCharType="separate"/>
            </w:r>
            <w:r w:rsidR="00757FDF">
              <w:rPr>
                <w:noProof/>
                <w:webHidden/>
              </w:rPr>
              <w:t>14</w:t>
            </w:r>
            <w:r w:rsidR="00757FDF">
              <w:rPr>
                <w:noProof/>
                <w:webHidden/>
              </w:rPr>
              <w:fldChar w:fldCharType="end"/>
            </w:r>
          </w:hyperlink>
        </w:p>
        <w:p w14:paraId="72A56190" w14:textId="7FE8A350" w:rsidR="00757FDF" w:rsidRDefault="00D8656F">
          <w:pPr>
            <w:pStyle w:val="TOC3"/>
            <w:tabs>
              <w:tab w:val="right" w:leader="dot" w:pos="9062"/>
            </w:tabs>
            <w:rPr>
              <w:rFonts w:eastAsiaTheme="minorEastAsia"/>
              <w:noProof/>
              <w:lang w:eastAsia="nl-NL"/>
            </w:rPr>
          </w:pPr>
          <w:hyperlink w:anchor="_Toc15480003" w:history="1">
            <w:r w:rsidR="00757FDF" w:rsidRPr="00B87BDD">
              <w:rPr>
                <w:rStyle w:val="Hyperlink"/>
                <w:noProof/>
                <w:lang w:val="en-GB"/>
              </w:rPr>
              <w:t>2.3.3 Perspective 1: Environmental regulation and FDI attraction</w:t>
            </w:r>
            <w:r w:rsidR="00757FDF">
              <w:rPr>
                <w:noProof/>
                <w:webHidden/>
              </w:rPr>
              <w:tab/>
            </w:r>
            <w:r w:rsidR="00757FDF">
              <w:rPr>
                <w:noProof/>
                <w:webHidden/>
              </w:rPr>
              <w:fldChar w:fldCharType="begin"/>
            </w:r>
            <w:r w:rsidR="00757FDF">
              <w:rPr>
                <w:noProof/>
                <w:webHidden/>
              </w:rPr>
              <w:instrText xml:space="preserve"> PAGEREF _Toc15480003 \h </w:instrText>
            </w:r>
            <w:r w:rsidR="00757FDF">
              <w:rPr>
                <w:noProof/>
                <w:webHidden/>
              </w:rPr>
            </w:r>
            <w:r w:rsidR="00757FDF">
              <w:rPr>
                <w:noProof/>
                <w:webHidden/>
              </w:rPr>
              <w:fldChar w:fldCharType="separate"/>
            </w:r>
            <w:r w:rsidR="00757FDF">
              <w:rPr>
                <w:noProof/>
                <w:webHidden/>
              </w:rPr>
              <w:t>16</w:t>
            </w:r>
            <w:r w:rsidR="00757FDF">
              <w:rPr>
                <w:noProof/>
                <w:webHidden/>
              </w:rPr>
              <w:fldChar w:fldCharType="end"/>
            </w:r>
          </w:hyperlink>
        </w:p>
        <w:p w14:paraId="4D9CB38B" w14:textId="432AE81E" w:rsidR="00757FDF" w:rsidRDefault="00D8656F">
          <w:pPr>
            <w:pStyle w:val="TOC3"/>
            <w:tabs>
              <w:tab w:val="right" w:leader="dot" w:pos="9062"/>
            </w:tabs>
            <w:rPr>
              <w:rFonts w:eastAsiaTheme="minorEastAsia"/>
              <w:noProof/>
              <w:lang w:eastAsia="nl-NL"/>
            </w:rPr>
          </w:pPr>
          <w:hyperlink w:anchor="_Toc15480004" w:history="1">
            <w:r w:rsidR="00757FDF" w:rsidRPr="00B87BDD">
              <w:rPr>
                <w:rStyle w:val="Hyperlink"/>
                <w:noProof/>
                <w:lang w:val="en-GB"/>
              </w:rPr>
              <w:t>2.3.4 Perspective 2: Environmental footprint of inward FDI</w:t>
            </w:r>
            <w:r w:rsidR="00757FDF">
              <w:rPr>
                <w:noProof/>
                <w:webHidden/>
              </w:rPr>
              <w:tab/>
            </w:r>
            <w:r w:rsidR="00757FDF">
              <w:rPr>
                <w:noProof/>
                <w:webHidden/>
              </w:rPr>
              <w:fldChar w:fldCharType="begin"/>
            </w:r>
            <w:r w:rsidR="00757FDF">
              <w:rPr>
                <w:noProof/>
                <w:webHidden/>
              </w:rPr>
              <w:instrText xml:space="preserve"> PAGEREF _Toc15480004 \h </w:instrText>
            </w:r>
            <w:r w:rsidR="00757FDF">
              <w:rPr>
                <w:noProof/>
                <w:webHidden/>
              </w:rPr>
            </w:r>
            <w:r w:rsidR="00757FDF">
              <w:rPr>
                <w:noProof/>
                <w:webHidden/>
              </w:rPr>
              <w:fldChar w:fldCharType="separate"/>
            </w:r>
            <w:r w:rsidR="00757FDF">
              <w:rPr>
                <w:noProof/>
                <w:webHidden/>
              </w:rPr>
              <w:t>17</w:t>
            </w:r>
            <w:r w:rsidR="00757FDF">
              <w:rPr>
                <w:noProof/>
                <w:webHidden/>
              </w:rPr>
              <w:fldChar w:fldCharType="end"/>
            </w:r>
          </w:hyperlink>
        </w:p>
        <w:p w14:paraId="0FA0BA6F" w14:textId="24C72EB2" w:rsidR="00757FDF" w:rsidRDefault="00D8656F">
          <w:pPr>
            <w:pStyle w:val="TOC2"/>
            <w:tabs>
              <w:tab w:val="right" w:leader="dot" w:pos="9062"/>
            </w:tabs>
            <w:rPr>
              <w:rFonts w:eastAsiaTheme="minorEastAsia"/>
              <w:noProof/>
              <w:lang w:eastAsia="nl-NL"/>
            </w:rPr>
          </w:pPr>
          <w:hyperlink w:anchor="_Toc15480005" w:history="1">
            <w:r w:rsidR="00757FDF" w:rsidRPr="00B87BDD">
              <w:rPr>
                <w:rStyle w:val="Hyperlink"/>
                <w:noProof/>
                <w:lang w:val="en-GB"/>
              </w:rPr>
              <w:t>2.4 Research Problem</w:t>
            </w:r>
            <w:r w:rsidR="00757FDF">
              <w:rPr>
                <w:noProof/>
                <w:webHidden/>
              </w:rPr>
              <w:tab/>
            </w:r>
            <w:r w:rsidR="00757FDF">
              <w:rPr>
                <w:noProof/>
                <w:webHidden/>
              </w:rPr>
              <w:fldChar w:fldCharType="begin"/>
            </w:r>
            <w:r w:rsidR="00757FDF">
              <w:rPr>
                <w:noProof/>
                <w:webHidden/>
              </w:rPr>
              <w:instrText xml:space="preserve"> PAGEREF _Toc15480005 \h </w:instrText>
            </w:r>
            <w:r w:rsidR="00757FDF">
              <w:rPr>
                <w:noProof/>
                <w:webHidden/>
              </w:rPr>
            </w:r>
            <w:r w:rsidR="00757FDF">
              <w:rPr>
                <w:noProof/>
                <w:webHidden/>
              </w:rPr>
              <w:fldChar w:fldCharType="separate"/>
            </w:r>
            <w:r w:rsidR="00757FDF">
              <w:rPr>
                <w:noProof/>
                <w:webHidden/>
              </w:rPr>
              <w:t>18</w:t>
            </w:r>
            <w:r w:rsidR="00757FDF">
              <w:rPr>
                <w:noProof/>
                <w:webHidden/>
              </w:rPr>
              <w:fldChar w:fldCharType="end"/>
            </w:r>
          </w:hyperlink>
        </w:p>
        <w:p w14:paraId="241CED1F" w14:textId="06958E50" w:rsidR="00757FDF" w:rsidRDefault="00D8656F">
          <w:pPr>
            <w:pStyle w:val="TOC1"/>
            <w:tabs>
              <w:tab w:val="right" w:leader="dot" w:pos="9062"/>
            </w:tabs>
            <w:rPr>
              <w:rFonts w:eastAsiaTheme="minorEastAsia"/>
              <w:noProof/>
              <w:lang w:eastAsia="nl-NL"/>
            </w:rPr>
          </w:pPr>
          <w:hyperlink w:anchor="_Toc15480006" w:history="1">
            <w:r w:rsidR="00757FDF" w:rsidRPr="00B87BDD">
              <w:rPr>
                <w:rStyle w:val="Hyperlink"/>
                <w:noProof/>
                <w:lang w:val="en-GB"/>
              </w:rPr>
              <w:t>3. Methodological Approach</w:t>
            </w:r>
            <w:r w:rsidR="00757FDF">
              <w:rPr>
                <w:noProof/>
                <w:webHidden/>
              </w:rPr>
              <w:tab/>
            </w:r>
            <w:r w:rsidR="00757FDF">
              <w:rPr>
                <w:noProof/>
                <w:webHidden/>
              </w:rPr>
              <w:fldChar w:fldCharType="begin"/>
            </w:r>
            <w:r w:rsidR="00757FDF">
              <w:rPr>
                <w:noProof/>
                <w:webHidden/>
              </w:rPr>
              <w:instrText xml:space="preserve"> PAGEREF _Toc15480006 \h </w:instrText>
            </w:r>
            <w:r w:rsidR="00757FDF">
              <w:rPr>
                <w:noProof/>
                <w:webHidden/>
              </w:rPr>
            </w:r>
            <w:r w:rsidR="00757FDF">
              <w:rPr>
                <w:noProof/>
                <w:webHidden/>
              </w:rPr>
              <w:fldChar w:fldCharType="separate"/>
            </w:r>
            <w:r w:rsidR="00757FDF">
              <w:rPr>
                <w:noProof/>
                <w:webHidden/>
              </w:rPr>
              <w:t>24</w:t>
            </w:r>
            <w:r w:rsidR="00757FDF">
              <w:rPr>
                <w:noProof/>
                <w:webHidden/>
              </w:rPr>
              <w:fldChar w:fldCharType="end"/>
            </w:r>
          </w:hyperlink>
        </w:p>
        <w:p w14:paraId="04C18BF7" w14:textId="429908E9" w:rsidR="00757FDF" w:rsidRDefault="00D8656F">
          <w:pPr>
            <w:pStyle w:val="TOC2"/>
            <w:tabs>
              <w:tab w:val="right" w:leader="dot" w:pos="9062"/>
            </w:tabs>
            <w:rPr>
              <w:rFonts w:eastAsiaTheme="minorEastAsia"/>
              <w:noProof/>
              <w:lang w:eastAsia="nl-NL"/>
            </w:rPr>
          </w:pPr>
          <w:hyperlink w:anchor="_Toc15480007" w:history="1">
            <w:r w:rsidR="00757FDF" w:rsidRPr="00B87BDD">
              <w:rPr>
                <w:rStyle w:val="Hyperlink"/>
                <w:noProof/>
                <w:lang w:val="en-GB"/>
              </w:rPr>
              <w:t>3.1 Data Description</w:t>
            </w:r>
            <w:r w:rsidR="00757FDF">
              <w:rPr>
                <w:noProof/>
                <w:webHidden/>
              </w:rPr>
              <w:tab/>
            </w:r>
            <w:r w:rsidR="00757FDF">
              <w:rPr>
                <w:noProof/>
                <w:webHidden/>
              </w:rPr>
              <w:fldChar w:fldCharType="begin"/>
            </w:r>
            <w:r w:rsidR="00757FDF">
              <w:rPr>
                <w:noProof/>
                <w:webHidden/>
              </w:rPr>
              <w:instrText xml:space="preserve"> PAGEREF _Toc15480007 \h </w:instrText>
            </w:r>
            <w:r w:rsidR="00757FDF">
              <w:rPr>
                <w:noProof/>
                <w:webHidden/>
              </w:rPr>
            </w:r>
            <w:r w:rsidR="00757FDF">
              <w:rPr>
                <w:noProof/>
                <w:webHidden/>
              </w:rPr>
              <w:fldChar w:fldCharType="separate"/>
            </w:r>
            <w:r w:rsidR="00757FDF">
              <w:rPr>
                <w:noProof/>
                <w:webHidden/>
              </w:rPr>
              <w:t>24</w:t>
            </w:r>
            <w:r w:rsidR="00757FDF">
              <w:rPr>
                <w:noProof/>
                <w:webHidden/>
              </w:rPr>
              <w:fldChar w:fldCharType="end"/>
            </w:r>
          </w:hyperlink>
        </w:p>
        <w:p w14:paraId="10234412" w14:textId="10116964" w:rsidR="00757FDF" w:rsidRDefault="00D8656F">
          <w:pPr>
            <w:pStyle w:val="TOC3"/>
            <w:tabs>
              <w:tab w:val="right" w:leader="dot" w:pos="9062"/>
            </w:tabs>
            <w:rPr>
              <w:rFonts w:eastAsiaTheme="minorEastAsia"/>
              <w:noProof/>
              <w:lang w:eastAsia="nl-NL"/>
            </w:rPr>
          </w:pPr>
          <w:hyperlink w:anchor="_Toc15480008" w:history="1">
            <w:r w:rsidR="00757FDF" w:rsidRPr="00B87BDD">
              <w:rPr>
                <w:rStyle w:val="Hyperlink"/>
                <w:noProof/>
                <w:lang w:val="en-GB"/>
              </w:rPr>
              <w:t>3.1.1 Dependent variable</w:t>
            </w:r>
            <w:r w:rsidR="00757FDF">
              <w:rPr>
                <w:noProof/>
                <w:webHidden/>
              </w:rPr>
              <w:tab/>
            </w:r>
            <w:r w:rsidR="00757FDF">
              <w:rPr>
                <w:noProof/>
                <w:webHidden/>
              </w:rPr>
              <w:fldChar w:fldCharType="begin"/>
            </w:r>
            <w:r w:rsidR="00757FDF">
              <w:rPr>
                <w:noProof/>
                <w:webHidden/>
              </w:rPr>
              <w:instrText xml:space="preserve"> PAGEREF _Toc15480008 \h </w:instrText>
            </w:r>
            <w:r w:rsidR="00757FDF">
              <w:rPr>
                <w:noProof/>
                <w:webHidden/>
              </w:rPr>
            </w:r>
            <w:r w:rsidR="00757FDF">
              <w:rPr>
                <w:noProof/>
                <w:webHidden/>
              </w:rPr>
              <w:fldChar w:fldCharType="separate"/>
            </w:r>
            <w:r w:rsidR="00757FDF">
              <w:rPr>
                <w:noProof/>
                <w:webHidden/>
              </w:rPr>
              <w:t>24</w:t>
            </w:r>
            <w:r w:rsidR="00757FDF">
              <w:rPr>
                <w:noProof/>
                <w:webHidden/>
              </w:rPr>
              <w:fldChar w:fldCharType="end"/>
            </w:r>
          </w:hyperlink>
        </w:p>
        <w:p w14:paraId="33F72900" w14:textId="523ADC6D" w:rsidR="00757FDF" w:rsidRDefault="00D8656F">
          <w:pPr>
            <w:pStyle w:val="TOC3"/>
            <w:tabs>
              <w:tab w:val="right" w:leader="dot" w:pos="9062"/>
            </w:tabs>
            <w:rPr>
              <w:rFonts w:eastAsiaTheme="minorEastAsia"/>
              <w:noProof/>
              <w:lang w:eastAsia="nl-NL"/>
            </w:rPr>
          </w:pPr>
          <w:hyperlink w:anchor="_Toc15480009" w:history="1">
            <w:r w:rsidR="00757FDF" w:rsidRPr="00B87BDD">
              <w:rPr>
                <w:rStyle w:val="Hyperlink"/>
                <w:noProof/>
                <w:lang w:val="en-GB"/>
              </w:rPr>
              <w:t>3.1.2 Independent variable</w:t>
            </w:r>
            <w:r w:rsidR="00757FDF">
              <w:rPr>
                <w:noProof/>
                <w:webHidden/>
              </w:rPr>
              <w:tab/>
            </w:r>
            <w:r w:rsidR="00757FDF">
              <w:rPr>
                <w:noProof/>
                <w:webHidden/>
              </w:rPr>
              <w:fldChar w:fldCharType="begin"/>
            </w:r>
            <w:r w:rsidR="00757FDF">
              <w:rPr>
                <w:noProof/>
                <w:webHidden/>
              </w:rPr>
              <w:instrText xml:space="preserve"> PAGEREF _Toc15480009 \h </w:instrText>
            </w:r>
            <w:r w:rsidR="00757FDF">
              <w:rPr>
                <w:noProof/>
                <w:webHidden/>
              </w:rPr>
            </w:r>
            <w:r w:rsidR="00757FDF">
              <w:rPr>
                <w:noProof/>
                <w:webHidden/>
              </w:rPr>
              <w:fldChar w:fldCharType="separate"/>
            </w:r>
            <w:r w:rsidR="00757FDF">
              <w:rPr>
                <w:noProof/>
                <w:webHidden/>
              </w:rPr>
              <w:t>25</w:t>
            </w:r>
            <w:r w:rsidR="00757FDF">
              <w:rPr>
                <w:noProof/>
                <w:webHidden/>
              </w:rPr>
              <w:fldChar w:fldCharType="end"/>
            </w:r>
          </w:hyperlink>
        </w:p>
        <w:p w14:paraId="2BECC343" w14:textId="16465D3C" w:rsidR="00757FDF" w:rsidRDefault="00D8656F">
          <w:pPr>
            <w:pStyle w:val="TOC3"/>
            <w:tabs>
              <w:tab w:val="right" w:leader="dot" w:pos="9062"/>
            </w:tabs>
            <w:rPr>
              <w:rFonts w:eastAsiaTheme="minorEastAsia"/>
              <w:noProof/>
              <w:lang w:eastAsia="nl-NL"/>
            </w:rPr>
          </w:pPr>
          <w:hyperlink w:anchor="_Toc15480010" w:history="1">
            <w:r w:rsidR="00757FDF" w:rsidRPr="00B87BDD">
              <w:rPr>
                <w:rStyle w:val="Hyperlink"/>
                <w:noProof/>
                <w:lang w:val="en-GB"/>
              </w:rPr>
              <w:t>3.1.3 Control variables</w:t>
            </w:r>
            <w:r w:rsidR="00757FDF">
              <w:rPr>
                <w:noProof/>
                <w:webHidden/>
              </w:rPr>
              <w:tab/>
            </w:r>
            <w:r w:rsidR="00757FDF">
              <w:rPr>
                <w:noProof/>
                <w:webHidden/>
              </w:rPr>
              <w:fldChar w:fldCharType="begin"/>
            </w:r>
            <w:r w:rsidR="00757FDF">
              <w:rPr>
                <w:noProof/>
                <w:webHidden/>
              </w:rPr>
              <w:instrText xml:space="preserve"> PAGEREF _Toc15480010 \h </w:instrText>
            </w:r>
            <w:r w:rsidR="00757FDF">
              <w:rPr>
                <w:noProof/>
                <w:webHidden/>
              </w:rPr>
            </w:r>
            <w:r w:rsidR="00757FDF">
              <w:rPr>
                <w:noProof/>
                <w:webHidden/>
              </w:rPr>
              <w:fldChar w:fldCharType="separate"/>
            </w:r>
            <w:r w:rsidR="00757FDF">
              <w:rPr>
                <w:noProof/>
                <w:webHidden/>
              </w:rPr>
              <w:t>26</w:t>
            </w:r>
            <w:r w:rsidR="00757FDF">
              <w:rPr>
                <w:noProof/>
                <w:webHidden/>
              </w:rPr>
              <w:fldChar w:fldCharType="end"/>
            </w:r>
          </w:hyperlink>
        </w:p>
        <w:p w14:paraId="350BA826" w14:textId="6CB3DD56" w:rsidR="00757FDF" w:rsidRDefault="00D8656F">
          <w:pPr>
            <w:pStyle w:val="TOC2"/>
            <w:tabs>
              <w:tab w:val="right" w:leader="dot" w:pos="9062"/>
            </w:tabs>
            <w:rPr>
              <w:rFonts w:eastAsiaTheme="minorEastAsia"/>
              <w:noProof/>
              <w:lang w:eastAsia="nl-NL"/>
            </w:rPr>
          </w:pPr>
          <w:hyperlink w:anchor="_Toc15480011" w:history="1">
            <w:r w:rsidR="00757FDF" w:rsidRPr="00B87BDD">
              <w:rPr>
                <w:rStyle w:val="Hyperlink"/>
                <w:noProof/>
                <w:lang w:val="en-GB"/>
              </w:rPr>
              <w:t>3.2 Empirical method</w:t>
            </w:r>
            <w:r w:rsidR="00757FDF">
              <w:rPr>
                <w:noProof/>
                <w:webHidden/>
              </w:rPr>
              <w:tab/>
            </w:r>
            <w:r w:rsidR="00757FDF">
              <w:rPr>
                <w:noProof/>
                <w:webHidden/>
              </w:rPr>
              <w:fldChar w:fldCharType="begin"/>
            </w:r>
            <w:r w:rsidR="00757FDF">
              <w:rPr>
                <w:noProof/>
                <w:webHidden/>
              </w:rPr>
              <w:instrText xml:space="preserve"> PAGEREF _Toc15480011 \h </w:instrText>
            </w:r>
            <w:r w:rsidR="00757FDF">
              <w:rPr>
                <w:noProof/>
                <w:webHidden/>
              </w:rPr>
            </w:r>
            <w:r w:rsidR="00757FDF">
              <w:rPr>
                <w:noProof/>
                <w:webHidden/>
              </w:rPr>
              <w:fldChar w:fldCharType="separate"/>
            </w:r>
            <w:r w:rsidR="00757FDF">
              <w:rPr>
                <w:noProof/>
                <w:webHidden/>
              </w:rPr>
              <w:t>30</w:t>
            </w:r>
            <w:r w:rsidR="00757FDF">
              <w:rPr>
                <w:noProof/>
                <w:webHidden/>
              </w:rPr>
              <w:fldChar w:fldCharType="end"/>
            </w:r>
          </w:hyperlink>
        </w:p>
        <w:p w14:paraId="1B3E863C" w14:textId="448FA128" w:rsidR="00757FDF" w:rsidRDefault="00D8656F">
          <w:pPr>
            <w:pStyle w:val="TOC2"/>
            <w:tabs>
              <w:tab w:val="right" w:leader="dot" w:pos="9062"/>
            </w:tabs>
            <w:rPr>
              <w:rFonts w:eastAsiaTheme="minorEastAsia"/>
              <w:noProof/>
              <w:lang w:eastAsia="nl-NL"/>
            </w:rPr>
          </w:pPr>
          <w:hyperlink w:anchor="_Toc15480012" w:history="1">
            <w:r w:rsidR="00757FDF" w:rsidRPr="00B87BDD">
              <w:rPr>
                <w:rStyle w:val="Hyperlink"/>
                <w:noProof/>
                <w:lang w:val="en-GB"/>
              </w:rPr>
              <w:t>3.3 Missing Data and data management</w:t>
            </w:r>
            <w:r w:rsidR="00757FDF">
              <w:rPr>
                <w:noProof/>
                <w:webHidden/>
              </w:rPr>
              <w:tab/>
            </w:r>
            <w:r w:rsidR="00757FDF">
              <w:rPr>
                <w:noProof/>
                <w:webHidden/>
              </w:rPr>
              <w:fldChar w:fldCharType="begin"/>
            </w:r>
            <w:r w:rsidR="00757FDF">
              <w:rPr>
                <w:noProof/>
                <w:webHidden/>
              </w:rPr>
              <w:instrText xml:space="preserve"> PAGEREF _Toc15480012 \h </w:instrText>
            </w:r>
            <w:r w:rsidR="00757FDF">
              <w:rPr>
                <w:noProof/>
                <w:webHidden/>
              </w:rPr>
            </w:r>
            <w:r w:rsidR="00757FDF">
              <w:rPr>
                <w:noProof/>
                <w:webHidden/>
              </w:rPr>
              <w:fldChar w:fldCharType="separate"/>
            </w:r>
            <w:r w:rsidR="00757FDF">
              <w:rPr>
                <w:noProof/>
                <w:webHidden/>
              </w:rPr>
              <w:t>31</w:t>
            </w:r>
            <w:r w:rsidR="00757FDF">
              <w:rPr>
                <w:noProof/>
                <w:webHidden/>
              </w:rPr>
              <w:fldChar w:fldCharType="end"/>
            </w:r>
          </w:hyperlink>
        </w:p>
        <w:p w14:paraId="48B069C3" w14:textId="22202514" w:rsidR="00757FDF" w:rsidRDefault="00D8656F">
          <w:pPr>
            <w:pStyle w:val="TOC1"/>
            <w:tabs>
              <w:tab w:val="right" w:leader="dot" w:pos="9062"/>
            </w:tabs>
            <w:rPr>
              <w:rFonts w:eastAsiaTheme="minorEastAsia"/>
              <w:noProof/>
              <w:lang w:eastAsia="nl-NL"/>
            </w:rPr>
          </w:pPr>
          <w:hyperlink w:anchor="_Toc15480013" w:history="1">
            <w:r w:rsidR="00757FDF" w:rsidRPr="00B87BDD">
              <w:rPr>
                <w:rStyle w:val="Hyperlink"/>
                <w:noProof/>
                <w:lang w:val="en-GB"/>
              </w:rPr>
              <w:t>4. Empirical Results</w:t>
            </w:r>
            <w:r w:rsidR="00757FDF">
              <w:rPr>
                <w:noProof/>
                <w:webHidden/>
              </w:rPr>
              <w:tab/>
            </w:r>
            <w:r w:rsidR="00757FDF">
              <w:rPr>
                <w:noProof/>
                <w:webHidden/>
              </w:rPr>
              <w:fldChar w:fldCharType="begin"/>
            </w:r>
            <w:r w:rsidR="00757FDF">
              <w:rPr>
                <w:noProof/>
                <w:webHidden/>
              </w:rPr>
              <w:instrText xml:space="preserve"> PAGEREF _Toc15480013 \h </w:instrText>
            </w:r>
            <w:r w:rsidR="00757FDF">
              <w:rPr>
                <w:noProof/>
                <w:webHidden/>
              </w:rPr>
            </w:r>
            <w:r w:rsidR="00757FDF">
              <w:rPr>
                <w:noProof/>
                <w:webHidden/>
              </w:rPr>
              <w:fldChar w:fldCharType="separate"/>
            </w:r>
            <w:r w:rsidR="00757FDF">
              <w:rPr>
                <w:noProof/>
                <w:webHidden/>
              </w:rPr>
              <w:t>35</w:t>
            </w:r>
            <w:r w:rsidR="00757FDF">
              <w:rPr>
                <w:noProof/>
                <w:webHidden/>
              </w:rPr>
              <w:fldChar w:fldCharType="end"/>
            </w:r>
          </w:hyperlink>
        </w:p>
        <w:p w14:paraId="32D63FFF" w14:textId="13988AD8" w:rsidR="00757FDF" w:rsidRDefault="00D8656F">
          <w:pPr>
            <w:pStyle w:val="TOC2"/>
            <w:tabs>
              <w:tab w:val="right" w:leader="dot" w:pos="9062"/>
            </w:tabs>
            <w:rPr>
              <w:rFonts w:eastAsiaTheme="minorEastAsia"/>
              <w:noProof/>
              <w:lang w:eastAsia="nl-NL"/>
            </w:rPr>
          </w:pPr>
          <w:hyperlink w:anchor="_Toc15480014" w:history="1">
            <w:r w:rsidR="00757FDF" w:rsidRPr="00B87BDD">
              <w:rPr>
                <w:rStyle w:val="Hyperlink"/>
                <w:noProof/>
                <w:lang w:val="en-GB"/>
              </w:rPr>
              <w:t>4.1 EPI and the pollution intensity of FDI</w:t>
            </w:r>
            <w:r w:rsidR="00757FDF">
              <w:rPr>
                <w:noProof/>
                <w:webHidden/>
              </w:rPr>
              <w:tab/>
            </w:r>
            <w:r w:rsidR="00757FDF">
              <w:rPr>
                <w:noProof/>
                <w:webHidden/>
              </w:rPr>
              <w:fldChar w:fldCharType="begin"/>
            </w:r>
            <w:r w:rsidR="00757FDF">
              <w:rPr>
                <w:noProof/>
                <w:webHidden/>
              </w:rPr>
              <w:instrText xml:space="preserve"> PAGEREF _Toc15480014 \h </w:instrText>
            </w:r>
            <w:r w:rsidR="00757FDF">
              <w:rPr>
                <w:noProof/>
                <w:webHidden/>
              </w:rPr>
            </w:r>
            <w:r w:rsidR="00757FDF">
              <w:rPr>
                <w:noProof/>
                <w:webHidden/>
              </w:rPr>
              <w:fldChar w:fldCharType="separate"/>
            </w:r>
            <w:r w:rsidR="00757FDF">
              <w:rPr>
                <w:noProof/>
                <w:webHidden/>
              </w:rPr>
              <w:t>36</w:t>
            </w:r>
            <w:r w:rsidR="00757FDF">
              <w:rPr>
                <w:noProof/>
                <w:webHidden/>
              </w:rPr>
              <w:fldChar w:fldCharType="end"/>
            </w:r>
          </w:hyperlink>
        </w:p>
        <w:p w14:paraId="6061F187" w14:textId="719EAC64" w:rsidR="00757FDF" w:rsidRDefault="00D8656F">
          <w:pPr>
            <w:pStyle w:val="TOC2"/>
            <w:tabs>
              <w:tab w:val="right" w:leader="dot" w:pos="9062"/>
            </w:tabs>
            <w:rPr>
              <w:rFonts w:eastAsiaTheme="minorEastAsia"/>
              <w:noProof/>
              <w:lang w:eastAsia="nl-NL"/>
            </w:rPr>
          </w:pPr>
          <w:hyperlink w:anchor="_Toc15480015" w:history="1">
            <w:r w:rsidR="00757FDF" w:rsidRPr="00B87BDD">
              <w:rPr>
                <w:rStyle w:val="Hyperlink"/>
                <w:noProof/>
                <w:lang w:val="en-GB"/>
              </w:rPr>
              <w:t>4.2 EPI and FDI in the energy sector</w:t>
            </w:r>
            <w:r w:rsidR="00757FDF">
              <w:rPr>
                <w:noProof/>
                <w:webHidden/>
              </w:rPr>
              <w:tab/>
            </w:r>
            <w:r w:rsidR="00757FDF">
              <w:rPr>
                <w:noProof/>
                <w:webHidden/>
              </w:rPr>
              <w:fldChar w:fldCharType="begin"/>
            </w:r>
            <w:r w:rsidR="00757FDF">
              <w:rPr>
                <w:noProof/>
                <w:webHidden/>
              </w:rPr>
              <w:instrText xml:space="preserve"> PAGEREF _Toc15480015 \h </w:instrText>
            </w:r>
            <w:r w:rsidR="00757FDF">
              <w:rPr>
                <w:noProof/>
                <w:webHidden/>
              </w:rPr>
            </w:r>
            <w:r w:rsidR="00757FDF">
              <w:rPr>
                <w:noProof/>
                <w:webHidden/>
              </w:rPr>
              <w:fldChar w:fldCharType="separate"/>
            </w:r>
            <w:r w:rsidR="00757FDF">
              <w:rPr>
                <w:noProof/>
                <w:webHidden/>
              </w:rPr>
              <w:t>39</w:t>
            </w:r>
            <w:r w:rsidR="00757FDF">
              <w:rPr>
                <w:noProof/>
                <w:webHidden/>
              </w:rPr>
              <w:fldChar w:fldCharType="end"/>
            </w:r>
          </w:hyperlink>
        </w:p>
        <w:p w14:paraId="287BA45B" w14:textId="6731A824" w:rsidR="00757FDF" w:rsidRDefault="00D8656F">
          <w:pPr>
            <w:pStyle w:val="TOC1"/>
            <w:tabs>
              <w:tab w:val="right" w:leader="dot" w:pos="9062"/>
            </w:tabs>
            <w:rPr>
              <w:rFonts w:eastAsiaTheme="minorEastAsia"/>
              <w:noProof/>
              <w:lang w:eastAsia="nl-NL"/>
            </w:rPr>
          </w:pPr>
          <w:hyperlink w:anchor="_Toc15480016" w:history="1">
            <w:r w:rsidR="00757FDF" w:rsidRPr="00B87BDD">
              <w:rPr>
                <w:rStyle w:val="Hyperlink"/>
                <w:noProof/>
                <w:lang w:val="en-GB"/>
              </w:rPr>
              <w:t>5. Discussion and Conclusion</w:t>
            </w:r>
            <w:r w:rsidR="00757FDF">
              <w:rPr>
                <w:noProof/>
                <w:webHidden/>
              </w:rPr>
              <w:tab/>
            </w:r>
            <w:r w:rsidR="00757FDF">
              <w:rPr>
                <w:noProof/>
                <w:webHidden/>
              </w:rPr>
              <w:fldChar w:fldCharType="begin"/>
            </w:r>
            <w:r w:rsidR="00757FDF">
              <w:rPr>
                <w:noProof/>
                <w:webHidden/>
              </w:rPr>
              <w:instrText xml:space="preserve"> PAGEREF _Toc15480016 \h </w:instrText>
            </w:r>
            <w:r w:rsidR="00757FDF">
              <w:rPr>
                <w:noProof/>
                <w:webHidden/>
              </w:rPr>
            </w:r>
            <w:r w:rsidR="00757FDF">
              <w:rPr>
                <w:noProof/>
                <w:webHidden/>
              </w:rPr>
              <w:fldChar w:fldCharType="separate"/>
            </w:r>
            <w:r w:rsidR="00757FDF">
              <w:rPr>
                <w:noProof/>
                <w:webHidden/>
              </w:rPr>
              <w:t>41</w:t>
            </w:r>
            <w:r w:rsidR="00757FDF">
              <w:rPr>
                <w:noProof/>
                <w:webHidden/>
              </w:rPr>
              <w:fldChar w:fldCharType="end"/>
            </w:r>
          </w:hyperlink>
        </w:p>
        <w:p w14:paraId="2A5D0882" w14:textId="354F070D" w:rsidR="00757FDF" w:rsidRDefault="00D8656F">
          <w:pPr>
            <w:pStyle w:val="TOC1"/>
            <w:tabs>
              <w:tab w:val="right" w:leader="dot" w:pos="9062"/>
            </w:tabs>
            <w:rPr>
              <w:rFonts w:eastAsiaTheme="minorEastAsia"/>
              <w:noProof/>
              <w:lang w:eastAsia="nl-NL"/>
            </w:rPr>
          </w:pPr>
          <w:hyperlink w:anchor="_Toc15480017" w:history="1">
            <w:r w:rsidR="00757FDF" w:rsidRPr="00B87BDD">
              <w:rPr>
                <w:rStyle w:val="Hyperlink"/>
                <w:noProof/>
                <w:lang w:val="en-GB"/>
              </w:rPr>
              <w:t>6. Bibliography</w:t>
            </w:r>
            <w:r w:rsidR="00757FDF">
              <w:rPr>
                <w:noProof/>
                <w:webHidden/>
              </w:rPr>
              <w:tab/>
            </w:r>
            <w:r w:rsidR="00757FDF">
              <w:rPr>
                <w:noProof/>
                <w:webHidden/>
              </w:rPr>
              <w:fldChar w:fldCharType="begin"/>
            </w:r>
            <w:r w:rsidR="00757FDF">
              <w:rPr>
                <w:noProof/>
                <w:webHidden/>
              </w:rPr>
              <w:instrText xml:space="preserve"> PAGEREF _Toc15480017 \h </w:instrText>
            </w:r>
            <w:r w:rsidR="00757FDF">
              <w:rPr>
                <w:noProof/>
                <w:webHidden/>
              </w:rPr>
            </w:r>
            <w:r w:rsidR="00757FDF">
              <w:rPr>
                <w:noProof/>
                <w:webHidden/>
              </w:rPr>
              <w:fldChar w:fldCharType="separate"/>
            </w:r>
            <w:r w:rsidR="00757FDF">
              <w:rPr>
                <w:noProof/>
                <w:webHidden/>
              </w:rPr>
              <w:t>44</w:t>
            </w:r>
            <w:r w:rsidR="00757FDF">
              <w:rPr>
                <w:noProof/>
                <w:webHidden/>
              </w:rPr>
              <w:fldChar w:fldCharType="end"/>
            </w:r>
          </w:hyperlink>
        </w:p>
        <w:p w14:paraId="4E1C27B6" w14:textId="41441BD0" w:rsidR="00757FDF" w:rsidRDefault="00D8656F">
          <w:pPr>
            <w:pStyle w:val="TOC1"/>
            <w:tabs>
              <w:tab w:val="right" w:leader="dot" w:pos="9062"/>
            </w:tabs>
            <w:rPr>
              <w:rFonts w:eastAsiaTheme="minorEastAsia"/>
              <w:noProof/>
              <w:lang w:eastAsia="nl-NL"/>
            </w:rPr>
          </w:pPr>
          <w:hyperlink w:anchor="_Toc15480018" w:history="1">
            <w:r w:rsidR="00757FDF" w:rsidRPr="00B87BDD">
              <w:rPr>
                <w:rStyle w:val="Hyperlink"/>
                <w:noProof/>
                <w:lang w:val="en-GB"/>
              </w:rPr>
              <w:t>Appendix</w:t>
            </w:r>
            <w:r w:rsidR="00757FDF">
              <w:rPr>
                <w:noProof/>
                <w:webHidden/>
              </w:rPr>
              <w:tab/>
            </w:r>
            <w:r w:rsidR="00757FDF">
              <w:rPr>
                <w:noProof/>
                <w:webHidden/>
              </w:rPr>
              <w:fldChar w:fldCharType="begin"/>
            </w:r>
            <w:r w:rsidR="00757FDF">
              <w:rPr>
                <w:noProof/>
                <w:webHidden/>
              </w:rPr>
              <w:instrText xml:space="preserve"> PAGEREF _Toc15480018 \h </w:instrText>
            </w:r>
            <w:r w:rsidR="00757FDF">
              <w:rPr>
                <w:noProof/>
                <w:webHidden/>
              </w:rPr>
            </w:r>
            <w:r w:rsidR="00757FDF">
              <w:rPr>
                <w:noProof/>
                <w:webHidden/>
              </w:rPr>
              <w:fldChar w:fldCharType="separate"/>
            </w:r>
            <w:r w:rsidR="00757FDF">
              <w:rPr>
                <w:noProof/>
                <w:webHidden/>
              </w:rPr>
              <w:t>49</w:t>
            </w:r>
            <w:r w:rsidR="00757FDF">
              <w:rPr>
                <w:noProof/>
                <w:webHidden/>
              </w:rPr>
              <w:fldChar w:fldCharType="end"/>
            </w:r>
          </w:hyperlink>
        </w:p>
        <w:p w14:paraId="02FD50D3" w14:textId="181C6346" w:rsidR="00AB3866" w:rsidRPr="00CF3C36" w:rsidRDefault="00AB3866">
          <w:pPr>
            <w:rPr>
              <w:lang w:val="en-GB"/>
            </w:rPr>
          </w:pPr>
          <w:r w:rsidRPr="00CF3C36">
            <w:rPr>
              <w:b/>
              <w:bCs/>
              <w:noProof/>
              <w:lang w:val="en-GB"/>
            </w:rPr>
            <w:fldChar w:fldCharType="end"/>
          </w:r>
        </w:p>
      </w:sdtContent>
    </w:sdt>
    <w:p w14:paraId="10A68B81" w14:textId="77777777" w:rsidR="006E0963" w:rsidRDefault="006E0963" w:rsidP="007D2FB8">
      <w:pPr>
        <w:jc w:val="both"/>
        <w:rPr>
          <w:b/>
          <w:lang w:val="en-US"/>
        </w:rPr>
      </w:pPr>
    </w:p>
    <w:p w14:paraId="0CB2A62F" w14:textId="1732BDC2" w:rsidR="006E0963" w:rsidRPr="006E0963" w:rsidRDefault="006E0963" w:rsidP="007D2FB8">
      <w:pPr>
        <w:jc w:val="both"/>
        <w:rPr>
          <w:b/>
          <w:lang w:val="en-US"/>
        </w:rPr>
      </w:pPr>
      <w:r w:rsidRPr="006E0963">
        <w:rPr>
          <w:b/>
          <w:lang w:val="en-US"/>
        </w:rPr>
        <w:t xml:space="preserve">Acknowledgements </w:t>
      </w:r>
    </w:p>
    <w:p w14:paraId="225B433D" w14:textId="4F0CF954" w:rsidR="00AB3866" w:rsidRDefault="006E0963" w:rsidP="007D2FB8">
      <w:pPr>
        <w:jc w:val="both"/>
        <w:rPr>
          <w:lang w:val="en-US"/>
        </w:rPr>
      </w:pPr>
      <w:r>
        <w:rPr>
          <w:lang w:val="en-US"/>
        </w:rPr>
        <w:t xml:space="preserve">I would like to thank everyone who supported me in writing this thesis. Especially I want to thank dr. Albert de </w:t>
      </w:r>
      <w:r w:rsidR="001C0B48">
        <w:rPr>
          <w:lang w:val="en-US"/>
        </w:rPr>
        <w:t>Vaal for his critical feedback and his advice in the process of writing the thesis. Furthermore I would like to thank Martin Wermelinger and Iris Mantovani of the OECD for providing me with the data to perform this thesis and for their advice and support in dealing with this data. Finally I want to thank my parent</w:t>
      </w:r>
      <w:r w:rsidR="00EF4186">
        <w:rPr>
          <w:lang w:val="en-US"/>
        </w:rPr>
        <w:t>s</w:t>
      </w:r>
      <w:r w:rsidR="001C0B48">
        <w:rPr>
          <w:lang w:val="en-US"/>
        </w:rPr>
        <w:t>, Robert and Anne and my girlfriend Resi for supporting me throughout my whole academic career and especially during the demanding process of writing this thesis over de past seven months.</w:t>
      </w:r>
    </w:p>
    <w:p w14:paraId="13376ABB" w14:textId="77777777" w:rsidR="009276DB" w:rsidRPr="00CF3C36" w:rsidRDefault="009276DB" w:rsidP="007D2FB8">
      <w:pPr>
        <w:jc w:val="both"/>
        <w:rPr>
          <w:lang w:val="en-GB"/>
        </w:rPr>
      </w:pPr>
    </w:p>
    <w:p w14:paraId="33E5E285" w14:textId="7E9B0CD2" w:rsidR="00415E7F" w:rsidRPr="00CF3C36" w:rsidRDefault="00415E7F" w:rsidP="00AB3866">
      <w:pPr>
        <w:pStyle w:val="TOCHeading"/>
        <w:rPr>
          <w:lang w:val="en-GB"/>
        </w:rPr>
      </w:pPr>
      <w:r w:rsidRPr="00CF3C36">
        <w:rPr>
          <w:lang w:val="en-GB"/>
        </w:rPr>
        <w:lastRenderedPageBreak/>
        <w:t>List of Tables</w:t>
      </w:r>
    </w:p>
    <w:p w14:paraId="27D8CB88" w14:textId="54445F29" w:rsidR="00A56FD8" w:rsidRPr="00CF3C36" w:rsidRDefault="00F4155C">
      <w:pPr>
        <w:pStyle w:val="TableofFigures"/>
        <w:tabs>
          <w:tab w:val="right" w:leader="dot" w:pos="9062"/>
        </w:tabs>
        <w:rPr>
          <w:rFonts w:eastAsiaTheme="minorEastAsia"/>
          <w:noProof/>
          <w:lang w:val="en-GB" w:eastAsia="nl-NL"/>
        </w:rPr>
      </w:pPr>
      <w:r w:rsidRPr="00CF3C36">
        <w:rPr>
          <w:lang w:val="en-GB"/>
        </w:rPr>
        <w:fldChar w:fldCharType="begin"/>
      </w:r>
      <w:r w:rsidRPr="00CF3C36">
        <w:rPr>
          <w:lang w:val="en-GB"/>
        </w:rPr>
        <w:instrText xml:space="preserve"> TOC \h \z \t "Heading 5" \c </w:instrText>
      </w:r>
      <w:r w:rsidRPr="00CF3C36">
        <w:rPr>
          <w:lang w:val="en-GB"/>
        </w:rPr>
        <w:fldChar w:fldCharType="separate"/>
      </w:r>
      <w:hyperlink w:anchor="_Toc15475664" w:history="1">
        <w:r w:rsidR="00A56FD8" w:rsidRPr="00CF3C36">
          <w:rPr>
            <w:rStyle w:val="Hyperlink"/>
            <w:noProof/>
            <w:lang w:val="en-GB"/>
          </w:rPr>
          <w:t>Table 1. An indicative list of FDI Sustainability Characteristics.</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_Toc15475664 \h </w:instrText>
        </w:r>
        <w:r w:rsidR="00A56FD8" w:rsidRPr="00CF3C36">
          <w:rPr>
            <w:noProof/>
            <w:webHidden/>
            <w:lang w:val="en-GB"/>
          </w:rPr>
        </w:r>
        <w:r w:rsidR="00A56FD8" w:rsidRPr="00CF3C36">
          <w:rPr>
            <w:noProof/>
            <w:webHidden/>
            <w:lang w:val="en-GB"/>
          </w:rPr>
          <w:fldChar w:fldCharType="separate"/>
        </w:r>
        <w:r w:rsidR="00757FDF">
          <w:rPr>
            <w:noProof/>
            <w:webHidden/>
            <w:lang w:val="en-GB"/>
          </w:rPr>
          <w:t>11</w:t>
        </w:r>
        <w:r w:rsidR="00A56FD8" w:rsidRPr="00CF3C36">
          <w:rPr>
            <w:noProof/>
            <w:webHidden/>
            <w:lang w:val="en-GB"/>
          </w:rPr>
          <w:fldChar w:fldCharType="end"/>
        </w:r>
      </w:hyperlink>
    </w:p>
    <w:p w14:paraId="4304DC34" w14:textId="4949C750" w:rsidR="00A56FD8" w:rsidRPr="00CF3C36" w:rsidRDefault="00D8656F">
      <w:pPr>
        <w:pStyle w:val="TableofFigures"/>
        <w:tabs>
          <w:tab w:val="right" w:leader="dot" w:pos="9062"/>
        </w:tabs>
        <w:rPr>
          <w:rFonts w:eastAsiaTheme="minorEastAsia"/>
          <w:noProof/>
          <w:lang w:val="en-GB" w:eastAsia="nl-NL"/>
        </w:rPr>
      </w:pPr>
      <w:hyperlink w:anchor="_Toc15475665" w:history="1">
        <w:r w:rsidR="00A56FD8" w:rsidRPr="00CF3C36">
          <w:rPr>
            <w:rStyle w:val="Hyperlink"/>
            <w:noProof/>
            <w:lang w:val="en-GB"/>
          </w:rPr>
          <w:t>Table 2. Overview of Theories and their Effects.</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_Toc15475665 \h </w:instrText>
        </w:r>
        <w:r w:rsidR="00A56FD8" w:rsidRPr="00CF3C36">
          <w:rPr>
            <w:noProof/>
            <w:webHidden/>
            <w:lang w:val="en-GB"/>
          </w:rPr>
        </w:r>
        <w:r w:rsidR="00A56FD8" w:rsidRPr="00CF3C36">
          <w:rPr>
            <w:noProof/>
            <w:webHidden/>
            <w:lang w:val="en-GB"/>
          </w:rPr>
          <w:fldChar w:fldCharType="separate"/>
        </w:r>
        <w:r w:rsidR="00757FDF">
          <w:rPr>
            <w:noProof/>
            <w:webHidden/>
            <w:lang w:val="en-GB"/>
          </w:rPr>
          <w:t>15</w:t>
        </w:r>
        <w:r w:rsidR="00A56FD8" w:rsidRPr="00CF3C36">
          <w:rPr>
            <w:noProof/>
            <w:webHidden/>
            <w:lang w:val="en-GB"/>
          </w:rPr>
          <w:fldChar w:fldCharType="end"/>
        </w:r>
      </w:hyperlink>
    </w:p>
    <w:p w14:paraId="2C807F6C" w14:textId="1CDD4318" w:rsidR="00A56FD8" w:rsidRPr="00CF3C36" w:rsidRDefault="00D8656F">
      <w:pPr>
        <w:pStyle w:val="TableofFigures"/>
        <w:tabs>
          <w:tab w:val="right" w:leader="dot" w:pos="9062"/>
        </w:tabs>
        <w:rPr>
          <w:rFonts w:eastAsiaTheme="minorEastAsia"/>
          <w:noProof/>
          <w:lang w:val="en-GB" w:eastAsia="nl-NL"/>
        </w:rPr>
      </w:pPr>
      <w:hyperlink w:anchor="_Toc15475666" w:history="1">
        <w:r w:rsidR="00A56FD8" w:rsidRPr="00CF3C36">
          <w:rPr>
            <w:rStyle w:val="Hyperlink"/>
            <w:noProof/>
            <w:lang w:val="en-GB"/>
          </w:rPr>
          <w:t>Table 3. Descriptive statistics</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_Toc15475666 \h </w:instrText>
        </w:r>
        <w:r w:rsidR="00A56FD8" w:rsidRPr="00CF3C36">
          <w:rPr>
            <w:noProof/>
            <w:webHidden/>
            <w:lang w:val="en-GB"/>
          </w:rPr>
        </w:r>
        <w:r w:rsidR="00A56FD8" w:rsidRPr="00CF3C36">
          <w:rPr>
            <w:noProof/>
            <w:webHidden/>
            <w:lang w:val="en-GB"/>
          </w:rPr>
          <w:fldChar w:fldCharType="separate"/>
        </w:r>
        <w:r w:rsidR="00757FDF">
          <w:rPr>
            <w:noProof/>
            <w:webHidden/>
            <w:lang w:val="en-GB"/>
          </w:rPr>
          <w:t>33</w:t>
        </w:r>
        <w:r w:rsidR="00A56FD8" w:rsidRPr="00CF3C36">
          <w:rPr>
            <w:noProof/>
            <w:webHidden/>
            <w:lang w:val="en-GB"/>
          </w:rPr>
          <w:fldChar w:fldCharType="end"/>
        </w:r>
      </w:hyperlink>
    </w:p>
    <w:p w14:paraId="58A5257B" w14:textId="6060D9D4" w:rsidR="00A56FD8" w:rsidRPr="00CF3C36" w:rsidRDefault="00D8656F">
      <w:pPr>
        <w:pStyle w:val="TableofFigures"/>
        <w:tabs>
          <w:tab w:val="right" w:leader="dot" w:pos="9062"/>
        </w:tabs>
        <w:rPr>
          <w:rFonts w:eastAsiaTheme="minorEastAsia"/>
          <w:noProof/>
          <w:lang w:val="en-GB" w:eastAsia="nl-NL"/>
        </w:rPr>
      </w:pPr>
      <w:hyperlink w:anchor="_Toc15475667" w:history="1">
        <w:r w:rsidR="00A56FD8" w:rsidRPr="00CF3C36">
          <w:rPr>
            <w:rStyle w:val="Hyperlink"/>
            <w:noProof/>
            <w:lang w:val="en-GB"/>
          </w:rPr>
          <w:t>Table 4. Results from Model 1, Model 1.1 &amp; Model 1.2</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_Toc15475667 \h </w:instrText>
        </w:r>
        <w:r w:rsidR="00A56FD8" w:rsidRPr="00CF3C36">
          <w:rPr>
            <w:noProof/>
            <w:webHidden/>
            <w:lang w:val="en-GB"/>
          </w:rPr>
        </w:r>
        <w:r w:rsidR="00A56FD8" w:rsidRPr="00CF3C36">
          <w:rPr>
            <w:noProof/>
            <w:webHidden/>
            <w:lang w:val="en-GB"/>
          </w:rPr>
          <w:fldChar w:fldCharType="separate"/>
        </w:r>
        <w:r w:rsidR="00757FDF">
          <w:rPr>
            <w:noProof/>
            <w:webHidden/>
            <w:lang w:val="en-GB"/>
          </w:rPr>
          <w:t>37</w:t>
        </w:r>
        <w:r w:rsidR="00A56FD8" w:rsidRPr="00CF3C36">
          <w:rPr>
            <w:noProof/>
            <w:webHidden/>
            <w:lang w:val="en-GB"/>
          </w:rPr>
          <w:fldChar w:fldCharType="end"/>
        </w:r>
      </w:hyperlink>
    </w:p>
    <w:p w14:paraId="529BB1F4" w14:textId="309741E2" w:rsidR="00A56FD8" w:rsidRPr="00CF3C36" w:rsidRDefault="00D8656F">
      <w:pPr>
        <w:pStyle w:val="TableofFigures"/>
        <w:tabs>
          <w:tab w:val="right" w:leader="dot" w:pos="9062"/>
        </w:tabs>
        <w:rPr>
          <w:rFonts w:eastAsiaTheme="minorEastAsia"/>
          <w:noProof/>
          <w:lang w:val="en-GB" w:eastAsia="nl-NL"/>
        </w:rPr>
      </w:pPr>
      <w:hyperlink w:anchor="_Toc15475668" w:history="1">
        <w:r w:rsidR="00A56FD8" w:rsidRPr="00CF3C36">
          <w:rPr>
            <w:rStyle w:val="Hyperlink"/>
            <w:noProof/>
            <w:lang w:val="en-GB"/>
          </w:rPr>
          <w:t>Table 5. Results from Model 2, Model 2.1 &amp; Model 2.2</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_Toc15475668 \h </w:instrText>
        </w:r>
        <w:r w:rsidR="00A56FD8" w:rsidRPr="00CF3C36">
          <w:rPr>
            <w:noProof/>
            <w:webHidden/>
            <w:lang w:val="en-GB"/>
          </w:rPr>
        </w:r>
        <w:r w:rsidR="00A56FD8" w:rsidRPr="00CF3C36">
          <w:rPr>
            <w:noProof/>
            <w:webHidden/>
            <w:lang w:val="en-GB"/>
          </w:rPr>
          <w:fldChar w:fldCharType="separate"/>
        </w:r>
        <w:r w:rsidR="00757FDF">
          <w:rPr>
            <w:noProof/>
            <w:webHidden/>
            <w:lang w:val="en-GB"/>
          </w:rPr>
          <w:t>40</w:t>
        </w:r>
        <w:r w:rsidR="00A56FD8" w:rsidRPr="00CF3C36">
          <w:rPr>
            <w:noProof/>
            <w:webHidden/>
            <w:lang w:val="en-GB"/>
          </w:rPr>
          <w:fldChar w:fldCharType="end"/>
        </w:r>
      </w:hyperlink>
    </w:p>
    <w:p w14:paraId="3A06C86A" w14:textId="381015E2" w:rsidR="00A56FD8" w:rsidRPr="00CF3C36" w:rsidRDefault="00D8656F">
      <w:pPr>
        <w:pStyle w:val="TableofFigures"/>
        <w:tabs>
          <w:tab w:val="right" w:leader="dot" w:pos="9062"/>
        </w:tabs>
        <w:rPr>
          <w:rFonts w:eastAsiaTheme="minorEastAsia"/>
          <w:noProof/>
          <w:lang w:val="en-GB" w:eastAsia="nl-NL"/>
        </w:rPr>
      </w:pPr>
      <w:hyperlink w:anchor="_Toc15475669" w:history="1">
        <w:r w:rsidR="00A56FD8" w:rsidRPr="00CF3C36">
          <w:rPr>
            <w:rStyle w:val="Hyperlink"/>
            <w:noProof/>
            <w:lang w:val="en-GB"/>
          </w:rPr>
          <w:t>Table 6. Countries in Models 1, 1.1 &amp; 1.2</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_Toc15475669 \h </w:instrText>
        </w:r>
        <w:r w:rsidR="00A56FD8" w:rsidRPr="00CF3C36">
          <w:rPr>
            <w:noProof/>
            <w:webHidden/>
            <w:lang w:val="en-GB"/>
          </w:rPr>
        </w:r>
        <w:r w:rsidR="00A56FD8" w:rsidRPr="00CF3C36">
          <w:rPr>
            <w:noProof/>
            <w:webHidden/>
            <w:lang w:val="en-GB"/>
          </w:rPr>
          <w:fldChar w:fldCharType="separate"/>
        </w:r>
        <w:r w:rsidR="00757FDF">
          <w:rPr>
            <w:noProof/>
            <w:webHidden/>
            <w:lang w:val="en-GB"/>
          </w:rPr>
          <w:t>49</w:t>
        </w:r>
        <w:r w:rsidR="00A56FD8" w:rsidRPr="00CF3C36">
          <w:rPr>
            <w:noProof/>
            <w:webHidden/>
            <w:lang w:val="en-GB"/>
          </w:rPr>
          <w:fldChar w:fldCharType="end"/>
        </w:r>
      </w:hyperlink>
    </w:p>
    <w:p w14:paraId="31435E21" w14:textId="782D35F6" w:rsidR="00A56FD8" w:rsidRPr="00CF3C36" w:rsidRDefault="00D8656F">
      <w:pPr>
        <w:pStyle w:val="TableofFigures"/>
        <w:tabs>
          <w:tab w:val="right" w:leader="dot" w:pos="9062"/>
        </w:tabs>
        <w:rPr>
          <w:rFonts w:eastAsiaTheme="minorEastAsia"/>
          <w:noProof/>
          <w:lang w:val="en-GB" w:eastAsia="nl-NL"/>
        </w:rPr>
      </w:pPr>
      <w:hyperlink w:anchor="_Toc15475670" w:history="1">
        <w:r w:rsidR="00A56FD8" w:rsidRPr="00CF3C36">
          <w:rPr>
            <w:rStyle w:val="Hyperlink"/>
            <w:noProof/>
            <w:lang w:val="en-GB"/>
          </w:rPr>
          <w:t>Table 7. Countries in Model 2</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_Toc15475670 \h </w:instrText>
        </w:r>
        <w:r w:rsidR="00A56FD8" w:rsidRPr="00CF3C36">
          <w:rPr>
            <w:noProof/>
            <w:webHidden/>
            <w:lang w:val="en-GB"/>
          </w:rPr>
        </w:r>
        <w:r w:rsidR="00A56FD8" w:rsidRPr="00CF3C36">
          <w:rPr>
            <w:noProof/>
            <w:webHidden/>
            <w:lang w:val="en-GB"/>
          </w:rPr>
          <w:fldChar w:fldCharType="separate"/>
        </w:r>
        <w:r w:rsidR="00757FDF">
          <w:rPr>
            <w:noProof/>
            <w:webHidden/>
            <w:lang w:val="en-GB"/>
          </w:rPr>
          <w:t>50</w:t>
        </w:r>
        <w:r w:rsidR="00A56FD8" w:rsidRPr="00CF3C36">
          <w:rPr>
            <w:noProof/>
            <w:webHidden/>
            <w:lang w:val="en-GB"/>
          </w:rPr>
          <w:fldChar w:fldCharType="end"/>
        </w:r>
      </w:hyperlink>
    </w:p>
    <w:p w14:paraId="007EE6BE" w14:textId="2B068945" w:rsidR="00A56FD8" w:rsidRPr="00CF3C36" w:rsidRDefault="00D8656F">
      <w:pPr>
        <w:pStyle w:val="TableofFigures"/>
        <w:tabs>
          <w:tab w:val="right" w:leader="dot" w:pos="9062"/>
        </w:tabs>
        <w:rPr>
          <w:rFonts w:eastAsiaTheme="minorEastAsia"/>
          <w:noProof/>
          <w:lang w:val="en-GB" w:eastAsia="nl-NL"/>
        </w:rPr>
      </w:pPr>
      <w:hyperlink w:anchor="_Toc15475671" w:history="1">
        <w:r w:rsidR="00A56FD8" w:rsidRPr="00CF3C36">
          <w:rPr>
            <w:rStyle w:val="Hyperlink"/>
            <w:noProof/>
            <w:lang w:val="en-GB"/>
          </w:rPr>
          <w:t>Table 8. Countries in Models 2.1 &amp; 2.2</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_Toc15475671 \h </w:instrText>
        </w:r>
        <w:r w:rsidR="00A56FD8" w:rsidRPr="00CF3C36">
          <w:rPr>
            <w:noProof/>
            <w:webHidden/>
            <w:lang w:val="en-GB"/>
          </w:rPr>
        </w:r>
        <w:r w:rsidR="00A56FD8" w:rsidRPr="00CF3C36">
          <w:rPr>
            <w:noProof/>
            <w:webHidden/>
            <w:lang w:val="en-GB"/>
          </w:rPr>
          <w:fldChar w:fldCharType="separate"/>
        </w:r>
        <w:r w:rsidR="00757FDF">
          <w:rPr>
            <w:noProof/>
            <w:webHidden/>
            <w:lang w:val="en-GB"/>
          </w:rPr>
          <w:t>51</w:t>
        </w:r>
        <w:r w:rsidR="00A56FD8" w:rsidRPr="00CF3C36">
          <w:rPr>
            <w:noProof/>
            <w:webHidden/>
            <w:lang w:val="en-GB"/>
          </w:rPr>
          <w:fldChar w:fldCharType="end"/>
        </w:r>
      </w:hyperlink>
    </w:p>
    <w:p w14:paraId="1F66B6D4" w14:textId="31E0C68C" w:rsidR="00A56FD8" w:rsidRPr="00CF3C36" w:rsidRDefault="00D8656F">
      <w:pPr>
        <w:pStyle w:val="TableofFigures"/>
        <w:tabs>
          <w:tab w:val="right" w:leader="dot" w:pos="9062"/>
        </w:tabs>
        <w:rPr>
          <w:rFonts w:eastAsiaTheme="minorEastAsia"/>
          <w:noProof/>
          <w:lang w:val="en-GB" w:eastAsia="nl-NL"/>
        </w:rPr>
      </w:pPr>
      <w:hyperlink w:anchor="_Toc15475672" w:history="1">
        <w:r w:rsidR="00A56FD8" w:rsidRPr="00CF3C36">
          <w:rPr>
            <w:rStyle w:val="Hyperlink"/>
            <w:noProof/>
            <w:lang w:val="en-GB"/>
          </w:rPr>
          <w:t>Table 9. Correlation Matrix hypothesis 1.</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_Toc15475672 \h </w:instrText>
        </w:r>
        <w:r w:rsidR="00A56FD8" w:rsidRPr="00CF3C36">
          <w:rPr>
            <w:noProof/>
            <w:webHidden/>
            <w:lang w:val="en-GB"/>
          </w:rPr>
        </w:r>
        <w:r w:rsidR="00A56FD8" w:rsidRPr="00CF3C36">
          <w:rPr>
            <w:noProof/>
            <w:webHidden/>
            <w:lang w:val="en-GB"/>
          </w:rPr>
          <w:fldChar w:fldCharType="separate"/>
        </w:r>
        <w:r w:rsidR="00757FDF">
          <w:rPr>
            <w:noProof/>
            <w:webHidden/>
            <w:lang w:val="en-GB"/>
          </w:rPr>
          <w:t>53</w:t>
        </w:r>
        <w:r w:rsidR="00A56FD8" w:rsidRPr="00CF3C36">
          <w:rPr>
            <w:noProof/>
            <w:webHidden/>
            <w:lang w:val="en-GB"/>
          </w:rPr>
          <w:fldChar w:fldCharType="end"/>
        </w:r>
      </w:hyperlink>
    </w:p>
    <w:p w14:paraId="4280B883" w14:textId="4ECFFE83" w:rsidR="00A56FD8" w:rsidRPr="00CF3C36" w:rsidRDefault="00D8656F">
      <w:pPr>
        <w:pStyle w:val="TableofFigures"/>
        <w:tabs>
          <w:tab w:val="right" w:leader="dot" w:pos="9062"/>
        </w:tabs>
        <w:rPr>
          <w:rFonts w:eastAsiaTheme="minorEastAsia"/>
          <w:noProof/>
          <w:lang w:val="en-GB" w:eastAsia="nl-NL"/>
        </w:rPr>
      </w:pPr>
      <w:hyperlink w:anchor="_Toc15475673" w:history="1">
        <w:r w:rsidR="00A56FD8" w:rsidRPr="00CF3C36">
          <w:rPr>
            <w:rStyle w:val="Hyperlink"/>
            <w:noProof/>
            <w:lang w:val="en-GB"/>
          </w:rPr>
          <w:t>Table 10. Correlation Matrix hypothesis 2.</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_Toc15475673 \h </w:instrText>
        </w:r>
        <w:r w:rsidR="00A56FD8" w:rsidRPr="00CF3C36">
          <w:rPr>
            <w:noProof/>
            <w:webHidden/>
            <w:lang w:val="en-GB"/>
          </w:rPr>
        </w:r>
        <w:r w:rsidR="00A56FD8" w:rsidRPr="00CF3C36">
          <w:rPr>
            <w:noProof/>
            <w:webHidden/>
            <w:lang w:val="en-GB"/>
          </w:rPr>
          <w:fldChar w:fldCharType="separate"/>
        </w:r>
        <w:r w:rsidR="00757FDF">
          <w:rPr>
            <w:noProof/>
            <w:webHidden/>
            <w:lang w:val="en-GB"/>
          </w:rPr>
          <w:t>53</w:t>
        </w:r>
        <w:r w:rsidR="00A56FD8" w:rsidRPr="00CF3C36">
          <w:rPr>
            <w:noProof/>
            <w:webHidden/>
            <w:lang w:val="en-GB"/>
          </w:rPr>
          <w:fldChar w:fldCharType="end"/>
        </w:r>
      </w:hyperlink>
    </w:p>
    <w:p w14:paraId="5F33423B" w14:textId="3C61CF37" w:rsidR="00A56FD8" w:rsidRPr="00CF3C36" w:rsidRDefault="00D8656F">
      <w:pPr>
        <w:pStyle w:val="TableofFigures"/>
        <w:tabs>
          <w:tab w:val="right" w:leader="dot" w:pos="9062"/>
        </w:tabs>
        <w:rPr>
          <w:rFonts w:eastAsiaTheme="minorEastAsia"/>
          <w:noProof/>
          <w:lang w:val="en-GB" w:eastAsia="nl-NL"/>
        </w:rPr>
      </w:pPr>
      <w:hyperlink w:anchor="_Toc15475674" w:history="1">
        <w:r w:rsidR="00A56FD8" w:rsidRPr="00CF3C36">
          <w:rPr>
            <w:rStyle w:val="Hyperlink"/>
            <w:noProof/>
            <w:lang w:val="en-GB"/>
          </w:rPr>
          <w:t>Table 11. Correlation Matrix hypothesis 2.1/2.2</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_Toc15475674 \h </w:instrText>
        </w:r>
        <w:r w:rsidR="00A56FD8" w:rsidRPr="00CF3C36">
          <w:rPr>
            <w:noProof/>
            <w:webHidden/>
            <w:lang w:val="en-GB"/>
          </w:rPr>
        </w:r>
        <w:r w:rsidR="00A56FD8" w:rsidRPr="00CF3C36">
          <w:rPr>
            <w:noProof/>
            <w:webHidden/>
            <w:lang w:val="en-GB"/>
          </w:rPr>
          <w:fldChar w:fldCharType="separate"/>
        </w:r>
        <w:r w:rsidR="00757FDF">
          <w:rPr>
            <w:noProof/>
            <w:webHidden/>
            <w:lang w:val="en-GB"/>
          </w:rPr>
          <w:t>53</w:t>
        </w:r>
        <w:r w:rsidR="00A56FD8" w:rsidRPr="00CF3C36">
          <w:rPr>
            <w:noProof/>
            <w:webHidden/>
            <w:lang w:val="en-GB"/>
          </w:rPr>
          <w:fldChar w:fldCharType="end"/>
        </w:r>
      </w:hyperlink>
    </w:p>
    <w:p w14:paraId="4C80C246" w14:textId="241A5DBD" w:rsidR="00A56FD8" w:rsidRPr="00CF3C36" w:rsidRDefault="00D8656F">
      <w:pPr>
        <w:pStyle w:val="TableofFigures"/>
        <w:tabs>
          <w:tab w:val="right" w:leader="dot" w:pos="9062"/>
        </w:tabs>
        <w:rPr>
          <w:rFonts w:eastAsiaTheme="minorEastAsia"/>
          <w:noProof/>
          <w:lang w:val="en-GB" w:eastAsia="nl-NL"/>
        </w:rPr>
      </w:pPr>
      <w:hyperlink w:anchor="_Toc15475675" w:history="1">
        <w:r w:rsidR="00A56FD8" w:rsidRPr="00CF3C36">
          <w:rPr>
            <w:rStyle w:val="Hyperlink"/>
            <w:noProof/>
            <w:lang w:val="en-GB"/>
          </w:rPr>
          <w:t xml:space="preserve">Table 12. Outcomes of Diagnostic tests. </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_Toc15475675 \h </w:instrText>
        </w:r>
        <w:r w:rsidR="00A56FD8" w:rsidRPr="00CF3C36">
          <w:rPr>
            <w:noProof/>
            <w:webHidden/>
            <w:lang w:val="en-GB"/>
          </w:rPr>
        </w:r>
        <w:r w:rsidR="00A56FD8" w:rsidRPr="00CF3C36">
          <w:rPr>
            <w:noProof/>
            <w:webHidden/>
            <w:lang w:val="en-GB"/>
          </w:rPr>
          <w:fldChar w:fldCharType="separate"/>
        </w:r>
        <w:r w:rsidR="00757FDF">
          <w:rPr>
            <w:noProof/>
            <w:webHidden/>
            <w:lang w:val="en-GB"/>
          </w:rPr>
          <w:t>53</w:t>
        </w:r>
        <w:r w:rsidR="00A56FD8" w:rsidRPr="00CF3C36">
          <w:rPr>
            <w:noProof/>
            <w:webHidden/>
            <w:lang w:val="en-GB"/>
          </w:rPr>
          <w:fldChar w:fldCharType="end"/>
        </w:r>
      </w:hyperlink>
    </w:p>
    <w:p w14:paraId="02A9E667" w14:textId="43363802" w:rsidR="00A56FD8" w:rsidRPr="00CF3C36" w:rsidRDefault="00D8656F">
      <w:pPr>
        <w:pStyle w:val="TableofFigures"/>
        <w:tabs>
          <w:tab w:val="right" w:leader="dot" w:pos="9062"/>
        </w:tabs>
        <w:rPr>
          <w:rFonts w:eastAsiaTheme="minorEastAsia"/>
          <w:noProof/>
          <w:lang w:val="en-GB" w:eastAsia="nl-NL"/>
        </w:rPr>
      </w:pPr>
      <w:hyperlink w:anchor="_Toc15475676" w:history="1">
        <w:r w:rsidR="00A56FD8" w:rsidRPr="00CF3C36">
          <w:rPr>
            <w:rStyle w:val="Hyperlink"/>
            <w:noProof/>
            <w:lang w:val="en-GB"/>
          </w:rPr>
          <w:t>Table 13. Sector conversion from ISIC and NIACS sectors to IEA sectors</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_Toc15475676 \h </w:instrText>
        </w:r>
        <w:r w:rsidR="00A56FD8" w:rsidRPr="00CF3C36">
          <w:rPr>
            <w:noProof/>
            <w:webHidden/>
            <w:lang w:val="en-GB"/>
          </w:rPr>
        </w:r>
        <w:r w:rsidR="00A56FD8" w:rsidRPr="00CF3C36">
          <w:rPr>
            <w:noProof/>
            <w:webHidden/>
            <w:lang w:val="en-GB"/>
          </w:rPr>
          <w:fldChar w:fldCharType="separate"/>
        </w:r>
        <w:r w:rsidR="00757FDF">
          <w:rPr>
            <w:noProof/>
            <w:webHidden/>
            <w:lang w:val="en-GB"/>
          </w:rPr>
          <w:t>54</w:t>
        </w:r>
        <w:r w:rsidR="00A56FD8" w:rsidRPr="00CF3C36">
          <w:rPr>
            <w:noProof/>
            <w:webHidden/>
            <w:lang w:val="en-GB"/>
          </w:rPr>
          <w:fldChar w:fldCharType="end"/>
        </w:r>
      </w:hyperlink>
    </w:p>
    <w:p w14:paraId="4AF8B145" w14:textId="74CB3120" w:rsidR="00A56FD8" w:rsidRPr="00CF3C36" w:rsidRDefault="00D8656F">
      <w:pPr>
        <w:pStyle w:val="TableofFigures"/>
        <w:tabs>
          <w:tab w:val="right" w:leader="dot" w:pos="9062"/>
        </w:tabs>
        <w:rPr>
          <w:rFonts w:eastAsiaTheme="minorEastAsia"/>
          <w:noProof/>
          <w:lang w:val="en-GB" w:eastAsia="nl-NL"/>
        </w:rPr>
      </w:pPr>
      <w:hyperlink w:anchor="_Toc15475677" w:history="1">
        <w:r w:rsidR="00A56FD8" w:rsidRPr="00CF3C36">
          <w:rPr>
            <w:rStyle w:val="Hyperlink"/>
            <w:noProof/>
            <w:lang w:val="en-GB"/>
          </w:rPr>
          <w:t>Table 14. Build-up Model 1</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_Toc15475677 \h </w:instrText>
        </w:r>
        <w:r w:rsidR="00A56FD8" w:rsidRPr="00CF3C36">
          <w:rPr>
            <w:noProof/>
            <w:webHidden/>
            <w:lang w:val="en-GB"/>
          </w:rPr>
        </w:r>
        <w:r w:rsidR="00A56FD8" w:rsidRPr="00CF3C36">
          <w:rPr>
            <w:noProof/>
            <w:webHidden/>
            <w:lang w:val="en-GB"/>
          </w:rPr>
          <w:fldChar w:fldCharType="separate"/>
        </w:r>
        <w:r w:rsidR="00757FDF">
          <w:rPr>
            <w:noProof/>
            <w:webHidden/>
            <w:lang w:val="en-GB"/>
          </w:rPr>
          <w:t>55</w:t>
        </w:r>
        <w:r w:rsidR="00A56FD8" w:rsidRPr="00CF3C36">
          <w:rPr>
            <w:noProof/>
            <w:webHidden/>
            <w:lang w:val="en-GB"/>
          </w:rPr>
          <w:fldChar w:fldCharType="end"/>
        </w:r>
      </w:hyperlink>
    </w:p>
    <w:p w14:paraId="41B57238" w14:textId="57EC6C3F" w:rsidR="00A56FD8" w:rsidRPr="00CF3C36" w:rsidRDefault="00D8656F">
      <w:pPr>
        <w:pStyle w:val="TableofFigures"/>
        <w:tabs>
          <w:tab w:val="right" w:leader="dot" w:pos="9062"/>
        </w:tabs>
        <w:rPr>
          <w:rFonts w:eastAsiaTheme="minorEastAsia"/>
          <w:noProof/>
          <w:lang w:val="en-GB" w:eastAsia="nl-NL"/>
        </w:rPr>
      </w:pPr>
      <w:hyperlink w:anchor="_Toc15475678" w:history="1">
        <w:r w:rsidR="00A56FD8" w:rsidRPr="00CF3C36">
          <w:rPr>
            <w:rStyle w:val="Hyperlink"/>
            <w:noProof/>
            <w:lang w:val="en-GB"/>
          </w:rPr>
          <w:t>Table 15. Robustness-checks Model 1</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_Toc15475678 \h </w:instrText>
        </w:r>
        <w:r w:rsidR="00A56FD8" w:rsidRPr="00CF3C36">
          <w:rPr>
            <w:noProof/>
            <w:webHidden/>
            <w:lang w:val="en-GB"/>
          </w:rPr>
        </w:r>
        <w:r w:rsidR="00A56FD8" w:rsidRPr="00CF3C36">
          <w:rPr>
            <w:noProof/>
            <w:webHidden/>
            <w:lang w:val="en-GB"/>
          </w:rPr>
          <w:fldChar w:fldCharType="separate"/>
        </w:r>
        <w:r w:rsidR="00757FDF">
          <w:rPr>
            <w:noProof/>
            <w:webHidden/>
            <w:lang w:val="en-GB"/>
          </w:rPr>
          <w:t>56</w:t>
        </w:r>
        <w:r w:rsidR="00A56FD8" w:rsidRPr="00CF3C36">
          <w:rPr>
            <w:noProof/>
            <w:webHidden/>
            <w:lang w:val="en-GB"/>
          </w:rPr>
          <w:fldChar w:fldCharType="end"/>
        </w:r>
      </w:hyperlink>
    </w:p>
    <w:p w14:paraId="68EBAA21" w14:textId="6D68D366" w:rsidR="00A56FD8" w:rsidRPr="00CF3C36" w:rsidRDefault="00D8656F">
      <w:pPr>
        <w:pStyle w:val="TableofFigures"/>
        <w:tabs>
          <w:tab w:val="right" w:leader="dot" w:pos="9062"/>
        </w:tabs>
        <w:rPr>
          <w:rFonts w:eastAsiaTheme="minorEastAsia"/>
          <w:noProof/>
          <w:lang w:val="en-GB" w:eastAsia="nl-NL"/>
        </w:rPr>
      </w:pPr>
      <w:hyperlink w:anchor="_Toc15475679" w:history="1">
        <w:r w:rsidR="00A56FD8" w:rsidRPr="00CF3C36">
          <w:rPr>
            <w:rStyle w:val="Hyperlink"/>
            <w:noProof/>
            <w:lang w:val="en-GB"/>
          </w:rPr>
          <w:t>Table 16. Build-up Model 1.1</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_Toc15475679 \h </w:instrText>
        </w:r>
        <w:r w:rsidR="00A56FD8" w:rsidRPr="00CF3C36">
          <w:rPr>
            <w:noProof/>
            <w:webHidden/>
            <w:lang w:val="en-GB"/>
          </w:rPr>
        </w:r>
        <w:r w:rsidR="00A56FD8" w:rsidRPr="00CF3C36">
          <w:rPr>
            <w:noProof/>
            <w:webHidden/>
            <w:lang w:val="en-GB"/>
          </w:rPr>
          <w:fldChar w:fldCharType="separate"/>
        </w:r>
        <w:r w:rsidR="00757FDF">
          <w:rPr>
            <w:noProof/>
            <w:webHidden/>
            <w:lang w:val="en-GB"/>
          </w:rPr>
          <w:t>57</w:t>
        </w:r>
        <w:r w:rsidR="00A56FD8" w:rsidRPr="00CF3C36">
          <w:rPr>
            <w:noProof/>
            <w:webHidden/>
            <w:lang w:val="en-GB"/>
          </w:rPr>
          <w:fldChar w:fldCharType="end"/>
        </w:r>
      </w:hyperlink>
    </w:p>
    <w:p w14:paraId="33EAA162" w14:textId="5CD261F8" w:rsidR="00A56FD8" w:rsidRPr="00CF3C36" w:rsidRDefault="00D8656F">
      <w:pPr>
        <w:pStyle w:val="TableofFigures"/>
        <w:tabs>
          <w:tab w:val="right" w:leader="dot" w:pos="9062"/>
        </w:tabs>
        <w:rPr>
          <w:rFonts w:eastAsiaTheme="minorEastAsia"/>
          <w:noProof/>
          <w:lang w:val="en-GB" w:eastAsia="nl-NL"/>
        </w:rPr>
      </w:pPr>
      <w:hyperlink w:anchor="_Toc15475680" w:history="1">
        <w:r w:rsidR="00A56FD8" w:rsidRPr="00CF3C36">
          <w:rPr>
            <w:rStyle w:val="Hyperlink"/>
            <w:noProof/>
            <w:lang w:val="en-GB"/>
          </w:rPr>
          <w:t>Table 17. Robustness-checks Model 1.1</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_Toc15475680 \h </w:instrText>
        </w:r>
        <w:r w:rsidR="00A56FD8" w:rsidRPr="00CF3C36">
          <w:rPr>
            <w:noProof/>
            <w:webHidden/>
            <w:lang w:val="en-GB"/>
          </w:rPr>
        </w:r>
        <w:r w:rsidR="00A56FD8" w:rsidRPr="00CF3C36">
          <w:rPr>
            <w:noProof/>
            <w:webHidden/>
            <w:lang w:val="en-GB"/>
          </w:rPr>
          <w:fldChar w:fldCharType="separate"/>
        </w:r>
        <w:r w:rsidR="00757FDF">
          <w:rPr>
            <w:noProof/>
            <w:webHidden/>
            <w:lang w:val="en-GB"/>
          </w:rPr>
          <w:t>58</w:t>
        </w:r>
        <w:r w:rsidR="00A56FD8" w:rsidRPr="00CF3C36">
          <w:rPr>
            <w:noProof/>
            <w:webHidden/>
            <w:lang w:val="en-GB"/>
          </w:rPr>
          <w:fldChar w:fldCharType="end"/>
        </w:r>
      </w:hyperlink>
    </w:p>
    <w:p w14:paraId="4B3E0DEF" w14:textId="7D8CE07B" w:rsidR="00A56FD8" w:rsidRPr="00CF3C36" w:rsidRDefault="00D8656F">
      <w:pPr>
        <w:pStyle w:val="TableofFigures"/>
        <w:tabs>
          <w:tab w:val="right" w:leader="dot" w:pos="9062"/>
        </w:tabs>
        <w:rPr>
          <w:rFonts w:eastAsiaTheme="minorEastAsia"/>
          <w:noProof/>
          <w:lang w:val="en-GB" w:eastAsia="nl-NL"/>
        </w:rPr>
      </w:pPr>
      <w:hyperlink w:anchor="_Toc15475681" w:history="1">
        <w:r w:rsidR="00A56FD8" w:rsidRPr="00CF3C36">
          <w:rPr>
            <w:rStyle w:val="Hyperlink"/>
            <w:noProof/>
            <w:lang w:val="en-GB"/>
          </w:rPr>
          <w:t>Table 18. Build-up Model 1.2</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_Toc15475681 \h </w:instrText>
        </w:r>
        <w:r w:rsidR="00A56FD8" w:rsidRPr="00CF3C36">
          <w:rPr>
            <w:noProof/>
            <w:webHidden/>
            <w:lang w:val="en-GB"/>
          </w:rPr>
        </w:r>
        <w:r w:rsidR="00A56FD8" w:rsidRPr="00CF3C36">
          <w:rPr>
            <w:noProof/>
            <w:webHidden/>
            <w:lang w:val="en-GB"/>
          </w:rPr>
          <w:fldChar w:fldCharType="separate"/>
        </w:r>
        <w:r w:rsidR="00757FDF">
          <w:rPr>
            <w:noProof/>
            <w:webHidden/>
            <w:lang w:val="en-GB"/>
          </w:rPr>
          <w:t>59</w:t>
        </w:r>
        <w:r w:rsidR="00A56FD8" w:rsidRPr="00CF3C36">
          <w:rPr>
            <w:noProof/>
            <w:webHidden/>
            <w:lang w:val="en-GB"/>
          </w:rPr>
          <w:fldChar w:fldCharType="end"/>
        </w:r>
      </w:hyperlink>
    </w:p>
    <w:p w14:paraId="26A961CB" w14:textId="53659D98" w:rsidR="00A56FD8" w:rsidRPr="00CF3C36" w:rsidRDefault="00D8656F">
      <w:pPr>
        <w:pStyle w:val="TableofFigures"/>
        <w:tabs>
          <w:tab w:val="right" w:leader="dot" w:pos="9062"/>
        </w:tabs>
        <w:rPr>
          <w:rFonts w:eastAsiaTheme="minorEastAsia"/>
          <w:noProof/>
          <w:lang w:val="en-GB" w:eastAsia="nl-NL"/>
        </w:rPr>
      </w:pPr>
      <w:hyperlink w:anchor="_Toc15475682" w:history="1">
        <w:r w:rsidR="00A56FD8" w:rsidRPr="00CF3C36">
          <w:rPr>
            <w:rStyle w:val="Hyperlink"/>
            <w:noProof/>
            <w:lang w:val="en-GB"/>
          </w:rPr>
          <w:t>Table 19. Robustness-checks Model 1.2</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_Toc15475682 \h </w:instrText>
        </w:r>
        <w:r w:rsidR="00A56FD8" w:rsidRPr="00CF3C36">
          <w:rPr>
            <w:noProof/>
            <w:webHidden/>
            <w:lang w:val="en-GB"/>
          </w:rPr>
        </w:r>
        <w:r w:rsidR="00A56FD8" w:rsidRPr="00CF3C36">
          <w:rPr>
            <w:noProof/>
            <w:webHidden/>
            <w:lang w:val="en-GB"/>
          </w:rPr>
          <w:fldChar w:fldCharType="separate"/>
        </w:r>
        <w:r w:rsidR="00757FDF">
          <w:rPr>
            <w:noProof/>
            <w:webHidden/>
            <w:lang w:val="en-GB"/>
          </w:rPr>
          <w:t>60</w:t>
        </w:r>
        <w:r w:rsidR="00A56FD8" w:rsidRPr="00CF3C36">
          <w:rPr>
            <w:noProof/>
            <w:webHidden/>
            <w:lang w:val="en-GB"/>
          </w:rPr>
          <w:fldChar w:fldCharType="end"/>
        </w:r>
      </w:hyperlink>
    </w:p>
    <w:p w14:paraId="4B1965AA" w14:textId="666952A9" w:rsidR="00A56FD8" w:rsidRPr="00CF3C36" w:rsidRDefault="00D8656F">
      <w:pPr>
        <w:pStyle w:val="TableofFigures"/>
        <w:tabs>
          <w:tab w:val="right" w:leader="dot" w:pos="9062"/>
        </w:tabs>
        <w:rPr>
          <w:rFonts w:eastAsiaTheme="minorEastAsia"/>
          <w:noProof/>
          <w:lang w:val="en-GB" w:eastAsia="nl-NL"/>
        </w:rPr>
      </w:pPr>
      <w:hyperlink w:anchor="_Toc15475683" w:history="1">
        <w:r w:rsidR="00A56FD8" w:rsidRPr="00CF3C36">
          <w:rPr>
            <w:rStyle w:val="Hyperlink"/>
            <w:noProof/>
            <w:lang w:val="en-GB"/>
          </w:rPr>
          <w:t>Table 20. Build-up Model 2 with Driscoll-Kraay standard errors</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_Toc15475683 \h </w:instrText>
        </w:r>
        <w:r w:rsidR="00A56FD8" w:rsidRPr="00CF3C36">
          <w:rPr>
            <w:noProof/>
            <w:webHidden/>
            <w:lang w:val="en-GB"/>
          </w:rPr>
        </w:r>
        <w:r w:rsidR="00A56FD8" w:rsidRPr="00CF3C36">
          <w:rPr>
            <w:noProof/>
            <w:webHidden/>
            <w:lang w:val="en-GB"/>
          </w:rPr>
          <w:fldChar w:fldCharType="separate"/>
        </w:r>
        <w:r w:rsidR="00757FDF">
          <w:rPr>
            <w:noProof/>
            <w:webHidden/>
            <w:lang w:val="en-GB"/>
          </w:rPr>
          <w:t>61</w:t>
        </w:r>
        <w:r w:rsidR="00A56FD8" w:rsidRPr="00CF3C36">
          <w:rPr>
            <w:noProof/>
            <w:webHidden/>
            <w:lang w:val="en-GB"/>
          </w:rPr>
          <w:fldChar w:fldCharType="end"/>
        </w:r>
      </w:hyperlink>
    </w:p>
    <w:p w14:paraId="285DF816" w14:textId="7B05C8A8" w:rsidR="00A56FD8" w:rsidRPr="00CF3C36" w:rsidRDefault="00D8656F">
      <w:pPr>
        <w:pStyle w:val="TableofFigures"/>
        <w:tabs>
          <w:tab w:val="right" w:leader="dot" w:pos="9062"/>
        </w:tabs>
        <w:rPr>
          <w:rFonts w:eastAsiaTheme="minorEastAsia"/>
          <w:noProof/>
          <w:lang w:val="en-GB" w:eastAsia="nl-NL"/>
        </w:rPr>
      </w:pPr>
      <w:hyperlink w:anchor="_Toc15475684" w:history="1">
        <w:r w:rsidR="00A56FD8" w:rsidRPr="00CF3C36">
          <w:rPr>
            <w:rStyle w:val="Hyperlink"/>
            <w:noProof/>
            <w:lang w:val="en-GB"/>
          </w:rPr>
          <w:t>Table 21. Build-up Model 2 with robust standard errors</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_Toc15475684 \h </w:instrText>
        </w:r>
        <w:r w:rsidR="00A56FD8" w:rsidRPr="00CF3C36">
          <w:rPr>
            <w:noProof/>
            <w:webHidden/>
            <w:lang w:val="en-GB"/>
          </w:rPr>
        </w:r>
        <w:r w:rsidR="00A56FD8" w:rsidRPr="00CF3C36">
          <w:rPr>
            <w:noProof/>
            <w:webHidden/>
            <w:lang w:val="en-GB"/>
          </w:rPr>
          <w:fldChar w:fldCharType="separate"/>
        </w:r>
        <w:r w:rsidR="00757FDF">
          <w:rPr>
            <w:noProof/>
            <w:webHidden/>
            <w:lang w:val="en-GB"/>
          </w:rPr>
          <w:t>62</w:t>
        </w:r>
        <w:r w:rsidR="00A56FD8" w:rsidRPr="00CF3C36">
          <w:rPr>
            <w:noProof/>
            <w:webHidden/>
            <w:lang w:val="en-GB"/>
          </w:rPr>
          <w:fldChar w:fldCharType="end"/>
        </w:r>
      </w:hyperlink>
    </w:p>
    <w:p w14:paraId="380328DA" w14:textId="33DD52B0" w:rsidR="00A56FD8" w:rsidRPr="00CF3C36" w:rsidRDefault="00D8656F">
      <w:pPr>
        <w:pStyle w:val="TableofFigures"/>
        <w:tabs>
          <w:tab w:val="right" w:leader="dot" w:pos="9062"/>
        </w:tabs>
        <w:rPr>
          <w:rFonts w:eastAsiaTheme="minorEastAsia"/>
          <w:noProof/>
          <w:lang w:val="en-GB" w:eastAsia="nl-NL"/>
        </w:rPr>
      </w:pPr>
      <w:hyperlink w:anchor="_Toc15475685" w:history="1">
        <w:r w:rsidR="00A56FD8" w:rsidRPr="00CF3C36">
          <w:rPr>
            <w:rStyle w:val="Hyperlink"/>
            <w:noProof/>
            <w:lang w:val="en-GB"/>
          </w:rPr>
          <w:t>Table 22. Robustness-checks Model 2</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_Toc15475685 \h </w:instrText>
        </w:r>
        <w:r w:rsidR="00A56FD8" w:rsidRPr="00CF3C36">
          <w:rPr>
            <w:noProof/>
            <w:webHidden/>
            <w:lang w:val="en-GB"/>
          </w:rPr>
        </w:r>
        <w:r w:rsidR="00A56FD8" w:rsidRPr="00CF3C36">
          <w:rPr>
            <w:noProof/>
            <w:webHidden/>
            <w:lang w:val="en-GB"/>
          </w:rPr>
          <w:fldChar w:fldCharType="separate"/>
        </w:r>
        <w:r w:rsidR="00757FDF">
          <w:rPr>
            <w:noProof/>
            <w:webHidden/>
            <w:lang w:val="en-GB"/>
          </w:rPr>
          <w:t>63</w:t>
        </w:r>
        <w:r w:rsidR="00A56FD8" w:rsidRPr="00CF3C36">
          <w:rPr>
            <w:noProof/>
            <w:webHidden/>
            <w:lang w:val="en-GB"/>
          </w:rPr>
          <w:fldChar w:fldCharType="end"/>
        </w:r>
      </w:hyperlink>
    </w:p>
    <w:p w14:paraId="6C430A42" w14:textId="147AFA23" w:rsidR="00A56FD8" w:rsidRPr="00CF3C36" w:rsidRDefault="00D8656F">
      <w:pPr>
        <w:pStyle w:val="TableofFigures"/>
        <w:tabs>
          <w:tab w:val="right" w:leader="dot" w:pos="9062"/>
        </w:tabs>
        <w:rPr>
          <w:rFonts w:eastAsiaTheme="minorEastAsia"/>
          <w:noProof/>
          <w:lang w:val="en-GB" w:eastAsia="nl-NL"/>
        </w:rPr>
      </w:pPr>
      <w:hyperlink w:anchor="_Toc15475686" w:history="1">
        <w:r w:rsidR="00A56FD8" w:rsidRPr="00CF3C36">
          <w:rPr>
            <w:rStyle w:val="Hyperlink"/>
            <w:noProof/>
            <w:lang w:val="en-GB"/>
          </w:rPr>
          <w:t>Table 23. Build-up Model 2.1</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_Toc15475686 \h </w:instrText>
        </w:r>
        <w:r w:rsidR="00A56FD8" w:rsidRPr="00CF3C36">
          <w:rPr>
            <w:noProof/>
            <w:webHidden/>
            <w:lang w:val="en-GB"/>
          </w:rPr>
        </w:r>
        <w:r w:rsidR="00A56FD8" w:rsidRPr="00CF3C36">
          <w:rPr>
            <w:noProof/>
            <w:webHidden/>
            <w:lang w:val="en-GB"/>
          </w:rPr>
          <w:fldChar w:fldCharType="separate"/>
        </w:r>
        <w:r w:rsidR="00757FDF">
          <w:rPr>
            <w:noProof/>
            <w:webHidden/>
            <w:lang w:val="en-GB"/>
          </w:rPr>
          <w:t>64</w:t>
        </w:r>
        <w:r w:rsidR="00A56FD8" w:rsidRPr="00CF3C36">
          <w:rPr>
            <w:noProof/>
            <w:webHidden/>
            <w:lang w:val="en-GB"/>
          </w:rPr>
          <w:fldChar w:fldCharType="end"/>
        </w:r>
      </w:hyperlink>
    </w:p>
    <w:p w14:paraId="62ED88BA" w14:textId="7EF0459E" w:rsidR="00A56FD8" w:rsidRPr="00CF3C36" w:rsidRDefault="00D8656F">
      <w:pPr>
        <w:pStyle w:val="TableofFigures"/>
        <w:tabs>
          <w:tab w:val="right" w:leader="dot" w:pos="9062"/>
        </w:tabs>
        <w:rPr>
          <w:rFonts w:eastAsiaTheme="minorEastAsia"/>
          <w:noProof/>
          <w:lang w:val="en-GB" w:eastAsia="nl-NL"/>
        </w:rPr>
      </w:pPr>
      <w:hyperlink w:anchor="_Toc15475687" w:history="1">
        <w:r w:rsidR="00A56FD8" w:rsidRPr="00CF3C36">
          <w:rPr>
            <w:rStyle w:val="Hyperlink"/>
            <w:noProof/>
            <w:lang w:val="en-GB"/>
          </w:rPr>
          <w:t>Table 24. Robustness checks Model 2.1</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_Toc15475687 \h </w:instrText>
        </w:r>
        <w:r w:rsidR="00A56FD8" w:rsidRPr="00CF3C36">
          <w:rPr>
            <w:noProof/>
            <w:webHidden/>
            <w:lang w:val="en-GB"/>
          </w:rPr>
        </w:r>
        <w:r w:rsidR="00A56FD8" w:rsidRPr="00CF3C36">
          <w:rPr>
            <w:noProof/>
            <w:webHidden/>
            <w:lang w:val="en-GB"/>
          </w:rPr>
          <w:fldChar w:fldCharType="separate"/>
        </w:r>
        <w:r w:rsidR="00757FDF">
          <w:rPr>
            <w:noProof/>
            <w:webHidden/>
            <w:lang w:val="en-GB"/>
          </w:rPr>
          <w:t>65</w:t>
        </w:r>
        <w:r w:rsidR="00A56FD8" w:rsidRPr="00CF3C36">
          <w:rPr>
            <w:noProof/>
            <w:webHidden/>
            <w:lang w:val="en-GB"/>
          </w:rPr>
          <w:fldChar w:fldCharType="end"/>
        </w:r>
      </w:hyperlink>
    </w:p>
    <w:p w14:paraId="4DA3200F" w14:textId="70549BEE" w:rsidR="00A56FD8" w:rsidRPr="00CF3C36" w:rsidRDefault="00D8656F">
      <w:pPr>
        <w:pStyle w:val="TableofFigures"/>
        <w:tabs>
          <w:tab w:val="right" w:leader="dot" w:pos="9062"/>
        </w:tabs>
        <w:rPr>
          <w:rFonts w:eastAsiaTheme="minorEastAsia"/>
          <w:noProof/>
          <w:lang w:val="en-GB" w:eastAsia="nl-NL"/>
        </w:rPr>
      </w:pPr>
      <w:hyperlink w:anchor="_Toc15475688" w:history="1">
        <w:r w:rsidR="00A56FD8" w:rsidRPr="00CF3C36">
          <w:rPr>
            <w:rStyle w:val="Hyperlink"/>
            <w:noProof/>
            <w:lang w:val="en-GB"/>
          </w:rPr>
          <w:t>Table 25. Build-up Model 2.2</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_Toc15475688 \h </w:instrText>
        </w:r>
        <w:r w:rsidR="00A56FD8" w:rsidRPr="00CF3C36">
          <w:rPr>
            <w:noProof/>
            <w:webHidden/>
            <w:lang w:val="en-GB"/>
          </w:rPr>
        </w:r>
        <w:r w:rsidR="00A56FD8" w:rsidRPr="00CF3C36">
          <w:rPr>
            <w:noProof/>
            <w:webHidden/>
            <w:lang w:val="en-GB"/>
          </w:rPr>
          <w:fldChar w:fldCharType="separate"/>
        </w:r>
        <w:r w:rsidR="00757FDF">
          <w:rPr>
            <w:noProof/>
            <w:webHidden/>
            <w:lang w:val="en-GB"/>
          </w:rPr>
          <w:t>66</w:t>
        </w:r>
        <w:r w:rsidR="00A56FD8" w:rsidRPr="00CF3C36">
          <w:rPr>
            <w:noProof/>
            <w:webHidden/>
            <w:lang w:val="en-GB"/>
          </w:rPr>
          <w:fldChar w:fldCharType="end"/>
        </w:r>
      </w:hyperlink>
    </w:p>
    <w:p w14:paraId="0611CD26" w14:textId="01A7EF33" w:rsidR="00A56FD8" w:rsidRPr="00CF3C36" w:rsidRDefault="00D8656F">
      <w:pPr>
        <w:pStyle w:val="TableofFigures"/>
        <w:tabs>
          <w:tab w:val="right" w:leader="dot" w:pos="9062"/>
        </w:tabs>
        <w:rPr>
          <w:rFonts w:eastAsiaTheme="minorEastAsia"/>
          <w:noProof/>
          <w:lang w:val="en-GB" w:eastAsia="nl-NL"/>
        </w:rPr>
      </w:pPr>
      <w:hyperlink w:anchor="_Toc15475689" w:history="1">
        <w:r w:rsidR="00A56FD8" w:rsidRPr="00CF3C36">
          <w:rPr>
            <w:rStyle w:val="Hyperlink"/>
            <w:noProof/>
            <w:lang w:val="en-GB"/>
          </w:rPr>
          <w:t>Table 26. Robustness checks Model 2.2</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_Toc15475689 \h </w:instrText>
        </w:r>
        <w:r w:rsidR="00A56FD8" w:rsidRPr="00CF3C36">
          <w:rPr>
            <w:noProof/>
            <w:webHidden/>
            <w:lang w:val="en-GB"/>
          </w:rPr>
        </w:r>
        <w:r w:rsidR="00A56FD8" w:rsidRPr="00CF3C36">
          <w:rPr>
            <w:noProof/>
            <w:webHidden/>
            <w:lang w:val="en-GB"/>
          </w:rPr>
          <w:fldChar w:fldCharType="separate"/>
        </w:r>
        <w:r w:rsidR="00757FDF">
          <w:rPr>
            <w:noProof/>
            <w:webHidden/>
            <w:lang w:val="en-GB"/>
          </w:rPr>
          <w:t>67</w:t>
        </w:r>
        <w:r w:rsidR="00A56FD8" w:rsidRPr="00CF3C36">
          <w:rPr>
            <w:noProof/>
            <w:webHidden/>
            <w:lang w:val="en-GB"/>
          </w:rPr>
          <w:fldChar w:fldCharType="end"/>
        </w:r>
      </w:hyperlink>
    </w:p>
    <w:p w14:paraId="1D47CCC7" w14:textId="38757CA1" w:rsidR="00415E7F" w:rsidRPr="00CF3C36" w:rsidRDefault="00F4155C" w:rsidP="00415E7F">
      <w:pPr>
        <w:rPr>
          <w:lang w:val="en-GB"/>
        </w:rPr>
      </w:pPr>
      <w:r w:rsidRPr="00CF3C36">
        <w:rPr>
          <w:lang w:val="en-GB"/>
        </w:rPr>
        <w:fldChar w:fldCharType="end"/>
      </w:r>
    </w:p>
    <w:p w14:paraId="0E3AFE9D" w14:textId="405841F6" w:rsidR="00A56FD8" w:rsidRPr="00CF3C36" w:rsidRDefault="00A56FD8" w:rsidP="00415E7F">
      <w:pPr>
        <w:rPr>
          <w:lang w:val="en-GB"/>
        </w:rPr>
      </w:pPr>
    </w:p>
    <w:p w14:paraId="14E763B8" w14:textId="5D9E7636" w:rsidR="00A56FD8" w:rsidRPr="00CF3C36" w:rsidRDefault="00A56FD8" w:rsidP="00415E7F">
      <w:pPr>
        <w:rPr>
          <w:lang w:val="en-GB"/>
        </w:rPr>
      </w:pPr>
    </w:p>
    <w:p w14:paraId="2329DD52" w14:textId="60A868BC" w:rsidR="00A56FD8" w:rsidRPr="00CF3C36" w:rsidRDefault="00A56FD8" w:rsidP="00415E7F">
      <w:pPr>
        <w:rPr>
          <w:lang w:val="en-GB"/>
        </w:rPr>
      </w:pPr>
    </w:p>
    <w:p w14:paraId="37C6D04F" w14:textId="453CED8D" w:rsidR="00A56FD8" w:rsidRPr="00CF3C36" w:rsidRDefault="00A56FD8" w:rsidP="00415E7F">
      <w:pPr>
        <w:rPr>
          <w:lang w:val="en-GB"/>
        </w:rPr>
      </w:pPr>
    </w:p>
    <w:p w14:paraId="4D72255F" w14:textId="0A1E6850" w:rsidR="00A56FD8" w:rsidRPr="00CF3C36" w:rsidRDefault="00A56FD8" w:rsidP="00415E7F">
      <w:pPr>
        <w:rPr>
          <w:lang w:val="en-GB"/>
        </w:rPr>
      </w:pPr>
    </w:p>
    <w:p w14:paraId="4B948B6B" w14:textId="1ACAC130" w:rsidR="00A56FD8" w:rsidRPr="00CF3C36" w:rsidRDefault="00A56FD8" w:rsidP="00415E7F">
      <w:pPr>
        <w:rPr>
          <w:lang w:val="en-GB"/>
        </w:rPr>
      </w:pPr>
    </w:p>
    <w:p w14:paraId="6F6214A5" w14:textId="6E080B3F" w:rsidR="00A56FD8" w:rsidRPr="00CF3C36" w:rsidRDefault="00A56FD8" w:rsidP="00415E7F">
      <w:pPr>
        <w:rPr>
          <w:lang w:val="en-GB"/>
        </w:rPr>
      </w:pPr>
    </w:p>
    <w:p w14:paraId="45A46A65" w14:textId="062477F0" w:rsidR="00A56FD8" w:rsidRPr="00CF3C36" w:rsidRDefault="00A56FD8" w:rsidP="00415E7F">
      <w:pPr>
        <w:rPr>
          <w:lang w:val="en-GB"/>
        </w:rPr>
      </w:pPr>
    </w:p>
    <w:p w14:paraId="4019EDE8" w14:textId="492BC0E0" w:rsidR="00A56FD8" w:rsidRPr="00CF3C36" w:rsidRDefault="00A56FD8" w:rsidP="00415E7F">
      <w:pPr>
        <w:rPr>
          <w:lang w:val="en-GB"/>
        </w:rPr>
      </w:pPr>
    </w:p>
    <w:p w14:paraId="2E932991" w14:textId="46203F74" w:rsidR="00A56FD8" w:rsidRPr="00CF3C36" w:rsidRDefault="00A56FD8" w:rsidP="00415E7F">
      <w:pPr>
        <w:rPr>
          <w:lang w:val="en-GB"/>
        </w:rPr>
      </w:pPr>
    </w:p>
    <w:p w14:paraId="5E2F1DC7" w14:textId="233914AD" w:rsidR="00A56FD8" w:rsidRPr="00CF3C36" w:rsidRDefault="00A56FD8" w:rsidP="00415E7F">
      <w:pPr>
        <w:rPr>
          <w:lang w:val="en-GB"/>
        </w:rPr>
      </w:pPr>
    </w:p>
    <w:p w14:paraId="04E40549" w14:textId="3D924B53" w:rsidR="00A56FD8" w:rsidRPr="00CF3C36" w:rsidRDefault="00A56FD8" w:rsidP="00415E7F">
      <w:pPr>
        <w:rPr>
          <w:lang w:val="en-GB"/>
        </w:rPr>
      </w:pPr>
    </w:p>
    <w:p w14:paraId="2808C1B1" w14:textId="5107D0E6" w:rsidR="00AB3866" w:rsidRPr="00CF3C36" w:rsidRDefault="00AB3866" w:rsidP="00AB3866">
      <w:pPr>
        <w:pStyle w:val="TOCHeading"/>
        <w:rPr>
          <w:lang w:val="en-GB"/>
        </w:rPr>
      </w:pPr>
      <w:r w:rsidRPr="00CF3C36">
        <w:rPr>
          <w:lang w:val="en-GB"/>
        </w:rPr>
        <w:lastRenderedPageBreak/>
        <w:t>List of Figures</w:t>
      </w:r>
    </w:p>
    <w:p w14:paraId="54AE8D0C" w14:textId="23D241F1" w:rsidR="00A56FD8" w:rsidRPr="00CF3C36" w:rsidRDefault="00AB3866">
      <w:pPr>
        <w:pStyle w:val="TableofFigures"/>
        <w:tabs>
          <w:tab w:val="right" w:leader="dot" w:pos="9062"/>
        </w:tabs>
        <w:rPr>
          <w:rFonts w:eastAsiaTheme="minorEastAsia"/>
          <w:noProof/>
          <w:lang w:val="en-GB" w:eastAsia="nl-NL"/>
        </w:rPr>
      </w:pPr>
      <w:r w:rsidRPr="00CF3C36">
        <w:rPr>
          <w:lang w:val="en-GB"/>
        </w:rPr>
        <w:fldChar w:fldCharType="begin"/>
      </w:r>
      <w:r w:rsidRPr="00CF3C36">
        <w:rPr>
          <w:lang w:val="en-GB"/>
        </w:rPr>
        <w:instrText xml:space="preserve"> TOC \h \z \t "Heading 4" \c </w:instrText>
      </w:r>
      <w:r w:rsidRPr="00CF3C36">
        <w:rPr>
          <w:lang w:val="en-GB"/>
        </w:rPr>
        <w:fldChar w:fldCharType="separate"/>
      </w:r>
      <w:hyperlink w:anchor="_Toc15475692" w:history="1">
        <w:r w:rsidR="00A56FD8" w:rsidRPr="00CF3C36">
          <w:rPr>
            <w:rStyle w:val="Hyperlink"/>
            <w:noProof/>
            <w:lang w:val="en-GB"/>
          </w:rPr>
          <w:t>Figure 1. Inward Foreign Direct Investment Flows, 1970-2017</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_Toc15475692 \h </w:instrText>
        </w:r>
        <w:r w:rsidR="00A56FD8" w:rsidRPr="00CF3C36">
          <w:rPr>
            <w:noProof/>
            <w:webHidden/>
            <w:lang w:val="en-GB"/>
          </w:rPr>
        </w:r>
        <w:r w:rsidR="00A56FD8" w:rsidRPr="00CF3C36">
          <w:rPr>
            <w:noProof/>
            <w:webHidden/>
            <w:lang w:val="en-GB"/>
          </w:rPr>
          <w:fldChar w:fldCharType="separate"/>
        </w:r>
        <w:r w:rsidR="00757FDF">
          <w:rPr>
            <w:noProof/>
            <w:webHidden/>
            <w:lang w:val="en-GB"/>
          </w:rPr>
          <w:t>9</w:t>
        </w:r>
        <w:r w:rsidR="00A56FD8" w:rsidRPr="00CF3C36">
          <w:rPr>
            <w:noProof/>
            <w:webHidden/>
            <w:lang w:val="en-GB"/>
          </w:rPr>
          <w:fldChar w:fldCharType="end"/>
        </w:r>
      </w:hyperlink>
    </w:p>
    <w:p w14:paraId="4765E2F2" w14:textId="156302E3" w:rsidR="00A56FD8" w:rsidRPr="00CF3C36" w:rsidRDefault="00D8656F">
      <w:pPr>
        <w:pStyle w:val="TableofFigures"/>
        <w:tabs>
          <w:tab w:val="right" w:leader="dot" w:pos="9062"/>
        </w:tabs>
        <w:rPr>
          <w:rFonts w:eastAsiaTheme="minorEastAsia"/>
          <w:noProof/>
          <w:lang w:val="en-GB" w:eastAsia="nl-NL"/>
        </w:rPr>
      </w:pPr>
      <w:hyperlink w:anchor="_Toc15475693" w:history="1">
        <w:r w:rsidR="00A56FD8" w:rsidRPr="00CF3C36">
          <w:rPr>
            <w:rStyle w:val="Hyperlink"/>
            <w:noProof/>
            <w:lang w:val="en-GB"/>
          </w:rPr>
          <w:t>Figure 2. Changes in national investment policies, 2003−2017</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_Toc15475693 \h </w:instrText>
        </w:r>
        <w:r w:rsidR="00A56FD8" w:rsidRPr="00CF3C36">
          <w:rPr>
            <w:noProof/>
            <w:webHidden/>
            <w:lang w:val="en-GB"/>
          </w:rPr>
        </w:r>
        <w:r w:rsidR="00A56FD8" w:rsidRPr="00CF3C36">
          <w:rPr>
            <w:noProof/>
            <w:webHidden/>
            <w:lang w:val="en-GB"/>
          </w:rPr>
          <w:fldChar w:fldCharType="separate"/>
        </w:r>
        <w:r w:rsidR="00757FDF">
          <w:rPr>
            <w:noProof/>
            <w:webHidden/>
            <w:lang w:val="en-GB"/>
          </w:rPr>
          <w:t>10</w:t>
        </w:r>
        <w:r w:rsidR="00A56FD8" w:rsidRPr="00CF3C36">
          <w:rPr>
            <w:noProof/>
            <w:webHidden/>
            <w:lang w:val="en-GB"/>
          </w:rPr>
          <w:fldChar w:fldCharType="end"/>
        </w:r>
      </w:hyperlink>
    </w:p>
    <w:p w14:paraId="2AC032BC" w14:textId="4EF3D4E8" w:rsidR="00A56FD8" w:rsidRPr="00CF3C36" w:rsidRDefault="00D8656F">
      <w:pPr>
        <w:pStyle w:val="TableofFigures"/>
        <w:tabs>
          <w:tab w:val="right" w:leader="dot" w:pos="9062"/>
        </w:tabs>
        <w:rPr>
          <w:rFonts w:eastAsiaTheme="minorEastAsia"/>
          <w:noProof/>
          <w:lang w:val="en-GB" w:eastAsia="nl-NL"/>
        </w:rPr>
      </w:pPr>
      <w:hyperlink w:anchor="_Toc15475694" w:history="1">
        <w:r w:rsidR="00A56FD8" w:rsidRPr="00CF3C36">
          <w:rPr>
            <w:rStyle w:val="Hyperlink"/>
            <w:noProof/>
            <w:lang w:val="en-GB"/>
          </w:rPr>
          <w:t>Figure 3. Melitz-model modes of entry</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_Toc15475694 \h </w:instrText>
        </w:r>
        <w:r w:rsidR="00A56FD8" w:rsidRPr="00CF3C36">
          <w:rPr>
            <w:noProof/>
            <w:webHidden/>
            <w:lang w:val="en-GB"/>
          </w:rPr>
        </w:r>
        <w:r w:rsidR="00A56FD8" w:rsidRPr="00CF3C36">
          <w:rPr>
            <w:noProof/>
            <w:webHidden/>
            <w:lang w:val="en-GB"/>
          </w:rPr>
          <w:fldChar w:fldCharType="separate"/>
        </w:r>
        <w:r w:rsidR="00757FDF">
          <w:rPr>
            <w:noProof/>
            <w:webHidden/>
            <w:lang w:val="en-GB"/>
          </w:rPr>
          <w:t>19</w:t>
        </w:r>
        <w:r w:rsidR="00A56FD8" w:rsidRPr="00CF3C36">
          <w:rPr>
            <w:noProof/>
            <w:webHidden/>
            <w:lang w:val="en-GB"/>
          </w:rPr>
          <w:fldChar w:fldCharType="end"/>
        </w:r>
      </w:hyperlink>
    </w:p>
    <w:p w14:paraId="2A672174" w14:textId="3BAFFAF3" w:rsidR="00A56FD8" w:rsidRPr="00CF3C36" w:rsidRDefault="00D8656F">
      <w:pPr>
        <w:pStyle w:val="TableofFigures"/>
        <w:tabs>
          <w:tab w:val="right" w:leader="dot" w:pos="9062"/>
        </w:tabs>
        <w:rPr>
          <w:rFonts w:eastAsiaTheme="minorEastAsia"/>
          <w:noProof/>
          <w:lang w:val="en-GB" w:eastAsia="nl-NL"/>
        </w:rPr>
      </w:pPr>
      <w:hyperlink w:anchor="_Toc15475695" w:history="1">
        <w:r w:rsidR="00A56FD8" w:rsidRPr="00CF3C36">
          <w:rPr>
            <w:rStyle w:val="Hyperlink"/>
            <w:noProof/>
            <w:lang w:val="en-GB"/>
          </w:rPr>
          <w:t>Figure 4. Attraction to environmental regulation</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_Toc15475695 \h </w:instrText>
        </w:r>
        <w:r w:rsidR="00A56FD8" w:rsidRPr="00CF3C36">
          <w:rPr>
            <w:noProof/>
            <w:webHidden/>
            <w:lang w:val="en-GB"/>
          </w:rPr>
        </w:r>
        <w:r w:rsidR="00A56FD8" w:rsidRPr="00CF3C36">
          <w:rPr>
            <w:noProof/>
            <w:webHidden/>
            <w:lang w:val="en-GB"/>
          </w:rPr>
          <w:fldChar w:fldCharType="separate"/>
        </w:r>
        <w:r w:rsidR="00757FDF">
          <w:rPr>
            <w:noProof/>
            <w:webHidden/>
            <w:lang w:val="en-GB"/>
          </w:rPr>
          <w:t>20</w:t>
        </w:r>
        <w:r w:rsidR="00A56FD8" w:rsidRPr="00CF3C36">
          <w:rPr>
            <w:noProof/>
            <w:webHidden/>
            <w:lang w:val="en-GB"/>
          </w:rPr>
          <w:fldChar w:fldCharType="end"/>
        </w:r>
      </w:hyperlink>
    </w:p>
    <w:p w14:paraId="517B19BC" w14:textId="1939E0AE" w:rsidR="00A56FD8" w:rsidRPr="00CF3C36" w:rsidRDefault="00D8656F">
      <w:pPr>
        <w:pStyle w:val="TableofFigures"/>
        <w:tabs>
          <w:tab w:val="right" w:leader="dot" w:pos="9062"/>
        </w:tabs>
        <w:rPr>
          <w:rFonts w:eastAsiaTheme="minorEastAsia"/>
          <w:noProof/>
          <w:lang w:val="en-GB" w:eastAsia="nl-NL"/>
        </w:rPr>
      </w:pPr>
      <w:hyperlink w:anchor="_Toc15475696" w:history="1">
        <w:r w:rsidR="00A56FD8" w:rsidRPr="00CF3C36">
          <w:rPr>
            <w:rStyle w:val="Hyperlink"/>
            <w:noProof/>
            <w:lang w:val="en-GB"/>
          </w:rPr>
          <w:t>Figure 5. Theoretical Model</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_Toc15475696 \h </w:instrText>
        </w:r>
        <w:r w:rsidR="00A56FD8" w:rsidRPr="00CF3C36">
          <w:rPr>
            <w:noProof/>
            <w:webHidden/>
            <w:lang w:val="en-GB"/>
          </w:rPr>
        </w:r>
        <w:r w:rsidR="00A56FD8" w:rsidRPr="00CF3C36">
          <w:rPr>
            <w:noProof/>
            <w:webHidden/>
            <w:lang w:val="en-GB"/>
          </w:rPr>
          <w:fldChar w:fldCharType="separate"/>
        </w:r>
        <w:r w:rsidR="00757FDF">
          <w:rPr>
            <w:noProof/>
            <w:webHidden/>
            <w:lang w:val="en-GB"/>
          </w:rPr>
          <w:t>21</w:t>
        </w:r>
        <w:r w:rsidR="00A56FD8" w:rsidRPr="00CF3C36">
          <w:rPr>
            <w:noProof/>
            <w:webHidden/>
            <w:lang w:val="en-GB"/>
          </w:rPr>
          <w:fldChar w:fldCharType="end"/>
        </w:r>
      </w:hyperlink>
    </w:p>
    <w:p w14:paraId="7A971CC8" w14:textId="629A3DCC" w:rsidR="00A56FD8" w:rsidRPr="00CF3C36" w:rsidRDefault="00D8656F">
      <w:pPr>
        <w:pStyle w:val="TableofFigures"/>
        <w:tabs>
          <w:tab w:val="right" w:leader="dot" w:pos="9062"/>
        </w:tabs>
        <w:rPr>
          <w:rFonts w:eastAsiaTheme="minorEastAsia"/>
          <w:noProof/>
          <w:lang w:val="en-GB" w:eastAsia="nl-NL"/>
        </w:rPr>
      </w:pPr>
      <w:hyperlink w:anchor="_Toc15475697" w:history="1">
        <w:r w:rsidR="00A56FD8" w:rsidRPr="00CF3C36">
          <w:rPr>
            <w:rStyle w:val="Hyperlink"/>
            <w:noProof/>
            <w:lang w:val="en-GB"/>
          </w:rPr>
          <w:t>Figure 6. Interaction between capital-labour ratio and EPI</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_Toc15475697 \h </w:instrText>
        </w:r>
        <w:r w:rsidR="00A56FD8" w:rsidRPr="00CF3C36">
          <w:rPr>
            <w:noProof/>
            <w:webHidden/>
            <w:lang w:val="en-GB"/>
          </w:rPr>
        </w:r>
        <w:r w:rsidR="00A56FD8" w:rsidRPr="00CF3C36">
          <w:rPr>
            <w:noProof/>
            <w:webHidden/>
            <w:lang w:val="en-GB"/>
          </w:rPr>
          <w:fldChar w:fldCharType="separate"/>
        </w:r>
        <w:r w:rsidR="00757FDF">
          <w:rPr>
            <w:noProof/>
            <w:webHidden/>
            <w:lang w:val="en-GB"/>
          </w:rPr>
          <w:t>29</w:t>
        </w:r>
        <w:r w:rsidR="00A56FD8" w:rsidRPr="00CF3C36">
          <w:rPr>
            <w:noProof/>
            <w:webHidden/>
            <w:lang w:val="en-GB"/>
          </w:rPr>
          <w:fldChar w:fldCharType="end"/>
        </w:r>
      </w:hyperlink>
    </w:p>
    <w:p w14:paraId="12381C8B" w14:textId="3BC4DFE0" w:rsidR="00A56FD8" w:rsidRPr="00CF3C36" w:rsidRDefault="00D8656F">
      <w:pPr>
        <w:pStyle w:val="TableofFigures"/>
        <w:tabs>
          <w:tab w:val="right" w:leader="dot" w:pos="9062"/>
        </w:tabs>
        <w:rPr>
          <w:rFonts w:eastAsiaTheme="minorEastAsia"/>
          <w:noProof/>
          <w:lang w:val="en-GB" w:eastAsia="nl-NL"/>
        </w:rPr>
      </w:pPr>
      <w:hyperlink w:anchor="_Toc15475698" w:history="1">
        <w:r w:rsidR="00A56FD8" w:rsidRPr="00CF3C36">
          <w:rPr>
            <w:rStyle w:val="Hyperlink"/>
            <w:noProof/>
            <w:lang w:val="en-GB"/>
          </w:rPr>
          <w:t>Figure 7. Descriptive statistics of the Executive Opinion Survey 2015</w:t>
        </w:r>
        <w:r w:rsidR="00A56FD8" w:rsidRPr="00CF3C36">
          <w:rPr>
            <w:noProof/>
            <w:webHidden/>
            <w:lang w:val="en-GB"/>
          </w:rPr>
          <w:tab/>
        </w:r>
        <w:r w:rsidR="00A56FD8" w:rsidRPr="00CF3C36">
          <w:rPr>
            <w:noProof/>
            <w:webHidden/>
            <w:lang w:val="en-GB"/>
          </w:rPr>
          <w:fldChar w:fldCharType="begin"/>
        </w:r>
        <w:r w:rsidR="00A56FD8" w:rsidRPr="00CF3C36">
          <w:rPr>
            <w:noProof/>
            <w:webHidden/>
            <w:lang w:val="en-GB"/>
          </w:rPr>
          <w:instrText xml:space="preserve"> PAGEREF _Toc15475698 \h </w:instrText>
        </w:r>
        <w:r w:rsidR="00A56FD8" w:rsidRPr="00CF3C36">
          <w:rPr>
            <w:noProof/>
            <w:webHidden/>
            <w:lang w:val="en-GB"/>
          </w:rPr>
        </w:r>
        <w:r w:rsidR="00A56FD8" w:rsidRPr="00CF3C36">
          <w:rPr>
            <w:noProof/>
            <w:webHidden/>
            <w:lang w:val="en-GB"/>
          </w:rPr>
          <w:fldChar w:fldCharType="separate"/>
        </w:r>
        <w:r w:rsidR="00757FDF">
          <w:rPr>
            <w:noProof/>
            <w:webHidden/>
            <w:lang w:val="en-GB"/>
          </w:rPr>
          <w:t>52</w:t>
        </w:r>
        <w:r w:rsidR="00A56FD8" w:rsidRPr="00CF3C36">
          <w:rPr>
            <w:noProof/>
            <w:webHidden/>
            <w:lang w:val="en-GB"/>
          </w:rPr>
          <w:fldChar w:fldCharType="end"/>
        </w:r>
      </w:hyperlink>
    </w:p>
    <w:p w14:paraId="5A7A21B3" w14:textId="4716E727" w:rsidR="00AB3866" w:rsidRPr="00CF3C36" w:rsidRDefault="00AB3866" w:rsidP="007D2FB8">
      <w:pPr>
        <w:jc w:val="both"/>
        <w:rPr>
          <w:lang w:val="en-GB"/>
        </w:rPr>
      </w:pPr>
      <w:r w:rsidRPr="00CF3C36">
        <w:rPr>
          <w:lang w:val="en-GB"/>
        </w:rPr>
        <w:fldChar w:fldCharType="end"/>
      </w:r>
    </w:p>
    <w:p w14:paraId="7DB26357" w14:textId="58D10702" w:rsidR="006D6B66" w:rsidRPr="00CF3C36" w:rsidRDefault="006D6B66" w:rsidP="006D6B66">
      <w:pPr>
        <w:pStyle w:val="TOCHeading"/>
        <w:rPr>
          <w:lang w:val="en-GB"/>
        </w:rPr>
      </w:pPr>
      <w:r w:rsidRPr="00CF3C36">
        <w:rPr>
          <w:lang w:val="en-GB"/>
        </w:rPr>
        <w:t>List of Abbreviations</w:t>
      </w:r>
    </w:p>
    <w:p w14:paraId="253CC23E" w14:textId="7716DE4F" w:rsidR="00AC0D0E" w:rsidRPr="00AC0D0E" w:rsidRDefault="00AC0D0E" w:rsidP="00693FD1">
      <w:pPr>
        <w:spacing w:after="0"/>
        <w:jc w:val="both"/>
        <w:rPr>
          <w:lang w:val="en-GB"/>
        </w:rPr>
      </w:pPr>
      <w:r>
        <w:rPr>
          <w:b/>
          <w:lang w:val="en-GB"/>
        </w:rPr>
        <w:t xml:space="preserve">avh: </w:t>
      </w:r>
      <w:r>
        <w:rPr>
          <w:b/>
          <w:lang w:val="en-GB"/>
        </w:rPr>
        <w:tab/>
      </w:r>
      <w:r>
        <w:rPr>
          <w:lang w:val="en-GB"/>
        </w:rPr>
        <w:t>A</w:t>
      </w:r>
      <w:r w:rsidRPr="00CF3C36">
        <w:rPr>
          <w:lang w:val="en-GB"/>
        </w:rPr>
        <w:t>verage hours worked per year</w:t>
      </w:r>
    </w:p>
    <w:p w14:paraId="78BFA045" w14:textId="3B52A264" w:rsidR="00693FD1" w:rsidRDefault="00693FD1" w:rsidP="00693FD1">
      <w:pPr>
        <w:spacing w:after="0"/>
        <w:jc w:val="both"/>
        <w:rPr>
          <w:lang w:val="en-GB"/>
        </w:rPr>
      </w:pPr>
      <w:r w:rsidRPr="00CF3C36">
        <w:rPr>
          <w:b/>
          <w:lang w:val="en-GB"/>
        </w:rPr>
        <w:t>BRIICS</w:t>
      </w:r>
      <w:r w:rsidRPr="00CF3C36">
        <w:rPr>
          <w:lang w:val="en-GB"/>
        </w:rPr>
        <w:t xml:space="preserve">: </w:t>
      </w:r>
      <w:r w:rsidR="00590803" w:rsidRPr="00CF3C36">
        <w:rPr>
          <w:lang w:val="en-GB"/>
        </w:rPr>
        <w:tab/>
      </w:r>
      <w:r w:rsidRPr="00CF3C36">
        <w:rPr>
          <w:lang w:val="en-GB"/>
        </w:rPr>
        <w:t>Brazil, Russia, India, Indonesia, China, South Africa</w:t>
      </w:r>
    </w:p>
    <w:p w14:paraId="6C2CB6AF" w14:textId="3D633401" w:rsidR="00AC0D0E" w:rsidRDefault="00AC0D0E" w:rsidP="00693FD1">
      <w:pPr>
        <w:spacing w:after="0"/>
        <w:jc w:val="both"/>
        <w:rPr>
          <w:lang w:val="en-GB"/>
        </w:rPr>
      </w:pPr>
      <w:r>
        <w:rPr>
          <w:b/>
          <w:lang w:val="en-GB"/>
        </w:rPr>
        <w:t>cce:</w:t>
      </w:r>
      <w:r>
        <w:rPr>
          <w:b/>
          <w:lang w:val="en-GB"/>
        </w:rPr>
        <w:tab/>
      </w:r>
      <w:r w:rsidR="003B48C3" w:rsidRPr="003B48C3">
        <w:rPr>
          <w:lang w:val="en-GB"/>
        </w:rPr>
        <w:t>Control of Corruption</w:t>
      </w:r>
    </w:p>
    <w:p w14:paraId="21CED213" w14:textId="1BF373A7" w:rsidR="00EA5941" w:rsidRPr="00EA5941" w:rsidRDefault="00EA5941" w:rsidP="00693FD1">
      <w:pPr>
        <w:spacing w:after="0"/>
        <w:jc w:val="both"/>
        <w:rPr>
          <w:lang w:val="en-GB"/>
        </w:rPr>
      </w:pPr>
      <w:r>
        <w:rPr>
          <w:b/>
          <w:lang w:val="en-GB"/>
        </w:rPr>
        <w:t>CO</w:t>
      </w:r>
      <w:r>
        <w:rPr>
          <w:b/>
          <w:vertAlign w:val="subscript"/>
          <w:lang w:val="en-GB"/>
        </w:rPr>
        <w:t>2</w:t>
      </w:r>
      <w:r>
        <w:rPr>
          <w:b/>
          <w:lang w:val="en-GB"/>
        </w:rPr>
        <w:t>:</w:t>
      </w:r>
      <w:r>
        <w:rPr>
          <w:b/>
          <w:lang w:val="en-GB"/>
        </w:rPr>
        <w:tab/>
      </w:r>
      <w:r>
        <w:rPr>
          <w:lang w:val="en-GB"/>
        </w:rPr>
        <w:t>Carbon Dioxide</w:t>
      </w:r>
    </w:p>
    <w:p w14:paraId="04F1F2CF" w14:textId="0A1C91CA" w:rsidR="003B48C3" w:rsidRPr="003B48C3" w:rsidRDefault="003B48C3" w:rsidP="00693FD1">
      <w:pPr>
        <w:spacing w:after="0"/>
        <w:jc w:val="both"/>
        <w:rPr>
          <w:lang w:val="en-GB"/>
        </w:rPr>
      </w:pPr>
      <w:r>
        <w:rPr>
          <w:b/>
          <w:lang w:val="en-GB"/>
        </w:rPr>
        <w:t>GDP:</w:t>
      </w:r>
      <w:r>
        <w:rPr>
          <w:b/>
          <w:lang w:val="en-GB"/>
        </w:rPr>
        <w:tab/>
      </w:r>
      <w:r>
        <w:rPr>
          <w:lang w:val="en-GB"/>
        </w:rPr>
        <w:t>Gross Domestic Product</w:t>
      </w:r>
    </w:p>
    <w:p w14:paraId="3BB48590" w14:textId="697FD068" w:rsidR="002D0C71" w:rsidRPr="00CF3C36" w:rsidRDefault="002D0C71" w:rsidP="00693FD1">
      <w:pPr>
        <w:spacing w:after="0"/>
        <w:jc w:val="both"/>
        <w:rPr>
          <w:lang w:val="en-GB"/>
        </w:rPr>
      </w:pPr>
      <w:r w:rsidRPr="00CF3C36">
        <w:rPr>
          <w:b/>
          <w:lang w:val="en-GB"/>
        </w:rPr>
        <w:t>EHC</w:t>
      </w:r>
      <w:r w:rsidRPr="00CF3C36">
        <w:rPr>
          <w:lang w:val="en-GB"/>
        </w:rPr>
        <w:t xml:space="preserve">: </w:t>
      </w:r>
      <w:r w:rsidR="00590803" w:rsidRPr="00CF3C36">
        <w:rPr>
          <w:lang w:val="en-GB"/>
        </w:rPr>
        <w:tab/>
      </w:r>
      <w:r w:rsidRPr="00CF3C36">
        <w:rPr>
          <w:lang w:val="en-GB"/>
        </w:rPr>
        <w:t>CO</w:t>
      </w:r>
      <w:r w:rsidRPr="00CF3C36">
        <w:rPr>
          <w:vertAlign w:val="subscript"/>
          <w:lang w:val="en-GB"/>
        </w:rPr>
        <w:t>2</w:t>
      </w:r>
      <w:r w:rsidR="005A17B8" w:rsidRPr="00CF3C36">
        <w:rPr>
          <w:lang w:val="en-GB"/>
        </w:rPr>
        <w:t xml:space="preserve"> </w:t>
      </w:r>
      <w:r w:rsidRPr="00CF3C36">
        <w:rPr>
          <w:lang w:val="en-GB"/>
        </w:rPr>
        <w:t>emissions from electricity and heat consumption</w:t>
      </w:r>
    </w:p>
    <w:p w14:paraId="7FE5EA76" w14:textId="08E849DF" w:rsidR="006C24A6" w:rsidRDefault="006C24A6" w:rsidP="00693FD1">
      <w:pPr>
        <w:spacing w:after="0"/>
        <w:jc w:val="both"/>
        <w:rPr>
          <w:lang w:val="en-GB"/>
        </w:rPr>
      </w:pPr>
      <w:r w:rsidRPr="00CF3C36">
        <w:rPr>
          <w:b/>
          <w:bCs/>
          <w:lang w:val="en-GB"/>
        </w:rPr>
        <w:t>EKC:</w:t>
      </w:r>
      <w:r w:rsidRPr="00CF3C36">
        <w:rPr>
          <w:b/>
          <w:bCs/>
          <w:lang w:val="en-GB"/>
        </w:rPr>
        <w:tab/>
      </w:r>
      <w:r w:rsidRPr="00CF3C36">
        <w:rPr>
          <w:lang w:val="en-GB"/>
        </w:rPr>
        <w:t>Environmental Kuznets Curve</w:t>
      </w:r>
    </w:p>
    <w:p w14:paraId="52669E9E" w14:textId="50835DB7" w:rsidR="003B48C3" w:rsidRPr="003B48C3" w:rsidRDefault="003B48C3" w:rsidP="00693FD1">
      <w:pPr>
        <w:spacing w:after="0"/>
        <w:jc w:val="both"/>
        <w:rPr>
          <w:lang w:val="en-GB"/>
        </w:rPr>
      </w:pPr>
      <w:r>
        <w:rPr>
          <w:b/>
          <w:lang w:val="en-GB"/>
        </w:rPr>
        <w:t xml:space="preserve">eodb: </w:t>
      </w:r>
      <w:r>
        <w:rPr>
          <w:b/>
          <w:lang w:val="en-GB"/>
        </w:rPr>
        <w:tab/>
      </w:r>
      <w:r>
        <w:rPr>
          <w:lang w:val="en-GB"/>
        </w:rPr>
        <w:t>Ease of doing business</w:t>
      </w:r>
    </w:p>
    <w:p w14:paraId="3B34E0A1" w14:textId="24CD0FAD" w:rsidR="00693FD1" w:rsidRPr="00CF3C36" w:rsidRDefault="00693FD1" w:rsidP="00693FD1">
      <w:pPr>
        <w:spacing w:after="0"/>
        <w:jc w:val="both"/>
        <w:rPr>
          <w:lang w:val="en-GB"/>
        </w:rPr>
      </w:pPr>
      <w:r w:rsidRPr="00CF3C36">
        <w:rPr>
          <w:b/>
          <w:lang w:val="en-GB"/>
        </w:rPr>
        <w:t>EPI</w:t>
      </w:r>
      <w:r w:rsidRPr="00CF3C36">
        <w:rPr>
          <w:lang w:val="en-GB"/>
        </w:rPr>
        <w:t xml:space="preserve">: </w:t>
      </w:r>
      <w:r w:rsidR="00590803" w:rsidRPr="00CF3C36">
        <w:rPr>
          <w:lang w:val="en-GB"/>
        </w:rPr>
        <w:tab/>
      </w:r>
      <w:r w:rsidRPr="00CF3C36">
        <w:rPr>
          <w:lang w:val="en-GB"/>
        </w:rPr>
        <w:t>Environmental Policy Index</w:t>
      </w:r>
    </w:p>
    <w:p w14:paraId="11995BE1" w14:textId="6ABDA04F" w:rsidR="00693FD1" w:rsidRPr="00CF3C36" w:rsidRDefault="00693FD1" w:rsidP="00693FD1">
      <w:pPr>
        <w:spacing w:after="0"/>
        <w:jc w:val="both"/>
        <w:rPr>
          <w:lang w:val="en-GB"/>
        </w:rPr>
      </w:pPr>
      <w:r w:rsidRPr="00CF3C36">
        <w:rPr>
          <w:b/>
          <w:lang w:val="en-GB"/>
        </w:rPr>
        <w:t>EPS</w:t>
      </w:r>
      <w:r w:rsidRPr="00CF3C36">
        <w:rPr>
          <w:lang w:val="en-GB"/>
        </w:rPr>
        <w:t xml:space="preserve">: </w:t>
      </w:r>
      <w:r w:rsidR="00590803" w:rsidRPr="00CF3C36">
        <w:rPr>
          <w:lang w:val="en-GB"/>
        </w:rPr>
        <w:tab/>
      </w:r>
      <w:r w:rsidRPr="00CF3C36">
        <w:rPr>
          <w:lang w:val="en-GB"/>
        </w:rPr>
        <w:t>Environmental Policy Stringency</w:t>
      </w:r>
    </w:p>
    <w:p w14:paraId="0DCD6DA4" w14:textId="65DD59D7" w:rsidR="00C278FF" w:rsidRPr="00CF3C36" w:rsidRDefault="00C278FF" w:rsidP="00693FD1">
      <w:pPr>
        <w:spacing w:after="0"/>
        <w:jc w:val="both"/>
        <w:rPr>
          <w:lang w:val="en-GB"/>
        </w:rPr>
      </w:pPr>
      <w:r w:rsidRPr="00CF3C36">
        <w:rPr>
          <w:b/>
          <w:lang w:val="en-GB"/>
        </w:rPr>
        <w:t>EPSI</w:t>
      </w:r>
      <w:r w:rsidRPr="00CF3C36">
        <w:rPr>
          <w:lang w:val="en-GB"/>
        </w:rPr>
        <w:t xml:space="preserve">: </w:t>
      </w:r>
      <w:r w:rsidR="00590803" w:rsidRPr="00CF3C36">
        <w:rPr>
          <w:lang w:val="en-GB"/>
        </w:rPr>
        <w:tab/>
      </w:r>
      <w:r w:rsidRPr="00CF3C36">
        <w:rPr>
          <w:lang w:val="en-GB"/>
        </w:rPr>
        <w:t>Environmental Policy Stringency Index</w:t>
      </w:r>
    </w:p>
    <w:p w14:paraId="7B09DF20" w14:textId="53780B8A" w:rsidR="00693FD1" w:rsidRPr="00CF3C36" w:rsidRDefault="00693FD1" w:rsidP="00693FD1">
      <w:pPr>
        <w:spacing w:after="0"/>
        <w:jc w:val="both"/>
        <w:rPr>
          <w:lang w:val="en-GB"/>
        </w:rPr>
      </w:pPr>
      <w:r w:rsidRPr="00CF3C36">
        <w:rPr>
          <w:b/>
          <w:lang w:val="en-GB"/>
        </w:rPr>
        <w:t>FDI</w:t>
      </w:r>
      <w:r w:rsidRPr="00CF3C36">
        <w:rPr>
          <w:lang w:val="en-GB"/>
        </w:rPr>
        <w:t xml:space="preserve">: </w:t>
      </w:r>
      <w:r w:rsidR="00590803" w:rsidRPr="00CF3C36">
        <w:rPr>
          <w:lang w:val="en-GB"/>
        </w:rPr>
        <w:tab/>
      </w:r>
      <w:r w:rsidRPr="00CF3C36">
        <w:rPr>
          <w:lang w:val="en-GB"/>
        </w:rPr>
        <w:t>Foreign Direct Investment</w:t>
      </w:r>
    </w:p>
    <w:p w14:paraId="3F5F7F68" w14:textId="3D505B16" w:rsidR="004978B0" w:rsidRPr="00CF3C36" w:rsidRDefault="004978B0" w:rsidP="00693FD1">
      <w:pPr>
        <w:spacing w:after="0"/>
        <w:jc w:val="both"/>
        <w:rPr>
          <w:lang w:val="en-GB"/>
        </w:rPr>
      </w:pPr>
      <w:r w:rsidRPr="00CF3C36">
        <w:rPr>
          <w:b/>
          <w:lang w:val="en-GB"/>
        </w:rPr>
        <w:t xml:space="preserve">GHT: </w:t>
      </w:r>
      <w:r w:rsidRPr="00CF3C36">
        <w:rPr>
          <w:b/>
          <w:lang w:val="en-GB"/>
        </w:rPr>
        <w:tab/>
      </w:r>
      <w:r w:rsidRPr="00CF3C36">
        <w:rPr>
          <w:lang w:val="en-GB"/>
        </w:rPr>
        <w:t>Green Haven Theory</w:t>
      </w:r>
    </w:p>
    <w:p w14:paraId="4EC320AD" w14:textId="65261A73" w:rsidR="004978B0" w:rsidRPr="00CF3C36" w:rsidRDefault="004978B0" w:rsidP="00693FD1">
      <w:pPr>
        <w:spacing w:after="0"/>
        <w:jc w:val="both"/>
        <w:rPr>
          <w:lang w:val="en-GB"/>
        </w:rPr>
      </w:pPr>
      <w:r w:rsidRPr="00CF3C36">
        <w:rPr>
          <w:b/>
          <w:lang w:val="en-GB"/>
        </w:rPr>
        <w:t xml:space="preserve">IIT: </w:t>
      </w:r>
      <w:r w:rsidRPr="00CF3C36">
        <w:rPr>
          <w:b/>
          <w:lang w:val="en-GB"/>
        </w:rPr>
        <w:tab/>
      </w:r>
      <w:r w:rsidRPr="00CF3C36">
        <w:rPr>
          <w:lang w:val="en-GB"/>
        </w:rPr>
        <w:t>Induced Innovation Theory</w:t>
      </w:r>
    </w:p>
    <w:p w14:paraId="5025AC30" w14:textId="4D870AC1" w:rsidR="003108D7" w:rsidRPr="00EF4186" w:rsidRDefault="003108D7" w:rsidP="00693FD1">
      <w:pPr>
        <w:spacing w:after="0"/>
        <w:jc w:val="both"/>
        <w:rPr>
          <w:lang w:val="fr-FR"/>
        </w:rPr>
      </w:pPr>
      <w:r w:rsidRPr="00EF4186">
        <w:rPr>
          <w:b/>
          <w:lang w:val="fr-FR"/>
        </w:rPr>
        <w:t>KL</w:t>
      </w:r>
      <w:r w:rsidRPr="00EF4186">
        <w:rPr>
          <w:lang w:val="fr-FR"/>
        </w:rPr>
        <w:t xml:space="preserve">: </w:t>
      </w:r>
      <w:r w:rsidR="00590803" w:rsidRPr="00EF4186">
        <w:rPr>
          <w:lang w:val="fr-FR"/>
        </w:rPr>
        <w:tab/>
      </w:r>
      <w:r w:rsidRPr="00EF4186">
        <w:rPr>
          <w:lang w:val="fr-FR"/>
        </w:rPr>
        <w:t>Capital-labour ratio</w:t>
      </w:r>
    </w:p>
    <w:p w14:paraId="50B46DF2" w14:textId="38D39578" w:rsidR="00B638CA" w:rsidRPr="00EF4186" w:rsidRDefault="00B638CA" w:rsidP="00693FD1">
      <w:pPr>
        <w:spacing w:after="0"/>
        <w:jc w:val="both"/>
        <w:rPr>
          <w:lang w:val="fr-FR"/>
        </w:rPr>
      </w:pPr>
      <w:r w:rsidRPr="00EF4186">
        <w:rPr>
          <w:b/>
          <w:bCs/>
          <w:lang w:val="fr-FR"/>
        </w:rPr>
        <w:t>MNE:</w:t>
      </w:r>
      <w:r w:rsidRPr="00EF4186">
        <w:rPr>
          <w:lang w:val="fr-FR"/>
        </w:rPr>
        <w:tab/>
        <w:t xml:space="preserve">Multinational </w:t>
      </w:r>
      <w:r w:rsidR="00CF3C36" w:rsidRPr="00EF4186">
        <w:rPr>
          <w:lang w:val="fr-FR"/>
        </w:rPr>
        <w:t>Enterprise</w:t>
      </w:r>
    </w:p>
    <w:p w14:paraId="1A7CAC2D" w14:textId="2D0DAB07" w:rsidR="00AB3866" w:rsidRPr="00CF3C36" w:rsidRDefault="00693FD1" w:rsidP="00693FD1">
      <w:pPr>
        <w:spacing w:after="0"/>
        <w:jc w:val="both"/>
        <w:rPr>
          <w:lang w:val="en-GB"/>
        </w:rPr>
      </w:pPr>
      <w:r w:rsidRPr="00CF3C36">
        <w:rPr>
          <w:b/>
          <w:lang w:val="en-GB"/>
        </w:rPr>
        <w:t>OECD</w:t>
      </w:r>
      <w:r w:rsidRPr="00CF3C36">
        <w:rPr>
          <w:lang w:val="en-GB"/>
        </w:rPr>
        <w:t xml:space="preserve">: </w:t>
      </w:r>
      <w:r w:rsidR="00590803" w:rsidRPr="00CF3C36">
        <w:rPr>
          <w:lang w:val="en-GB"/>
        </w:rPr>
        <w:tab/>
      </w:r>
      <w:r w:rsidRPr="00CF3C36">
        <w:rPr>
          <w:lang w:val="en-GB"/>
        </w:rPr>
        <w:t>Organisation for Economic Cooperation and Development</w:t>
      </w:r>
    </w:p>
    <w:p w14:paraId="006701CA" w14:textId="3E268310" w:rsidR="004978B0" w:rsidRDefault="004978B0" w:rsidP="00693FD1">
      <w:pPr>
        <w:spacing w:after="0"/>
        <w:jc w:val="both"/>
        <w:rPr>
          <w:lang w:val="en-GB"/>
        </w:rPr>
      </w:pPr>
      <w:r w:rsidRPr="00CF3C36">
        <w:rPr>
          <w:b/>
          <w:lang w:val="en-GB"/>
        </w:rPr>
        <w:t>PHT:</w:t>
      </w:r>
      <w:r w:rsidRPr="00CF3C36">
        <w:rPr>
          <w:lang w:val="en-GB"/>
        </w:rPr>
        <w:tab/>
        <w:t>Pollution Haven Theory</w:t>
      </w:r>
    </w:p>
    <w:p w14:paraId="667ED753" w14:textId="280E30EF" w:rsidR="003B48C3" w:rsidRPr="003B48C3" w:rsidRDefault="003B48C3" w:rsidP="00693FD1">
      <w:pPr>
        <w:spacing w:after="0"/>
        <w:jc w:val="both"/>
        <w:rPr>
          <w:b/>
          <w:lang w:val="en-GB"/>
        </w:rPr>
      </w:pPr>
      <w:r>
        <w:rPr>
          <w:b/>
          <w:lang w:val="en-GB"/>
        </w:rPr>
        <w:t>pve:</w:t>
      </w:r>
      <w:r>
        <w:rPr>
          <w:b/>
          <w:lang w:val="en-GB"/>
        </w:rPr>
        <w:tab/>
      </w:r>
      <w:r w:rsidRPr="003B48C3">
        <w:rPr>
          <w:lang w:val="en-GB"/>
        </w:rPr>
        <w:t>Political Stability and Absence of Violence/Terrorism</w:t>
      </w:r>
    </w:p>
    <w:p w14:paraId="3F87A605" w14:textId="0B34F5D9" w:rsidR="003B48C3" w:rsidRPr="003B48C3" w:rsidRDefault="003B48C3" w:rsidP="00693FD1">
      <w:pPr>
        <w:spacing w:after="0"/>
        <w:jc w:val="both"/>
        <w:rPr>
          <w:lang w:val="en-GB"/>
        </w:rPr>
      </w:pPr>
      <w:r>
        <w:rPr>
          <w:b/>
          <w:lang w:val="en-GB"/>
        </w:rPr>
        <w:t xml:space="preserve">rle: </w:t>
      </w:r>
      <w:r>
        <w:rPr>
          <w:b/>
          <w:lang w:val="en-GB"/>
        </w:rPr>
        <w:tab/>
      </w:r>
      <w:r>
        <w:rPr>
          <w:lang w:val="en-GB"/>
        </w:rPr>
        <w:t>Rule of Law</w:t>
      </w:r>
    </w:p>
    <w:p w14:paraId="434739FE" w14:textId="3E6EFB8E" w:rsidR="00AB3866" w:rsidRPr="00CF3C36" w:rsidRDefault="009C3F57" w:rsidP="009C3F57">
      <w:pPr>
        <w:spacing w:after="0"/>
        <w:jc w:val="both"/>
        <w:rPr>
          <w:lang w:val="en-GB"/>
        </w:rPr>
      </w:pPr>
      <w:r w:rsidRPr="00CF3C36">
        <w:rPr>
          <w:b/>
          <w:bCs/>
          <w:lang w:val="en-GB"/>
        </w:rPr>
        <w:t xml:space="preserve">SDGs: </w:t>
      </w:r>
      <w:r w:rsidRPr="00CF3C36">
        <w:rPr>
          <w:b/>
          <w:bCs/>
          <w:lang w:val="en-GB"/>
        </w:rPr>
        <w:tab/>
      </w:r>
      <w:r w:rsidRPr="00CF3C36">
        <w:rPr>
          <w:lang w:val="en-GB"/>
        </w:rPr>
        <w:t>Sustainable Development Goals</w:t>
      </w:r>
    </w:p>
    <w:p w14:paraId="1C9B0142" w14:textId="3CBF73E7" w:rsidR="00AB3866" w:rsidRPr="00CF3C36" w:rsidRDefault="00AB3866" w:rsidP="007D2FB8">
      <w:pPr>
        <w:jc w:val="both"/>
        <w:rPr>
          <w:lang w:val="en-GB"/>
        </w:rPr>
      </w:pPr>
    </w:p>
    <w:p w14:paraId="473F1E5D" w14:textId="485C96CA" w:rsidR="00AB3866" w:rsidRPr="00CF3C36" w:rsidRDefault="00AB3866" w:rsidP="007D2FB8">
      <w:pPr>
        <w:jc w:val="both"/>
        <w:rPr>
          <w:lang w:val="en-GB"/>
        </w:rPr>
      </w:pPr>
    </w:p>
    <w:p w14:paraId="4C0A82A0" w14:textId="77777777" w:rsidR="00B97938" w:rsidRPr="00CF3C36" w:rsidRDefault="00B97938" w:rsidP="007D2FB8">
      <w:pPr>
        <w:pStyle w:val="Heading1"/>
        <w:jc w:val="both"/>
        <w:rPr>
          <w:lang w:val="en-GB"/>
        </w:rPr>
      </w:pPr>
      <w:r w:rsidRPr="00CF3C36">
        <w:rPr>
          <w:lang w:val="en-GB"/>
        </w:rPr>
        <w:br w:type="page"/>
      </w:r>
    </w:p>
    <w:p w14:paraId="06806200" w14:textId="558E3816" w:rsidR="00DF1A80" w:rsidRPr="00CF3C36" w:rsidRDefault="0039280B" w:rsidP="007D2FB8">
      <w:pPr>
        <w:pStyle w:val="Heading1"/>
        <w:jc w:val="both"/>
        <w:rPr>
          <w:lang w:val="en-GB"/>
        </w:rPr>
      </w:pPr>
      <w:bookmarkStart w:id="1" w:name="_Toc15479996"/>
      <w:r w:rsidRPr="00CF3C36">
        <w:rPr>
          <w:lang w:val="en-GB"/>
        </w:rPr>
        <w:lastRenderedPageBreak/>
        <w:t>1.</w:t>
      </w:r>
      <w:r w:rsidR="00303B6D" w:rsidRPr="00CF3C36">
        <w:rPr>
          <w:lang w:val="en-GB"/>
        </w:rPr>
        <w:t xml:space="preserve"> </w:t>
      </w:r>
      <w:r w:rsidR="002033D6" w:rsidRPr="00CF3C36">
        <w:rPr>
          <w:lang w:val="en-GB"/>
        </w:rPr>
        <w:t>Introduction</w:t>
      </w:r>
      <w:bookmarkEnd w:id="1"/>
    </w:p>
    <w:p w14:paraId="0E348E67" w14:textId="79A1C171" w:rsidR="006364BF" w:rsidRPr="00CF3C36" w:rsidRDefault="009C7BBE" w:rsidP="00E51670">
      <w:pPr>
        <w:spacing w:after="0" w:line="360" w:lineRule="auto"/>
        <w:jc w:val="both"/>
        <w:rPr>
          <w:lang w:val="en-GB"/>
        </w:rPr>
      </w:pPr>
      <w:r w:rsidRPr="00CF3C36">
        <w:rPr>
          <w:lang w:val="en-GB"/>
        </w:rPr>
        <w:t>As a part of the increased globalization of the last decades, markets have internationalized</w:t>
      </w:r>
      <w:r w:rsidR="00BC1CE0" w:rsidRPr="00CF3C36">
        <w:rPr>
          <w:lang w:val="en-GB"/>
        </w:rPr>
        <w:t>.</w:t>
      </w:r>
      <w:r w:rsidRPr="00CF3C36">
        <w:rPr>
          <w:lang w:val="en-GB"/>
        </w:rPr>
        <w:t xml:space="preserve"> </w:t>
      </w:r>
      <w:r w:rsidR="00BC1CE0" w:rsidRPr="00CF3C36">
        <w:rPr>
          <w:lang w:val="en-GB"/>
        </w:rPr>
        <w:t>This</w:t>
      </w:r>
      <w:r w:rsidRPr="00CF3C36">
        <w:rPr>
          <w:lang w:val="en-GB"/>
        </w:rPr>
        <w:t xml:space="preserve"> has encouraged companies </w:t>
      </w:r>
      <w:r w:rsidR="00E51670" w:rsidRPr="00CF3C36">
        <w:rPr>
          <w:lang w:val="en-GB"/>
        </w:rPr>
        <w:t>t</w:t>
      </w:r>
      <w:r w:rsidRPr="00CF3C36">
        <w:rPr>
          <w:lang w:val="en-GB"/>
        </w:rPr>
        <w:t xml:space="preserve">o engage in international business resulting in an increase in Foreign Direct Investment (FDI). </w:t>
      </w:r>
      <w:r w:rsidR="00F15A29" w:rsidRPr="00CF3C36">
        <w:rPr>
          <w:lang w:val="en-GB"/>
        </w:rPr>
        <w:t>T</w:t>
      </w:r>
      <w:r w:rsidRPr="00CF3C36">
        <w:rPr>
          <w:lang w:val="en-GB"/>
        </w:rPr>
        <w:t xml:space="preserve">he general </w:t>
      </w:r>
      <w:r w:rsidR="00F15A29" w:rsidRPr="00CF3C36">
        <w:rPr>
          <w:lang w:val="en-GB"/>
        </w:rPr>
        <w:t>perception</w:t>
      </w:r>
      <w:r w:rsidRPr="00CF3C36">
        <w:rPr>
          <w:lang w:val="en-GB"/>
        </w:rPr>
        <w:t xml:space="preserve"> </w:t>
      </w:r>
      <w:r w:rsidR="00F15A29" w:rsidRPr="00CF3C36">
        <w:rPr>
          <w:lang w:val="en-GB"/>
        </w:rPr>
        <w:t xml:space="preserve">of </w:t>
      </w:r>
      <w:r w:rsidR="006240EF" w:rsidRPr="00CF3C36">
        <w:rPr>
          <w:lang w:val="en-GB"/>
        </w:rPr>
        <w:t xml:space="preserve">inward </w:t>
      </w:r>
      <w:r w:rsidR="00F15A29" w:rsidRPr="00CF3C36">
        <w:rPr>
          <w:lang w:val="en-GB"/>
        </w:rPr>
        <w:t xml:space="preserve">FDI </w:t>
      </w:r>
      <w:r w:rsidRPr="00CF3C36">
        <w:rPr>
          <w:lang w:val="en-GB"/>
        </w:rPr>
        <w:t xml:space="preserve">is that </w:t>
      </w:r>
      <w:r w:rsidR="00F15A29" w:rsidRPr="00CF3C36">
        <w:rPr>
          <w:lang w:val="en-GB"/>
        </w:rPr>
        <w:t>it</w:t>
      </w:r>
      <w:r w:rsidRPr="00CF3C36">
        <w:rPr>
          <w:lang w:val="en-GB"/>
        </w:rPr>
        <w:t xml:space="preserve"> </w:t>
      </w:r>
      <w:r w:rsidR="002A0D75" w:rsidRPr="00CF3C36">
        <w:rPr>
          <w:lang w:val="en-GB"/>
        </w:rPr>
        <w:t>can have</w:t>
      </w:r>
      <w:r w:rsidRPr="00CF3C36">
        <w:rPr>
          <w:lang w:val="en-GB"/>
        </w:rPr>
        <w:t xml:space="preserve"> a positive effect on a country’s economic development</w:t>
      </w:r>
      <w:r w:rsidR="006240EF" w:rsidRPr="00CF3C36">
        <w:rPr>
          <w:lang w:val="en-GB"/>
        </w:rPr>
        <w:t xml:space="preserve"> (i.e. </w:t>
      </w:r>
      <w:r w:rsidR="002A0D75" w:rsidRPr="00CF3C36">
        <w:rPr>
          <w:lang w:val="en-GB"/>
        </w:rPr>
        <w:t xml:space="preserve">Borensztein et al., 1998; OECD, 2002; </w:t>
      </w:r>
      <w:r w:rsidR="005E7257" w:rsidRPr="00CF3C36">
        <w:rPr>
          <w:lang w:val="en-GB"/>
        </w:rPr>
        <w:t>Navaretti &amp; Venables</w:t>
      </w:r>
      <w:r w:rsidR="002A0D75" w:rsidRPr="00CF3C36">
        <w:rPr>
          <w:lang w:val="en-GB"/>
        </w:rPr>
        <w:t>, 2004; Alfaro et al., 2004 &amp; OECD, 2019a)</w:t>
      </w:r>
      <w:r w:rsidR="00E51670" w:rsidRPr="00CF3C36">
        <w:rPr>
          <w:lang w:val="en-GB"/>
        </w:rPr>
        <w:t>.</w:t>
      </w:r>
      <w:r w:rsidRPr="00CF3C36">
        <w:rPr>
          <w:lang w:val="en-GB"/>
        </w:rPr>
        <w:t xml:space="preserve"> </w:t>
      </w:r>
      <w:r w:rsidR="00F92492" w:rsidRPr="00CF3C36">
        <w:rPr>
          <w:lang w:val="en-GB"/>
        </w:rPr>
        <w:t>Governments believe that t</w:t>
      </w:r>
      <w:r w:rsidRPr="00CF3C36">
        <w:rPr>
          <w:lang w:val="en-GB"/>
        </w:rPr>
        <w:t xml:space="preserve">hese benefits for society </w:t>
      </w:r>
      <w:r w:rsidR="00F92492" w:rsidRPr="00CF3C36">
        <w:rPr>
          <w:lang w:val="en-GB"/>
        </w:rPr>
        <w:t xml:space="preserve">are </w:t>
      </w:r>
      <w:r w:rsidRPr="00CF3C36">
        <w:rPr>
          <w:lang w:val="en-GB"/>
        </w:rPr>
        <w:t>greater than the benef</w:t>
      </w:r>
      <w:r w:rsidR="00E51670" w:rsidRPr="00CF3C36">
        <w:rPr>
          <w:lang w:val="en-GB"/>
        </w:rPr>
        <w:t xml:space="preserve">its that a firm can internalize. </w:t>
      </w:r>
      <w:r w:rsidR="00F92492" w:rsidRPr="00CF3C36">
        <w:rPr>
          <w:lang w:val="en-GB"/>
        </w:rPr>
        <w:t>This results a</w:t>
      </w:r>
      <w:r w:rsidR="00E51670" w:rsidRPr="00CF3C36">
        <w:rPr>
          <w:lang w:val="en-GB"/>
        </w:rPr>
        <w:t xml:space="preserve"> sub-optimal level of FDI </w:t>
      </w:r>
      <w:r w:rsidR="00F92492" w:rsidRPr="00CF3C36">
        <w:rPr>
          <w:lang w:val="en-GB"/>
        </w:rPr>
        <w:t xml:space="preserve">attraction </w:t>
      </w:r>
      <w:r w:rsidR="00E51670" w:rsidRPr="00CF3C36">
        <w:rPr>
          <w:lang w:val="en-GB"/>
        </w:rPr>
        <w:t xml:space="preserve">by the market for society wide utility maximization and </w:t>
      </w:r>
      <w:r w:rsidR="00F92492" w:rsidRPr="00CF3C36">
        <w:rPr>
          <w:lang w:val="en-GB"/>
        </w:rPr>
        <w:t xml:space="preserve">thus </w:t>
      </w:r>
      <w:r w:rsidR="00E51670" w:rsidRPr="00CF3C36">
        <w:rPr>
          <w:lang w:val="en-GB"/>
        </w:rPr>
        <w:t>government intervention can be justified</w:t>
      </w:r>
      <w:r w:rsidRPr="00CF3C36">
        <w:rPr>
          <w:lang w:val="en-GB"/>
        </w:rPr>
        <w:t xml:space="preserve"> </w:t>
      </w:r>
      <w:r w:rsidR="000019B2" w:rsidRPr="00CF3C36">
        <w:rPr>
          <w:lang w:val="en-GB"/>
        </w:rPr>
        <w:t>(Alfaro et al., 2004)</w:t>
      </w:r>
      <w:r w:rsidRPr="00CF3C36">
        <w:rPr>
          <w:lang w:val="en-GB"/>
        </w:rPr>
        <w:t xml:space="preserve">. </w:t>
      </w:r>
      <w:r w:rsidR="00DF76BA" w:rsidRPr="00CF3C36">
        <w:rPr>
          <w:lang w:val="en-GB"/>
        </w:rPr>
        <w:t>This government interve</w:t>
      </w:r>
      <w:r w:rsidR="00E51670" w:rsidRPr="00CF3C36">
        <w:rPr>
          <w:lang w:val="en-GB"/>
        </w:rPr>
        <w:t>ntion is also seen widely from the 1990’s onwards, as</w:t>
      </w:r>
      <w:r w:rsidR="00DF76BA" w:rsidRPr="00CF3C36">
        <w:rPr>
          <w:lang w:val="en-GB"/>
        </w:rPr>
        <w:t xml:space="preserve"> governments</w:t>
      </w:r>
      <w:r w:rsidR="00E51670" w:rsidRPr="00CF3C36">
        <w:rPr>
          <w:lang w:val="en-GB"/>
        </w:rPr>
        <w:t xml:space="preserve"> have </w:t>
      </w:r>
      <w:r w:rsidR="00DF76BA" w:rsidRPr="00CF3C36">
        <w:rPr>
          <w:lang w:val="en-GB"/>
        </w:rPr>
        <w:t>change</w:t>
      </w:r>
      <w:r w:rsidR="00E51670" w:rsidRPr="00CF3C36">
        <w:rPr>
          <w:lang w:val="en-GB"/>
        </w:rPr>
        <w:t>d</w:t>
      </w:r>
      <w:r w:rsidR="00DF76BA" w:rsidRPr="00CF3C36">
        <w:rPr>
          <w:lang w:val="en-GB"/>
        </w:rPr>
        <w:t xml:space="preserve"> their investment regimes in favour of attracting investment from</w:t>
      </w:r>
      <w:r w:rsidR="00E51670" w:rsidRPr="00CF3C36">
        <w:rPr>
          <w:lang w:val="en-GB"/>
        </w:rPr>
        <w:t xml:space="preserve"> multinational enterprises</w:t>
      </w:r>
      <w:r w:rsidR="00DF76BA" w:rsidRPr="00CF3C36">
        <w:rPr>
          <w:lang w:val="en-GB"/>
        </w:rPr>
        <w:t xml:space="preserve"> </w:t>
      </w:r>
      <w:r w:rsidR="00E51670" w:rsidRPr="00CF3C36">
        <w:rPr>
          <w:lang w:val="en-GB"/>
        </w:rPr>
        <w:t>(</w:t>
      </w:r>
      <w:r w:rsidR="00DF76BA" w:rsidRPr="00CF3C36">
        <w:rPr>
          <w:lang w:val="en-GB"/>
        </w:rPr>
        <w:t>MNE’s</w:t>
      </w:r>
      <w:r w:rsidR="00E51670" w:rsidRPr="00CF3C36">
        <w:rPr>
          <w:lang w:val="en-GB"/>
        </w:rPr>
        <w:t>)</w:t>
      </w:r>
      <w:r w:rsidR="00DF76BA" w:rsidRPr="00CF3C36">
        <w:rPr>
          <w:lang w:val="en-GB"/>
        </w:rPr>
        <w:t xml:space="preserve"> (Smeets, 2009). </w:t>
      </w:r>
      <w:r w:rsidR="002C321A" w:rsidRPr="00CF3C36">
        <w:rPr>
          <w:lang w:val="en-GB"/>
        </w:rPr>
        <w:t>An example of this is the large incentive package</w:t>
      </w:r>
      <w:r w:rsidR="00E51670" w:rsidRPr="00CF3C36">
        <w:rPr>
          <w:lang w:val="en-GB"/>
        </w:rPr>
        <w:t xml:space="preserve"> that Renault received in 1996 from the Brazilian government to persuade Renault to make a large investment in Brazil. This package included</w:t>
      </w:r>
      <w:r w:rsidR="002C321A" w:rsidRPr="00CF3C36">
        <w:rPr>
          <w:lang w:val="en-GB"/>
        </w:rPr>
        <w:t xml:space="preserve"> dire</w:t>
      </w:r>
      <w:r w:rsidR="00BC1CE0" w:rsidRPr="00CF3C36">
        <w:rPr>
          <w:lang w:val="en-GB"/>
        </w:rPr>
        <w:t>ct financial contributions of $</w:t>
      </w:r>
      <w:r w:rsidR="002C321A" w:rsidRPr="00CF3C36">
        <w:rPr>
          <w:lang w:val="en-GB"/>
        </w:rPr>
        <w:t>300 million, a series of tax breaks, the donation of a large construction site an</w:t>
      </w:r>
      <w:r w:rsidR="00D031AC" w:rsidRPr="00CF3C36">
        <w:rPr>
          <w:lang w:val="en-GB"/>
        </w:rPr>
        <w:t>d favourable loaning conditions</w:t>
      </w:r>
      <w:r w:rsidR="002C321A" w:rsidRPr="00CF3C36">
        <w:rPr>
          <w:lang w:val="en-GB"/>
        </w:rPr>
        <w:t xml:space="preserve"> (Smeets, 2009). </w:t>
      </w:r>
      <w:r w:rsidR="000019B2" w:rsidRPr="00CF3C36">
        <w:rPr>
          <w:lang w:val="en-GB"/>
        </w:rPr>
        <w:t>However, empirical evidence for the impact of FDI on economic growth has been mixed – leaving this debate still unresolved. Many scholars now believe that FDI has the potential to positively impact economic growth, but that the extent to</w:t>
      </w:r>
      <w:r w:rsidR="00814D32" w:rsidRPr="00CF3C36">
        <w:rPr>
          <w:lang w:val="en-GB"/>
        </w:rPr>
        <w:t xml:space="preserve"> which this potential is realised</w:t>
      </w:r>
      <w:r w:rsidR="000019B2" w:rsidRPr="00CF3C36">
        <w:rPr>
          <w:lang w:val="en-GB"/>
        </w:rPr>
        <w:t xml:space="preserve"> depends on</w:t>
      </w:r>
      <w:r w:rsidR="00983BB9" w:rsidRPr="00CF3C36">
        <w:rPr>
          <w:lang w:val="en-GB"/>
        </w:rPr>
        <w:t xml:space="preserve"> characteristics of the host-country such as the level of human capital (Borensztein et al., 1998 &amp; Solomon, 2011), or level of development of the financial markets (Bengoa and Sanchez-Robles, 2003 &amp; Durham, 2004). </w:t>
      </w:r>
      <w:r w:rsidR="00B24093" w:rsidRPr="00CF3C36">
        <w:rPr>
          <w:lang w:val="en-GB"/>
        </w:rPr>
        <w:t>Due to these tre</w:t>
      </w:r>
      <w:r w:rsidR="00BC1CE0" w:rsidRPr="00CF3C36">
        <w:rPr>
          <w:lang w:val="en-GB"/>
        </w:rPr>
        <w:t>nds both the academic and political</w:t>
      </w:r>
      <w:r w:rsidR="00B24093" w:rsidRPr="00CF3C36">
        <w:rPr>
          <w:lang w:val="en-GB"/>
        </w:rPr>
        <w:t xml:space="preserve"> debate have been focussed on the implications of FDI on the economic development of a country</w:t>
      </w:r>
      <w:r w:rsidR="00470152" w:rsidRPr="00CF3C36">
        <w:rPr>
          <w:lang w:val="en-GB"/>
        </w:rPr>
        <w:t>, the proper way to maximize the benefits from FDI and</w:t>
      </w:r>
      <w:r w:rsidR="00B24093" w:rsidRPr="00CF3C36">
        <w:rPr>
          <w:lang w:val="en-GB"/>
        </w:rPr>
        <w:t xml:space="preserve"> the appropriate way to attract FDI. </w:t>
      </w:r>
    </w:p>
    <w:p w14:paraId="063C4AEF" w14:textId="287FF414" w:rsidR="00B24093" w:rsidRPr="00CF3C36" w:rsidRDefault="00B24093" w:rsidP="0049437C">
      <w:pPr>
        <w:spacing w:line="360" w:lineRule="auto"/>
        <w:ind w:firstLine="708"/>
        <w:jc w:val="both"/>
        <w:rPr>
          <w:lang w:val="en-GB"/>
        </w:rPr>
      </w:pPr>
      <w:r w:rsidRPr="00CF3C36">
        <w:rPr>
          <w:lang w:val="en-GB"/>
        </w:rPr>
        <w:t xml:space="preserve">In recent years, however, the policy debate has shifted to other impacts of FDI on the </w:t>
      </w:r>
      <w:r w:rsidR="004A280C" w:rsidRPr="00CF3C36">
        <w:rPr>
          <w:lang w:val="en-GB"/>
        </w:rPr>
        <w:t>host</w:t>
      </w:r>
      <w:r w:rsidRPr="00CF3C36">
        <w:rPr>
          <w:lang w:val="en-GB"/>
        </w:rPr>
        <w:t xml:space="preserve"> society. Ever since the launch of the Millennium Devel</w:t>
      </w:r>
      <w:r w:rsidR="00522FEA" w:rsidRPr="00CF3C36">
        <w:rPr>
          <w:lang w:val="en-GB"/>
        </w:rPr>
        <w:t xml:space="preserve">opment Goals (MDGs) in 2000 and </w:t>
      </w:r>
      <w:r w:rsidRPr="00CF3C36">
        <w:rPr>
          <w:lang w:val="en-GB"/>
        </w:rPr>
        <w:t>the Sustainable Development Goals (SDGs) in 2015, the focus is no longer</w:t>
      </w:r>
      <w:r w:rsidR="00522FEA" w:rsidRPr="00CF3C36">
        <w:rPr>
          <w:lang w:val="en-GB"/>
        </w:rPr>
        <w:t xml:space="preserve"> solely on economic development.</w:t>
      </w:r>
      <w:r w:rsidRPr="00CF3C36">
        <w:rPr>
          <w:lang w:val="en-GB"/>
        </w:rPr>
        <w:t xml:space="preserve"> </w:t>
      </w:r>
      <w:r w:rsidR="00522FEA" w:rsidRPr="00CF3C36">
        <w:rPr>
          <w:lang w:val="en-GB"/>
        </w:rPr>
        <w:t xml:space="preserve">The focus shifted to a </w:t>
      </w:r>
      <w:r w:rsidRPr="00CF3C36">
        <w:rPr>
          <w:lang w:val="en-GB"/>
        </w:rPr>
        <w:t>multidimensional form of development including factors as environmental quality, quality of labour standards, gender equality and access to food, water and energy. As a part of this increased interest in the broader impacts of investment UNCTAD (2015, p</w:t>
      </w:r>
      <w:r w:rsidR="00FC357B" w:rsidRPr="00CF3C36">
        <w:rPr>
          <w:lang w:val="en-GB"/>
        </w:rPr>
        <w:t>.</w:t>
      </w:r>
      <w:r w:rsidRPr="00CF3C36">
        <w:rPr>
          <w:lang w:val="en-GB"/>
        </w:rPr>
        <w:t xml:space="preserve"> 6) published its Investment Policy Framework for Sustainable Development in 2015</w:t>
      </w:r>
      <w:r w:rsidR="00522FEA" w:rsidRPr="00CF3C36">
        <w:rPr>
          <w:lang w:val="en-GB"/>
        </w:rPr>
        <w:t>,</w:t>
      </w:r>
      <w:r w:rsidRPr="00CF3C36">
        <w:rPr>
          <w:lang w:val="en-GB"/>
        </w:rPr>
        <w:t xml:space="preserve"> which states that:</w:t>
      </w:r>
    </w:p>
    <w:p w14:paraId="52136E62" w14:textId="77777777" w:rsidR="00B24093" w:rsidRPr="00CF3C36" w:rsidRDefault="00FF50D7" w:rsidP="0049437C">
      <w:pPr>
        <w:spacing w:line="360" w:lineRule="auto"/>
        <w:jc w:val="both"/>
        <w:rPr>
          <w:i/>
          <w:lang w:val="en-GB"/>
        </w:rPr>
      </w:pPr>
      <w:r w:rsidRPr="00CF3C36">
        <w:rPr>
          <w:i/>
          <w:lang w:val="en-GB"/>
        </w:rPr>
        <w:t xml:space="preserve"> </w:t>
      </w:r>
      <w:r w:rsidR="00B24093" w:rsidRPr="00CF3C36">
        <w:rPr>
          <w:i/>
          <w:lang w:val="en-GB"/>
        </w:rPr>
        <w:t>“Mobilizing investment and ensuring that it contributes to sustainable development is a priority for all countries. A new generation of investment policies is emerging, pursuing a broader and more intricate development policy agenda, while building or maintaining a generally favourable investment climate.”</w:t>
      </w:r>
    </w:p>
    <w:p w14:paraId="11C6C184" w14:textId="462B9AE6" w:rsidR="00683C88" w:rsidRPr="00CF3C36" w:rsidRDefault="00FF50D7" w:rsidP="00430A6D">
      <w:pPr>
        <w:spacing w:line="360" w:lineRule="auto"/>
        <w:jc w:val="both"/>
        <w:rPr>
          <w:lang w:val="en-GB"/>
        </w:rPr>
      </w:pPr>
      <w:r w:rsidRPr="00CF3C36">
        <w:rPr>
          <w:lang w:val="en-GB"/>
        </w:rPr>
        <w:t>This focus on sustainable development is</w:t>
      </w:r>
      <w:r w:rsidR="0079774F" w:rsidRPr="00CF3C36">
        <w:rPr>
          <w:lang w:val="en-GB"/>
        </w:rPr>
        <w:t xml:space="preserve"> in part</w:t>
      </w:r>
      <w:r w:rsidRPr="00CF3C36">
        <w:rPr>
          <w:lang w:val="en-GB"/>
        </w:rPr>
        <w:t xml:space="preserve"> a reaction to many scandals involving MNE’s in developing countries. </w:t>
      </w:r>
      <w:r w:rsidR="00DA0097" w:rsidRPr="00CF3C36">
        <w:rPr>
          <w:lang w:val="en-GB"/>
        </w:rPr>
        <w:t xml:space="preserve">These scandals include the explosions at an Apple factory in China killing and </w:t>
      </w:r>
      <w:r w:rsidR="00003C99" w:rsidRPr="00CF3C36">
        <w:rPr>
          <w:lang w:val="en-GB"/>
        </w:rPr>
        <w:lastRenderedPageBreak/>
        <w:t>harming the employee</w:t>
      </w:r>
      <w:r w:rsidR="00DA0097" w:rsidRPr="00CF3C36">
        <w:rPr>
          <w:lang w:val="en-GB"/>
        </w:rPr>
        <w:t>s</w:t>
      </w:r>
      <w:r w:rsidRPr="00CF3C36">
        <w:rPr>
          <w:lang w:val="en-GB"/>
        </w:rPr>
        <w:t xml:space="preserve"> (Clarke &amp; Boersma, 2017), the collapse of a clothing factory in Bangladesh producing for European and American firms leaving 134 people dead and more than 1,000 people injured (Manik, &amp; Yard</w:t>
      </w:r>
      <w:r w:rsidR="00C366FD" w:rsidRPr="00CF3C36">
        <w:rPr>
          <w:lang w:val="en-GB"/>
        </w:rPr>
        <w:t>f</w:t>
      </w:r>
      <w:r w:rsidRPr="00CF3C36">
        <w:rPr>
          <w:lang w:val="en-GB"/>
        </w:rPr>
        <w:t>ley, 2013)</w:t>
      </w:r>
      <w:r w:rsidR="00DA0097" w:rsidRPr="00CF3C36">
        <w:rPr>
          <w:lang w:val="en-GB"/>
        </w:rPr>
        <w:t>,</w:t>
      </w:r>
      <w:r w:rsidRPr="00CF3C36">
        <w:rPr>
          <w:lang w:val="en-GB"/>
        </w:rPr>
        <w:t xml:space="preserve"> or the unsustainable water use of Coca-Cola </w:t>
      </w:r>
      <w:r w:rsidR="00CF3C36">
        <w:rPr>
          <w:lang w:val="en-GB"/>
        </w:rPr>
        <w:t>in India</w:t>
      </w:r>
      <w:r w:rsidR="00B74E4A" w:rsidRPr="00CF3C36">
        <w:rPr>
          <w:lang w:val="en-GB"/>
        </w:rPr>
        <w:t xml:space="preserve"> </w:t>
      </w:r>
      <w:r w:rsidRPr="00CF3C36">
        <w:rPr>
          <w:lang w:val="en-GB"/>
        </w:rPr>
        <w:t xml:space="preserve">leaving many local farmers </w:t>
      </w:r>
      <w:r w:rsidR="0079774F" w:rsidRPr="00CF3C36">
        <w:rPr>
          <w:lang w:val="en-GB"/>
        </w:rPr>
        <w:t>in severe water-scarcity</w:t>
      </w:r>
      <w:r w:rsidRPr="00CF3C36">
        <w:rPr>
          <w:lang w:val="en-GB"/>
        </w:rPr>
        <w:t xml:space="preserve"> (Brown, 2003). These are some examples of MNE’s</w:t>
      </w:r>
      <w:r w:rsidR="001418EE" w:rsidRPr="00CF3C36">
        <w:rPr>
          <w:lang w:val="en-GB"/>
        </w:rPr>
        <w:t>,</w:t>
      </w:r>
      <w:r w:rsidRPr="00CF3C36">
        <w:rPr>
          <w:lang w:val="en-GB"/>
        </w:rPr>
        <w:t xml:space="preserve"> which might have been good for the economic </w:t>
      </w:r>
      <w:r w:rsidR="003A1F67" w:rsidRPr="00CF3C36">
        <w:rPr>
          <w:lang w:val="en-GB"/>
        </w:rPr>
        <w:t>development</w:t>
      </w:r>
      <w:r w:rsidR="001418EE" w:rsidRPr="00CF3C36">
        <w:rPr>
          <w:lang w:val="en-GB"/>
        </w:rPr>
        <w:t>,</w:t>
      </w:r>
      <w:r w:rsidR="003A1F67" w:rsidRPr="00CF3C36">
        <w:rPr>
          <w:lang w:val="en-GB"/>
        </w:rPr>
        <w:t xml:space="preserve"> but</w:t>
      </w:r>
      <w:r w:rsidRPr="00CF3C36">
        <w:rPr>
          <w:lang w:val="en-GB"/>
        </w:rPr>
        <w:t xml:space="preserve"> have had negative effects on other aspects of sustainable development.</w:t>
      </w:r>
      <w:r w:rsidR="005342C7" w:rsidRPr="00CF3C36">
        <w:rPr>
          <w:lang w:val="en-GB"/>
        </w:rPr>
        <w:t xml:space="preserve"> However, attracting FDI is an objective for many policy</w:t>
      </w:r>
      <w:r w:rsidR="003A1F67" w:rsidRPr="00CF3C36">
        <w:rPr>
          <w:lang w:val="en-GB"/>
        </w:rPr>
        <w:t>makers,</w:t>
      </w:r>
      <w:r w:rsidR="005342C7" w:rsidRPr="00CF3C36">
        <w:rPr>
          <w:lang w:val="en-GB"/>
        </w:rPr>
        <w:t xml:space="preserve"> nonetheless. Partly due to the fact that economic development still remains a very important objective for many policymakers and partly due to the fact that many scholars and policymakers believe that FDI can also have a positive effect on other aspects of sustainable development, if </w:t>
      </w:r>
      <w:r w:rsidR="009F623F" w:rsidRPr="00CF3C36">
        <w:rPr>
          <w:lang w:val="en-GB"/>
        </w:rPr>
        <w:t xml:space="preserve">it is managed well. </w:t>
      </w:r>
      <w:r w:rsidR="00430A6D" w:rsidRPr="00CF3C36">
        <w:rPr>
          <w:lang w:val="en-GB"/>
        </w:rPr>
        <w:t>This rationale is well captured in the following statement of the OECD</w:t>
      </w:r>
      <w:r w:rsidR="00E930DE" w:rsidRPr="00CF3C36">
        <w:rPr>
          <w:lang w:val="en-GB"/>
        </w:rPr>
        <w:t xml:space="preserve"> concerning environmental sustainability</w:t>
      </w:r>
      <w:r w:rsidR="00430A6D" w:rsidRPr="00CF3C36">
        <w:rPr>
          <w:lang w:val="en-GB"/>
        </w:rPr>
        <w:t xml:space="preserve"> (2002, p. 159):</w:t>
      </w:r>
    </w:p>
    <w:p w14:paraId="2098F51F" w14:textId="39A34F8D" w:rsidR="00683C88" w:rsidRPr="00CF3C36" w:rsidRDefault="00430A6D" w:rsidP="00F30942">
      <w:pPr>
        <w:spacing w:after="0" w:line="360" w:lineRule="auto"/>
        <w:jc w:val="both"/>
        <w:rPr>
          <w:i/>
          <w:lang w:val="en-GB"/>
        </w:rPr>
      </w:pPr>
      <w:r w:rsidRPr="00CF3C36">
        <w:rPr>
          <w:i/>
          <w:lang w:val="en-GB"/>
        </w:rPr>
        <w:t>“While emphasising the need to use inward FDI as a tool for encouraging economic growth, especially in the poorest countries, it is important to recognise that FDI may also affect quality of life beyond the narrowly defined economic context. International investment can impact on the environmental performance of host countries. Such impacts may be positive or negative, and will depend largely on the enforcement of adequate environmental policies and standards in the host country.”</w:t>
      </w:r>
    </w:p>
    <w:p w14:paraId="2DB5BE06" w14:textId="5A835CA9" w:rsidR="00E930DE" w:rsidRPr="00CF3C36" w:rsidRDefault="00E930DE" w:rsidP="00430A6D">
      <w:pPr>
        <w:spacing w:before="240" w:after="0" w:line="360" w:lineRule="auto"/>
        <w:jc w:val="both"/>
        <w:rPr>
          <w:lang w:val="en-GB"/>
        </w:rPr>
      </w:pPr>
      <w:r w:rsidRPr="00CF3C36">
        <w:rPr>
          <w:lang w:val="en-GB"/>
        </w:rPr>
        <w:t>This raises two que</w:t>
      </w:r>
      <w:r w:rsidR="00834700" w:rsidRPr="00CF3C36">
        <w:rPr>
          <w:lang w:val="en-GB"/>
        </w:rPr>
        <w:t>stion</w:t>
      </w:r>
      <w:r w:rsidRPr="00CF3C36">
        <w:rPr>
          <w:lang w:val="en-GB"/>
        </w:rPr>
        <w:t xml:space="preserve">s. First of </w:t>
      </w:r>
      <w:r w:rsidR="002021F9" w:rsidRPr="00CF3C36">
        <w:rPr>
          <w:lang w:val="en-GB"/>
        </w:rPr>
        <w:t>all,</w:t>
      </w:r>
      <w:r w:rsidRPr="00CF3C36">
        <w:rPr>
          <w:lang w:val="en-GB"/>
        </w:rPr>
        <w:t xml:space="preserve"> it raises the question to what extent a trade-off exists between the objective to use FDI to encourage economic growth and the objective to create positive environmental impacts of FDI. The second question is to what exten</w:t>
      </w:r>
      <w:r w:rsidR="00814D32" w:rsidRPr="00CF3C36">
        <w:rPr>
          <w:lang w:val="en-GB"/>
        </w:rPr>
        <w:t>t</w:t>
      </w:r>
      <w:r w:rsidRPr="00CF3C36">
        <w:rPr>
          <w:lang w:val="en-GB"/>
        </w:rPr>
        <w:t xml:space="preserve"> the environmental impact of FDI depends of the enforcement of adequate environmental policies and standards in the host country.</w:t>
      </w:r>
    </w:p>
    <w:p w14:paraId="5D11378D" w14:textId="4B5E5494" w:rsidR="003B1773" w:rsidRPr="00CF3C36" w:rsidRDefault="00B61931" w:rsidP="00AF1571">
      <w:pPr>
        <w:spacing w:after="100" w:afterAutospacing="1" w:line="360" w:lineRule="auto"/>
        <w:ind w:firstLine="708"/>
        <w:jc w:val="both"/>
        <w:rPr>
          <w:lang w:val="en-GB"/>
        </w:rPr>
      </w:pPr>
      <w:r w:rsidRPr="00CF3C36">
        <w:rPr>
          <w:lang w:val="en-GB"/>
        </w:rPr>
        <w:t xml:space="preserve">This thesis will contribute to this debate by </w:t>
      </w:r>
      <w:r w:rsidR="00E930DE" w:rsidRPr="00CF3C36">
        <w:rPr>
          <w:lang w:val="en-GB"/>
        </w:rPr>
        <w:t>looking at</w:t>
      </w:r>
      <w:r w:rsidRPr="00CF3C36">
        <w:rPr>
          <w:lang w:val="en-GB"/>
        </w:rPr>
        <w:t xml:space="preserve"> the environmental aspect of sustainable development</w:t>
      </w:r>
      <w:r w:rsidR="001418EE" w:rsidRPr="00CF3C36">
        <w:rPr>
          <w:lang w:val="en-GB"/>
        </w:rPr>
        <w:t>.</w:t>
      </w:r>
      <w:r w:rsidRPr="00CF3C36">
        <w:rPr>
          <w:lang w:val="en-GB"/>
        </w:rPr>
        <w:t xml:space="preserve"> </w:t>
      </w:r>
      <w:r w:rsidR="001418EE" w:rsidRPr="00CF3C36">
        <w:rPr>
          <w:lang w:val="en-GB"/>
        </w:rPr>
        <w:t>It will</w:t>
      </w:r>
      <w:r w:rsidRPr="00CF3C36">
        <w:rPr>
          <w:lang w:val="en-GB"/>
        </w:rPr>
        <w:t xml:space="preserve"> </w:t>
      </w:r>
      <w:r w:rsidR="001418EE" w:rsidRPr="00CF3C36">
        <w:rPr>
          <w:lang w:val="en-GB"/>
        </w:rPr>
        <w:t>focus</w:t>
      </w:r>
      <w:r w:rsidR="00E930DE" w:rsidRPr="00CF3C36">
        <w:rPr>
          <w:lang w:val="en-GB"/>
        </w:rPr>
        <w:t xml:space="preserve"> on</w:t>
      </w:r>
      <w:r w:rsidRPr="00CF3C36">
        <w:rPr>
          <w:lang w:val="en-GB"/>
        </w:rPr>
        <w:t xml:space="preserve"> what </w:t>
      </w:r>
      <w:r w:rsidR="00DE7427" w:rsidRPr="00CF3C36">
        <w:rPr>
          <w:lang w:val="en-GB"/>
        </w:rPr>
        <w:t xml:space="preserve">the effect of enforcement of </w:t>
      </w:r>
      <w:r w:rsidR="00AC149F" w:rsidRPr="00CF3C36">
        <w:rPr>
          <w:lang w:val="en-GB"/>
        </w:rPr>
        <w:t xml:space="preserve">adequate </w:t>
      </w:r>
      <w:r w:rsidR="00DE7427" w:rsidRPr="00CF3C36">
        <w:rPr>
          <w:lang w:val="en-GB"/>
        </w:rPr>
        <w:t>environmental policies and standards</w:t>
      </w:r>
      <w:r w:rsidR="001418EE" w:rsidRPr="00CF3C36">
        <w:rPr>
          <w:lang w:val="en-GB"/>
        </w:rPr>
        <w:t xml:space="preserve"> </w:t>
      </w:r>
      <w:r w:rsidR="00DE7427" w:rsidRPr="00CF3C36">
        <w:rPr>
          <w:lang w:val="en-GB"/>
        </w:rPr>
        <w:t>in a host country is on</w:t>
      </w:r>
      <w:r w:rsidRPr="00CF3C36">
        <w:rPr>
          <w:lang w:val="en-GB"/>
        </w:rPr>
        <w:t xml:space="preserve"> the </w:t>
      </w:r>
      <w:r w:rsidR="00BC46CF" w:rsidRPr="00CF3C36">
        <w:rPr>
          <w:lang w:val="en-GB"/>
        </w:rPr>
        <w:t xml:space="preserve">contribution of FDI to the environmental aspects of sustainable development. </w:t>
      </w:r>
      <w:r w:rsidR="00DE7427" w:rsidRPr="00CF3C36">
        <w:rPr>
          <w:lang w:val="en-GB"/>
        </w:rPr>
        <w:t xml:space="preserve">An important part of this question will prove to be what the effect of the </w:t>
      </w:r>
      <w:r w:rsidR="001418EE" w:rsidRPr="00CF3C36">
        <w:rPr>
          <w:lang w:val="en-GB"/>
        </w:rPr>
        <w:t>environmental policy</w:t>
      </w:r>
      <w:r w:rsidR="00DE7427" w:rsidRPr="00CF3C36">
        <w:rPr>
          <w:lang w:val="en-GB"/>
        </w:rPr>
        <w:t xml:space="preserve"> is of FDI attraction, more specifically the type of FDI that is attracted. </w:t>
      </w:r>
      <w:r w:rsidR="007F6F08" w:rsidRPr="00CF3C36">
        <w:rPr>
          <w:lang w:val="en-GB"/>
        </w:rPr>
        <w:t>So far FDI has been discussed as if it is one homogeneous form of investment, however</w:t>
      </w:r>
      <w:r w:rsidR="00AC149F" w:rsidRPr="00CF3C36">
        <w:rPr>
          <w:lang w:val="en-GB"/>
        </w:rPr>
        <w:t>,</w:t>
      </w:r>
      <w:r w:rsidR="007F6F08" w:rsidRPr="00CF3C36">
        <w:rPr>
          <w:lang w:val="en-GB"/>
        </w:rPr>
        <w:t xml:space="preserve"> FDI can be an i</w:t>
      </w:r>
      <w:r w:rsidR="00814D32" w:rsidRPr="00CF3C36">
        <w:rPr>
          <w:lang w:val="en-GB"/>
        </w:rPr>
        <w:t>nvestment from any foreign firm</w:t>
      </w:r>
      <w:r w:rsidR="007F6F08" w:rsidRPr="00CF3C36">
        <w:rPr>
          <w:lang w:val="en-GB"/>
        </w:rPr>
        <w:t xml:space="preserve">. As firms come in all shapes and sizes, the environmental impact of inward FDI might depend on the type of firm that is investing in the host country. It is not difficult to imagine, for example, that the impact of investment </w:t>
      </w:r>
      <w:r w:rsidR="00E55698" w:rsidRPr="00CF3C36">
        <w:rPr>
          <w:lang w:val="en-GB"/>
        </w:rPr>
        <w:t>from</w:t>
      </w:r>
      <w:r w:rsidR="007F6F08" w:rsidRPr="00CF3C36">
        <w:rPr>
          <w:lang w:val="en-GB"/>
        </w:rPr>
        <w:t xml:space="preserve"> a large palm-oil producer on the environment </w:t>
      </w:r>
      <w:r w:rsidR="00E55698" w:rsidRPr="00CF3C36">
        <w:rPr>
          <w:lang w:val="en-GB"/>
        </w:rPr>
        <w:t xml:space="preserve">might be very different from </w:t>
      </w:r>
      <w:r w:rsidR="00490CFE" w:rsidRPr="00CF3C36">
        <w:rPr>
          <w:lang w:val="en-GB"/>
        </w:rPr>
        <w:t>the impact</w:t>
      </w:r>
      <w:r w:rsidR="00E55698" w:rsidRPr="00CF3C36">
        <w:rPr>
          <w:lang w:val="en-GB"/>
        </w:rPr>
        <w:t xml:space="preserve"> of a large con</w:t>
      </w:r>
      <w:r w:rsidR="00490CFE" w:rsidRPr="00CF3C36">
        <w:rPr>
          <w:lang w:val="en-GB"/>
        </w:rPr>
        <w:t>sultancy firm or again from the impact</w:t>
      </w:r>
      <w:r w:rsidR="00E55698" w:rsidRPr="00CF3C36">
        <w:rPr>
          <w:lang w:val="en-GB"/>
        </w:rPr>
        <w:t xml:space="preserve"> of a car manufacturer. </w:t>
      </w:r>
      <w:r w:rsidR="00727DBD" w:rsidRPr="00CF3C36">
        <w:rPr>
          <w:lang w:val="en-GB"/>
        </w:rPr>
        <w:t>Those are examples of companies in different sectors, but even within a sector the impact of a firm might be very different</w:t>
      </w:r>
      <w:r w:rsidR="001418EE" w:rsidRPr="00CF3C36">
        <w:rPr>
          <w:lang w:val="en-GB"/>
        </w:rPr>
        <w:t>. I</w:t>
      </w:r>
      <w:r w:rsidR="00727DBD" w:rsidRPr="00CF3C36">
        <w:rPr>
          <w:lang w:val="en-GB"/>
        </w:rPr>
        <w:t>n the energy sector</w:t>
      </w:r>
      <w:r w:rsidR="001418EE" w:rsidRPr="00CF3C36">
        <w:rPr>
          <w:lang w:val="en-GB"/>
        </w:rPr>
        <w:t>, for example,</w:t>
      </w:r>
      <w:r w:rsidR="00727DBD" w:rsidRPr="00CF3C36">
        <w:rPr>
          <w:lang w:val="en-GB"/>
        </w:rPr>
        <w:t xml:space="preserve"> the impact on the environment of an oil company could be very different from that of a solar park company. </w:t>
      </w:r>
      <w:r w:rsidR="00D50E87" w:rsidRPr="00CF3C36">
        <w:rPr>
          <w:lang w:val="en-GB"/>
        </w:rPr>
        <w:t xml:space="preserve">This thesis will therefore also discuss how differences in </w:t>
      </w:r>
      <w:r w:rsidR="001418EE" w:rsidRPr="00CF3C36">
        <w:rPr>
          <w:lang w:val="en-GB"/>
        </w:rPr>
        <w:t>environmental policy</w:t>
      </w:r>
      <w:r w:rsidR="005910CB" w:rsidRPr="00CF3C36">
        <w:rPr>
          <w:lang w:val="en-GB"/>
        </w:rPr>
        <w:t xml:space="preserve"> might attract different FDI and how </w:t>
      </w:r>
      <w:r w:rsidR="005910CB" w:rsidRPr="00CF3C36">
        <w:rPr>
          <w:lang w:val="en-GB"/>
        </w:rPr>
        <w:lastRenderedPageBreak/>
        <w:t xml:space="preserve">this changes the environmental </w:t>
      </w:r>
      <w:r w:rsidR="00814D32" w:rsidRPr="00CF3C36">
        <w:rPr>
          <w:lang w:val="en-GB"/>
        </w:rPr>
        <w:t>footprint</w:t>
      </w:r>
      <w:r w:rsidR="005910CB" w:rsidRPr="00CF3C36">
        <w:rPr>
          <w:lang w:val="en-GB"/>
        </w:rPr>
        <w:t xml:space="preserve"> of the inward FDI in a host country.</w:t>
      </w:r>
      <w:r w:rsidR="008920F0" w:rsidRPr="00CF3C36">
        <w:rPr>
          <w:lang w:val="en-GB"/>
        </w:rPr>
        <w:t xml:space="preserve"> This leads to the following research question:</w:t>
      </w:r>
    </w:p>
    <w:p w14:paraId="1A4754E3" w14:textId="401766A7" w:rsidR="008920F0" w:rsidRPr="00CF3C36" w:rsidRDefault="008920F0" w:rsidP="00AF1571">
      <w:pPr>
        <w:spacing w:after="100" w:afterAutospacing="1" w:line="360" w:lineRule="auto"/>
        <w:ind w:firstLine="708"/>
        <w:jc w:val="center"/>
        <w:rPr>
          <w:i/>
          <w:lang w:val="en-GB"/>
        </w:rPr>
      </w:pPr>
      <w:r w:rsidRPr="00CF3C36">
        <w:rPr>
          <w:i/>
          <w:lang w:val="en-GB"/>
        </w:rPr>
        <w:t xml:space="preserve">How does the environmental policy of a host-country influence the environmental </w:t>
      </w:r>
      <w:r w:rsidR="00814D32" w:rsidRPr="00CF3C36">
        <w:rPr>
          <w:i/>
          <w:lang w:val="en-GB"/>
        </w:rPr>
        <w:t>footprint</w:t>
      </w:r>
      <w:r w:rsidRPr="00CF3C36">
        <w:rPr>
          <w:i/>
          <w:lang w:val="en-GB"/>
        </w:rPr>
        <w:t xml:space="preserve"> of this country’s inward FDI?</w:t>
      </w:r>
    </w:p>
    <w:p w14:paraId="668A5099" w14:textId="2DA1A37E" w:rsidR="00AF1571" w:rsidRPr="00CF3C36" w:rsidRDefault="008F6707" w:rsidP="00AF1571">
      <w:pPr>
        <w:spacing w:after="0" w:line="360" w:lineRule="auto"/>
        <w:jc w:val="both"/>
        <w:rPr>
          <w:lang w:val="en-GB"/>
        </w:rPr>
      </w:pPr>
      <w:r w:rsidRPr="00CF3C36">
        <w:rPr>
          <w:lang w:val="en-GB"/>
        </w:rPr>
        <w:t xml:space="preserve">This is the research question that this thesis will try to answer. </w:t>
      </w:r>
      <w:r w:rsidR="00D5684D" w:rsidRPr="00CF3C36">
        <w:rPr>
          <w:lang w:val="en-GB"/>
        </w:rPr>
        <w:t xml:space="preserve">To test this question a first set of </w:t>
      </w:r>
      <w:r w:rsidR="00B17725" w:rsidRPr="00CF3C36">
        <w:rPr>
          <w:lang w:val="en-GB"/>
        </w:rPr>
        <w:t xml:space="preserve">fixed effects </w:t>
      </w:r>
      <w:r w:rsidR="00D5684D" w:rsidRPr="00CF3C36">
        <w:rPr>
          <w:lang w:val="en-GB"/>
        </w:rPr>
        <w:t>models focusses on the pollution intensity associated with the sectoral composition of FDI in a host country. A panel including 5</w:t>
      </w:r>
      <w:r w:rsidR="00295B0C" w:rsidRPr="00CF3C36">
        <w:rPr>
          <w:lang w:val="en-GB"/>
        </w:rPr>
        <w:t>6</w:t>
      </w:r>
      <w:r w:rsidR="00B762D7" w:rsidRPr="00CF3C36">
        <w:rPr>
          <w:lang w:val="en-GB"/>
        </w:rPr>
        <w:t xml:space="preserve"> </w:t>
      </w:r>
      <w:r w:rsidR="00D5684D" w:rsidRPr="00CF3C36">
        <w:rPr>
          <w:lang w:val="en-GB"/>
        </w:rPr>
        <w:t>c</w:t>
      </w:r>
      <w:r w:rsidR="00295B0C" w:rsidRPr="00CF3C36">
        <w:rPr>
          <w:lang w:val="en-GB"/>
        </w:rPr>
        <w:t>ountries in the period 2009-2016</w:t>
      </w:r>
      <w:r w:rsidR="00D5684D" w:rsidRPr="00CF3C36">
        <w:rPr>
          <w:lang w:val="en-GB"/>
        </w:rPr>
        <w:t xml:space="preserve"> in constructed. With this panel the effect of environmental regulation on the FDI-weighted pollution intensity is tested, the specific construction of the FDI-weighted pollution intensity will be elaborated on later in the thesis. Then this panel is also used to directly observe the effect of environmental regulation on the inflow of FDI to sectors with a high pollution intensity and sectors with a low pollution intensity. </w:t>
      </w:r>
    </w:p>
    <w:p w14:paraId="7BB758F5" w14:textId="006D62BB" w:rsidR="00AF1571" w:rsidRPr="00CF3C36" w:rsidRDefault="00AF1571" w:rsidP="00AF1571">
      <w:pPr>
        <w:spacing w:after="0" w:line="360" w:lineRule="auto"/>
        <w:jc w:val="both"/>
        <w:rPr>
          <w:lang w:val="en-GB"/>
        </w:rPr>
      </w:pPr>
      <w:r w:rsidRPr="00CF3C36">
        <w:rPr>
          <w:lang w:val="en-GB"/>
        </w:rPr>
        <w:tab/>
        <w:t xml:space="preserve">Next to the sectoral composition, environmental regulation might also have an effect on the type of firms that are attracted within a sector. In order to analyse this the energy sector is analysed as a case study, due to data availability. Data is available that distinguishes between investment in brown and green energy. </w:t>
      </w:r>
      <w:r w:rsidR="00B62842" w:rsidRPr="00CF3C36">
        <w:rPr>
          <w:lang w:val="en-GB"/>
        </w:rPr>
        <w:t xml:space="preserve">A second set of </w:t>
      </w:r>
      <w:r w:rsidR="00B17725" w:rsidRPr="00CF3C36">
        <w:rPr>
          <w:lang w:val="en-GB"/>
        </w:rPr>
        <w:t xml:space="preserve">fixed effects </w:t>
      </w:r>
      <w:r w:rsidR="00B62842" w:rsidRPr="00CF3C36">
        <w:rPr>
          <w:lang w:val="en-GB"/>
        </w:rPr>
        <w:t>models is used to analyse the effect of environmental regulation on the relative inflow of FDI in brown or in green energy.</w:t>
      </w:r>
      <w:r w:rsidR="008A041A" w:rsidRPr="00CF3C36">
        <w:rPr>
          <w:lang w:val="en-GB"/>
        </w:rPr>
        <w:t xml:space="preserve"> For these models a panel consisting of 74 countries in the period 2013-2017 is used. </w:t>
      </w:r>
    </w:p>
    <w:p w14:paraId="0B615E41" w14:textId="674A015F" w:rsidR="008A041A" w:rsidRPr="00CF3C36" w:rsidRDefault="009D4B61" w:rsidP="00AF1571">
      <w:pPr>
        <w:spacing w:after="0" w:line="360" w:lineRule="auto"/>
        <w:jc w:val="both"/>
        <w:rPr>
          <w:lang w:val="en-GB"/>
        </w:rPr>
      </w:pPr>
      <w:r w:rsidRPr="00CF3C36">
        <w:rPr>
          <w:lang w:val="en-GB"/>
        </w:rPr>
        <w:tab/>
        <w:t>The hypotheses that where put forward on the effects of environmental regulation on the environmental footprint of FDI via the attraction of foreign firms into cleaner sectors or via the attraction of more FDI in green energy versus FDI in brown energy had to be rejected.</w:t>
      </w:r>
      <w:r w:rsidR="004311C4" w:rsidRPr="00CF3C36">
        <w:rPr>
          <w:lang w:val="en-GB"/>
        </w:rPr>
        <w:t xml:space="preserve"> The only significant results showed that more stringent environmental regulations do attract investment in green energy.</w:t>
      </w:r>
      <w:r w:rsidRPr="00CF3C36">
        <w:rPr>
          <w:lang w:val="en-GB"/>
        </w:rPr>
        <w:t xml:space="preserve"> </w:t>
      </w:r>
      <w:r w:rsidR="004F2CD4" w:rsidRPr="00CF3C36">
        <w:rPr>
          <w:lang w:val="en-GB"/>
        </w:rPr>
        <w:t xml:space="preserve">A possible argument for the lack of significant results is that the environmental regulations in a country might be an insignificant factor in the investment decisions of multinational enterprises. </w:t>
      </w:r>
      <w:r w:rsidR="008A041A" w:rsidRPr="00CF3C36">
        <w:rPr>
          <w:lang w:val="en-GB"/>
        </w:rPr>
        <w:tab/>
      </w:r>
    </w:p>
    <w:p w14:paraId="079136A4" w14:textId="53AC9181" w:rsidR="003B1773" w:rsidRPr="00CF3C36" w:rsidRDefault="00E26007" w:rsidP="00E77F25">
      <w:pPr>
        <w:spacing w:after="0" w:line="360" w:lineRule="auto"/>
        <w:ind w:firstLine="708"/>
        <w:jc w:val="both"/>
        <w:rPr>
          <w:lang w:val="en-GB"/>
        </w:rPr>
      </w:pPr>
      <w:r w:rsidRPr="00CF3C36">
        <w:rPr>
          <w:lang w:val="en-GB"/>
        </w:rPr>
        <w:t>This thesis is structured as follows:</w:t>
      </w:r>
      <w:r w:rsidR="00522B9C" w:rsidRPr="00CF3C36">
        <w:rPr>
          <w:lang w:val="en-GB"/>
        </w:rPr>
        <w:t xml:space="preserve"> </w:t>
      </w:r>
      <w:r w:rsidRPr="00CF3C36">
        <w:rPr>
          <w:lang w:val="en-GB"/>
        </w:rPr>
        <w:t>The next section</w:t>
      </w:r>
      <w:r w:rsidR="00522B9C" w:rsidRPr="00CF3C36">
        <w:rPr>
          <w:lang w:val="en-GB"/>
        </w:rPr>
        <w:t xml:space="preserve"> will first provide an overview of the relevant literature on this topic. Furthermore</w:t>
      </w:r>
      <w:r w:rsidR="00AC149F" w:rsidRPr="00CF3C36">
        <w:rPr>
          <w:lang w:val="en-GB"/>
        </w:rPr>
        <w:t>,</w:t>
      </w:r>
      <w:r w:rsidR="00522B9C" w:rsidRPr="00CF3C36">
        <w:rPr>
          <w:lang w:val="en-GB"/>
        </w:rPr>
        <w:t xml:space="preserve"> it will introduce the theoretical model that is put forward in this thesis and the hypotheses that are based on this theoretical model. Chapter three will discuss the empirical me</w:t>
      </w:r>
      <w:r w:rsidRPr="00CF3C36">
        <w:rPr>
          <w:lang w:val="en-GB"/>
        </w:rPr>
        <w:t>thod and the data that are used. Chapter</w:t>
      </w:r>
      <w:r w:rsidR="00522B9C" w:rsidRPr="00CF3C36">
        <w:rPr>
          <w:lang w:val="en-GB"/>
        </w:rPr>
        <w:t xml:space="preserve"> four will report on the finding</w:t>
      </w:r>
      <w:r w:rsidRPr="00CF3C36">
        <w:rPr>
          <w:lang w:val="en-GB"/>
        </w:rPr>
        <w:t>s</w:t>
      </w:r>
      <w:r w:rsidR="00522B9C" w:rsidRPr="00CF3C36">
        <w:rPr>
          <w:lang w:val="en-GB"/>
        </w:rPr>
        <w:t xml:space="preserve"> of the empirical analysis. </w:t>
      </w:r>
      <w:r w:rsidR="00CF081C" w:rsidRPr="00CF3C36">
        <w:rPr>
          <w:lang w:val="en-GB"/>
        </w:rPr>
        <w:t xml:space="preserve">Chapter five will discuss these results, draw conclusions from them and will reflect on the limitations of this thesis and possible future research on this topic. </w:t>
      </w:r>
    </w:p>
    <w:p w14:paraId="65F5974B" w14:textId="5BA6E790" w:rsidR="002149E4" w:rsidRPr="00CF3C36" w:rsidRDefault="002149E4" w:rsidP="00E930DE">
      <w:pPr>
        <w:spacing w:line="360" w:lineRule="auto"/>
        <w:ind w:firstLine="708"/>
        <w:jc w:val="both"/>
        <w:rPr>
          <w:lang w:val="en-GB"/>
        </w:rPr>
      </w:pPr>
      <w:r w:rsidRPr="00CF3C36">
        <w:rPr>
          <w:lang w:val="en-GB"/>
        </w:rPr>
        <w:br w:type="page"/>
      </w:r>
    </w:p>
    <w:p w14:paraId="6E7826D2" w14:textId="183230F6" w:rsidR="0021124F" w:rsidRPr="00CF3C36" w:rsidRDefault="00AA56D0" w:rsidP="0049437C">
      <w:pPr>
        <w:pStyle w:val="Heading1"/>
        <w:jc w:val="both"/>
        <w:rPr>
          <w:lang w:val="en-GB"/>
        </w:rPr>
      </w:pPr>
      <w:bookmarkStart w:id="2" w:name="_Toc15479997"/>
      <w:r w:rsidRPr="00CF3C36">
        <w:rPr>
          <w:lang w:val="en-GB"/>
        </w:rPr>
        <w:lastRenderedPageBreak/>
        <w:t>2.</w:t>
      </w:r>
      <w:r w:rsidR="00303B6D" w:rsidRPr="00CF3C36">
        <w:rPr>
          <w:lang w:val="en-GB"/>
        </w:rPr>
        <w:t xml:space="preserve"> Literature Review and Research Problem</w:t>
      </w:r>
      <w:bookmarkEnd w:id="2"/>
    </w:p>
    <w:p w14:paraId="33D19150" w14:textId="77777777" w:rsidR="0049437C" w:rsidRPr="00CF3C36" w:rsidRDefault="0049437C" w:rsidP="0049437C">
      <w:pPr>
        <w:rPr>
          <w:lang w:val="en-GB"/>
        </w:rPr>
      </w:pPr>
    </w:p>
    <w:p w14:paraId="7F878D23" w14:textId="588D172C" w:rsidR="0021124F" w:rsidRPr="00CF3C36" w:rsidRDefault="00AA56D0" w:rsidP="0021124F">
      <w:pPr>
        <w:pStyle w:val="Heading2"/>
        <w:rPr>
          <w:lang w:val="en-GB"/>
        </w:rPr>
      </w:pPr>
      <w:bookmarkStart w:id="3" w:name="_Toc15479998"/>
      <w:r w:rsidRPr="00CF3C36">
        <w:rPr>
          <w:lang w:val="en-GB"/>
        </w:rPr>
        <w:t xml:space="preserve">2.1 </w:t>
      </w:r>
      <w:r w:rsidR="0021124F" w:rsidRPr="00CF3C36">
        <w:rPr>
          <w:lang w:val="en-GB"/>
        </w:rPr>
        <w:t>Foreign Direct Investment and the host-country economy</w:t>
      </w:r>
      <w:bookmarkEnd w:id="3"/>
    </w:p>
    <w:p w14:paraId="11435CBB" w14:textId="41072728" w:rsidR="002E6E55" w:rsidRPr="00CF3C36" w:rsidRDefault="002E6E55" w:rsidP="006E3908">
      <w:pPr>
        <w:spacing w:after="0" w:line="360" w:lineRule="auto"/>
        <w:jc w:val="both"/>
        <w:rPr>
          <w:lang w:val="en-GB"/>
        </w:rPr>
      </w:pPr>
      <w:r w:rsidRPr="00CF3C36">
        <w:rPr>
          <w:lang w:val="en-GB"/>
        </w:rPr>
        <w:t xml:space="preserve">Some different definitions of FDI are around, but this thesis will follow the definition of the OECD (2008, p48) which says that: </w:t>
      </w:r>
      <w:r w:rsidRPr="00CF3C36">
        <w:rPr>
          <w:i/>
          <w:lang w:val="en-GB"/>
        </w:rPr>
        <w:t>“Foreign direct investment reflects the objective of establishing a lasting interest by a resident enterprise in one economy (direct investor) in an enterprise (direct investment enterprise) that is resident in an economy other than that of the direct investor”</w:t>
      </w:r>
      <w:r w:rsidRPr="00CF3C36">
        <w:rPr>
          <w:lang w:val="en-GB"/>
        </w:rPr>
        <w:t>. This lasting interest is seen as the existence of a long-term relationship between the two enterprises and a significant degree of influence of the direct investor over the management of the direct investment enterprise</w:t>
      </w:r>
      <w:r w:rsidR="008F295D" w:rsidRPr="00CF3C36">
        <w:rPr>
          <w:lang w:val="en-GB"/>
        </w:rPr>
        <w:t>.</w:t>
      </w:r>
      <w:r w:rsidRPr="00CF3C36">
        <w:rPr>
          <w:lang w:val="en-GB"/>
        </w:rPr>
        <w:t xml:space="preserve"> </w:t>
      </w:r>
      <w:r w:rsidR="008F295D" w:rsidRPr="00CF3C36">
        <w:rPr>
          <w:lang w:val="en-GB"/>
        </w:rPr>
        <w:t>S</w:t>
      </w:r>
      <w:r w:rsidRPr="00CF3C36">
        <w:rPr>
          <w:lang w:val="en-GB"/>
        </w:rPr>
        <w:t>uch a relationship is assumed to be occurring when the investor holds 10% or more of the voting power of the investment enterprise. A firm can engage in FDI by opening a new subsidiary in a different country, which is cal</w:t>
      </w:r>
      <w:r w:rsidR="00E7311C" w:rsidRPr="00CF3C36">
        <w:rPr>
          <w:lang w:val="en-GB"/>
        </w:rPr>
        <w:t>led a greenfield investment,</w:t>
      </w:r>
      <w:r w:rsidRPr="00CF3C36">
        <w:rPr>
          <w:lang w:val="en-GB"/>
        </w:rPr>
        <w:t xml:space="preserve"> by buying (a part of) an existing firm in another country, </w:t>
      </w:r>
      <w:r w:rsidR="00457EFD" w:rsidRPr="00CF3C36">
        <w:rPr>
          <w:lang w:val="en-GB"/>
        </w:rPr>
        <w:t>an acquisition, or by merging</w:t>
      </w:r>
      <w:r w:rsidR="00E7311C" w:rsidRPr="00CF3C36">
        <w:rPr>
          <w:lang w:val="en-GB"/>
        </w:rPr>
        <w:t xml:space="preserve"> with a company in another country</w:t>
      </w:r>
      <w:r w:rsidR="00457EFD" w:rsidRPr="00CF3C36">
        <w:rPr>
          <w:lang w:val="en-GB"/>
        </w:rPr>
        <w:t xml:space="preserve"> (</w:t>
      </w:r>
      <w:r w:rsidR="00051DED" w:rsidRPr="00CF3C36">
        <w:rPr>
          <w:lang w:val="en-GB"/>
        </w:rPr>
        <w:t>Van Marrewijk et</w:t>
      </w:r>
      <w:r w:rsidR="00FB1D8F" w:rsidRPr="00CF3C36">
        <w:rPr>
          <w:lang w:val="en-GB"/>
        </w:rPr>
        <w:t xml:space="preserve"> al. 2012)</w:t>
      </w:r>
      <w:r w:rsidRPr="00CF3C36">
        <w:rPr>
          <w:lang w:val="en-GB"/>
        </w:rPr>
        <w:t xml:space="preserve">. A firm can also have different motives to engage in FDI, it can </w:t>
      </w:r>
      <w:r w:rsidR="00D119F1" w:rsidRPr="00CF3C36">
        <w:rPr>
          <w:lang w:val="en-GB"/>
        </w:rPr>
        <w:t>i</w:t>
      </w:r>
      <w:r w:rsidR="008F295D" w:rsidRPr="00CF3C36">
        <w:rPr>
          <w:lang w:val="en-GB"/>
        </w:rPr>
        <w:t>.)</w:t>
      </w:r>
      <w:r w:rsidRPr="00CF3C36">
        <w:rPr>
          <w:lang w:val="en-GB"/>
        </w:rPr>
        <w:t xml:space="preserve"> invest in another country in order to tap into the market of this country (market-seeking FDI</w:t>
      </w:r>
      <w:r w:rsidR="00D119F1" w:rsidRPr="00CF3C36">
        <w:rPr>
          <w:lang w:val="en-GB"/>
        </w:rPr>
        <w:t>) ii</w:t>
      </w:r>
      <w:r w:rsidR="008F295D" w:rsidRPr="00CF3C36">
        <w:rPr>
          <w:lang w:val="en-GB"/>
        </w:rPr>
        <w:t>.)</w:t>
      </w:r>
      <w:r w:rsidRPr="00CF3C36">
        <w:rPr>
          <w:lang w:val="en-GB"/>
        </w:rPr>
        <w:t xml:space="preserve"> invest in another country to tap into the resources of this country (resource-seeking FDI) </w:t>
      </w:r>
      <w:r w:rsidR="00D119F1" w:rsidRPr="00CF3C36">
        <w:rPr>
          <w:lang w:val="en-GB"/>
        </w:rPr>
        <w:t>iii</w:t>
      </w:r>
      <w:r w:rsidR="008F295D" w:rsidRPr="00CF3C36">
        <w:rPr>
          <w:lang w:val="en-GB"/>
        </w:rPr>
        <w:t>.)</w:t>
      </w:r>
      <w:r w:rsidRPr="00CF3C36">
        <w:rPr>
          <w:lang w:val="en-GB"/>
        </w:rPr>
        <w:t xml:space="preserve"> invest in another country to try to optimize the allocation of different subsidiaries based on external factor</w:t>
      </w:r>
      <w:r w:rsidR="00F76225" w:rsidRPr="00CF3C36">
        <w:rPr>
          <w:lang w:val="en-GB"/>
        </w:rPr>
        <w:t>s</w:t>
      </w:r>
      <w:r w:rsidRPr="00CF3C36">
        <w:rPr>
          <w:lang w:val="en-GB"/>
        </w:rPr>
        <w:t xml:space="preserve"> such as institutional arrangements and economic systems (efficiency-seeking FDI) (Dunning</w:t>
      </w:r>
      <w:r w:rsidR="00B61B7F" w:rsidRPr="00CF3C36">
        <w:rPr>
          <w:lang w:val="en-GB"/>
        </w:rPr>
        <w:t xml:space="preserve"> </w:t>
      </w:r>
      <w:r w:rsidR="00B61B7F" w:rsidRPr="00CF3C36">
        <w:rPr>
          <w:color w:val="222222"/>
          <w:shd w:val="clear" w:color="auto" w:fill="FFFFFF"/>
          <w:lang w:val="en-GB"/>
        </w:rPr>
        <w:t>&amp; Lundan</w:t>
      </w:r>
      <w:r w:rsidRPr="00CF3C36">
        <w:rPr>
          <w:lang w:val="en-GB"/>
        </w:rPr>
        <w:t xml:space="preserve">, 2008). </w:t>
      </w:r>
    </w:p>
    <w:p w14:paraId="604931D9" w14:textId="15B499FC" w:rsidR="002E6E55" w:rsidRPr="00CF3C36" w:rsidRDefault="00B61B7F" w:rsidP="0049437C">
      <w:pPr>
        <w:spacing w:after="0" w:line="360" w:lineRule="auto"/>
        <w:ind w:firstLine="708"/>
        <w:jc w:val="both"/>
        <w:rPr>
          <w:lang w:val="en-GB"/>
        </w:rPr>
      </w:pPr>
      <w:r w:rsidRPr="00CF3C36">
        <w:rPr>
          <w:lang w:val="en-GB"/>
        </w:rPr>
        <w:t xml:space="preserve">In recent decades </w:t>
      </w:r>
      <w:r w:rsidR="002E6E55" w:rsidRPr="00CF3C36">
        <w:rPr>
          <w:lang w:val="en-GB"/>
        </w:rPr>
        <w:t>FDI gained much importance in the economic reality</w:t>
      </w:r>
      <w:r w:rsidRPr="00CF3C36">
        <w:rPr>
          <w:lang w:val="en-GB"/>
        </w:rPr>
        <w:t xml:space="preserve"> (Van Marrewijk et al. 2012). As a result</w:t>
      </w:r>
      <w:r w:rsidR="002E6E55" w:rsidRPr="00CF3C36">
        <w:rPr>
          <w:lang w:val="en-GB"/>
        </w:rPr>
        <w:t xml:space="preserve"> also academi</w:t>
      </w:r>
      <w:r w:rsidR="001C434E" w:rsidRPr="00CF3C36">
        <w:rPr>
          <w:lang w:val="en-GB"/>
        </w:rPr>
        <w:t>cs</w:t>
      </w:r>
      <w:r w:rsidR="002E6E55" w:rsidRPr="00CF3C36">
        <w:rPr>
          <w:lang w:val="en-GB"/>
        </w:rPr>
        <w:t xml:space="preserve"> have gained interest in the topic and a whole strain of literature has developed </w:t>
      </w:r>
      <w:r w:rsidR="003A1B86" w:rsidRPr="00CF3C36">
        <w:rPr>
          <w:lang w:val="en-GB"/>
        </w:rPr>
        <w:t>that</w:t>
      </w:r>
      <w:r w:rsidR="002E6E55" w:rsidRPr="00CF3C36">
        <w:rPr>
          <w:lang w:val="en-GB"/>
        </w:rPr>
        <w:t xml:space="preserve"> sought to find out what the impact of FDI is on the economy of the host-country. This question gained even more importan</w:t>
      </w:r>
      <w:r w:rsidR="003A1B86" w:rsidRPr="00CF3C36">
        <w:rPr>
          <w:lang w:val="en-GB"/>
        </w:rPr>
        <w:t>ce</w:t>
      </w:r>
      <w:r w:rsidR="002E6E55" w:rsidRPr="00CF3C36">
        <w:rPr>
          <w:lang w:val="en-GB"/>
        </w:rPr>
        <w:t xml:space="preserve"> when from the 1990’s onward</w:t>
      </w:r>
      <w:r w:rsidRPr="00CF3C36">
        <w:rPr>
          <w:lang w:val="en-GB"/>
        </w:rPr>
        <w:t>s</w:t>
      </w:r>
      <w:r w:rsidR="002E6E55" w:rsidRPr="00CF3C36">
        <w:rPr>
          <w:lang w:val="en-GB"/>
        </w:rPr>
        <w:t xml:space="preserve"> governments</w:t>
      </w:r>
      <w:r w:rsidR="0051739C" w:rsidRPr="00CF3C36">
        <w:rPr>
          <w:lang w:val="en-GB"/>
        </w:rPr>
        <w:t xml:space="preserve"> </w:t>
      </w:r>
      <w:r w:rsidR="002E6E55" w:rsidRPr="00CF3C36">
        <w:rPr>
          <w:lang w:val="en-GB"/>
        </w:rPr>
        <w:t>started to change their investment regimes, sometimes at high c</w:t>
      </w:r>
      <w:r w:rsidR="003378E5" w:rsidRPr="00CF3C36">
        <w:rPr>
          <w:lang w:val="en-GB"/>
        </w:rPr>
        <w:t>osts, in order to attract FDI (</w:t>
      </w:r>
      <w:r w:rsidR="002E6E55" w:rsidRPr="00CF3C36">
        <w:rPr>
          <w:lang w:val="en-GB"/>
        </w:rPr>
        <w:t xml:space="preserve">Smeets, 2009). This is illustrated by Werner (2002) who showed that between 1996 and 2000 FDI was the most researched field in international management. The following section will introduce the strain of literature on the relationship between FDI and the host-country economy. </w:t>
      </w:r>
    </w:p>
    <w:p w14:paraId="3E21F2C3" w14:textId="7FD9BED7" w:rsidR="00BC2DAC" w:rsidRPr="00CF3C36" w:rsidRDefault="0049671E" w:rsidP="0049437C">
      <w:pPr>
        <w:spacing w:after="0" w:line="360" w:lineRule="auto"/>
        <w:ind w:firstLine="708"/>
        <w:jc w:val="both"/>
        <w:rPr>
          <w:lang w:val="en-GB"/>
        </w:rPr>
      </w:pPr>
      <w:r w:rsidRPr="00CF3C36">
        <w:rPr>
          <w:lang w:val="en-GB"/>
        </w:rPr>
        <w:t>FDI is commonly associated with many benefits to a host-country’s economy, such as job creation, increased competitiveness, transfer of technology, and crucially also economic growth. Theoretical literature on the topic support</w:t>
      </w:r>
      <w:r w:rsidR="00B61B7F" w:rsidRPr="00CF3C36">
        <w:rPr>
          <w:lang w:val="en-GB"/>
        </w:rPr>
        <w:t>s</w:t>
      </w:r>
      <w:r w:rsidRPr="00CF3C36">
        <w:rPr>
          <w:lang w:val="en-GB"/>
        </w:rPr>
        <w:t xml:space="preserve"> this association, however in empirical research no consensus has been reached (Makiela &amp; Ouattara, 2018).</w:t>
      </w:r>
      <w:r w:rsidR="00976BF7" w:rsidRPr="00CF3C36">
        <w:rPr>
          <w:lang w:val="en-GB"/>
        </w:rPr>
        <w:t xml:space="preserve"> </w:t>
      </w:r>
      <w:r w:rsidR="00976BF7" w:rsidRPr="00CF3C36">
        <w:rPr>
          <w:color w:val="222222"/>
          <w:shd w:val="clear" w:color="auto" w:fill="FFFFFF"/>
          <w:lang w:val="en-GB"/>
        </w:rPr>
        <w:t>Iamsiraroj &amp; Ulubaşoğlu (2015) conclude</w:t>
      </w:r>
      <w:r w:rsidR="003A1B86" w:rsidRPr="00CF3C36">
        <w:rPr>
          <w:color w:val="222222"/>
          <w:shd w:val="clear" w:color="auto" w:fill="FFFFFF"/>
          <w:lang w:val="en-GB"/>
        </w:rPr>
        <w:t>d the same</w:t>
      </w:r>
      <w:r w:rsidR="00976BF7" w:rsidRPr="00CF3C36">
        <w:rPr>
          <w:color w:val="222222"/>
          <w:shd w:val="clear" w:color="auto" w:fill="FFFFFF"/>
          <w:lang w:val="en-GB"/>
        </w:rPr>
        <w:t xml:space="preserve"> in a review of 108 published studies on the topic</w:t>
      </w:r>
      <w:r w:rsidR="003A1B86" w:rsidRPr="00CF3C36">
        <w:rPr>
          <w:color w:val="222222"/>
          <w:shd w:val="clear" w:color="auto" w:fill="FFFFFF"/>
          <w:lang w:val="en-GB"/>
        </w:rPr>
        <w:t>.</w:t>
      </w:r>
      <w:r w:rsidR="00976BF7" w:rsidRPr="00CF3C36">
        <w:rPr>
          <w:color w:val="222222"/>
          <w:shd w:val="clear" w:color="auto" w:fill="FFFFFF"/>
          <w:lang w:val="en-GB"/>
        </w:rPr>
        <w:t xml:space="preserve"> </w:t>
      </w:r>
      <w:r w:rsidR="003A1B86" w:rsidRPr="00CF3C36">
        <w:rPr>
          <w:color w:val="222222"/>
          <w:shd w:val="clear" w:color="auto" w:fill="FFFFFF"/>
          <w:lang w:val="en-GB"/>
        </w:rPr>
        <w:t>Of the studies reviewed, they fou</w:t>
      </w:r>
      <w:r w:rsidR="00976BF7" w:rsidRPr="00CF3C36">
        <w:rPr>
          <w:color w:val="222222"/>
          <w:shd w:val="clear" w:color="auto" w:fill="FFFFFF"/>
          <w:lang w:val="en-GB"/>
        </w:rPr>
        <w:t>nd that 43% show a positive and significant effect of FDI on economic growth, 17% show a negative and significant effect and 40% show statistically insignificant effects.</w:t>
      </w:r>
      <w:r w:rsidR="00337703" w:rsidRPr="00CF3C36">
        <w:rPr>
          <w:color w:val="222222"/>
          <w:shd w:val="clear" w:color="auto" w:fill="FFFFFF"/>
          <w:lang w:val="en-GB"/>
        </w:rPr>
        <w:t xml:space="preserve"> It is therefore suggested that FDI might only contribute to economic growth if the host country has a sufficient absorptive capacity. Different authors have highlighted different host country characteristics as being important in </w:t>
      </w:r>
      <w:r w:rsidR="00337703" w:rsidRPr="00CF3C36">
        <w:rPr>
          <w:color w:val="222222"/>
          <w:shd w:val="clear" w:color="auto" w:fill="FFFFFF"/>
          <w:lang w:val="en-GB"/>
        </w:rPr>
        <w:lastRenderedPageBreak/>
        <w:t xml:space="preserve">increasing or decreasing this absorptive capacity. Some </w:t>
      </w:r>
      <w:r w:rsidR="00337703" w:rsidRPr="00CF3C36">
        <w:rPr>
          <w:lang w:val="en-GB"/>
        </w:rPr>
        <w:t>s</w:t>
      </w:r>
      <w:r w:rsidR="002E6E55" w:rsidRPr="00CF3C36">
        <w:rPr>
          <w:lang w:val="en-GB"/>
        </w:rPr>
        <w:t>tudies found that the relationship between FDI and economic growth is positively affected by an adequate level of human capi</w:t>
      </w:r>
      <w:r w:rsidR="0051739C" w:rsidRPr="00CF3C36">
        <w:rPr>
          <w:lang w:val="en-GB"/>
        </w:rPr>
        <w:t xml:space="preserve">tal (Borensztein et al., 1998; </w:t>
      </w:r>
      <w:r w:rsidR="002E6E55" w:rsidRPr="00CF3C36">
        <w:rPr>
          <w:lang w:val="en-GB"/>
        </w:rPr>
        <w:t>Zhang, 2001; Bengoa and Sanchez-Robles, 2003; Li and Liu, 2005 &amp; Solomon, 2011), well developed financial markets (Bengoa an</w:t>
      </w:r>
      <w:r w:rsidR="002A0D75" w:rsidRPr="00CF3C36">
        <w:rPr>
          <w:lang w:val="en-GB"/>
        </w:rPr>
        <w:t>d Sanchez-Robles, 2003; Alfaro et al.</w:t>
      </w:r>
      <w:r w:rsidR="002E6E55" w:rsidRPr="00CF3C36">
        <w:rPr>
          <w:lang w:val="en-GB"/>
        </w:rPr>
        <w:t xml:space="preserve">, 2004 &amp; Durham, 2004) and an open trade regime (Balasubramanyam et al., 1996 &amp; Zhang, 2001). This relationship is affected negatively by a dependency on foreign investment (Kentor, 1998 &amp; Kentor and Boswell, 2003) and a high technology gap (Li and Liu, 2005). The influence of the income level of the host country (Blomstrom et al., 1994 &amp; Solomon, 2011) and the quality of the political environment (Solomon, 2011) is not yet conclusive, but appear to have an effect as well. </w:t>
      </w:r>
      <w:r w:rsidR="001C434E" w:rsidRPr="00CF3C36">
        <w:rPr>
          <w:lang w:val="en-GB"/>
        </w:rPr>
        <w:t>Thus,</w:t>
      </w:r>
      <w:r w:rsidR="002A1C9B" w:rsidRPr="00CF3C36">
        <w:rPr>
          <w:lang w:val="en-GB"/>
        </w:rPr>
        <w:t xml:space="preserve"> there is no clear empirical consensus yet on the effect of FDI on economic growth and it appears to be the case that this effect can be either positive or negative depending on certain host country characteristics. </w:t>
      </w:r>
    </w:p>
    <w:p w14:paraId="4221272E" w14:textId="77777777" w:rsidR="00B61B7F" w:rsidRPr="00CF3C36" w:rsidRDefault="00B61B7F" w:rsidP="008D62B0">
      <w:pPr>
        <w:jc w:val="center"/>
        <w:rPr>
          <w:i/>
          <w:lang w:val="en-GB"/>
        </w:rPr>
      </w:pPr>
    </w:p>
    <w:p w14:paraId="2BF68E96" w14:textId="0C340143" w:rsidR="008E4D06" w:rsidRPr="00CF3C36" w:rsidRDefault="008E4D06" w:rsidP="00AB3866">
      <w:pPr>
        <w:pStyle w:val="Heading4"/>
      </w:pPr>
      <w:bookmarkStart w:id="4" w:name="_Toc15298486"/>
      <w:bookmarkStart w:id="5" w:name="_Toc15475692"/>
      <w:r w:rsidRPr="00CF3C36">
        <w:t>Figure 1. Inward Forei</w:t>
      </w:r>
      <w:r w:rsidR="008D62B0" w:rsidRPr="00CF3C36">
        <w:t xml:space="preserve">gn Direct Investment Flows, </w:t>
      </w:r>
      <w:r w:rsidRPr="00CF3C36">
        <w:t>1970-2017</w:t>
      </w:r>
      <w:r w:rsidR="008D62B0" w:rsidRPr="00CF3C36">
        <w:t xml:space="preserve"> (</w:t>
      </w:r>
      <w:r w:rsidRPr="00CF3C36">
        <w:t>in US Dollars at current prices in millions</w:t>
      </w:r>
      <w:r w:rsidR="008D62B0" w:rsidRPr="00CF3C36">
        <w:t>)</w:t>
      </w:r>
      <w:r w:rsidR="00F84C8C" w:rsidRPr="00CF3C36">
        <w:t>.</w:t>
      </w:r>
      <w:r w:rsidRPr="00CF3C36">
        <w:t xml:space="preserve"> (UNCTADSTAT, 2019)</w:t>
      </w:r>
      <w:bookmarkEnd w:id="4"/>
      <w:bookmarkEnd w:id="5"/>
    </w:p>
    <w:p w14:paraId="2EF89CE9" w14:textId="4A7964B5" w:rsidR="008E4D06" w:rsidRPr="00CF3C36" w:rsidRDefault="008E4D06" w:rsidP="008D62B0">
      <w:pPr>
        <w:jc w:val="center"/>
        <w:rPr>
          <w:color w:val="222222"/>
          <w:shd w:val="clear" w:color="auto" w:fill="FFFFFF"/>
          <w:lang w:val="en-GB"/>
        </w:rPr>
      </w:pPr>
      <w:r w:rsidRPr="00CF3C36">
        <w:rPr>
          <w:noProof/>
          <w:color w:val="222222"/>
          <w:shd w:val="clear" w:color="auto" w:fill="FFFFFF"/>
          <w:lang w:eastAsia="nl-NL"/>
        </w:rPr>
        <w:drawing>
          <wp:inline distT="0" distB="0" distL="0" distR="0" wp14:anchorId="12434188" wp14:editId="24B53E19">
            <wp:extent cx="5829300" cy="437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tal FDI flows 1970-2017 UNCTAD.png"/>
                    <pic:cNvPicPr/>
                  </pic:nvPicPr>
                  <pic:blipFill>
                    <a:blip r:embed="rId10">
                      <a:extLst>
                        <a:ext uri="{28A0092B-C50C-407E-A947-70E740481C1C}">
                          <a14:useLocalDpi xmlns:a14="http://schemas.microsoft.com/office/drawing/2010/main" val="0"/>
                        </a:ext>
                      </a:extLst>
                    </a:blip>
                    <a:stretch>
                      <a:fillRect/>
                    </a:stretch>
                  </pic:blipFill>
                  <pic:spPr>
                    <a:xfrm>
                      <a:off x="0" y="0"/>
                      <a:ext cx="5909383" cy="4432037"/>
                    </a:xfrm>
                    <a:prstGeom prst="rect">
                      <a:avLst/>
                    </a:prstGeom>
                  </pic:spPr>
                </pic:pic>
              </a:graphicData>
            </a:graphic>
          </wp:inline>
        </w:drawing>
      </w:r>
    </w:p>
    <w:p w14:paraId="2E1948F3" w14:textId="494F51F1" w:rsidR="00B61B7F" w:rsidRPr="00CF3C36" w:rsidRDefault="00B61B7F" w:rsidP="00B61B7F">
      <w:pPr>
        <w:spacing w:after="0" w:line="360" w:lineRule="auto"/>
        <w:ind w:firstLine="708"/>
        <w:jc w:val="both"/>
        <w:rPr>
          <w:lang w:val="en-GB"/>
        </w:rPr>
      </w:pPr>
      <w:r w:rsidRPr="00CF3C36">
        <w:rPr>
          <w:lang w:val="en-GB"/>
        </w:rPr>
        <w:t>Nonetheless it is certain that FDI has increased tremendously in the last decades. Van Marrewijk et al. (2012) show</w:t>
      </w:r>
      <w:r w:rsidR="006834C3" w:rsidRPr="00CF3C36">
        <w:rPr>
          <w:lang w:val="en-GB"/>
        </w:rPr>
        <w:t>ed</w:t>
      </w:r>
      <w:r w:rsidRPr="00CF3C36">
        <w:rPr>
          <w:lang w:val="en-GB"/>
        </w:rPr>
        <w:t xml:space="preserve"> that between 1970 and 2009 global real GDP has grown with 3% per year, while in the same period total global FDI flows increased with 7% per year. This illustrates the </w:t>
      </w:r>
      <w:r w:rsidRPr="00CF3C36">
        <w:rPr>
          <w:lang w:val="en-GB"/>
        </w:rPr>
        <w:lastRenderedPageBreak/>
        <w:t>drastic increase in the importance of FDI in the global economy. Although it must be noted that this growth has not been stable and these FDI flows have also decreased drastically in some years, as can be seen in Figure 1. Interesting as well</w:t>
      </w:r>
      <w:r w:rsidR="006834C3" w:rsidRPr="00CF3C36">
        <w:rPr>
          <w:lang w:val="en-GB"/>
        </w:rPr>
        <w:t>,</w:t>
      </w:r>
      <w:r w:rsidRPr="00CF3C36">
        <w:rPr>
          <w:lang w:val="en-GB"/>
        </w:rPr>
        <w:t xml:space="preserve"> is the steep decrease in FDI flows in 2016 and 2017, as during these years global GDP and trade have experienced accelerated growth (UNCTAD, 2018). Still it is clear that the overall trend of FDI is upward. Furthermore, countries continue to actively attract FDI with their national investment policies, as can be seen in Figure 2 which shows the percentage of worldwide national investment policies related to foreign investment that either promotes or restricts FDI. In 2017 84% of the policies promoted FDI which in an increase to 2016. These two graphs thus show that FDI is becoming more important in the global economy and that countries are making efforts to attract FDI to their countries, despite the lack of empirical consensus on the effect of FDI on economic growth.</w:t>
      </w:r>
    </w:p>
    <w:p w14:paraId="4AA1DD0C" w14:textId="77777777" w:rsidR="00B61B7F" w:rsidRPr="00CF3C36" w:rsidRDefault="00B61B7F" w:rsidP="00B61B7F">
      <w:pPr>
        <w:spacing w:after="0" w:line="360" w:lineRule="auto"/>
        <w:ind w:firstLine="708"/>
        <w:jc w:val="both"/>
        <w:rPr>
          <w:lang w:val="en-GB"/>
        </w:rPr>
      </w:pPr>
    </w:p>
    <w:p w14:paraId="17671FC9" w14:textId="67F19FEF" w:rsidR="008D62B0" w:rsidRPr="00CF3C36" w:rsidRDefault="008D62B0" w:rsidP="00F84C8C">
      <w:pPr>
        <w:jc w:val="center"/>
        <w:rPr>
          <w:i/>
          <w:color w:val="222222"/>
          <w:shd w:val="clear" w:color="auto" w:fill="FFFFFF"/>
          <w:lang w:val="en-GB"/>
        </w:rPr>
      </w:pPr>
      <w:bookmarkStart w:id="6" w:name="_Toc15475693"/>
      <w:r w:rsidRPr="00CF3C36">
        <w:rPr>
          <w:rStyle w:val="Heading4Char"/>
        </w:rPr>
        <w:t>Figure 2. Changes in national inve</w:t>
      </w:r>
      <w:r w:rsidR="00243D49" w:rsidRPr="00CF3C36">
        <w:rPr>
          <w:rStyle w:val="Heading4Char"/>
        </w:rPr>
        <w:t>stment policies, 2003−2017 (Per</w:t>
      </w:r>
      <w:r w:rsidRPr="00CF3C36">
        <w:rPr>
          <w:rStyle w:val="Heading4Char"/>
        </w:rPr>
        <w:t>cent)</w:t>
      </w:r>
      <w:r w:rsidR="00F84C8C" w:rsidRPr="00CF3C36">
        <w:rPr>
          <w:rStyle w:val="Heading4Char"/>
        </w:rPr>
        <w:t>. (UNCTAD, 2018)</w:t>
      </w:r>
      <w:bookmarkEnd w:id="6"/>
      <w:r w:rsidRPr="00CF3C36">
        <w:rPr>
          <w:i/>
          <w:noProof/>
          <w:color w:val="222222"/>
          <w:shd w:val="clear" w:color="auto" w:fill="FFFFFF"/>
          <w:lang w:eastAsia="nl-NL"/>
        </w:rPr>
        <w:drawing>
          <wp:inline distT="0" distB="0" distL="0" distR="0" wp14:anchorId="2A6732E1" wp14:editId="319D2200">
            <wp:extent cx="5450509" cy="358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nge in National Investment Policies UNCTAD 2003-2017.png"/>
                    <pic:cNvPicPr/>
                  </pic:nvPicPr>
                  <pic:blipFill>
                    <a:blip r:embed="rId11">
                      <a:extLst>
                        <a:ext uri="{28A0092B-C50C-407E-A947-70E740481C1C}">
                          <a14:useLocalDpi xmlns:a14="http://schemas.microsoft.com/office/drawing/2010/main" val="0"/>
                        </a:ext>
                      </a:extLst>
                    </a:blip>
                    <a:stretch>
                      <a:fillRect/>
                    </a:stretch>
                  </pic:blipFill>
                  <pic:spPr>
                    <a:xfrm>
                      <a:off x="0" y="0"/>
                      <a:ext cx="5547535" cy="3645154"/>
                    </a:xfrm>
                    <a:prstGeom prst="rect">
                      <a:avLst/>
                    </a:prstGeom>
                  </pic:spPr>
                </pic:pic>
              </a:graphicData>
            </a:graphic>
          </wp:inline>
        </w:drawing>
      </w:r>
    </w:p>
    <w:p w14:paraId="5D337043" w14:textId="5F7B42E0" w:rsidR="0021124F" w:rsidRPr="00CF3C36" w:rsidRDefault="0051739C" w:rsidP="0021124F">
      <w:pPr>
        <w:pStyle w:val="Heading2"/>
        <w:rPr>
          <w:lang w:val="en-GB"/>
        </w:rPr>
      </w:pPr>
      <w:bookmarkStart w:id="7" w:name="_Toc15479999"/>
      <w:r w:rsidRPr="00CF3C36">
        <w:rPr>
          <w:lang w:val="en-GB"/>
        </w:rPr>
        <w:t xml:space="preserve">2.2 </w:t>
      </w:r>
      <w:r w:rsidR="0021124F" w:rsidRPr="00CF3C36">
        <w:rPr>
          <w:lang w:val="en-GB"/>
        </w:rPr>
        <w:t>Foreign Direct Investment and Sustainable Development</w:t>
      </w:r>
      <w:bookmarkEnd w:id="7"/>
    </w:p>
    <w:p w14:paraId="71D60175" w14:textId="0FB3BC3E" w:rsidR="0049437C" w:rsidRPr="00CF3C36" w:rsidRDefault="004A280C" w:rsidP="00F94A82">
      <w:pPr>
        <w:spacing w:line="360" w:lineRule="auto"/>
        <w:jc w:val="both"/>
        <w:rPr>
          <w:lang w:val="en-GB"/>
        </w:rPr>
      </w:pPr>
      <w:r w:rsidRPr="00CF3C36">
        <w:rPr>
          <w:lang w:val="en-GB"/>
        </w:rPr>
        <w:t>As explained in the introduction</w:t>
      </w:r>
      <w:r w:rsidR="003A1B86" w:rsidRPr="00CF3C36">
        <w:rPr>
          <w:lang w:val="en-GB"/>
        </w:rPr>
        <w:t>,</w:t>
      </w:r>
      <w:r w:rsidRPr="00CF3C36">
        <w:rPr>
          <w:lang w:val="en-GB"/>
        </w:rPr>
        <w:t xml:space="preserve"> the policy debate has seen an increased focus on the impact of FDI on a more multidimensional form of development, as envisioned by the Sustainable Development Goals</w:t>
      </w:r>
      <w:r w:rsidR="009C3F57" w:rsidRPr="00CF3C36">
        <w:rPr>
          <w:lang w:val="en-GB"/>
        </w:rPr>
        <w:t xml:space="preserve"> (SDGs)</w:t>
      </w:r>
      <w:r w:rsidRPr="00CF3C36">
        <w:rPr>
          <w:lang w:val="en-GB"/>
        </w:rPr>
        <w:t>. W</w:t>
      </w:r>
      <w:r w:rsidR="002E6E55" w:rsidRPr="00CF3C36">
        <w:rPr>
          <w:lang w:val="en-GB"/>
        </w:rPr>
        <w:t>ith this in mind Sauvant and Mann (2017)</w:t>
      </w:r>
      <w:r w:rsidR="006834C3" w:rsidRPr="00CF3C36">
        <w:rPr>
          <w:lang w:val="en-GB"/>
        </w:rPr>
        <w:t xml:space="preserve"> </w:t>
      </w:r>
      <w:r w:rsidR="002E6E55" w:rsidRPr="00CF3C36">
        <w:rPr>
          <w:lang w:val="en-GB"/>
        </w:rPr>
        <w:t>developed a first indicative list of FDI sustainability c</w:t>
      </w:r>
      <w:r w:rsidR="003A1B86" w:rsidRPr="00CF3C36">
        <w:rPr>
          <w:lang w:val="en-GB"/>
        </w:rPr>
        <w:t>haracteristics. They state</w:t>
      </w:r>
      <w:r w:rsidR="002E6E55" w:rsidRPr="00CF3C36">
        <w:rPr>
          <w:lang w:val="en-GB"/>
        </w:rPr>
        <w:t xml:space="preserve"> that in order to reach the SDGs and climate change commitments (such as the Paris Agreement), a tremendous amount of investment is needed and an important part of these investments could be in the form of FDI. These characteristics of investment then, are important in determining if it is a sustainable investment, which according to their definition is a “commercially viable investment that makes a maximum contribution to the economic, social and </w:t>
      </w:r>
      <w:r w:rsidR="002E6E55" w:rsidRPr="00CF3C36">
        <w:rPr>
          <w:lang w:val="en-GB"/>
        </w:rPr>
        <w:lastRenderedPageBreak/>
        <w:t xml:space="preserve">environmental development of host countries and takes place in the framework of fair governance mechanisms”. </w:t>
      </w:r>
      <w:r w:rsidR="00B24242" w:rsidRPr="00CF3C36">
        <w:rPr>
          <w:lang w:val="en-GB"/>
        </w:rPr>
        <w:t xml:space="preserve">After reading such </w:t>
      </w:r>
      <w:r w:rsidR="001C434E" w:rsidRPr="00CF3C36">
        <w:rPr>
          <w:lang w:val="en-GB"/>
        </w:rPr>
        <w:t>a</w:t>
      </w:r>
      <w:r w:rsidR="00B24242" w:rsidRPr="00CF3C36">
        <w:rPr>
          <w:lang w:val="en-GB"/>
        </w:rPr>
        <w:t xml:space="preserve"> definition the question may arise if such an investment exists or if there might be trade-offs between the contribution of an investment to economic, social and environmental development. </w:t>
      </w:r>
      <w:r w:rsidR="002E6E55" w:rsidRPr="00CF3C36">
        <w:rPr>
          <w:lang w:val="en-GB"/>
        </w:rPr>
        <w:t>To get an idea of the complexity of this issue</w:t>
      </w:r>
      <w:r w:rsidR="003A1B86" w:rsidRPr="00CF3C36">
        <w:rPr>
          <w:lang w:val="en-GB"/>
        </w:rPr>
        <w:t>,</w:t>
      </w:r>
      <w:r w:rsidR="002E6E55" w:rsidRPr="00CF3C36">
        <w:rPr>
          <w:lang w:val="en-GB"/>
        </w:rPr>
        <w:t xml:space="preserve"> </w:t>
      </w:r>
      <w:r w:rsidR="00DC216A" w:rsidRPr="00CF3C36">
        <w:rPr>
          <w:lang w:val="en-GB"/>
        </w:rPr>
        <w:t xml:space="preserve">Table </w:t>
      </w:r>
      <w:r w:rsidR="002E6E55" w:rsidRPr="00CF3C36">
        <w:rPr>
          <w:lang w:val="en-GB"/>
        </w:rPr>
        <w:t xml:space="preserve">1 shows the list of characteristics </w:t>
      </w:r>
      <w:r w:rsidR="003A1B86" w:rsidRPr="00CF3C36">
        <w:rPr>
          <w:lang w:val="en-GB"/>
        </w:rPr>
        <w:t>that</w:t>
      </w:r>
      <w:r w:rsidR="002E6E55" w:rsidRPr="00CF3C36">
        <w:rPr>
          <w:lang w:val="en-GB"/>
        </w:rPr>
        <w:t xml:space="preserve"> </w:t>
      </w:r>
      <w:r w:rsidR="00DC216A" w:rsidRPr="00CF3C36">
        <w:rPr>
          <w:lang w:val="en-GB"/>
        </w:rPr>
        <w:t>Sauvant and Mann consider to be</w:t>
      </w:r>
      <w:r w:rsidR="002E6E55" w:rsidRPr="00CF3C36">
        <w:rPr>
          <w:lang w:val="en-GB"/>
        </w:rPr>
        <w:t xml:space="preserve"> important, ordered along the four dimensions of sustainable investment as identified in the definition above.</w:t>
      </w:r>
      <w:r w:rsidR="00C60227" w:rsidRPr="00CF3C36">
        <w:rPr>
          <w:lang w:val="en-GB"/>
        </w:rPr>
        <w:t xml:space="preserve"> The characteristics in </w:t>
      </w:r>
      <w:r w:rsidR="00C60227" w:rsidRPr="00CF3C36">
        <w:rPr>
          <w:b/>
          <w:lang w:val="en-GB"/>
        </w:rPr>
        <w:t>bold</w:t>
      </w:r>
      <w:r w:rsidR="00C60227" w:rsidRPr="00CF3C36">
        <w:rPr>
          <w:lang w:val="en-GB"/>
        </w:rPr>
        <w:t xml:space="preserve"> are commonly recognized in the investment instruments, the </w:t>
      </w:r>
      <w:r w:rsidR="00C60227" w:rsidRPr="00CF3C36">
        <w:rPr>
          <w:i/>
          <w:lang w:val="en-GB"/>
        </w:rPr>
        <w:t xml:space="preserve">italicised </w:t>
      </w:r>
      <w:r w:rsidR="00C60227" w:rsidRPr="00CF3C36">
        <w:rPr>
          <w:lang w:val="en-GB"/>
        </w:rPr>
        <w:t xml:space="preserve">characteristics are emerging common characteristics and the rest is not yet commonly recognized as an FDI sustainability characteristics.  </w:t>
      </w:r>
      <w:r w:rsidR="003A2B97" w:rsidRPr="00CF3C36">
        <w:rPr>
          <w:lang w:val="en-GB"/>
        </w:rPr>
        <w:t xml:space="preserve">The focus within this thesis is on the environmental dimension of sustainable investment. Thus it has to be kept in mind that this is only one perspective on sustainable investment, which can hopefully give insights in the dynamics of sustainable investment, but is only one part of discussion. </w:t>
      </w:r>
    </w:p>
    <w:p w14:paraId="6FAAE957" w14:textId="4CB194FB" w:rsidR="002E6E55" w:rsidRPr="00CF3C36" w:rsidRDefault="00DC216A" w:rsidP="00415E7F">
      <w:pPr>
        <w:pStyle w:val="Heading5"/>
        <w:rPr>
          <w:lang w:val="en-GB"/>
        </w:rPr>
      </w:pPr>
      <w:bookmarkStart w:id="8" w:name="_Toc15475664"/>
      <w:r w:rsidRPr="00CF3C36">
        <w:rPr>
          <w:lang w:val="en-GB"/>
        </w:rPr>
        <w:t>Table 1.</w:t>
      </w:r>
      <w:r w:rsidR="002E6E55" w:rsidRPr="00CF3C36">
        <w:rPr>
          <w:lang w:val="en-GB"/>
        </w:rPr>
        <w:t xml:space="preserve"> An indicative list of FDI Sustainability Characteristics </w:t>
      </w:r>
      <w:r w:rsidRPr="00CF3C36">
        <w:rPr>
          <w:lang w:val="en-GB"/>
        </w:rPr>
        <w:t>(Sauvant and Mann, 2017)</w:t>
      </w:r>
      <w:r w:rsidR="00E16E47" w:rsidRPr="00CF3C36">
        <w:rPr>
          <w:lang w:val="en-GB"/>
        </w:rPr>
        <w:t>.</w:t>
      </w:r>
      <w:bookmarkEnd w:id="8"/>
    </w:p>
    <w:p w14:paraId="0AC69EA0" w14:textId="77777777" w:rsidR="002E6E55" w:rsidRPr="00CF3C36" w:rsidRDefault="002E6E55" w:rsidP="007D2FB8">
      <w:pPr>
        <w:jc w:val="both"/>
        <w:rPr>
          <w:lang w:val="en-GB"/>
        </w:rPr>
      </w:pPr>
      <w:r w:rsidRPr="00CF3C36">
        <w:rPr>
          <w:noProof/>
          <w:lang w:eastAsia="nl-NL"/>
        </w:rPr>
        <w:drawing>
          <wp:inline distT="0" distB="0" distL="0" distR="0" wp14:anchorId="63D7EBCA" wp14:editId="6D7D8F87">
            <wp:extent cx="5976131" cy="3275937"/>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t of Sustainability Characteristic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84847" cy="3280715"/>
                    </a:xfrm>
                    <a:prstGeom prst="rect">
                      <a:avLst/>
                    </a:prstGeom>
                  </pic:spPr>
                </pic:pic>
              </a:graphicData>
            </a:graphic>
          </wp:inline>
        </w:drawing>
      </w:r>
    </w:p>
    <w:p w14:paraId="4A90E33D" w14:textId="507A7BA0" w:rsidR="00BC2DAC" w:rsidRPr="00CF3C36" w:rsidRDefault="002E6E55" w:rsidP="0049437C">
      <w:pPr>
        <w:spacing w:after="0" w:line="360" w:lineRule="auto"/>
        <w:ind w:firstLine="708"/>
        <w:jc w:val="both"/>
        <w:rPr>
          <w:lang w:val="en-GB"/>
        </w:rPr>
      </w:pPr>
      <w:r w:rsidRPr="00CF3C36">
        <w:rPr>
          <w:lang w:val="en-GB"/>
        </w:rPr>
        <w:t>Within discussions on investment policy the OECD is a big source of knowledge, writing many papers and</w:t>
      </w:r>
      <w:r w:rsidR="00F64A76" w:rsidRPr="00CF3C36">
        <w:rPr>
          <w:lang w:val="en-GB"/>
        </w:rPr>
        <w:t xml:space="preserve"> reports on</w:t>
      </w:r>
      <w:r w:rsidRPr="00CF3C36">
        <w:rPr>
          <w:lang w:val="en-GB"/>
        </w:rPr>
        <w:t xml:space="preserve"> the effect of (international) investment on the eco</w:t>
      </w:r>
      <w:r w:rsidR="006F67AC" w:rsidRPr="00CF3C36">
        <w:rPr>
          <w:lang w:val="en-GB"/>
        </w:rPr>
        <w:t>nomy and the society as a whole. Furthermore</w:t>
      </w:r>
      <w:r w:rsidR="00313C70" w:rsidRPr="00CF3C36">
        <w:rPr>
          <w:lang w:val="en-GB"/>
        </w:rPr>
        <w:t>,</w:t>
      </w:r>
      <w:r w:rsidR="006F67AC" w:rsidRPr="00CF3C36">
        <w:rPr>
          <w:lang w:val="en-GB"/>
        </w:rPr>
        <w:t xml:space="preserve"> the OECD recommends</w:t>
      </w:r>
      <w:r w:rsidRPr="00CF3C36">
        <w:rPr>
          <w:lang w:val="en-GB"/>
        </w:rPr>
        <w:t xml:space="preserve"> national governments </w:t>
      </w:r>
      <w:r w:rsidR="006F67AC" w:rsidRPr="00CF3C36">
        <w:rPr>
          <w:lang w:val="en-GB"/>
        </w:rPr>
        <w:t xml:space="preserve">on policies </w:t>
      </w:r>
      <w:r w:rsidRPr="00CF3C36">
        <w:rPr>
          <w:lang w:val="en-GB"/>
        </w:rPr>
        <w:t xml:space="preserve">to maximize the benefits of investment. One of the tools with which the OECD advises national governments is the Policy Framework for Investment (OECD, 2015) which materializes in the OECD Investment Policy Reviews to </w:t>
      </w:r>
      <w:r w:rsidRPr="00CF3C36">
        <w:rPr>
          <w:i/>
          <w:lang w:val="en-GB"/>
        </w:rPr>
        <w:t xml:space="preserve">“assess the climate for domestic and foreign investment at sub-national, national or regional levels. They then propose actions for improving the framework conditions for investment and discuss challenges and opportunities for further reforms.” </w:t>
      </w:r>
      <w:r w:rsidRPr="00CF3C36">
        <w:rPr>
          <w:lang w:val="en-GB"/>
        </w:rPr>
        <w:t xml:space="preserve">(OECD, 2019b). Since the adoption of the </w:t>
      </w:r>
      <w:r w:rsidRPr="00CF3C36">
        <w:rPr>
          <w:lang w:val="en-GB"/>
        </w:rPr>
        <w:lastRenderedPageBreak/>
        <w:t>SDGs in 2015</w:t>
      </w:r>
      <w:r w:rsidR="00313C70" w:rsidRPr="00CF3C36">
        <w:rPr>
          <w:lang w:val="en-GB"/>
        </w:rPr>
        <w:t>,</w:t>
      </w:r>
      <w:r w:rsidRPr="00CF3C36">
        <w:rPr>
          <w:lang w:val="en-GB"/>
        </w:rPr>
        <w:t xml:space="preserve"> the OECD has been working to incorporate the SDGs into their work. After the 2016 Ministerial Council meeting the OECD published an action plan for the SDGs (OECD, 2016). In this action plan the OECD commits itself to different areas for action of which one is to ‘Apply an SDG lens to the OECD’s strategies and policy </w:t>
      </w:r>
      <w:r w:rsidR="00F94A82" w:rsidRPr="00CF3C36">
        <w:rPr>
          <w:lang w:val="en-GB"/>
        </w:rPr>
        <w:t>tools’</w:t>
      </w:r>
      <w:r w:rsidRPr="00CF3C36">
        <w:rPr>
          <w:lang w:val="en-GB"/>
        </w:rPr>
        <w:t xml:space="preserve">. More specifically the OECD will do this by mainstreaming the SDGs across the OECD’s work, by integrating the SDG framework into the OECD reviews and by disseminating the updated OECD Policy Framework on Investment (PFI) and giving further consideration to methodologies and indicators based on the PFI. In line with these commitments the Investment Committee of the OECD launched a project called </w:t>
      </w:r>
      <w:r w:rsidRPr="00CF3C36">
        <w:rPr>
          <w:i/>
          <w:lang w:val="en-GB"/>
        </w:rPr>
        <w:t>FDI Qualities Toolkit: Investment for inclusive and sustainable growth</w:t>
      </w:r>
      <w:r w:rsidRPr="00CF3C36">
        <w:rPr>
          <w:lang w:val="en-GB"/>
        </w:rPr>
        <w:t xml:space="preserve"> in March 2018 (OECD, 2019a). The objective of the project is to </w:t>
      </w:r>
      <w:r w:rsidRPr="00CF3C36">
        <w:rPr>
          <w:i/>
          <w:lang w:val="en-GB"/>
        </w:rPr>
        <w:t>“to equip policymakers with an actionable tool to mobilise FDI that maximises inclusive and sustainable growth.”</w:t>
      </w:r>
      <w:r w:rsidRPr="00CF3C36">
        <w:rPr>
          <w:lang w:val="en-GB"/>
        </w:rPr>
        <w:t xml:space="preserve"> (OECD, 2019a p. 1) and it will consist of two components. The first component, which is currently being developed, is a set of FDI qualities indicators which describe how FDI relates to specific aspects of sustainable development. The second component is a</w:t>
      </w:r>
      <w:r w:rsidR="001C434E" w:rsidRPr="00CF3C36">
        <w:rPr>
          <w:lang w:val="en-GB"/>
        </w:rPr>
        <w:t>n</w:t>
      </w:r>
      <w:r w:rsidRPr="00CF3C36">
        <w:rPr>
          <w:lang w:val="en-GB"/>
        </w:rPr>
        <w:t xml:space="preserve"> FDI qualities policy framework which will offer countries tailor-made policy options to maximise the development impact of FDI. The indicators made for the first component of this FDI qualities toolkit are ordered in five clusters, namely productivity-innovation, skills, job quality, gender, and </w:t>
      </w:r>
      <w:r w:rsidR="00F94A82" w:rsidRPr="00CF3C36">
        <w:rPr>
          <w:lang w:val="en-GB"/>
        </w:rPr>
        <w:t>environment</w:t>
      </w:r>
      <w:r w:rsidRPr="00CF3C36">
        <w:rPr>
          <w:lang w:val="en-GB"/>
        </w:rPr>
        <w:t xml:space="preserve">. </w:t>
      </w:r>
    </w:p>
    <w:p w14:paraId="00C028E2" w14:textId="270A2977" w:rsidR="002E6E55" w:rsidRPr="00CF3C36" w:rsidRDefault="002E6E55" w:rsidP="0049437C">
      <w:pPr>
        <w:spacing w:line="360" w:lineRule="auto"/>
        <w:ind w:firstLine="708"/>
        <w:jc w:val="both"/>
        <w:rPr>
          <w:lang w:val="en-GB"/>
        </w:rPr>
      </w:pPr>
      <w:r w:rsidRPr="00CF3C36">
        <w:rPr>
          <w:lang w:val="en-GB"/>
        </w:rPr>
        <w:t xml:space="preserve">Within this thesis the focus will be on the relationship between FDI and environmental pollution and the </w:t>
      </w:r>
      <w:r w:rsidR="006F67AC" w:rsidRPr="00CF3C36">
        <w:rPr>
          <w:lang w:val="en-GB"/>
        </w:rPr>
        <w:t>data used to construct the indicators</w:t>
      </w:r>
      <w:r w:rsidR="00F94A82" w:rsidRPr="00CF3C36">
        <w:rPr>
          <w:lang w:val="en-GB"/>
        </w:rPr>
        <w:t xml:space="preserve"> of the </w:t>
      </w:r>
      <w:r w:rsidRPr="00CF3C36">
        <w:rPr>
          <w:lang w:val="en-GB"/>
        </w:rPr>
        <w:t xml:space="preserve">last </w:t>
      </w:r>
      <w:r w:rsidR="00F94A82" w:rsidRPr="00CF3C36">
        <w:rPr>
          <w:lang w:val="en-GB"/>
        </w:rPr>
        <w:t xml:space="preserve">cluster </w:t>
      </w:r>
      <w:r w:rsidRPr="00CF3C36">
        <w:rPr>
          <w:lang w:val="en-GB"/>
        </w:rPr>
        <w:t xml:space="preserve">on </w:t>
      </w:r>
      <w:r w:rsidR="00F94A82" w:rsidRPr="00CF3C36">
        <w:rPr>
          <w:lang w:val="en-GB"/>
        </w:rPr>
        <w:t>environment</w:t>
      </w:r>
      <w:r w:rsidRPr="00CF3C36">
        <w:rPr>
          <w:lang w:val="en-GB"/>
        </w:rPr>
        <w:t xml:space="preserve"> will be used in th</w:t>
      </w:r>
      <w:r w:rsidR="006F67AC" w:rsidRPr="00CF3C36">
        <w:rPr>
          <w:lang w:val="en-GB"/>
        </w:rPr>
        <w:t>is</w:t>
      </w:r>
      <w:r w:rsidRPr="00CF3C36">
        <w:rPr>
          <w:lang w:val="en-GB"/>
        </w:rPr>
        <w:t xml:space="preserve"> analysis. </w:t>
      </w:r>
    </w:p>
    <w:p w14:paraId="66534D1E" w14:textId="16C1867C" w:rsidR="001475EC" w:rsidRPr="00CF3C36" w:rsidRDefault="0051739C" w:rsidP="001475EC">
      <w:pPr>
        <w:pStyle w:val="Heading2"/>
        <w:rPr>
          <w:lang w:val="en-GB"/>
        </w:rPr>
      </w:pPr>
      <w:bookmarkStart w:id="9" w:name="_Toc15480000"/>
      <w:r w:rsidRPr="00CF3C36">
        <w:rPr>
          <w:lang w:val="en-GB"/>
        </w:rPr>
        <w:t xml:space="preserve">2.3 </w:t>
      </w:r>
      <w:r w:rsidR="001475EC" w:rsidRPr="00CF3C36">
        <w:rPr>
          <w:lang w:val="en-GB"/>
        </w:rPr>
        <w:t>Foreign Direct Investment and the host-country environment</w:t>
      </w:r>
      <w:bookmarkEnd w:id="9"/>
    </w:p>
    <w:p w14:paraId="4B46B4B4" w14:textId="759A4B5F" w:rsidR="00E14B5D" w:rsidRPr="00CF3C36" w:rsidRDefault="002E6E55" w:rsidP="006E3908">
      <w:pPr>
        <w:spacing w:line="360" w:lineRule="auto"/>
        <w:jc w:val="both"/>
        <w:rPr>
          <w:lang w:val="en-GB"/>
        </w:rPr>
      </w:pPr>
      <w:r w:rsidRPr="00CF3C36">
        <w:rPr>
          <w:lang w:val="en-GB"/>
        </w:rPr>
        <w:t>The academic debate on the environmental impact of FDI had started long before the introduction of the SDGs and many sc</w:t>
      </w:r>
      <w:r w:rsidR="00FE3825" w:rsidRPr="00CF3C36">
        <w:rPr>
          <w:lang w:val="en-GB"/>
        </w:rPr>
        <w:t>holars (Eskeland &amp; Harrison 2003</w:t>
      </w:r>
      <w:r w:rsidRPr="00CF3C36">
        <w:rPr>
          <w:lang w:val="en-GB"/>
        </w:rPr>
        <w:t>; Wheeler, 2000; Letchumanan &amp; Kodama, 2000; Beladi et al., 1999; Talukdar &amp; Meisner, 2001 and Smarzynska &amp; Wei, 2001) have linked environmental pollution with inward foreign direct investment (Hoffmann et al. 2005).</w:t>
      </w:r>
      <w:r w:rsidR="00E14B5D" w:rsidRPr="00CF3C36">
        <w:rPr>
          <w:lang w:val="en-GB"/>
        </w:rPr>
        <w:t xml:space="preserve"> This attention from academia has led to a large number of hypotheses concerning this topic. The next section will briefly introduce the relevant hypotheses and from now on this thesis will refer to them as theories, in order to </w:t>
      </w:r>
      <w:r w:rsidR="0076414C" w:rsidRPr="00CF3C36">
        <w:rPr>
          <w:lang w:val="en-GB"/>
        </w:rPr>
        <w:t>avoid</w:t>
      </w:r>
      <w:r w:rsidR="00E14B5D" w:rsidRPr="00CF3C36">
        <w:rPr>
          <w:lang w:val="en-GB"/>
        </w:rPr>
        <w:t xml:space="preserve"> confusion with the hypotheses tha</w:t>
      </w:r>
      <w:r w:rsidR="0076414C" w:rsidRPr="00CF3C36">
        <w:rPr>
          <w:lang w:val="en-GB"/>
        </w:rPr>
        <w:t>t this thesis will later put forward</w:t>
      </w:r>
      <w:r w:rsidR="00E14B5D" w:rsidRPr="00CF3C36">
        <w:rPr>
          <w:lang w:val="en-GB"/>
        </w:rPr>
        <w:t xml:space="preserve"> itself.</w:t>
      </w:r>
      <w:r w:rsidR="00596E20" w:rsidRPr="00CF3C36">
        <w:rPr>
          <w:lang w:val="en-GB"/>
        </w:rPr>
        <w:t xml:space="preserve"> Afterwards the effects on the environmental footprint of FDI that these theories predict will be discussed. </w:t>
      </w:r>
    </w:p>
    <w:p w14:paraId="7C99D4D7" w14:textId="1D1AB2A6" w:rsidR="00E14B5D" w:rsidRPr="00CF3C36" w:rsidRDefault="0051739C" w:rsidP="00E14B5D">
      <w:pPr>
        <w:pStyle w:val="Heading3"/>
        <w:rPr>
          <w:lang w:val="en-GB"/>
        </w:rPr>
      </w:pPr>
      <w:bookmarkStart w:id="10" w:name="_Toc15480001"/>
      <w:r w:rsidRPr="00CF3C36">
        <w:rPr>
          <w:lang w:val="en-GB"/>
        </w:rPr>
        <w:t>2.3.1</w:t>
      </w:r>
      <w:r w:rsidR="00A21916" w:rsidRPr="00CF3C36">
        <w:rPr>
          <w:lang w:val="en-GB"/>
        </w:rPr>
        <w:t xml:space="preserve"> </w:t>
      </w:r>
      <w:r w:rsidR="00AA77F5" w:rsidRPr="00CF3C36">
        <w:rPr>
          <w:lang w:val="en-GB"/>
        </w:rPr>
        <w:t>Previous</w:t>
      </w:r>
      <w:r w:rsidR="00E14B5D" w:rsidRPr="00CF3C36">
        <w:rPr>
          <w:lang w:val="en-GB"/>
        </w:rPr>
        <w:t xml:space="preserve"> theories</w:t>
      </w:r>
      <w:bookmarkEnd w:id="10"/>
      <w:r w:rsidR="00AA77F5" w:rsidRPr="00CF3C36">
        <w:rPr>
          <w:lang w:val="en-GB"/>
        </w:rPr>
        <w:t xml:space="preserve"> </w:t>
      </w:r>
    </w:p>
    <w:p w14:paraId="5E58F004" w14:textId="5720BA31" w:rsidR="00CA4D01" w:rsidRPr="00CF3C36" w:rsidRDefault="00E14B5D" w:rsidP="00514653">
      <w:pPr>
        <w:spacing w:after="0" w:line="360" w:lineRule="auto"/>
        <w:jc w:val="both"/>
        <w:rPr>
          <w:lang w:val="en-GB"/>
        </w:rPr>
      </w:pPr>
      <w:r w:rsidRPr="00CF3C36">
        <w:rPr>
          <w:lang w:val="en-GB"/>
        </w:rPr>
        <w:t xml:space="preserve">The first theory tries to identify the effect of domestic environmental policy on the attraction of FDI. </w:t>
      </w:r>
      <w:r w:rsidR="0032117D" w:rsidRPr="00CF3C36">
        <w:rPr>
          <w:lang w:val="en-GB"/>
        </w:rPr>
        <w:t>T</w:t>
      </w:r>
      <w:r w:rsidRPr="00CF3C36">
        <w:rPr>
          <w:lang w:val="en-GB"/>
        </w:rPr>
        <w:t xml:space="preserve">he rationale is that a less stringent environmental policy can attract (the dirty components of) </w:t>
      </w:r>
      <w:r w:rsidR="0032117D" w:rsidRPr="00CF3C36">
        <w:rPr>
          <w:lang w:val="en-GB"/>
        </w:rPr>
        <w:t>MNE’s</w:t>
      </w:r>
      <w:r w:rsidRPr="00CF3C36">
        <w:rPr>
          <w:lang w:val="en-GB"/>
        </w:rPr>
        <w:t xml:space="preserve"> </w:t>
      </w:r>
      <w:r w:rsidR="0032117D" w:rsidRPr="00CF3C36">
        <w:rPr>
          <w:lang w:val="en-GB"/>
        </w:rPr>
        <w:t>that</w:t>
      </w:r>
      <w:r w:rsidRPr="00CF3C36">
        <w:rPr>
          <w:lang w:val="en-GB"/>
        </w:rPr>
        <w:t xml:space="preserve"> seek to circumvent costly regulatory compliance in their home country. This mechanism is referred to as the </w:t>
      </w:r>
      <w:r w:rsidRPr="00CF3C36">
        <w:rPr>
          <w:i/>
          <w:lang w:val="en-GB"/>
        </w:rPr>
        <w:t>pollution haven theory</w:t>
      </w:r>
      <w:r w:rsidRPr="00CF3C36">
        <w:rPr>
          <w:lang w:val="en-GB"/>
        </w:rPr>
        <w:t xml:space="preserve"> </w:t>
      </w:r>
      <w:r w:rsidR="00BE6AB1" w:rsidRPr="00CF3C36">
        <w:rPr>
          <w:lang w:val="en-GB"/>
        </w:rPr>
        <w:t>(PHT)</w:t>
      </w:r>
      <w:r w:rsidR="00CF3C36">
        <w:rPr>
          <w:lang w:val="en-GB"/>
        </w:rPr>
        <w:t xml:space="preserve"> </w:t>
      </w:r>
      <w:r w:rsidRPr="00CF3C36">
        <w:rPr>
          <w:lang w:val="en-GB"/>
        </w:rPr>
        <w:t>(Jensen, 1996</w:t>
      </w:r>
      <w:r w:rsidR="009903CA" w:rsidRPr="00CF3C36">
        <w:rPr>
          <w:lang w:val="en-GB"/>
        </w:rPr>
        <w:t>, Birdsall &amp; Wheeler, 1993 and Zarsky, 1999</w:t>
      </w:r>
      <w:r w:rsidRPr="00CF3C36">
        <w:rPr>
          <w:lang w:val="en-GB"/>
        </w:rPr>
        <w:t>). This theory also predict</w:t>
      </w:r>
      <w:r w:rsidR="00B4579B" w:rsidRPr="00CF3C36">
        <w:rPr>
          <w:lang w:val="en-GB"/>
        </w:rPr>
        <w:t>s</w:t>
      </w:r>
      <w:r w:rsidRPr="00CF3C36">
        <w:rPr>
          <w:lang w:val="en-GB"/>
        </w:rPr>
        <w:t xml:space="preserve"> the risk that due to the drive to remain or become competitive as a </w:t>
      </w:r>
      <w:r w:rsidRPr="00CF3C36">
        <w:rPr>
          <w:lang w:val="en-GB"/>
        </w:rPr>
        <w:lastRenderedPageBreak/>
        <w:t xml:space="preserve">location for </w:t>
      </w:r>
      <w:r w:rsidR="0032117D" w:rsidRPr="00CF3C36">
        <w:rPr>
          <w:lang w:val="en-GB"/>
        </w:rPr>
        <w:t>MNE’s</w:t>
      </w:r>
      <w:r w:rsidRPr="00CF3C36">
        <w:rPr>
          <w:lang w:val="en-GB"/>
        </w:rPr>
        <w:t>, countries with initially stringent environmental policy may also relax their environmental regulation, creating a global race to the bottom (Zarsky, 1999).</w:t>
      </w:r>
      <w:r w:rsidR="0076414C" w:rsidRPr="00CF3C36">
        <w:rPr>
          <w:lang w:val="en-GB"/>
        </w:rPr>
        <w:t xml:space="preserve"> </w:t>
      </w:r>
    </w:p>
    <w:p w14:paraId="5BF8DE98" w14:textId="2AD80991" w:rsidR="00E14B5D" w:rsidRPr="00CF3C36" w:rsidRDefault="0032117D" w:rsidP="0032117D">
      <w:pPr>
        <w:spacing w:after="0" w:line="360" w:lineRule="auto"/>
        <w:ind w:firstLine="708"/>
        <w:jc w:val="both"/>
        <w:rPr>
          <w:lang w:val="en-GB"/>
        </w:rPr>
      </w:pPr>
      <w:r w:rsidRPr="00CF3C36">
        <w:rPr>
          <w:lang w:val="en-GB"/>
        </w:rPr>
        <w:t>M</w:t>
      </w:r>
      <w:r w:rsidR="0076414C" w:rsidRPr="00CF3C36">
        <w:rPr>
          <w:lang w:val="en-GB"/>
        </w:rPr>
        <w:t xml:space="preserve">ore recently an opposing rationale was introduced which says that more stringent environmental regulation may attract FDI. The first theory for this rationale is that in some sectors a firm’s reputation on sustainable management practices and Corporate Social Responsibility (CSR) is more important than circumventing costs due to stringent environmental regulation. In these sectors firms will not be attracted to countries with lax environmental regulations as this might affect their sustainable reputation, thus these firms will be attracted to countries with more stringent environmental regulations. This argument is called the </w:t>
      </w:r>
      <w:r w:rsidR="0076414C" w:rsidRPr="00CF3C36">
        <w:rPr>
          <w:i/>
          <w:lang w:val="en-GB"/>
        </w:rPr>
        <w:t>green haven theory</w:t>
      </w:r>
      <w:r w:rsidR="0076414C" w:rsidRPr="00CF3C36">
        <w:rPr>
          <w:lang w:val="en-GB"/>
        </w:rPr>
        <w:t xml:space="preserve"> </w:t>
      </w:r>
      <w:r w:rsidR="00BE6AB1" w:rsidRPr="00CF3C36">
        <w:rPr>
          <w:lang w:val="en-GB"/>
        </w:rPr>
        <w:t>(GHT</w:t>
      </w:r>
      <w:r w:rsidR="00CF3C36" w:rsidRPr="00CF3C36">
        <w:rPr>
          <w:lang w:val="en-GB"/>
        </w:rPr>
        <w:t>) (</w:t>
      </w:r>
      <w:r w:rsidR="0076414C" w:rsidRPr="00CF3C36">
        <w:rPr>
          <w:lang w:val="en-GB"/>
        </w:rPr>
        <w:t xml:space="preserve">Poelhekke &amp; Van der Ploeg, 2015). A second theory is that as a country increases its </w:t>
      </w:r>
      <w:r w:rsidR="00DB1781" w:rsidRPr="00CF3C36">
        <w:rPr>
          <w:lang w:val="en-GB"/>
        </w:rPr>
        <w:t>environmental policy stringe</w:t>
      </w:r>
      <w:r w:rsidR="00D548FC" w:rsidRPr="00CF3C36">
        <w:rPr>
          <w:lang w:val="en-GB"/>
        </w:rPr>
        <w:t>n</w:t>
      </w:r>
      <w:r w:rsidR="005910CB" w:rsidRPr="00CF3C36">
        <w:rPr>
          <w:lang w:val="en-GB"/>
        </w:rPr>
        <w:t>cy (EPS</w:t>
      </w:r>
      <w:r w:rsidR="00DB1781" w:rsidRPr="00CF3C36">
        <w:rPr>
          <w:lang w:val="en-GB"/>
        </w:rPr>
        <w:t>)</w:t>
      </w:r>
      <w:r w:rsidR="0076414C" w:rsidRPr="00CF3C36">
        <w:rPr>
          <w:lang w:val="en-GB"/>
        </w:rPr>
        <w:t xml:space="preserve">, firms with high environmental capabilities will have a </w:t>
      </w:r>
      <w:r w:rsidR="004568A6" w:rsidRPr="00CF3C36">
        <w:rPr>
          <w:lang w:val="en-GB"/>
        </w:rPr>
        <w:t>competitive</w:t>
      </w:r>
      <w:r w:rsidR="0076414C" w:rsidRPr="00CF3C36">
        <w:rPr>
          <w:lang w:val="en-GB"/>
        </w:rPr>
        <w:t xml:space="preserve"> advantage in this country</w:t>
      </w:r>
      <w:r w:rsidR="004568A6" w:rsidRPr="00CF3C36">
        <w:rPr>
          <w:lang w:val="en-GB"/>
        </w:rPr>
        <w:t>. This advantage arises as these firms</w:t>
      </w:r>
      <w:r w:rsidR="0076414C" w:rsidRPr="00CF3C36">
        <w:rPr>
          <w:lang w:val="en-GB"/>
        </w:rPr>
        <w:t xml:space="preserve"> already have the capabilities, such as technological innovation, know-how or management practices, </w:t>
      </w:r>
      <w:r w:rsidRPr="00CF3C36">
        <w:rPr>
          <w:lang w:val="en-GB"/>
        </w:rPr>
        <w:t>that</w:t>
      </w:r>
      <w:r w:rsidR="0076414C" w:rsidRPr="00CF3C36">
        <w:rPr>
          <w:lang w:val="en-GB"/>
        </w:rPr>
        <w:t xml:space="preserve"> are needed to abide by the more stringent environmental policies. </w:t>
      </w:r>
      <w:r w:rsidR="00CA13DA" w:rsidRPr="00CF3C36">
        <w:rPr>
          <w:lang w:val="en-GB"/>
        </w:rPr>
        <w:t>These firms</w:t>
      </w:r>
      <w:r w:rsidR="0076414C" w:rsidRPr="00CF3C36">
        <w:rPr>
          <w:lang w:val="en-GB"/>
        </w:rPr>
        <w:t xml:space="preserve"> will</w:t>
      </w:r>
      <w:r w:rsidR="00CA13DA" w:rsidRPr="00CF3C36">
        <w:rPr>
          <w:lang w:val="en-GB"/>
        </w:rPr>
        <w:t xml:space="preserve"> be compelled to</w:t>
      </w:r>
      <w:r w:rsidR="0076414C" w:rsidRPr="00CF3C36">
        <w:rPr>
          <w:lang w:val="en-GB"/>
        </w:rPr>
        <w:t xml:space="preserve"> invest in this country to exploit this </w:t>
      </w:r>
      <w:r w:rsidR="004568A6" w:rsidRPr="00CF3C36">
        <w:rPr>
          <w:lang w:val="en-GB"/>
        </w:rPr>
        <w:t>competitive</w:t>
      </w:r>
      <w:r w:rsidR="0076414C" w:rsidRPr="00CF3C36">
        <w:rPr>
          <w:lang w:val="en-GB"/>
        </w:rPr>
        <w:t xml:space="preserve"> advant</w:t>
      </w:r>
      <w:r w:rsidR="004568A6" w:rsidRPr="00CF3C36">
        <w:rPr>
          <w:lang w:val="en-GB"/>
        </w:rPr>
        <w:t xml:space="preserve">age; </w:t>
      </w:r>
      <w:r w:rsidR="0076414C" w:rsidRPr="00CF3C36">
        <w:rPr>
          <w:lang w:val="en-GB"/>
        </w:rPr>
        <w:t xml:space="preserve">this argument is called the </w:t>
      </w:r>
      <w:r w:rsidR="0076414C" w:rsidRPr="00CF3C36">
        <w:rPr>
          <w:i/>
          <w:lang w:val="en-GB"/>
        </w:rPr>
        <w:t>induced innovation theory</w:t>
      </w:r>
      <w:r w:rsidR="00BE6AB1" w:rsidRPr="00CF3C36">
        <w:rPr>
          <w:i/>
          <w:lang w:val="en-GB"/>
        </w:rPr>
        <w:t xml:space="preserve"> </w:t>
      </w:r>
      <w:r w:rsidR="00BE6AB1" w:rsidRPr="00CF3C36">
        <w:rPr>
          <w:lang w:val="en-GB"/>
        </w:rPr>
        <w:t>(IIT)</w:t>
      </w:r>
      <w:r w:rsidR="0076414C" w:rsidRPr="00CF3C36">
        <w:rPr>
          <w:lang w:val="en-GB"/>
        </w:rPr>
        <w:t xml:space="preserve"> (Bu &amp; Wagner, 2016).</w:t>
      </w:r>
      <w:r w:rsidR="00D43CBD" w:rsidRPr="00CF3C36">
        <w:rPr>
          <w:lang w:val="en-GB"/>
        </w:rPr>
        <w:t xml:space="preserve"> The concept of environmental capabilities will be discussed in more detail later.</w:t>
      </w:r>
      <w:r w:rsidR="0076414C" w:rsidRPr="00CF3C36">
        <w:rPr>
          <w:lang w:val="en-GB"/>
        </w:rPr>
        <w:t xml:space="preserve"> Although not relevant to inward FDI, it is worth mentioning that this </w:t>
      </w:r>
      <w:r w:rsidR="0076414C" w:rsidRPr="00CF3C36">
        <w:rPr>
          <w:i/>
          <w:lang w:val="en-GB"/>
        </w:rPr>
        <w:t>induced innovation theory</w:t>
      </w:r>
      <w:r w:rsidR="0076414C" w:rsidRPr="00CF3C36">
        <w:rPr>
          <w:lang w:val="en-GB"/>
        </w:rPr>
        <w:t xml:space="preserve"> also predicts that the home country firms</w:t>
      </w:r>
      <w:r w:rsidR="00331249" w:rsidRPr="00CF3C36">
        <w:rPr>
          <w:lang w:val="en-GB"/>
        </w:rPr>
        <w:t xml:space="preserve"> will develop environmental capabilities when a country increases its </w:t>
      </w:r>
      <w:r w:rsidR="00DB1781" w:rsidRPr="00CF3C36">
        <w:rPr>
          <w:lang w:val="en-GB"/>
        </w:rPr>
        <w:t>EPS</w:t>
      </w:r>
      <w:r w:rsidR="00344A31" w:rsidRPr="00CF3C36">
        <w:rPr>
          <w:lang w:val="en-GB"/>
        </w:rPr>
        <w:t xml:space="preserve"> (Bu &amp; Wagner, 2016). </w:t>
      </w:r>
      <w:r w:rsidR="00CA4D01" w:rsidRPr="00CF3C36">
        <w:rPr>
          <w:lang w:val="en-GB"/>
        </w:rPr>
        <w:t xml:space="preserve">Therefore firms can achieve experienced-based scale economies in environmental innovations and pollution prevention </w:t>
      </w:r>
      <w:r w:rsidR="00344A31" w:rsidRPr="00CF3C36">
        <w:rPr>
          <w:lang w:val="en-GB"/>
        </w:rPr>
        <w:t xml:space="preserve">or a first-mover advantage, </w:t>
      </w:r>
      <w:r w:rsidR="00CA4D01" w:rsidRPr="00CF3C36">
        <w:rPr>
          <w:lang w:val="en-GB"/>
        </w:rPr>
        <w:t xml:space="preserve">which can give them </w:t>
      </w:r>
      <w:r w:rsidR="004568A6" w:rsidRPr="00CF3C36">
        <w:rPr>
          <w:lang w:val="en-GB"/>
        </w:rPr>
        <w:t>a competitive</w:t>
      </w:r>
      <w:r w:rsidR="00CA4D01" w:rsidRPr="00CF3C36">
        <w:rPr>
          <w:lang w:val="en-GB"/>
        </w:rPr>
        <w:t xml:space="preserve"> ad</w:t>
      </w:r>
      <w:r w:rsidR="00344A31" w:rsidRPr="00CF3C36">
        <w:rPr>
          <w:lang w:val="en-GB"/>
        </w:rPr>
        <w:t>vantages in other countries which</w:t>
      </w:r>
      <w:r w:rsidR="00CA4D01" w:rsidRPr="00CF3C36">
        <w:rPr>
          <w:lang w:val="en-GB"/>
        </w:rPr>
        <w:t xml:space="preserve"> also increase their </w:t>
      </w:r>
      <w:r w:rsidR="00DB1781" w:rsidRPr="00CF3C36">
        <w:rPr>
          <w:lang w:val="en-GB"/>
        </w:rPr>
        <w:t>EPS</w:t>
      </w:r>
      <w:r w:rsidR="00344A31" w:rsidRPr="00CF3C36">
        <w:rPr>
          <w:lang w:val="en-GB"/>
        </w:rPr>
        <w:t xml:space="preserve"> (Rivera &amp; Oh, 2013)</w:t>
      </w:r>
      <w:r w:rsidR="00CA4D01" w:rsidRPr="00CF3C36">
        <w:rPr>
          <w:lang w:val="en-GB"/>
        </w:rPr>
        <w:t xml:space="preserve">. </w:t>
      </w:r>
    </w:p>
    <w:p w14:paraId="78E5A9CF" w14:textId="33FBD182" w:rsidR="00921F27" w:rsidRPr="00CF3C36" w:rsidRDefault="00921F27" w:rsidP="0049437C">
      <w:pPr>
        <w:spacing w:after="0" w:line="360" w:lineRule="auto"/>
        <w:ind w:firstLine="708"/>
        <w:jc w:val="both"/>
        <w:rPr>
          <w:lang w:val="en-GB"/>
        </w:rPr>
      </w:pPr>
      <w:r w:rsidRPr="00CF3C36">
        <w:rPr>
          <w:lang w:val="en-GB"/>
        </w:rPr>
        <w:t>Another related theory is the pollution halo theory, which does not discuss FDI attraction</w:t>
      </w:r>
      <w:r w:rsidR="00B0774E" w:rsidRPr="00CF3C36">
        <w:rPr>
          <w:lang w:val="en-GB"/>
        </w:rPr>
        <w:t>,</w:t>
      </w:r>
      <w:r w:rsidRPr="00CF3C36">
        <w:rPr>
          <w:lang w:val="en-GB"/>
        </w:rPr>
        <w:t xml:space="preserve"> but the impact of FDI on the home economy and environment. This theory </w:t>
      </w:r>
      <w:r w:rsidR="00B0774E" w:rsidRPr="00CF3C36">
        <w:rPr>
          <w:lang w:val="en-GB"/>
        </w:rPr>
        <w:t>suggests</w:t>
      </w:r>
      <w:r w:rsidRPr="00CF3C36">
        <w:rPr>
          <w:lang w:val="en-GB"/>
        </w:rPr>
        <w:t xml:space="preserve"> that in general </w:t>
      </w:r>
      <w:r w:rsidR="00B0774E" w:rsidRPr="00CF3C36">
        <w:rPr>
          <w:lang w:val="en-GB"/>
        </w:rPr>
        <w:t xml:space="preserve">MNE’s </w:t>
      </w:r>
      <w:r w:rsidRPr="00CF3C36">
        <w:rPr>
          <w:lang w:val="en-GB"/>
        </w:rPr>
        <w:t>will have newer and cleaner technologies and/or universally abide by more stringent environmental standards than the domestic firms. Therefore it makes the case for gen</w:t>
      </w:r>
      <w:r w:rsidR="00EF294B" w:rsidRPr="00CF3C36">
        <w:rPr>
          <w:lang w:val="en-GB"/>
        </w:rPr>
        <w:t>eral FDI attraction, the effects of this will be discussed in the next se</w:t>
      </w:r>
      <w:r w:rsidR="00DA5939" w:rsidRPr="00CF3C36">
        <w:rPr>
          <w:lang w:val="en-GB"/>
        </w:rPr>
        <w:t>ct</w:t>
      </w:r>
      <w:r w:rsidR="00EF294B" w:rsidRPr="00CF3C36">
        <w:rPr>
          <w:lang w:val="en-GB"/>
        </w:rPr>
        <w:t xml:space="preserve">ion. </w:t>
      </w:r>
    </w:p>
    <w:p w14:paraId="297829FF" w14:textId="2ACDCA78" w:rsidR="0014261B" w:rsidRPr="00CF3C36" w:rsidRDefault="00305079" w:rsidP="00DE7427">
      <w:pPr>
        <w:spacing w:line="360" w:lineRule="auto"/>
        <w:ind w:firstLine="708"/>
        <w:jc w:val="both"/>
        <w:rPr>
          <w:lang w:val="en-GB"/>
        </w:rPr>
      </w:pPr>
      <w:r w:rsidRPr="00CF3C36">
        <w:rPr>
          <w:lang w:val="en-GB"/>
        </w:rPr>
        <w:t xml:space="preserve">A last theory is the </w:t>
      </w:r>
      <w:r w:rsidRPr="00CF3C36">
        <w:rPr>
          <w:i/>
          <w:lang w:val="en-GB"/>
        </w:rPr>
        <w:t>factor-endowments theory</w:t>
      </w:r>
      <w:r w:rsidR="00F656FC" w:rsidRPr="00CF3C36">
        <w:rPr>
          <w:i/>
          <w:lang w:val="en-GB"/>
        </w:rPr>
        <w:t xml:space="preserve"> </w:t>
      </w:r>
      <w:r w:rsidR="00F656FC" w:rsidRPr="00CF3C36">
        <w:rPr>
          <w:lang w:val="en-GB"/>
        </w:rPr>
        <w:t>(Zugravu-Soilita, 2017)</w:t>
      </w:r>
      <w:r w:rsidRPr="00CF3C36">
        <w:rPr>
          <w:lang w:val="en-GB"/>
        </w:rPr>
        <w:t xml:space="preserve">, which helps to explain </w:t>
      </w:r>
      <w:r w:rsidR="00E2173A" w:rsidRPr="00CF3C36">
        <w:rPr>
          <w:lang w:val="en-GB"/>
        </w:rPr>
        <w:t xml:space="preserve">that </w:t>
      </w:r>
      <w:r w:rsidRPr="00CF3C36">
        <w:rPr>
          <w:lang w:val="en-GB"/>
        </w:rPr>
        <w:t xml:space="preserve">no consensus has been found on one of the previous theories. </w:t>
      </w:r>
      <w:r w:rsidR="0014261B" w:rsidRPr="00CF3C36">
        <w:rPr>
          <w:lang w:val="en-GB"/>
        </w:rPr>
        <w:t xml:space="preserve">Zugravu-Soilita (2017) </w:t>
      </w:r>
      <w:r w:rsidRPr="00CF3C36">
        <w:rPr>
          <w:lang w:val="en-GB"/>
        </w:rPr>
        <w:t>states that, as capital</w:t>
      </w:r>
      <w:r w:rsidR="005A17B8" w:rsidRPr="00CF3C36">
        <w:rPr>
          <w:lang w:val="en-GB"/>
        </w:rPr>
        <w:t xml:space="preserve"> </w:t>
      </w:r>
      <w:r w:rsidRPr="00CF3C36">
        <w:rPr>
          <w:lang w:val="en-GB"/>
        </w:rPr>
        <w:t>intensive activities are generally assumed to also be pollution int</w:t>
      </w:r>
      <w:r w:rsidR="0014261B" w:rsidRPr="00CF3C36">
        <w:rPr>
          <w:lang w:val="en-GB"/>
        </w:rPr>
        <w:t>ensive, capital abundant</w:t>
      </w:r>
      <w:r w:rsidR="005A17B8" w:rsidRPr="00CF3C36">
        <w:rPr>
          <w:lang w:val="en-GB"/>
        </w:rPr>
        <w:t xml:space="preserve"> countries will be pollution </w:t>
      </w:r>
      <w:r w:rsidRPr="00CF3C36">
        <w:rPr>
          <w:lang w:val="en-GB"/>
        </w:rPr>
        <w:t xml:space="preserve">intensive under free trade and openness to FDI. This means that firms </w:t>
      </w:r>
      <w:r w:rsidR="0014261B" w:rsidRPr="00CF3C36">
        <w:rPr>
          <w:lang w:val="en-GB"/>
        </w:rPr>
        <w:t>might</w:t>
      </w:r>
      <w:r w:rsidRPr="00CF3C36">
        <w:rPr>
          <w:lang w:val="en-GB"/>
        </w:rPr>
        <w:t xml:space="preserve"> </w:t>
      </w:r>
      <w:r w:rsidR="0014261B" w:rsidRPr="00CF3C36">
        <w:rPr>
          <w:lang w:val="en-GB"/>
        </w:rPr>
        <w:t>choose</w:t>
      </w:r>
      <w:r w:rsidRPr="00CF3C36">
        <w:rPr>
          <w:lang w:val="en-GB"/>
        </w:rPr>
        <w:t xml:space="preserve"> to locate in </w:t>
      </w:r>
      <w:r w:rsidR="0014261B" w:rsidRPr="00CF3C36">
        <w:rPr>
          <w:lang w:val="en-GB"/>
        </w:rPr>
        <w:t>capital abundant</w:t>
      </w:r>
      <w:r w:rsidRPr="00CF3C36">
        <w:rPr>
          <w:lang w:val="en-GB"/>
        </w:rPr>
        <w:t xml:space="preserve"> countries with stringent environmental regulations</w:t>
      </w:r>
      <w:r w:rsidR="00CF3C36">
        <w:rPr>
          <w:lang w:val="en-GB"/>
        </w:rPr>
        <w:t>,</w:t>
      </w:r>
      <w:r w:rsidRPr="00CF3C36">
        <w:rPr>
          <w:lang w:val="en-GB"/>
        </w:rPr>
        <w:t xml:space="preserve"> </w:t>
      </w:r>
      <w:r w:rsidR="0014261B" w:rsidRPr="00CF3C36">
        <w:rPr>
          <w:lang w:val="en-GB"/>
        </w:rPr>
        <w:t xml:space="preserve">despite these regulation and not because of them, as the green haven theory might suggest. As capital abundant countries tend to have more stringent environmental policies, the green haven effect might appear true if relative capital abundance is not taken into account. </w:t>
      </w:r>
    </w:p>
    <w:p w14:paraId="59F2C56A" w14:textId="62328758" w:rsidR="00E14B5D" w:rsidRPr="00CF3C36" w:rsidRDefault="0051739C" w:rsidP="00596E20">
      <w:pPr>
        <w:pStyle w:val="Heading3"/>
        <w:rPr>
          <w:lang w:val="en-GB"/>
        </w:rPr>
      </w:pPr>
      <w:bookmarkStart w:id="11" w:name="_Toc15480002"/>
      <w:r w:rsidRPr="00CF3C36">
        <w:rPr>
          <w:lang w:val="en-GB"/>
        </w:rPr>
        <w:lastRenderedPageBreak/>
        <w:t>2.3.2</w:t>
      </w:r>
      <w:r w:rsidR="00A21916" w:rsidRPr="00CF3C36">
        <w:rPr>
          <w:lang w:val="en-GB"/>
        </w:rPr>
        <w:t xml:space="preserve"> </w:t>
      </w:r>
      <w:r w:rsidR="00596E20" w:rsidRPr="00CF3C36">
        <w:rPr>
          <w:lang w:val="en-GB"/>
        </w:rPr>
        <w:t>Effects o</w:t>
      </w:r>
      <w:r w:rsidR="00EC5447" w:rsidRPr="00CF3C36">
        <w:rPr>
          <w:lang w:val="en-GB"/>
        </w:rPr>
        <w:t>f</w:t>
      </w:r>
      <w:r w:rsidR="00596E20" w:rsidRPr="00CF3C36">
        <w:rPr>
          <w:lang w:val="en-GB"/>
        </w:rPr>
        <w:t xml:space="preserve"> the environmental footprint of FDI</w:t>
      </w:r>
      <w:bookmarkEnd w:id="11"/>
    </w:p>
    <w:p w14:paraId="5923AD8B" w14:textId="434B3E06" w:rsidR="00125E98" w:rsidRPr="00CF3C36" w:rsidRDefault="00596E20" w:rsidP="0049437C">
      <w:pPr>
        <w:spacing w:after="0" w:line="360" w:lineRule="auto"/>
        <w:jc w:val="both"/>
        <w:rPr>
          <w:color w:val="FF0000"/>
          <w:lang w:val="en-GB"/>
        </w:rPr>
      </w:pPr>
      <w:r w:rsidRPr="00CF3C36">
        <w:rPr>
          <w:lang w:val="en-GB"/>
        </w:rPr>
        <w:t>This section will disc</w:t>
      </w:r>
      <w:r w:rsidR="0018728D" w:rsidRPr="00CF3C36">
        <w:rPr>
          <w:lang w:val="en-GB"/>
        </w:rPr>
        <w:t>uss the different effects that inward FDI can have on a host-country’s environment. The</w:t>
      </w:r>
      <w:r w:rsidRPr="00CF3C36">
        <w:rPr>
          <w:lang w:val="en-GB"/>
        </w:rPr>
        <w:t>s</w:t>
      </w:r>
      <w:r w:rsidR="0018728D" w:rsidRPr="00CF3C36">
        <w:rPr>
          <w:lang w:val="en-GB"/>
        </w:rPr>
        <w:t>e</w:t>
      </w:r>
      <w:r w:rsidRPr="00CF3C36">
        <w:rPr>
          <w:lang w:val="en-GB"/>
        </w:rPr>
        <w:t xml:space="preserve"> effect</w:t>
      </w:r>
      <w:r w:rsidR="0018728D" w:rsidRPr="00CF3C36">
        <w:rPr>
          <w:lang w:val="en-GB"/>
        </w:rPr>
        <w:t>s are</w:t>
      </w:r>
      <w:r w:rsidRPr="00CF3C36">
        <w:rPr>
          <w:lang w:val="en-GB"/>
        </w:rPr>
        <w:t xml:space="preserve"> rather similar to the effect</w:t>
      </w:r>
      <w:r w:rsidR="0018728D" w:rsidRPr="00CF3C36">
        <w:rPr>
          <w:lang w:val="en-GB"/>
        </w:rPr>
        <w:t>s</w:t>
      </w:r>
      <w:r w:rsidRPr="00CF3C36">
        <w:rPr>
          <w:lang w:val="en-GB"/>
        </w:rPr>
        <w:t xml:space="preserve"> of economic growth on pollution as described by Grossman (1995). He described three effect</w:t>
      </w:r>
      <w:r w:rsidR="0018728D" w:rsidRPr="00CF3C36">
        <w:rPr>
          <w:lang w:val="en-GB"/>
        </w:rPr>
        <w:t>s</w:t>
      </w:r>
      <w:r w:rsidRPr="00CF3C36">
        <w:rPr>
          <w:lang w:val="en-GB"/>
        </w:rPr>
        <w:t xml:space="preserve"> that may take place as an economy grows, which are also applicable to the inflow of FDI</w:t>
      </w:r>
      <w:r w:rsidR="0018728D" w:rsidRPr="00CF3C36">
        <w:rPr>
          <w:lang w:val="en-GB"/>
        </w:rPr>
        <w:t xml:space="preserve">. First is the </w:t>
      </w:r>
      <w:r w:rsidR="0018728D" w:rsidRPr="00CF3C36">
        <w:rPr>
          <w:i/>
          <w:lang w:val="en-GB"/>
        </w:rPr>
        <w:t>scale effect,</w:t>
      </w:r>
      <w:r w:rsidR="0018728D" w:rsidRPr="00CF3C36">
        <w:rPr>
          <w:lang w:val="en-GB"/>
        </w:rPr>
        <w:t xml:space="preserve"> which means that </w:t>
      </w:r>
      <w:r w:rsidRPr="00CF3C36">
        <w:rPr>
          <w:lang w:val="en-GB"/>
        </w:rPr>
        <w:t>FDI increas</w:t>
      </w:r>
      <w:r w:rsidR="0018728D" w:rsidRPr="00CF3C36">
        <w:rPr>
          <w:lang w:val="en-GB"/>
        </w:rPr>
        <w:t>es a country’s economic output therefore</w:t>
      </w:r>
      <w:r w:rsidRPr="00CF3C36">
        <w:rPr>
          <w:lang w:val="en-GB"/>
        </w:rPr>
        <w:t xml:space="preserve"> ceteris paribus the </w:t>
      </w:r>
      <w:r w:rsidR="0018728D" w:rsidRPr="00CF3C36">
        <w:rPr>
          <w:lang w:val="en-GB"/>
        </w:rPr>
        <w:t xml:space="preserve">total </w:t>
      </w:r>
      <w:r w:rsidRPr="00CF3C36">
        <w:rPr>
          <w:lang w:val="en-GB"/>
        </w:rPr>
        <w:t xml:space="preserve">pollution from </w:t>
      </w:r>
      <w:r w:rsidR="0018728D" w:rsidRPr="00CF3C36">
        <w:rPr>
          <w:lang w:val="en-GB"/>
        </w:rPr>
        <w:t>the</w:t>
      </w:r>
      <w:r w:rsidRPr="00CF3C36">
        <w:rPr>
          <w:lang w:val="en-GB"/>
        </w:rPr>
        <w:t xml:space="preserve"> economic output will increase as well.</w:t>
      </w:r>
      <w:r w:rsidR="0018728D" w:rsidRPr="00CF3C36">
        <w:rPr>
          <w:lang w:val="en-GB"/>
        </w:rPr>
        <w:t xml:space="preserve"> This particularly applies to greenfield FDI, but possibly also to brownfield FDI by increasing productivity and total production.</w:t>
      </w:r>
      <w:r w:rsidRPr="00CF3C36">
        <w:rPr>
          <w:lang w:val="en-GB"/>
        </w:rPr>
        <w:t xml:space="preserve"> The second effect is the </w:t>
      </w:r>
      <w:r w:rsidRPr="00CF3C36">
        <w:rPr>
          <w:i/>
          <w:lang w:val="en-GB"/>
        </w:rPr>
        <w:t>composition effect</w:t>
      </w:r>
      <w:r w:rsidR="0018728D" w:rsidRPr="00CF3C36">
        <w:rPr>
          <w:lang w:val="en-GB"/>
        </w:rPr>
        <w:t>,</w:t>
      </w:r>
      <w:r w:rsidRPr="00CF3C36">
        <w:rPr>
          <w:lang w:val="en-GB"/>
        </w:rPr>
        <w:t xml:space="preserve"> which means that the average pollution per unit of output of the country will increase if FDI flows to pollution intensive sectors and vice versa.</w:t>
      </w:r>
      <w:r w:rsidR="00136110" w:rsidRPr="00CF3C36">
        <w:rPr>
          <w:lang w:val="en-GB"/>
        </w:rPr>
        <w:t xml:space="preserve"> Thus</w:t>
      </w:r>
      <w:r w:rsidR="00EC5447" w:rsidRPr="00CF3C36">
        <w:rPr>
          <w:lang w:val="en-GB"/>
        </w:rPr>
        <w:t xml:space="preserve"> the</w:t>
      </w:r>
      <w:r w:rsidR="00136110" w:rsidRPr="00CF3C36">
        <w:rPr>
          <w:lang w:val="en-GB"/>
        </w:rPr>
        <w:t xml:space="preserve"> average pollution per unit of output can change due to a change in composition of the economy.</w:t>
      </w:r>
      <w:r w:rsidRPr="00CF3C36">
        <w:rPr>
          <w:lang w:val="en-GB"/>
        </w:rPr>
        <w:t xml:space="preserve"> The last effect is the </w:t>
      </w:r>
      <w:r w:rsidRPr="00CF3C36">
        <w:rPr>
          <w:i/>
          <w:lang w:val="en-GB"/>
        </w:rPr>
        <w:t>technique effect</w:t>
      </w:r>
      <w:r w:rsidR="00136110" w:rsidRPr="00CF3C36">
        <w:rPr>
          <w:i/>
          <w:lang w:val="en-GB"/>
        </w:rPr>
        <w:t>,</w:t>
      </w:r>
      <w:r w:rsidRPr="00CF3C36">
        <w:rPr>
          <w:i/>
          <w:lang w:val="en-GB"/>
        </w:rPr>
        <w:t xml:space="preserve"> </w:t>
      </w:r>
      <w:r w:rsidRPr="00CF3C36">
        <w:rPr>
          <w:lang w:val="en-GB"/>
        </w:rPr>
        <w:t>which suggests that the inflow of FDI may introduce newer, more productive and cleaner production techniques or management practices and therefore reduce the average pollution per unit of output.</w:t>
      </w:r>
      <w:r w:rsidR="00FC3DCC" w:rsidRPr="00CF3C36">
        <w:rPr>
          <w:lang w:val="en-GB"/>
        </w:rPr>
        <w:t xml:space="preserve"> This technique effect is </w:t>
      </w:r>
      <w:r w:rsidR="004A7332" w:rsidRPr="00CF3C36">
        <w:rPr>
          <w:lang w:val="en-GB"/>
        </w:rPr>
        <w:t xml:space="preserve">already </w:t>
      </w:r>
      <w:r w:rsidR="00FC3DCC" w:rsidRPr="00CF3C36">
        <w:rPr>
          <w:lang w:val="en-GB"/>
        </w:rPr>
        <w:t>present when a foreign firm itself uses these newer techniques</w:t>
      </w:r>
      <w:r w:rsidR="00EC5447" w:rsidRPr="00CF3C36">
        <w:rPr>
          <w:lang w:val="en-GB"/>
        </w:rPr>
        <w:t>,</w:t>
      </w:r>
      <w:r w:rsidR="00FC3DCC" w:rsidRPr="00CF3C36">
        <w:rPr>
          <w:lang w:val="en-GB"/>
        </w:rPr>
        <w:t xml:space="preserve"> but will be even greater when the foreign firm diffuses these techniques among other firms as we</w:t>
      </w:r>
      <w:r w:rsidR="007A1F0A" w:rsidRPr="00CF3C36">
        <w:rPr>
          <w:lang w:val="en-GB"/>
        </w:rPr>
        <w:t xml:space="preserve">ll via spill overs. This can occur via </w:t>
      </w:r>
      <w:r w:rsidR="00FC3DCC" w:rsidRPr="00CF3C36">
        <w:rPr>
          <w:lang w:val="en-GB"/>
        </w:rPr>
        <w:t xml:space="preserve">vertical </w:t>
      </w:r>
      <w:r w:rsidR="007A1F0A" w:rsidRPr="00CF3C36">
        <w:rPr>
          <w:lang w:val="en-GB"/>
        </w:rPr>
        <w:t>spillovers</w:t>
      </w:r>
      <w:r w:rsidR="00A413A8" w:rsidRPr="00CF3C36">
        <w:rPr>
          <w:lang w:val="en-GB"/>
        </w:rPr>
        <w:t>, i.e.</w:t>
      </w:r>
      <w:r w:rsidR="00FC3DCC" w:rsidRPr="00CF3C36">
        <w:rPr>
          <w:lang w:val="en-GB"/>
        </w:rPr>
        <w:t xml:space="preserve"> from foreign firms to domestic suppliers (backward linkages) or from foreign suppliers to domestic firms (forward linkages)</w:t>
      </w:r>
      <w:r w:rsidR="007A1F0A" w:rsidRPr="00CF3C36">
        <w:rPr>
          <w:lang w:val="en-GB"/>
        </w:rPr>
        <w:t xml:space="preserve">. Or </w:t>
      </w:r>
      <w:r w:rsidR="00A413A8" w:rsidRPr="00CF3C36">
        <w:rPr>
          <w:lang w:val="en-GB"/>
        </w:rPr>
        <w:t xml:space="preserve">this can </w:t>
      </w:r>
      <w:r w:rsidR="007A1F0A" w:rsidRPr="00CF3C36">
        <w:rPr>
          <w:lang w:val="en-GB"/>
        </w:rPr>
        <w:t>occur via</w:t>
      </w:r>
      <w:r w:rsidR="00A413A8" w:rsidRPr="00CF3C36">
        <w:rPr>
          <w:lang w:val="en-GB"/>
        </w:rPr>
        <w:t xml:space="preserve"> horizontal </w:t>
      </w:r>
      <w:r w:rsidR="007A1F0A" w:rsidRPr="00CF3C36">
        <w:rPr>
          <w:lang w:val="en-GB"/>
        </w:rPr>
        <w:t>spillovers</w:t>
      </w:r>
      <w:r w:rsidR="00A413A8" w:rsidRPr="00CF3C36">
        <w:rPr>
          <w:lang w:val="en-GB"/>
        </w:rPr>
        <w:t>, i.e. from foreign firms to domestic competitors</w:t>
      </w:r>
      <w:r w:rsidR="004A7332" w:rsidRPr="00CF3C36">
        <w:rPr>
          <w:lang w:val="en-GB"/>
        </w:rPr>
        <w:t xml:space="preserve"> (Navaretti &amp; Venables, 2004)</w:t>
      </w:r>
      <w:r w:rsidR="00A413A8" w:rsidRPr="00CF3C36">
        <w:rPr>
          <w:lang w:val="en-GB"/>
        </w:rPr>
        <w:t xml:space="preserve">. </w:t>
      </w:r>
    </w:p>
    <w:p w14:paraId="15928334" w14:textId="527F0E33" w:rsidR="00235034" w:rsidRPr="00CF3C36" w:rsidRDefault="00235034" w:rsidP="0049437C">
      <w:pPr>
        <w:spacing w:after="0" w:line="360" w:lineRule="auto"/>
        <w:ind w:firstLine="708"/>
        <w:jc w:val="both"/>
        <w:rPr>
          <w:color w:val="FF0000"/>
          <w:lang w:val="en-GB"/>
        </w:rPr>
      </w:pPr>
      <w:r w:rsidRPr="00CF3C36">
        <w:rPr>
          <w:lang w:val="en-GB"/>
        </w:rPr>
        <w:t xml:space="preserve">Even though the before mentioned </w:t>
      </w:r>
      <w:r w:rsidRPr="00CF3C36">
        <w:rPr>
          <w:i/>
          <w:lang w:val="en-GB"/>
        </w:rPr>
        <w:t>scale</w:t>
      </w:r>
      <w:r w:rsidRPr="00CF3C36">
        <w:rPr>
          <w:lang w:val="en-GB"/>
        </w:rPr>
        <w:t xml:space="preserve"> </w:t>
      </w:r>
      <w:r w:rsidRPr="00CF3C36">
        <w:rPr>
          <w:i/>
          <w:lang w:val="en-GB"/>
        </w:rPr>
        <w:t xml:space="preserve">effect </w:t>
      </w:r>
      <w:r w:rsidRPr="00CF3C36">
        <w:rPr>
          <w:lang w:val="en-GB"/>
        </w:rPr>
        <w:t xml:space="preserve">of FDI on the environment (Grossman, 1995 &amp; Zarsky, 1999), might sound rather unambiguous, there </w:t>
      </w:r>
      <w:r w:rsidR="00546797" w:rsidRPr="00CF3C36">
        <w:rPr>
          <w:lang w:val="en-GB"/>
        </w:rPr>
        <w:t>is some debate as to what extent</w:t>
      </w:r>
      <w:r w:rsidRPr="00CF3C36">
        <w:rPr>
          <w:lang w:val="en-GB"/>
        </w:rPr>
        <w:t xml:space="preserve"> an increase in economic output </w:t>
      </w:r>
      <w:r w:rsidR="00546797" w:rsidRPr="00CF3C36">
        <w:rPr>
          <w:lang w:val="en-GB"/>
        </w:rPr>
        <w:t xml:space="preserve">also </w:t>
      </w:r>
      <w:r w:rsidRPr="00CF3C36">
        <w:rPr>
          <w:lang w:val="en-GB"/>
        </w:rPr>
        <w:t>increase</w:t>
      </w:r>
      <w:r w:rsidR="00546797" w:rsidRPr="00CF3C36">
        <w:rPr>
          <w:lang w:val="en-GB"/>
        </w:rPr>
        <w:t>s the</w:t>
      </w:r>
      <w:r w:rsidRPr="00CF3C36">
        <w:rPr>
          <w:lang w:val="en-GB"/>
        </w:rPr>
        <w:t xml:space="preserve"> environmental pollution. The OECD (1997) pointed out that these negative scale effect might be limited due to the existence of the “inverted U-shape” relationship between pollution and economic development known as the Environmental Kuznets curve (EKC) (Shafik &amp; Bandyopadhyay, 1992; Panayotou, 1993 and Grossman &amp; Kr</w:t>
      </w:r>
      <w:r w:rsidR="00546797" w:rsidRPr="00CF3C36">
        <w:rPr>
          <w:lang w:val="en-GB"/>
        </w:rPr>
        <w:t>ueger, 1995). According to the EKC</w:t>
      </w:r>
      <w:r w:rsidRPr="00CF3C36">
        <w:rPr>
          <w:lang w:val="en-GB"/>
        </w:rPr>
        <w:t xml:space="preserve"> an increase in FDI might first in</w:t>
      </w:r>
      <w:r w:rsidR="007A1F0A" w:rsidRPr="00CF3C36">
        <w:rPr>
          <w:lang w:val="en-GB"/>
        </w:rPr>
        <w:t>crease the environmental impact.</w:t>
      </w:r>
      <w:r w:rsidRPr="00CF3C36">
        <w:rPr>
          <w:lang w:val="en-GB"/>
        </w:rPr>
        <w:t xml:space="preserve"> </w:t>
      </w:r>
      <w:r w:rsidR="007A1F0A" w:rsidRPr="00CF3C36">
        <w:rPr>
          <w:lang w:val="en-GB"/>
        </w:rPr>
        <w:t>However, a</w:t>
      </w:r>
      <w:r w:rsidRPr="00CF3C36">
        <w:rPr>
          <w:lang w:val="en-GB"/>
        </w:rPr>
        <w:t>s FDI</w:t>
      </w:r>
      <w:r w:rsidR="007A1F0A" w:rsidRPr="00CF3C36">
        <w:rPr>
          <w:lang w:val="en-GB"/>
        </w:rPr>
        <w:t xml:space="preserve"> can also increase</w:t>
      </w:r>
      <w:r w:rsidRPr="00CF3C36">
        <w:rPr>
          <w:lang w:val="en-GB"/>
        </w:rPr>
        <w:t xml:space="preserve"> national income this will increase the national demand for environmental quality which will cause pollution to level off and eventually even decline. Thus far, no consensus has been reached on the existence of the EKC, also it seems to depend on the type of environmental </w:t>
      </w:r>
      <w:r w:rsidR="00656290" w:rsidRPr="00CF3C36">
        <w:rPr>
          <w:lang w:val="en-GB"/>
        </w:rPr>
        <w:t>impact</w:t>
      </w:r>
      <w:r w:rsidRPr="00CF3C36">
        <w:rPr>
          <w:lang w:val="en-GB"/>
        </w:rPr>
        <w:t xml:space="preserve"> that is researched</w:t>
      </w:r>
      <w:r w:rsidR="00A70EC5" w:rsidRPr="00CF3C36">
        <w:rPr>
          <w:lang w:val="en-GB"/>
        </w:rPr>
        <w:t xml:space="preserve"> </w:t>
      </w:r>
      <w:r w:rsidRPr="00CF3C36">
        <w:rPr>
          <w:lang w:val="en-GB"/>
        </w:rPr>
        <w:t>(Uchiyama, 2016</w:t>
      </w:r>
      <w:r w:rsidR="00A70EC5" w:rsidRPr="00CF3C36">
        <w:rPr>
          <w:lang w:val="en-GB"/>
        </w:rPr>
        <w:t xml:space="preserve"> &amp; </w:t>
      </w:r>
      <w:r w:rsidRPr="00CF3C36">
        <w:rPr>
          <w:lang w:val="en-GB"/>
        </w:rPr>
        <w:t>Dinda, 2004). The OECD (1997) also conclude</w:t>
      </w:r>
      <w:r w:rsidR="00716115" w:rsidRPr="00CF3C36">
        <w:rPr>
          <w:lang w:val="en-GB"/>
        </w:rPr>
        <w:t>s</w:t>
      </w:r>
      <w:r w:rsidRPr="00CF3C36">
        <w:rPr>
          <w:lang w:val="en-GB"/>
        </w:rPr>
        <w:t xml:space="preserve"> that due to a lack of consensus around this phenomenon it is difficult to draw meaningful conclusions on the influence of the </w:t>
      </w:r>
      <w:r w:rsidR="006126BC" w:rsidRPr="00CF3C36">
        <w:rPr>
          <w:lang w:val="en-GB"/>
        </w:rPr>
        <w:t>EKC</w:t>
      </w:r>
      <w:r w:rsidRPr="00CF3C36">
        <w:rPr>
          <w:lang w:val="en-GB"/>
        </w:rPr>
        <w:t xml:space="preserve"> on the scale effects of inward FDI. </w:t>
      </w:r>
    </w:p>
    <w:p w14:paraId="35A1B031" w14:textId="2CDE69FE" w:rsidR="00E74255" w:rsidRPr="00CF3C36" w:rsidRDefault="00125E98" w:rsidP="0049437C">
      <w:pPr>
        <w:spacing w:after="0" w:line="360" w:lineRule="auto"/>
        <w:jc w:val="both"/>
        <w:rPr>
          <w:lang w:val="en-GB"/>
        </w:rPr>
      </w:pPr>
      <w:r w:rsidRPr="00CF3C36">
        <w:rPr>
          <w:color w:val="FF0000"/>
          <w:lang w:val="en-GB"/>
        </w:rPr>
        <w:tab/>
      </w:r>
      <w:r w:rsidRPr="00CF3C36">
        <w:rPr>
          <w:lang w:val="en-GB"/>
        </w:rPr>
        <w:t xml:space="preserve">The pollution haven theory predicts an increase in FDI when a country lowers </w:t>
      </w:r>
      <w:r w:rsidR="00A637CE" w:rsidRPr="00CF3C36">
        <w:rPr>
          <w:lang w:val="en-GB"/>
        </w:rPr>
        <w:t>its EPS. A low EPS is especially important in polluting sectors, as abiding by more stringent regulations can be very costly in these sectors. Therefore</w:t>
      </w:r>
      <w:r w:rsidR="00EF732A" w:rsidRPr="00CF3C36">
        <w:rPr>
          <w:lang w:val="en-GB"/>
        </w:rPr>
        <w:t>,</w:t>
      </w:r>
      <w:r w:rsidR="00A637CE" w:rsidRPr="00CF3C36">
        <w:rPr>
          <w:lang w:val="en-GB"/>
        </w:rPr>
        <w:t xml:space="preserve"> countries with a low EPS are predicted to attract pollution intensive FDI</w:t>
      </w:r>
      <w:r w:rsidRPr="00CF3C36">
        <w:rPr>
          <w:lang w:val="en-GB"/>
        </w:rPr>
        <w:t xml:space="preserve">. </w:t>
      </w:r>
      <w:r w:rsidR="008D5A4A" w:rsidRPr="00CF3C36">
        <w:rPr>
          <w:lang w:val="en-GB"/>
        </w:rPr>
        <w:t>I</w:t>
      </w:r>
      <w:r w:rsidRPr="00CF3C36">
        <w:rPr>
          <w:lang w:val="en-GB"/>
        </w:rPr>
        <w:t xml:space="preserve">n terms of the effects on the environmental footprint of Grossman (1995), this represents a </w:t>
      </w:r>
      <w:r w:rsidRPr="00CF3C36">
        <w:rPr>
          <w:lang w:val="en-GB"/>
        </w:rPr>
        <w:lastRenderedPageBreak/>
        <w:t xml:space="preserve">negative scale effect and a negative composition effect. </w:t>
      </w:r>
      <w:r w:rsidR="00A637CE" w:rsidRPr="00CF3C36">
        <w:rPr>
          <w:lang w:val="en-GB"/>
        </w:rPr>
        <w:t>To the contrary</w:t>
      </w:r>
      <w:r w:rsidR="00716115" w:rsidRPr="00CF3C36">
        <w:rPr>
          <w:lang w:val="en-GB"/>
        </w:rPr>
        <w:t>,</w:t>
      </w:r>
      <w:r w:rsidR="00A637CE" w:rsidRPr="00CF3C36">
        <w:rPr>
          <w:lang w:val="en-GB"/>
        </w:rPr>
        <w:t xml:space="preserve"> the green haven theory predicts a</w:t>
      </w:r>
      <w:r w:rsidR="00B4579B" w:rsidRPr="00CF3C36">
        <w:rPr>
          <w:lang w:val="en-GB"/>
        </w:rPr>
        <w:t>n increase in FDI when a</w:t>
      </w:r>
      <w:r w:rsidR="00A637CE" w:rsidRPr="00CF3C36">
        <w:rPr>
          <w:lang w:val="en-GB"/>
        </w:rPr>
        <w:t xml:space="preserve"> country increases its EPS</w:t>
      </w:r>
      <w:r w:rsidR="00A70EC5" w:rsidRPr="00CF3C36">
        <w:rPr>
          <w:lang w:val="en-GB"/>
        </w:rPr>
        <w:t>.</w:t>
      </w:r>
      <w:r w:rsidR="00F94155" w:rsidRPr="00CF3C36">
        <w:rPr>
          <w:lang w:val="en-GB"/>
        </w:rPr>
        <w:t xml:space="preserve"> </w:t>
      </w:r>
      <w:r w:rsidR="00A70EC5" w:rsidRPr="00CF3C36">
        <w:rPr>
          <w:lang w:val="en-GB"/>
        </w:rPr>
        <w:t>T</w:t>
      </w:r>
      <w:r w:rsidR="00F94155" w:rsidRPr="00CF3C36">
        <w:rPr>
          <w:lang w:val="en-GB"/>
        </w:rPr>
        <w:t xml:space="preserve">his increase </w:t>
      </w:r>
      <w:r w:rsidR="00A70EC5" w:rsidRPr="00CF3C36">
        <w:rPr>
          <w:lang w:val="en-GB"/>
        </w:rPr>
        <w:t>is expected</w:t>
      </w:r>
      <w:r w:rsidR="00F94155" w:rsidRPr="00CF3C36">
        <w:rPr>
          <w:lang w:val="en-GB"/>
        </w:rPr>
        <w:t xml:space="preserve"> in sectors where</w:t>
      </w:r>
      <w:r w:rsidR="00A637CE" w:rsidRPr="00CF3C36">
        <w:rPr>
          <w:lang w:val="en-GB"/>
        </w:rPr>
        <w:t xml:space="preserve"> </w:t>
      </w:r>
      <w:r w:rsidR="00F94155" w:rsidRPr="00CF3C36">
        <w:rPr>
          <w:lang w:val="en-GB"/>
        </w:rPr>
        <w:t>a sustainable</w:t>
      </w:r>
      <w:r w:rsidR="00A637CE" w:rsidRPr="00CF3C36">
        <w:rPr>
          <w:lang w:val="en-GB"/>
        </w:rPr>
        <w:t xml:space="preserve"> reputation </w:t>
      </w:r>
      <w:r w:rsidR="00F94155" w:rsidRPr="00CF3C36">
        <w:rPr>
          <w:lang w:val="en-GB"/>
        </w:rPr>
        <w:t xml:space="preserve">is highly valued </w:t>
      </w:r>
      <w:r w:rsidR="00A637CE" w:rsidRPr="00CF3C36">
        <w:rPr>
          <w:lang w:val="en-GB"/>
        </w:rPr>
        <w:t xml:space="preserve">and therefore are expected to have relatively sustainable practices. </w:t>
      </w:r>
      <w:r w:rsidR="00EF732A" w:rsidRPr="00CF3C36">
        <w:rPr>
          <w:lang w:val="en-GB"/>
        </w:rPr>
        <w:t>Hence</w:t>
      </w:r>
      <w:r w:rsidR="00A637CE" w:rsidRPr="00CF3C36">
        <w:rPr>
          <w:lang w:val="en-GB"/>
        </w:rPr>
        <w:t xml:space="preserve"> this represents a negative scale effect, but a positive composition effect. </w:t>
      </w:r>
      <w:r w:rsidR="00EF732A" w:rsidRPr="00CF3C36">
        <w:rPr>
          <w:lang w:val="en-GB"/>
        </w:rPr>
        <w:t>Similarly,</w:t>
      </w:r>
      <w:r w:rsidR="00F94155" w:rsidRPr="00CF3C36">
        <w:rPr>
          <w:lang w:val="en-GB"/>
        </w:rPr>
        <w:t xml:space="preserve"> the induced innovation theory predicts an increase in FDI when a country </w:t>
      </w:r>
      <w:r w:rsidR="007A1F0A" w:rsidRPr="00CF3C36">
        <w:rPr>
          <w:lang w:val="en-GB"/>
        </w:rPr>
        <w:t>increases</w:t>
      </w:r>
      <w:r w:rsidR="00F94155" w:rsidRPr="00CF3C36">
        <w:rPr>
          <w:lang w:val="en-GB"/>
        </w:rPr>
        <w:t xml:space="preserve"> it</w:t>
      </w:r>
      <w:r w:rsidR="007A1F0A" w:rsidRPr="00CF3C36">
        <w:rPr>
          <w:lang w:val="en-GB"/>
        </w:rPr>
        <w:t>s</w:t>
      </w:r>
      <w:r w:rsidR="00F94155" w:rsidRPr="00CF3C36">
        <w:rPr>
          <w:lang w:val="en-GB"/>
        </w:rPr>
        <w:t xml:space="preserve"> EPS. The argument is slightly different, however, as the focus is on firm-level heterogeneity. </w:t>
      </w:r>
      <w:r w:rsidR="007A1F0A" w:rsidRPr="00CF3C36">
        <w:rPr>
          <w:lang w:val="en-GB"/>
        </w:rPr>
        <w:t xml:space="preserve">A </w:t>
      </w:r>
      <w:r w:rsidR="00F94155" w:rsidRPr="00CF3C36">
        <w:rPr>
          <w:lang w:val="en-GB"/>
        </w:rPr>
        <w:t>higher EPS could attract firm</w:t>
      </w:r>
      <w:r w:rsidR="00716115" w:rsidRPr="00CF3C36">
        <w:rPr>
          <w:lang w:val="en-GB"/>
        </w:rPr>
        <w:t>s</w:t>
      </w:r>
      <w:r w:rsidR="00F94155" w:rsidRPr="00CF3C36">
        <w:rPr>
          <w:lang w:val="en-GB"/>
        </w:rPr>
        <w:t xml:space="preserve"> which have high environmental capabilities relative to other</w:t>
      </w:r>
      <w:r w:rsidR="00EF732A" w:rsidRPr="00CF3C36">
        <w:rPr>
          <w:lang w:val="en-GB"/>
        </w:rPr>
        <w:t xml:space="preserve"> firms</w:t>
      </w:r>
      <w:r w:rsidR="007A1F0A" w:rsidRPr="00CF3C36">
        <w:rPr>
          <w:lang w:val="en-GB"/>
        </w:rPr>
        <w:t xml:space="preserve"> in their sector, because</w:t>
      </w:r>
      <w:r w:rsidR="00F94155" w:rsidRPr="00CF3C36">
        <w:rPr>
          <w:lang w:val="en-GB"/>
        </w:rPr>
        <w:t xml:space="preserve"> the higher EPS will give these firms a </w:t>
      </w:r>
      <w:r w:rsidR="004568A6" w:rsidRPr="00CF3C36">
        <w:rPr>
          <w:lang w:val="en-GB"/>
        </w:rPr>
        <w:t>competitive</w:t>
      </w:r>
      <w:r w:rsidR="00F94155" w:rsidRPr="00CF3C36">
        <w:rPr>
          <w:lang w:val="en-GB"/>
        </w:rPr>
        <w:t xml:space="preserve"> advantage over their competitors. </w:t>
      </w:r>
      <w:r w:rsidR="0025161B" w:rsidRPr="00CF3C36">
        <w:rPr>
          <w:lang w:val="en-GB"/>
        </w:rPr>
        <w:t>With the</w:t>
      </w:r>
      <w:r w:rsidR="00E2173A" w:rsidRPr="00CF3C36">
        <w:rPr>
          <w:lang w:val="en-GB"/>
        </w:rPr>
        <w:t xml:space="preserve"> factor-endowments theory </w:t>
      </w:r>
      <w:r w:rsidR="0025161B" w:rsidRPr="00CF3C36">
        <w:rPr>
          <w:lang w:val="en-GB"/>
        </w:rPr>
        <w:t xml:space="preserve">Zugravu-Soilita (2017) </w:t>
      </w:r>
      <w:r w:rsidR="00E2173A" w:rsidRPr="00CF3C36">
        <w:rPr>
          <w:lang w:val="en-GB"/>
        </w:rPr>
        <w:t xml:space="preserve">states that capital intensity might be a bigger factor of consideration for </w:t>
      </w:r>
      <w:r w:rsidR="00C917C1" w:rsidRPr="00CF3C36">
        <w:rPr>
          <w:lang w:val="en-GB"/>
        </w:rPr>
        <w:t xml:space="preserve">many pollution intensive firms than the level of EPS, therefore no straightforward effects of a change in the level of EPS can be predicted by this theory. </w:t>
      </w:r>
      <w:r w:rsidR="00D11778" w:rsidRPr="00CF3C36">
        <w:rPr>
          <w:lang w:val="en-GB"/>
        </w:rPr>
        <w:t>Lastly the pollution halo theory say</w:t>
      </w:r>
      <w:r w:rsidR="00EF732A" w:rsidRPr="00CF3C36">
        <w:rPr>
          <w:lang w:val="en-GB"/>
        </w:rPr>
        <w:t>s</w:t>
      </w:r>
      <w:r w:rsidR="00D11778" w:rsidRPr="00CF3C36">
        <w:rPr>
          <w:lang w:val="en-GB"/>
        </w:rPr>
        <w:t xml:space="preserve"> that MNE’s are generally cleaner than domestic firms. Therefore, these multinational firms may displace the less efficient and dirtier local firms (Cole et al. 2017), diffuse their best practices of both management and production among their local counterparts and suppliers (Hoffmann et al. 2005 </w:t>
      </w:r>
      <w:r w:rsidR="00A70EC5" w:rsidRPr="00CF3C36">
        <w:rPr>
          <w:lang w:val="en-GB"/>
        </w:rPr>
        <w:t>&amp;</w:t>
      </w:r>
      <w:r w:rsidR="00D11778" w:rsidRPr="00CF3C36">
        <w:rPr>
          <w:lang w:val="en-GB"/>
        </w:rPr>
        <w:t xml:space="preserve"> Cole et al. 2017) and push for more stringent environmental regulation and/or more enforcement in order to reduce the cost advantage of the dirtier local firms. This points to a positive composition effect and a positive technology effect. </w:t>
      </w:r>
      <w:r w:rsidR="00AA77F5" w:rsidRPr="00CF3C36">
        <w:rPr>
          <w:lang w:val="en-GB"/>
        </w:rPr>
        <w:t>Table 2 gives an overview of the theories and their effects discussed in the previous sections.</w:t>
      </w:r>
    </w:p>
    <w:p w14:paraId="22235AD5" w14:textId="17E60DF3" w:rsidR="00596E20" w:rsidRPr="00CF3C36" w:rsidRDefault="00596E20" w:rsidP="00714B92">
      <w:pPr>
        <w:pStyle w:val="Heading5"/>
        <w:rPr>
          <w:lang w:val="en-GB"/>
        </w:rPr>
      </w:pPr>
      <w:bookmarkStart w:id="12" w:name="_Toc15475665"/>
      <w:r w:rsidRPr="00CF3C36">
        <w:rPr>
          <w:lang w:val="en-GB"/>
        </w:rPr>
        <w:t>Table 2. Overview of Theories and their Effects.</w:t>
      </w:r>
      <w:bookmarkEnd w:id="12"/>
      <w:r w:rsidRPr="00CF3C36">
        <w:rPr>
          <w:lang w:val="en-GB"/>
        </w:rPr>
        <w:t xml:space="preserve"> </w:t>
      </w:r>
    </w:p>
    <w:tbl>
      <w:tblPr>
        <w:tblStyle w:val="TableGrid"/>
        <w:tblW w:w="9072" w:type="dxa"/>
        <w:tblInd w:w="-5" w:type="dxa"/>
        <w:tblLook w:val="04A0" w:firstRow="1" w:lastRow="0" w:firstColumn="1" w:lastColumn="0" w:noHBand="0" w:noVBand="1"/>
      </w:tblPr>
      <w:tblGrid>
        <w:gridCol w:w="1331"/>
        <w:gridCol w:w="1058"/>
        <w:gridCol w:w="4749"/>
        <w:gridCol w:w="1934"/>
      </w:tblGrid>
      <w:tr w:rsidR="00596E20" w:rsidRPr="00CF3C36" w14:paraId="48AD9322" w14:textId="77777777" w:rsidTr="00124BE9">
        <w:trPr>
          <w:trHeight w:val="300"/>
        </w:trPr>
        <w:tc>
          <w:tcPr>
            <w:tcW w:w="1331" w:type="dxa"/>
            <w:hideMark/>
          </w:tcPr>
          <w:p w14:paraId="41605234" w14:textId="77777777" w:rsidR="00596E20" w:rsidRPr="00CF3C36" w:rsidRDefault="00596E20" w:rsidP="00FF0F00">
            <w:pPr>
              <w:rPr>
                <w:b/>
                <w:bCs/>
                <w:sz w:val="18"/>
                <w:szCs w:val="18"/>
                <w:lang w:val="en-GB"/>
              </w:rPr>
            </w:pPr>
            <w:r w:rsidRPr="00CF3C36">
              <w:rPr>
                <w:b/>
                <w:bCs/>
                <w:sz w:val="18"/>
                <w:szCs w:val="18"/>
                <w:lang w:val="en-GB"/>
              </w:rPr>
              <w:t>Theory name</w:t>
            </w:r>
          </w:p>
        </w:tc>
        <w:tc>
          <w:tcPr>
            <w:tcW w:w="1058" w:type="dxa"/>
            <w:hideMark/>
          </w:tcPr>
          <w:p w14:paraId="273E70E8" w14:textId="77777777" w:rsidR="00596E20" w:rsidRPr="00CF3C36" w:rsidRDefault="00596E20" w:rsidP="00FF0F00">
            <w:pPr>
              <w:rPr>
                <w:b/>
                <w:bCs/>
                <w:sz w:val="18"/>
                <w:szCs w:val="18"/>
                <w:lang w:val="en-GB"/>
              </w:rPr>
            </w:pPr>
            <w:r w:rsidRPr="00CF3C36">
              <w:rPr>
                <w:b/>
                <w:bCs/>
                <w:sz w:val="18"/>
                <w:szCs w:val="18"/>
                <w:lang w:val="en-GB"/>
              </w:rPr>
              <w:t>Concerning</w:t>
            </w:r>
          </w:p>
        </w:tc>
        <w:tc>
          <w:tcPr>
            <w:tcW w:w="4749" w:type="dxa"/>
            <w:hideMark/>
          </w:tcPr>
          <w:p w14:paraId="217E29DB" w14:textId="77777777" w:rsidR="00596E20" w:rsidRPr="00CF3C36" w:rsidRDefault="00596E20" w:rsidP="00FF0F00">
            <w:pPr>
              <w:rPr>
                <w:b/>
                <w:bCs/>
                <w:sz w:val="18"/>
                <w:szCs w:val="18"/>
                <w:lang w:val="en-GB"/>
              </w:rPr>
            </w:pPr>
            <w:r w:rsidRPr="00CF3C36">
              <w:rPr>
                <w:b/>
                <w:bCs/>
                <w:sz w:val="18"/>
                <w:szCs w:val="18"/>
                <w:lang w:val="en-GB"/>
              </w:rPr>
              <w:t>Theory prediction</w:t>
            </w:r>
          </w:p>
        </w:tc>
        <w:tc>
          <w:tcPr>
            <w:tcW w:w="1934" w:type="dxa"/>
            <w:hideMark/>
          </w:tcPr>
          <w:p w14:paraId="00188B88" w14:textId="77777777" w:rsidR="00596E20" w:rsidRPr="00CF3C36" w:rsidRDefault="00596E20" w:rsidP="00FF0F00">
            <w:pPr>
              <w:rPr>
                <w:b/>
                <w:bCs/>
                <w:sz w:val="18"/>
                <w:szCs w:val="18"/>
                <w:lang w:val="en-GB"/>
              </w:rPr>
            </w:pPr>
            <w:r w:rsidRPr="00CF3C36">
              <w:rPr>
                <w:b/>
                <w:bCs/>
                <w:sz w:val="18"/>
                <w:szCs w:val="18"/>
                <w:lang w:val="en-GB"/>
              </w:rPr>
              <w:t>Effects</w:t>
            </w:r>
          </w:p>
        </w:tc>
      </w:tr>
      <w:tr w:rsidR="00596E20" w:rsidRPr="00CF3C36" w14:paraId="08863D13" w14:textId="77777777" w:rsidTr="00124BE9">
        <w:trPr>
          <w:trHeight w:val="600"/>
        </w:trPr>
        <w:tc>
          <w:tcPr>
            <w:tcW w:w="1331" w:type="dxa"/>
            <w:hideMark/>
          </w:tcPr>
          <w:p w14:paraId="45F25811" w14:textId="77777777" w:rsidR="00596E20" w:rsidRPr="00CF3C36" w:rsidRDefault="00596E20" w:rsidP="00FF0F00">
            <w:pPr>
              <w:rPr>
                <w:sz w:val="18"/>
                <w:szCs w:val="18"/>
                <w:lang w:val="en-GB"/>
              </w:rPr>
            </w:pPr>
            <w:r w:rsidRPr="00CF3C36">
              <w:rPr>
                <w:sz w:val="18"/>
                <w:szCs w:val="18"/>
                <w:lang w:val="en-GB"/>
              </w:rPr>
              <w:t>Pollution haven theory</w:t>
            </w:r>
          </w:p>
        </w:tc>
        <w:tc>
          <w:tcPr>
            <w:tcW w:w="1058" w:type="dxa"/>
            <w:hideMark/>
          </w:tcPr>
          <w:p w14:paraId="7D296E0C" w14:textId="463778B7" w:rsidR="00596E20" w:rsidRPr="00CF3C36" w:rsidRDefault="00E2173A" w:rsidP="00E2173A">
            <w:pPr>
              <w:rPr>
                <w:sz w:val="18"/>
                <w:szCs w:val="18"/>
                <w:lang w:val="en-GB"/>
              </w:rPr>
            </w:pPr>
            <w:r w:rsidRPr="00CF3C36">
              <w:rPr>
                <w:sz w:val="18"/>
                <w:szCs w:val="18"/>
                <w:lang w:val="en-GB"/>
              </w:rPr>
              <w:t xml:space="preserve">EPS -&gt; </w:t>
            </w:r>
            <w:r w:rsidR="00596E20" w:rsidRPr="00CF3C36">
              <w:rPr>
                <w:sz w:val="18"/>
                <w:szCs w:val="18"/>
                <w:lang w:val="en-GB"/>
              </w:rPr>
              <w:t xml:space="preserve">FDI Attraction </w:t>
            </w:r>
          </w:p>
        </w:tc>
        <w:tc>
          <w:tcPr>
            <w:tcW w:w="4749" w:type="dxa"/>
            <w:hideMark/>
          </w:tcPr>
          <w:p w14:paraId="396FB573" w14:textId="7B95A850" w:rsidR="00596E20" w:rsidRPr="00CF3C36" w:rsidRDefault="00596E20" w:rsidP="00FF0F00">
            <w:pPr>
              <w:rPr>
                <w:sz w:val="18"/>
                <w:szCs w:val="18"/>
                <w:lang w:val="en-GB"/>
              </w:rPr>
            </w:pPr>
            <w:r w:rsidRPr="00CF3C36">
              <w:rPr>
                <w:sz w:val="18"/>
                <w:szCs w:val="18"/>
                <w:lang w:val="en-GB"/>
              </w:rPr>
              <w:t>Lo</w:t>
            </w:r>
            <w:r w:rsidR="00E2173A" w:rsidRPr="00CF3C36">
              <w:rPr>
                <w:sz w:val="18"/>
                <w:szCs w:val="18"/>
                <w:lang w:val="en-GB"/>
              </w:rPr>
              <w:t>w EPS -&gt; increase of (polluting)</w:t>
            </w:r>
            <w:r w:rsidRPr="00CF3C36">
              <w:rPr>
                <w:sz w:val="18"/>
                <w:szCs w:val="18"/>
                <w:lang w:val="en-GB"/>
              </w:rPr>
              <w:t xml:space="preserve"> FDI</w:t>
            </w:r>
          </w:p>
        </w:tc>
        <w:tc>
          <w:tcPr>
            <w:tcW w:w="1934" w:type="dxa"/>
            <w:hideMark/>
          </w:tcPr>
          <w:p w14:paraId="0D90D69F" w14:textId="77777777" w:rsidR="00596E20" w:rsidRPr="00CF3C36" w:rsidRDefault="00596E20" w:rsidP="00FF0F00">
            <w:pPr>
              <w:rPr>
                <w:sz w:val="18"/>
                <w:szCs w:val="18"/>
                <w:lang w:val="en-GB"/>
              </w:rPr>
            </w:pPr>
            <w:r w:rsidRPr="00CF3C36">
              <w:rPr>
                <w:sz w:val="18"/>
                <w:szCs w:val="18"/>
                <w:lang w:val="en-GB"/>
              </w:rPr>
              <w:t xml:space="preserve">Negative scale effect, negative composition effect </w:t>
            </w:r>
          </w:p>
        </w:tc>
      </w:tr>
      <w:tr w:rsidR="00596E20" w:rsidRPr="00EF4186" w14:paraId="156E5DD4" w14:textId="77777777" w:rsidTr="00124BE9">
        <w:trPr>
          <w:trHeight w:val="600"/>
        </w:trPr>
        <w:tc>
          <w:tcPr>
            <w:tcW w:w="1331" w:type="dxa"/>
            <w:hideMark/>
          </w:tcPr>
          <w:p w14:paraId="20E1B4EE" w14:textId="77777777" w:rsidR="00596E20" w:rsidRPr="00CF3C36" w:rsidRDefault="00596E20" w:rsidP="00FF0F00">
            <w:pPr>
              <w:rPr>
                <w:sz w:val="18"/>
                <w:szCs w:val="18"/>
                <w:lang w:val="en-GB"/>
              </w:rPr>
            </w:pPr>
            <w:r w:rsidRPr="00CF3C36">
              <w:rPr>
                <w:sz w:val="18"/>
                <w:szCs w:val="18"/>
                <w:lang w:val="en-GB"/>
              </w:rPr>
              <w:t>Green haven theory</w:t>
            </w:r>
          </w:p>
        </w:tc>
        <w:tc>
          <w:tcPr>
            <w:tcW w:w="1058" w:type="dxa"/>
            <w:hideMark/>
          </w:tcPr>
          <w:p w14:paraId="0DE6DCB1" w14:textId="5852FA56" w:rsidR="00596E20" w:rsidRPr="00CF3C36" w:rsidRDefault="00E2173A" w:rsidP="00E2173A">
            <w:pPr>
              <w:rPr>
                <w:sz w:val="18"/>
                <w:szCs w:val="18"/>
                <w:lang w:val="en-GB"/>
              </w:rPr>
            </w:pPr>
            <w:r w:rsidRPr="00CF3C36">
              <w:rPr>
                <w:sz w:val="18"/>
                <w:szCs w:val="18"/>
                <w:lang w:val="en-GB"/>
              </w:rPr>
              <w:t xml:space="preserve">EPS -&gt; </w:t>
            </w:r>
            <w:r w:rsidR="00596E20" w:rsidRPr="00CF3C36">
              <w:rPr>
                <w:sz w:val="18"/>
                <w:szCs w:val="18"/>
                <w:lang w:val="en-GB"/>
              </w:rPr>
              <w:t xml:space="preserve">FDI Attraction </w:t>
            </w:r>
          </w:p>
        </w:tc>
        <w:tc>
          <w:tcPr>
            <w:tcW w:w="4749" w:type="dxa"/>
            <w:hideMark/>
          </w:tcPr>
          <w:p w14:paraId="6CAD17B0" w14:textId="300EC8D8" w:rsidR="00596E20" w:rsidRPr="00CF3C36" w:rsidRDefault="00596E20" w:rsidP="00E2173A">
            <w:pPr>
              <w:rPr>
                <w:sz w:val="18"/>
                <w:szCs w:val="18"/>
                <w:lang w:val="en-GB"/>
              </w:rPr>
            </w:pPr>
            <w:r w:rsidRPr="00CF3C36">
              <w:rPr>
                <w:sz w:val="18"/>
                <w:szCs w:val="18"/>
                <w:lang w:val="en-GB"/>
              </w:rPr>
              <w:t xml:space="preserve">High EPS -&gt; increase of </w:t>
            </w:r>
            <w:r w:rsidR="00E2173A" w:rsidRPr="00CF3C36">
              <w:rPr>
                <w:sz w:val="18"/>
                <w:szCs w:val="18"/>
                <w:lang w:val="en-GB"/>
              </w:rPr>
              <w:t>(</w:t>
            </w:r>
            <w:r w:rsidRPr="00CF3C36">
              <w:rPr>
                <w:sz w:val="18"/>
                <w:szCs w:val="18"/>
                <w:lang w:val="en-GB"/>
              </w:rPr>
              <w:t>clean</w:t>
            </w:r>
            <w:r w:rsidR="00E2173A" w:rsidRPr="00CF3C36">
              <w:rPr>
                <w:sz w:val="18"/>
                <w:szCs w:val="18"/>
                <w:lang w:val="en-GB"/>
              </w:rPr>
              <w:t>)</w:t>
            </w:r>
            <w:r w:rsidRPr="00CF3C36">
              <w:rPr>
                <w:sz w:val="18"/>
                <w:szCs w:val="18"/>
                <w:lang w:val="en-GB"/>
              </w:rPr>
              <w:t xml:space="preserve"> FDI</w:t>
            </w:r>
          </w:p>
        </w:tc>
        <w:tc>
          <w:tcPr>
            <w:tcW w:w="1934" w:type="dxa"/>
            <w:hideMark/>
          </w:tcPr>
          <w:p w14:paraId="4772AD47" w14:textId="77777777" w:rsidR="00596E20" w:rsidRPr="00EF4186" w:rsidRDefault="00596E20" w:rsidP="00FF0F00">
            <w:pPr>
              <w:rPr>
                <w:sz w:val="18"/>
                <w:szCs w:val="18"/>
                <w:lang w:val="fr-FR"/>
              </w:rPr>
            </w:pPr>
            <w:r w:rsidRPr="00EF4186">
              <w:rPr>
                <w:sz w:val="18"/>
                <w:szCs w:val="18"/>
                <w:lang w:val="fr-FR"/>
              </w:rPr>
              <w:t>Negative scale effect, positive composition effect, positive technique effect</w:t>
            </w:r>
          </w:p>
        </w:tc>
      </w:tr>
      <w:tr w:rsidR="00596E20" w:rsidRPr="00EF4186" w14:paraId="669637FF" w14:textId="77777777" w:rsidTr="00124BE9">
        <w:trPr>
          <w:trHeight w:val="600"/>
        </w:trPr>
        <w:tc>
          <w:tcPr>
            <w:tcW w:w="1331" w:type="dxa"/>
            <w:hideMark/>
          </w:tcPr>
          <w:p w14:paraId="46124A1C" w14:textId="77777777" w:rsidR="00596E20" w:rsidRPr="00CF3C36" w:rsidRDefault="00596E20" w:rsidP="00FF0F00">
            <w:pPr>
              <w:rPr>
                <w:sz w:val="18"/>
                <w:szCs w:val="18"/>
                <w:lang w:val="en-GB"/>
              </w:rPr>
            </w:pPr>
            <w:r w:rsidRPr="00CF3C36">
              <w:rPr>
                <w:sz w:val="18"/>
                <w:szCs w:val="18"/>
                <w:lang w:val="en-GB"/>
              </w:rPr>
              <w:t>Induced innovation theory</w:t>
            </w:r>
          </w:p>
        </w:tc>
        <w:tc>
          <w:tcPr>
            <w:tcW w:w="1058" w:type="dxa"/>
            <w:hideMark/>
          </w:tcPr>
          <w:p w14:paraId="46B1E193" w14:textId="1419D300" w:rsidR="00596E20" w:rsidRPr="00CF3C36" w:rsidRDefault="00E2173A" w:rsidP="00E2173A">
            <w:pPr>
              <w:rPr>
                <w:sz w:val="18"/>
                <w:szCs w:val="18"/>
                <w:lang w:val="en-GB"/>
              </w:rPr>
            </w:pPr>
            <w:r w:rsidRPr="00CF3C36">
              <w:rPr>
                <w:sz w:val="18"/>
                <w:szCs w:val="18"/>
                <w:lang w:val="en-GB"/>
              </w:rPr>
              <w:t xml:space="preserve">EPS -&gt; </w:t>
            </w:r>
            <w:r w:rsidR="00596E20" w:rsidRPr="00CF3C36">
              <w:rPr>
                <w:sz w:val="18"/>
                <w:szCs w:val="18"/>
                <w:lang w:val="en-GB"/>
              </w:rPr>
              <w:t xml:space="preserve">FDI Attraction </w:t>
            </w:r>
          </w:p>
        </w:tc>
        <w:tc>
          <w:tcPr>
            <w:tcW w:w="4749" w:type="dxa"/>
            <w:hideMark/>
          </w:tcPr>
          <w:p w14:paraId="3127903B" w14:textId="5CF9BF06" w:rsidR="00596E20" w:rsidRPr="00CF3C36" w:rsidRDefault="00E2173A" w:rsidP="00FF0F00">
            <w:pPr>
              <w:rPr>
                <w:sz w:val="18"/>
                <w:szCs w:val="18"/>
                <w:lang w:val="en-GB"/>
              </w:rPr>
            </w:pPr>
            <w:r w:rsidRPr="00CF3C36">
              <w:rPr>
                <w:sz w:val="18"/>
                <w:szCs w:val="18"/>
                <w:lang w:val="en-GB"/>
              </w:rPr>
              <w:t>High EPS -&gt; increase of (clean)</w:t>
            </w:r>
            <w:r w:rsidR="00596E20" w:rsidRPr="00CF3C36">
              <w:rPr>
                <w:sz w:val="18"/>
                <w:szCs w:val="18"/>
                <w:lang w:val="en-GB"/>
              </w:rPr>
              <w:t xml:space="preserve"> FDI</w:t>
            </w:r>
          </w:p>
        </w:tc>
        <w:tc>
          <w:tcPr>
            <w:tcW w:w="1934" w:type="dxa"/>
            <w:hideMark/>
          </w:tcPr>
          <w:p w14:paraId="55D4FA61" w14:textId="77777777" w:rsidR="00596E20" w:rsidRPr="00EF4186" w:rsidRDefault="00596E20" w:rsidP="00FF0F00">
            <w:pPr>
              <w:rPr>
                <w:sz w:val="18"/>
                <w:szCs w:val="18"/>
                <w:lang w:val="fr-FR"/>
              </w:rPr>
            </w:pPr>
            <w:r w:rsidRPr="00EF4186">
              <w:rPr>
                <w:sz w:val="18"/>
                <w:szCs w:val="18"/>
                <w:lang w:val="fr-FR"/>
              </w:rPr>
              <w:t>Negative scale effect, positive composition effect, positive technique effect</w:t>
            </w:r>
          </w:p>
        </w:tc>
      </w:tr>
      <w:tr w:rsidR="00596E20" w:rsidRPr="00CF3C36" w14:paraId="5491F9DF" w14:textId="77777777" w:rsidTr="00124BE9">
        <w:trPr>
          <w:trHeight w:val="366"/>
        </w:trPr>
        <w:tc>
          <w:tcPr>
            <w:tcW w:w="1331" w:type="dxa"/>
            <w:hideMark/>
          </w:tcPr>
          <w:p w14:paraId="2BEF2CE5" w14:textId="6ADB03D0" w:rsidR="00596E20" w:rsidRPr="00CF3C36" w:rsidRDefault="00596E20" w:rsidP="003D47F2">
            <w:pPr>
              <w:rPr>
                <w:sz w:val="18"/>
                <w:szCs w:val="18"/>
                <w:lang w:val="en-GB"/>
              </w:rPr>
            </w:pPr>
            <w:r w:rsidRPr="00CF3C36">
              <w:rPr>
                <w:sz w:val="18"/>
                <w:szCs w:val="18"/>
                <w:lang w:val="en-GB"/>
              </w:rPr>
              <w:t xml:space="preserve">Induced innovation </w:t>
            </w:r>
            <w:r w:rsidR="003D47F2" w:rsidRPr="00CF3C36">
              <w:rPr>
                <w:sz w:val="18"/>
                <w:szCs w:val="18"/>
                <w:lang w:val="en-GB"/>
              </w:rPr>
              <w:t>theory</w:t>
            </w:r>
          </w:p>
        </w:tc>
        <w:tc>
          <w:tcPr>
            <w:tcW w:w="1058" w:type="dxa"/>
            <w:hideMark/>
          </w:tcPr>
          <w:p w14:paraId="119A1F51" w14:textId="77777777" w:rsidR="00596E20" w:rsidRPr="00CF3C36" w:rsidRDefault="00596E20" w:rsidP="00FF0F00">
            <w:pPr>
              <w:rPr>
                <w:sz w:val="18"/>
                <w:szCs w:val="18"/>
                <w:lang w:val="en-GB"/>
              </w:rPr>
            </w:pPr>
            <w:r w:rsidRPr="00CF3C36">
              <w:rPr>
                <w:sz w:val="18"/>
                <w:szCs w:val="18"/>
                <w:lang w:val="en-GB"/>
              </w:rPr>
              <w:t>Home country firms</w:t>
            </w:r>
          </w:p>
        </w:tc>
        <w:tc>
          <w:tcPr>
            <w:tcW w:w="4749" w:type="dxa"/>
            <w:hideMark/>
          </w:tcPr>
          <w:p w14:paraId="60B01CE6" w14:textId="74B213DD" w:rsidR="00596E20" w:rsidRPr="00CF3C36" w:rsidRDefault="00596E20" w:rsidP="004568A6">
            <w:pPr>
              <w:rPr>
                <w:sz w:val="18"/>
                <w:szCs w:val="18"/>
                <w:lang w:val="en-GB"/>
              </w:rPr>
            </w:pPr>
            <w:r w:rsidRPr="00CF3C36">
              <w:rPr>
                <w:sz w:val="18"/>
                <w:szCs w:val="18"/>
                <w:lang w:val="en-GB"/>
              </w:rPr>
              <w:t xml:space="preserve">High EPS -&gt; increase environmental capabilities of home country firms -&gt; potentially increase </w:t>
            </w:r>
            <w:r w:rsidR="004568A6" w:rsidRPr="00CF3C36">
              <w:rPr>
                <w:sz w:val="18"/>
                <w:szCs w:val="18"/>
                <w:lang w:val="en-GB"/>
              </w:rPr>
              <w:t>competitive</w:t>
            </w:r>
            <w:r w:rsidRPr="00CF3C36">
              <w:rPr>
                <w:sz w:val="18"/>
                <w:szCs w:val="18"/>
                <w:lang w:val="en-GB"/>
              </w:rPr>
              <w:t xml:space="preserve"> advantage of home country firms abroad.</w:t>
            </w:r>
          </w:p>
        </w:tc>
        <w:tc>
          <w:tcPr>
            <w:tcW w:w="1934" w:type="dxa"/>
            <w:hideMark/>
          </w:tcPr>
          <w:p w14:paraId="5F517F6A" w14:textId="77777777" w:rsidR="00596E20" w:rsidRPr="00CF3C36" w:rsidRDefault="00596E20" w:rsidP="00FF0F00">
            <w:pPr>
              <w:rPr>
                <w:sz w:val="18"/>
                <w:szCs w:val="18"/>
                <w:lang w:val="en-GB"/>
              </w:rPr>
            </w:pPr>
            <w:r w:rsidRPr="00CF3C36">
              <w:rPr>
                <w:sz w:val="18"/>
                <w:szCs w:val="18"/>
                <w:lang w:val="en-GB"/>
              </w:rPr>
              <w:t>N/A</w:t>
            </w:r>
          </w:p>
        </w:tc>
      </w:tr>
      <w:tr w:rsidR="00596E20" w:rsidRPr="00CF3C36" w14:paraId="3B9A052C" w14:textId="77777777" w:rsidTr="00124BE9">
        <w:trPr>
          <w:trHeight w:val="474"/>
        </w:trPr>
        <w:tc>
          <w:tcPr>
            <w:tcW w:w="1331" w:type="dxa"/>
            <w:hideMark/>
          </w:tcPr>
          <w:p w14:paraId="7F2BBD38" w14:textId="04CC3AD8" w:rsidR="00596E20" w:rsidRPr="00CF3C36" w:rsidRDefault="00596E20" w:rsidP="003D47F2">
            <w:pPr>
              <w:rPr>
                <w:sz w:val="18"/>
                <w:szCs w:val="18"/>
                <w:lang w:val="en-GB"/>
              </w:rPr>
            </w:pPr>
            <w:r w:rsidRPr="00CF3C36">
              <w:rPr>
                <w:sz w:val="18"/>
                <w:szCs w:val="18"/>
                <w:lang w:val="en-GB"/>
              </w:rPr>
              <w:t xml:space="preserve">Factor-endowments </w:t>
            </w:r>
            <w:r w:rsidR="003D47F2" w:rsidRPr="00CF3C36">
              <w:rPr>
                <w:sz w:val="18"/>
                <w:szCs w:val="18"/>
                <w:lang w:val="en-GB"/>
              </w:rPr>
              <w:t>theory</w:t>
            </w:r>
          </w:p>
        </w:tc>
        <w:tc>
          <w:tcPr>
            <w:tcW w:w="1058" w:type="dxa"/>
            <w:hideMark/>
          </w:tcPr>
          <w:p w14:paraId="4C070C0C" w14:textId="45577C5E" w:rsidR="00596E20" w:rsidRPr="00CF3C36" w:rsidRDefault="005A17B8" w:rsidP="00FF0F00">
            <w:pPr>
              <w:rPr>
                <w:sz w:val="18"/>
                <w:szCs w:val="18"/>
                <w:lang w:val="en-GB"/>
              </w:rPr>
            </w:pPr>
            <w:r w:rsidRPr="00CF3C36">
              <w:rPr>
                <w:sz w:val="18"/>
                <w:szCs w:val="18"/>
                <w:lang w:val="en-GB"/>
              </w:rPr>
              <w:t xml:space="preserve">C </w:t>
            </w:r>
            <w:r w:rsidR="00E2173A" w:rsidRPr="00CF3C36">
              <w:rPr>
                <w:sz w:val="18"/>
                <w:szCs w:val="18"/>
                <w:lang w:val="en-GB"/>
              </w:rPr>
              <w:t>intensity -&gt; FDI Attraction</w:t>
            </w:r>
          </w:p>
        </w:tc>
        <w:tc>
          <w:tcPr>
            <w:tcW w:w="4749" w:type="dxa"/>
            <w:hideMark/>
          </w:tcPr>
          <w:p w14:paraId="45660831" w14:textId="60D82CCB" w:rsidR="00596E20" w:rsidRPr="00CF3C36" w:rsidRDefault="00596E20" w:rsidP="00FF0F00">
            <w:pPr>
              <w:rPr>
                <w:sz w:val="18"/>
                <w:szCs w:val="18"/>
                <w:lang w:val="en-GB"/>
              </w:rPr>
            </w:pPr>
            <w:r w:rsidRPr="00CF3C36">
              <w:rPr>
                <w:sz w:val="18"/>
                <w:szCs w:val="18"/>
                <w:lang w:val="en-GB"/>
              </w:rPr>
              <w:t>Capital intense firms are also pollution intens</w:t>
            </w:r>
            <w:r w:rsidR="00E2173A" w:rsidRPr="00CF3C36">
              <w:rPr>
                <w:sz w:val="18"/>
                <w:szCs w:val="18"/>
                <w:lang w:val="en-GB"/>
              </w:rPr>
              <w:t>e</w:t>
            </w:r>
            <w:r w:rsidRPr="00CF3C36">
              <w:rPr>
                <w:sz w:val="18"/>
                <w:szCs w:val="18"/>
                <w:lang w:val="en-GB"/>
              </w:rPr>
              <w:t xml:space="preserve"> firms. Capital abundant (rich) countries, possibly with high EPS, attract "polluting" FDI with capital abundance. </w:t>
            </w:r>
          </w:p>
        </w:tc>
        <w:tc>
          <w:tcPr>
            <w:tcW w:w="1934" w:type="dxa"/>
            <w:hideMark/>
          </w:tcPr>
          <w:p w14:paraId="765525DA" w14:textId="03A2F777" w:rsidR="00596E20" w:rsidRPr="00CF3C36" w:rsidRDefault="00E2173A" w:rsidP="00FF0F00">
            <w:pPr>
              <w:rPr>
                <w:sz w:val="18"/>
                <w:szCs w:val="18"/>
                <w:lang w:val="en-GB"/>
              </w:rPr>
            </w:pPr>
            <w:r w:rsidRPr="00CF3C36">
              <w:rPr>
                <w:sz w:val="18"/>
                <w:szCs w:val="18"/>
                <w:lang w:val="en-GB"/>
              </w:rPr>
              <w:t>N/A</w:t>
            </w:r>
            <w:r w:rsidR="00596E20" w:rsidRPr="00CF3C36">
              <w:rPr>
                <w:sz w:val="18"/>
                <w:szCs w:val="18"/>
                <w:lang w:val="en-GB"/>
              </w:rPr>
              <w:t xml:space="preserve"> </w:t>
            </w:r>
          </w:p>
        </w:tc>
      </w:tr>
      <w:tr w:rsidR="00596E20" w:rsidRPr="00EF4186" w14:paraId="4602F9CF" w14:textId="77777777" w:rsidTr="00124BE9">
        <w:trPr>
          <w:trHeight w:val="753"/>
        </w:trPr>
        <w:tc>
          <w:tcPr>
            <w:tcW w:w="1331" w:type="dxa"/>
            <w:hideMark/>
          </w:tcPr>
          <w:p w14:paraId="1EC52EE5" w14:textId="6F161B2B" w:rsidR="00596E20" w:rsidRPr="00CF3C36" w:rsidRDefault="00596E20" w:rsidP="003D47F2">
            <w:pPr>
              <w:rPr>
                <w:sz w:val="18"/>
                <w:szCs w:val="18"/>
                <w:lang w:val="en-GB"/>
              </w:rPr>
            </w:pPr>
            <w:r w:rsidRPr="00CF3C36">
              <w:rPr>
                <w:sz w:val="18"/>
                <w:szCs w:val="18"/>
                <w:lang w:val="en-GB"/>
              </w:rPr>
              <w:t xml:space="preserve">Pollution halo </w:t>
            </w:r>
            <w:r w:rsidR="003D47F2" w:rsidRPr="00CF3C36">
              <w:rPr>
                <w:sz w:val="18"/>
                <w:szCs w:val="18"/>
                <w:lang w:val="en-GB"/>
              </w:rPr>
              <w:t>theory</w:t>
            </w:r>
          </w:p>
        </w:tc>
        <w:tc>
          <w:tcPr>
            <w:tcW w:w="1058" w:type="dxa"/>
            <w:hideMark/>
          </w:tcPr>
          <w:p w14:paraId="0DA4CCBA" w14:textId="77777777" w:rsidR="00596E20" w:rsidRPr="00CF3C36" w:rsidRDefault="00596E20" w:rsidP="00FF0F00">
            <w:pPr>
              <w:rPr>
                <w:sz w:val="18"/>
                <w:szCs w:val="18"/>
                <w:lang w:val="en-GB"/>
              </w:rPr>
            </w:pPr>
            <w:r w:rsidRPr="00CF3C36">
              <w:rPr>
                <w:sz w:val="18"/>
                <w:szCs w:val="18"/>
                <w:lang w:val="en-GB"/>
              </w:rPr>
              <w:t>FDI Impact</w:t>
            </w:r>
          </w:p>
        </w:tc>
        <w:tc>
          <w:tcPr>
            <w:tcW w:w="4749" w:type="dxa"/>
            <w:hideMark/>
          </w:tcPr>
          <w:p w14:paraId="064EC4A1" w14:textId="77777777" w:rsidR="00596E20" w:rsidRPr="00CF3C36" w:rsidRDefault="00596E20" w:rsidP="00FF0F00">
            <w:pPr>
              <w:rPr>
                <w:sz w:val="18"/>
                <w:szCs w:val="18"/>
                <w:lang w:val="en-GB"/>
              </w:rPr>
            </w:pPr>
            <w:r w:rsidRPr="00CF3C36">
              <w:rPr>
                <w:sz w:val="18"/>
                <w:szCs w:val="18"/>
                <w:lang w:val="en-GB"/>
              </w:rPr>
              <w:t>MNE's in general use cleaner techniques or universally abide to more stringent environmental standards. Therefore FDI may displace "dirtier" local firms and diffuse best practices of management and production among peers and suppliers.</w:t>
            </w:r>
          </w:p>
        </w:tc>
        <w:tc>
          <w:tcPr>
            <w:tcW w:w="1934" w:type="dxa"/>
            <w:hideMark/>
          </w:tcPr>
          <w:p w14:paraId="16DA0BCA" w14:textId="77777777" w:rsidR="00596E20" w:rsidRPr="00EF4186" w:rsidRDefault="00596E20" w:rsidP="00FF0F00">
            <w:pPr>
              <w:rPr>
                <w:sz w:val="18"/>
                <w:szCs w:val="18"/>
                <w:lang w:val="fr-FR"/>
              </w:rPr>
            </w:pPr>
            <w:r w:rsidRPr="00EF4186">
              <w:rPr>
                <w:sz w:val="18"/>
                <w:szCs w:val="18"/>
                <w:lang w:val="fr-FR"/>
              </w:rPr>
              <w:t xml:space="preserve">Positive composition effect, positive technique effect. </w:t>
            </w:r>
          </w:p>
        </w:tc>
      </w:tr>
    </w:tbl>
    <w:p w14:paraId="7B36413A" w14:textId="77777777" w:rsidR="00596E20" w:rsidRPr="00EF4186" w:rsidRDefault="00596E20" w:rsidP="00596E20">
      <w:pPr>
        <w:spacing w:after="0"/>
        <w:jc w:val="both"/>
        <w:rPr>
          <w:lang w:val="fr-FR"/>
        </w:rPr>
      </w:pPr>
    </w:p>
    <w:p w14:paraId="74DD2B12" w14:textId="713935A5" w:rsidR="00804E08" w:rsidRPr="00CF3C36" w:rsidRDefault="00AA77F5" w:rsidP="00DE7427">
      <w:pPr>
        <w:spacing w:after="0" w:line="360" w:lineRule="auto"/>
        <w:ind w:firstLine="708"/>
        <w:jc w:val="both"/>
        <w:rPr>
          <w:lang w:val="en-GB"/>
        </w:rPr>
      </w:pPr>
      <w:r w:rsidRPr="00CF3C36">
        <w:rPr>
          <w:lang w:val="en-GB"/>
        </w:rPr>
        <w:t>As is shown in the theories discussed above,</w:t>
      </w:r>
      <w:r w:rsidR="002E6E55" w:rsidRPr="00CF3C36">
        <w:rPr>
          <w:lang w:val="en-GB"/>
        </w:rPr>
        <w:t xml:space="preserve"> </w:t>
      </w:r>
      <w:r w:rsidRPr="00CF3C36">
        <w:rPr>
          <w:lang w:val="en-GB"/>
        </w:rPr>
        <w:t xml:space="preserve">there have been two main perspectives </w:t>
      </w:r>
      <w:r w:rsidR="001C1F59" w:rsidRPr="00CF3C36">
        <w:rPr>
          <w:lang w:val="en-GB"/>
        </w:rPr>
        <w:t xml:space="preserve">on </w:t>
      </w:r>
      <w:r w:rsidR="002E6E55" w:rsidRPr="00CF3C36">
        <w:rPr>
          <w:lang w:val="en-GB"/>
        </w:rPr>
        <w:t xml:space="preserve">the relationship between FDI and environment (Cole et al. 2017). </w:t>
      </w:r>
    </w:p>
    <w:p w14:paraId="4A3C23F1" w14:textId="17B747B5" w:rsidR="00DE0FE4" w:rsidRPr="00CF3C36" w:rsidRDefault="0051739C" w:rsidP="00DE0FE4">
      <w:pPr>
        <w:pStyle w:val="Heading3"/>
        <w:rPr>
          <w:lang w:val="en-GB"/>
        </w:rPr>
      </w:pPr>
      <w:bookmarkStart w:id="13" w:name="_Toc15480003"/>
      <w:r w:rsidRPr="00CF3C36">
        <w:rPr>
          <w:lang w:val="en-GB"/>
        </w:rPr>
        <w:lastRenderedPageBreak/>
        <w:t xml:space="preserve">2.3.3 </w:t>
      </w:r>
      <w:r w:rsidR="009D0CA1" w:rsidRPr="00CF3C36">
        <w:rPr>
          <w:lang w:val="en-GB"/>
        </w:rPr>
        <w:t xml:space="preserve">Perspective 1: </w:t>
      </w:r>
      <w:r w:rsidR="00DE0FE4" w:rsidRPr="00CF3C36">
        <w:rPr>
          <w:lang w:val="en-GB"/>
        </w:rPr>
        <w:t>Environmental regulation and FDI attraction</w:t>
      </w:r>
      <w:bookmarkEnd w:id="13"/>
    </w:p>
    <w:p w14:paraId="769D9F8B" w14:textId="366F2445" w:rsidR="00925274" w:rsidRPr="00CF3C36" w:rsidRDefault="002E6E55" w:rsidP="00925274">
      <w:pPr>
        <w:spacing w:after="0" w:line="360" w:lineRule="auto"/>
        <w:jc w:val="both"/>
        <w:rPr>
          <w:lang w:val="en-GB"/>
        </w:rPr>
      </w:pPr>
      <w:r w:rsidRPr="00CF3C36">
        <w:rPr>
          <w:lang w:val="en-GB"/>
        </w:rPr>
        <w:t xml:space="preserve">The first perspective tries to identify the effect of domestic environmental </w:t>
      </w:r>
      <w:r w:rsidR="00045CF5" w:rsidRPr="00CF3C36">
        <w:rPr>
          <w:lang w:val="en-GB"/>
        </w:rPr>
        <w:t>policy on the attraction of FDI.</w:t>
      </w:r>
      <w:r w:rsidR="00AA77F5" w:rsidRPr="00CF3C36">
        <w:rPr>
          <w:lang w:val="en-GB"/>
        </w:rPr>
        <w:t xml:space="preserve"> In this perspective the</w:t>
      </w:r>
      <w:r w:rsidRPr="00CF3C36">
        <w:rPr>
          <w:lang w:val="en-GB"/>
        </w:rPr>
        <w:t xml:space="preserve"> pollution haven </w:t>
      </w:r>
      <w:r w:rsidR="00AA77F5" w:rsidRPr="00CF3C36">
        <w:rPr>
          <w:lang w:val="en-GB"/>
        </w:rPr>
        <w:t>theory,</w:t>
      </w:r>
      <w:r w:rsidRPr="00CF3C36">
        <w:rPr>
          <w:lang w:val="en-GB"/>
        </w:rPr>
        <w:t xml:space="preserve"> </w:t>
      </w:r>
      <w:r w:rsidR="00AA77F5" w:rsidRPr="00CF3C36">
        <w:rPr>
          <w:lang w:val="en-GB"/>
        </w:rPr>
        <w:t xml:space="preserve">the green haven theory and the induced innovation theory can be categorized. </w:t>
      </w:r>
      <w:r w:rsidR="00FF0F00" w:rsidRPr="00CF3C36">
        <w:rPr>
          <w:lang w:val="en-GB"/>
        </w:rPr>
        <w:t>The pollution haven theory proposes exactly the opposite rationale as the green haven theory and the induced innovation theory. This might also explain why no decisive answer is found in the empirical work on this topic (Cole et al. 2017). As a result of the lack of empirical evidence</w:t>
      </w:r>
      <w:r w:rsidR="00EC6EBD" w:rsidRPr="00CF3C36">
        <w:rPr>
          <w:lang w:val="en-GB"/>
        </w:rPr>
        <w:t>,</w:t>
      </w:r>
      <w:r w:rsidR="00FF0F00" w:rsidRPr="00CF3C36">
        <w:rPr>
          <w:lang w:val="en-GB"/>
        </w:rPr>
        <w:t xml:space="preserve"> </w:t>
      </w:r>
      <w:r w:rsidR="00AD4DF7" w:rsidRPr="00CF3C36">
        <w:rPr>
          <w:lang w:val="en-GB"/>
        </w:rPr>
        <w:t xml:space="preserve">some </w:t>
      </w:r>
      <w:r w:rsidR="00FF0F00" w:rsidRPr="00CF3C36">
        <w:rPr>
          <w:lang w:val="en-GB"/>
        </w:rPr>
        <w:t>authors</w:t>
      </w:r>
      <w:r w:rsidR="00AD4DF7" w:rsidRPr="00CF3C36">
        <w:rPr>
          <w:lang w:val="en-GB"/>
        </w:rPr>
        <w:t xml:space="preserve"> (Poelhekke &amp; van der Ploeg, 2015; Bu &amp; Wagner, 2017)</w:t>
      </w:r>
      <w:r w:rsidR="00FF0F00" w:rsidRPr="00CF3C36">
        <w:rPr>
          <w:lang w:val="en-GB"/>
        </w:rPr>
        <w:t xml:space="preserve"> have suggested that the effect of stringent environmental regulation of the attraction of FDI might</w:t>
      </w:r>
      <w:r w:rsidR="00CF6EF4" w:rsidRPr="00CF3C36">
        <w:rPr>
          <w:lang w:val="en-GB"/>
        </w:rPr>
        <w:t xml:space="preserve"> be</w:t>
      </w:r>
      <w:r w:rsidR="00FF0F00" w:rsidRPr="00CF3C36">
        <w:rPr>
          <w:lang w:val="en-GB"/>
        </w:rPr>
        <w:t xml:space="preserve"> either positive or negative depending </w:t>
      </w:r>
      <w:r w:rsidR="00925274" w:rsidRPr="00CF3C36">
        <w:rPr>
          <w:lang w:val="en-GB"/>
        </w:rPr>
        <w:t>on</w:t>
      </w:r>
      <w:r w:rsidR="00FF0F00" w:rsidRPr="00CF3C36">
        <w:rPr>
          <w:lang w:val="en-GB"/>
        </w:rPr>
        <w:t xml:space="preserve"> </w:t>
      </w:r>
      <w:r w:rsidR="00446475" w:rsidRPr="00CF3C36">
        <w:rPr>
          <w:lang w:val="en-GB"/>
        </w:rPr>
        <w:t>sector or</w:t>
      </w:r>
      <w:r w:rsidR="00FF0F00" w:rsidRPr="00CF3C36">
        <w:rPr>
          <w:lang w:val="en-GB"/>
        </w:rPr>
        <w:t xml:space="preserve"> firm characteristics</w:t>
      </w:r>
      <w:r w:rsidR="00925274" w:rsidRPr="00CF3C36">
        <w:rPr>
          <w:lang w:val="en-GB"/>
        </w:rPr>
        <w:t>.</w:t>
      </w:r>
    </w:p>
    <w:p w14:paraId="5648AF2D" w14:textId="42290B36" w:rsidR="00925274" w:rsidRPr="00CF3C36" w:rsidRDefault="00925274" w:rsidP="00925274">
      <w:pPr>
        <w:spacing w:after="0" w:line="360" w:lineRule="auto"/>
        <w:ind w:firstLine="708"/>
        <w:jc w:val="both"/>
        <w:rPr>
          <w:lang w:val="en-GB"/>
        </w:rPr>
      </w:pPr>
      <w:r w:rsidRPr="00CF3C36">
        <w:rPr>
          <w:lang w:val="en-GB"/>
        </w:rPr>
        <w:t>The idea of sector level heterogeneity with respect to preferences of environmental stringency of host countries is put forward by Poelhekke and van der Ploeg (2015). They state that in many developed countries the integration of sustainable development concepts into real business practice and CSR are gaining ground. Therefore</w:t>
      </w:r>
      <w:r w:rsidR="00446475" w:rsidRPr="00CF3C36">
        <w:rPr>
          <w:lang w:val="en-GB"/>
        </w:rPr>
        <w:t>,</w:t>
      </w:r>
      <w:r w:rsidRPr="00CF3C36">
        <w:rPr>
          <w:lang w:val="en-GB"/>
        </w:rPr>
        <w:t xml:space="preserve"> many firms also report on these issues in order to establish the reputation to take action towards the achieve</w:t>
      </w:r>
      <w:r w:rsidR="0091455C" w:rsidRPr="00CF3C36">
        <w:rPr>
          <w:lang w:val="en-GB"/>
        </w:rPr>
        <w:t>ment of sustainable development. As a part of this effort firms try</w:t>
      </w:r>
      <w:r w:rsidRPr="00CF3C36">
        <w:rPr>
          <w:lang w:val="en-GB"/>
        </w:rPr>
        <w:t xml:space="preserve"> to reduce their environmental footprint. These firms might undertake FDI in countries with stricter and more strongly enforced environmental regulations in order to</w:t>
      </w:r>
      <w:r w:rsidR="00446475" w:rsidRPr="00CF3C36">
        <w:rPr>
          <w:lang w:val="en-GB"/>
        </w:rPr>
        <w:t xml:space="preserve"> achieve a good reputation or to</w:t>
      </w:r>
      <w:r w:rsidRPr="00CF3C36">
        <w:rPr>
          <w:lang w:val="en-GB"/>
        </w:rPr>
        <w:t xml:space="preserve"> avoid having to deal with difficult environmental issues themselves, such as how to deal with waste products. Poelhekke and van der Ploeg have shown that this argument is consistent with empirical evidence in relatively footloose </w:t>
      </w:r>
      <w:r w:rsidR="0091455C" w:rsidRPr="00CF3C36">
        <w:rPr>
          <w:lang w:val="en-GB"/>
        </w:rPr>
        <w:t>sectors</w:t>
      </w:r>
      <w:r w:rsidRPr="00CF3C36">
        <w:rPr>
          <w:lang w:val="en-GB"/>
        </w:rPr>
        <w:t xml:space="preserve"> such as machines, electronics and automotive, and ICT and communication. Other </w:t>
      </w:r>
      <w:r w:rsidR="0091455C" w:rsidRPr="00CF3C36">
        <w:rPr>
          <w:lang w:val="en-GB"/>
        </w:rPr>
        <w:t>sectors</w:t>
      </w:r>
      <w:r w:rsidRPr="00CF3C36">
        <w:rPr>
          <w:lang w:val="en-GB"/>
        </w:rPr>
        <w:t xml:space="preserve">, such as natural resource extraction and refining, construction, retail, food processing, beverages and tobacco and utilities, are shown to display pollution haven effects and settle in countries with less strict environmental regulations. Thus there appears to be heterogeneity </w:t>
      </w:r>
      <w:r w:rsidR="00957209" w:rsidRPr="00CF3C36">
        <w:rPr>
          <w:lang w:val="en-GB"/>
        </w:rPr>
        <w:t>on</w:t>
      </w:r>
      <w:r w:rsidRPr="00CF3C36">
        <w:rPr>
          <w:lang w:val="en-GB"/>
        </w:rPr>
        <w:t xml:space="preserve"> sector level</w:t>
      </w:r>
      <w:r w:rsidR="00AB6E7B" w:rsidRPr="00CF3C36">
        <w:rPr>
          <w:lang w:val="en-GB"/>
        </w:rPr>
        <w:t>.</w:t>
      </w:r>
      <w:r w:rsidRPr="00CF3C36">
        <w:rPr>
          <w:lang w:val="en-GB"/>
        </w:rPr>
        <w:t xml:space="preserve"> </w:t>
      </w:r>
    </w:p>
    <w:p w14:paraId="3D752DBC" w14:textId="733717D2" w:rsidR="00925274" w:rsidRPr="00CF3C36" w:rsidRDefault="00925274" w:rsidP="00925274">
      <w:pPr>
        <w:spacing w:after="0" w:line="360" w:lineRule="auto"/>
        <w:jc w:val="both"/>
        <w:rPr>
          <w:lang w:val="en-GB"/>
        </w:rPr>
      </w:pPr>
      <w:r w:rsidRPr="00CF3C36">
        <w:rPr>
          <w:lang w:val="en-GB"/>
        </w:rPr>
        <w:tab/>
        <w:t>On a firm level, Bu and Wagner (2016) have also shown that ther</w:t>
      </w:r>
      <w:r w:rsidR="003F057D" w:rsidRPr="00CF3C36">
        <w:rPr>
          <w:lang w:val="en-GB"/>
        </w:rPr>
        <w:t>e</w:t>
      </w:r>
      <w:r w:rsidRPr="00CF3C36">
        <w:rPr>
          <w:lang w:val="en-GB"/>
        </w:rPr>
        <w:t xml:space="preserve"> appears to be heterogeneity in the preference for stringent or lax environmental regulations. This analys</w:t>
      </w:r>
      <w:r w:rsidR="003F057D" w:rsidRPr="00CF3C36">
        <w:rPr>
          <w:lang w:val="en-GB"/>
        </w:rPr>
        <w:t>i</w:t>
      </w:r>
      <w:r w:rsidRPr="00CF3C36">
        <w:rPr>
          <w:lang w:val="en-GB"/>
        </w:rPr>
        <w:t xml:space="preserve">s was based on the rationale by Madsen (2009) about the environmental capabilities of firms as a </w:t>
      </w:r>
      <w:r w:rsidR="004568A6" w:rsidRPr="00CF3C36">
        <w:rPr>
          <w:lang w:val="en-GB"/>
        </w:rPr>
        <w:t>competitive</w:t>
      </w:r>
      <w:r w:rsidRPr="00CF3C36">
        <w:rPr>
          <w:lang w:val="en-GB"/>
        </w:rPr>
        <w:t xml:space="preserve"> advantage. The environmental capabilities of a firm are defined by Hart (1995) as a firm’s ability to carry out its productive activities in ways that limit damage to the natural environment. This stems for a resource-based view, in which the resource is the basic building block of firms and can be described as an asset controlled by a firm. Differences in resource</w:t>
      </w:r>
      <w:r w:rsidR="00FA26C4" w:rsidRPr="00CF3C36">
        <w:rPr>
          <w:lang w:val="en-GB"/>
        </w:rPr>
        <w:t>s</w:t>
      </w:r>
      <w:r w:rsidRPr="00CF3C36">
        <w:rPr>
          <w:lang w:val="en-GB"/>
        </w:rPr>
        <w:t xml:space="preserve"> are part of the explanation for heterogeneous performanc</w:t>
      </w:r>
      <w:r w:rsidR="000974E2" w:rsidRPr="00CF3C36">
        <w:rPr>
          <w:lang w:val="en-GB"/>
        </w:rPr>
        <w:t>e among firms (Barney, 1991). F</w:t>
      </w:r>
      <w:r w:rsidRPr="00CF3C36">
        <w:rPr>
          <w:lang w:val="en-GB"/>
        </w:rPr>
        <w:t xml:space="preserve">irms gain and hold competitive advantage by controlling and utilizing resources that are rare, valuable, inimitable, and non-substitutable. These resources serve as inputs in the production processes </w:t>
      </w:r>
      <w:r w:rsidR="00A065E6" w:rsidRPr="00CF3C36">
        <w:rPr>
          <w:lang w:val="en-GB"/>
        </w:rPr>
        <w:t>that</w:t>
      </w:r>
      <w:r w:rsidRPr="00CF3C36">
        <w:rPr>
          <w:lang w:val="en-GB"/>
        </w:rPr>
        <w:t xml:space="preserve"> transform bundles of complementary resources into valuable outputs. These production processes are called capabilities (Grant, 1991) and they are an important step in exploiting the resources to create a competitive advantage. According to Madsen </w:t>
      </w:r>
      <w:r w:rsidRPr="00CF3C36">
        <w:rPr>
          <w:lang w:val="en-GB"/>
        </w:rPr>
        <w:lastRenderedPageBreak/>
        <w:t xml:space="preserve">(2009, p. 1301) </w:t>
      </w:r>
      <w:r w:rsidRPr="00CF3C36">
        <w:rPr>
          <w:i/>
          <w:iCs/>
          <w:lang w:val="en-GB"/>
        </w:rPr>
        <w:t>“environmental capabilities constitute the utilization of bundles of resources and routines that allow a firm to minimize its environmental impact. Such environmental resources may include pollution prevention experience, environmentally benign technologies, environmental accounting systems, environmental engineering expertise, and employee commitment to protecting the natural environment”.</w:t>
      </w:r>
      <w:r w:rsidRPr="00CF3C36">
        <w:rPr>
          <w:lang w:val="en-GB"/>
        </w:rPr>
        <w:t xml:space="preserve"> These environmental capabilities can create a competitive advantage for firms when certain conditions are met, for example when consumers value environmental protection (Baker and Sinkula, 2005). Environmental capabilities </w:t>
      </w:r>
      <w:r w:rsidR="00FA26C4" w:rsidRPr="00CF3C36">
        <w:rPr>
          <w:lang w:val="en-GB"/>
        </w:rPr>
        <w:t xml:space="preserve">are </w:t>
      </w:r>
      <w:r w:rsidRPr="00CF3C36">
        <w:rPr>
          <w:lang w:val="en-GB"/>
        </w:rPr>
        <w:t>developed in the context of the institution</w:t>
      </w:r>
      <w:r w:rsidR="00FA26C4" w:rsidRPr="00CF3C36">
        <w:rPr>
          <w:lang w:val="en-GB"/>
        </w:rPr>
        <w:t>s</w:t>
      </w:r>
      <w:r w:rsidRPr="00CF3C36">
        <w:rPr>
          <w:lang w:val="en-GB"/>
        </w:rPr>
        <w:t xml:space="preserve"> in which the firm operates, such as regulations</w:t>
      </w:r>
      <w:r w:rsidR="009829D6" w:rsidRPr="00CF3C36">
        <w:rPr>
          <w:lang w:val="en-GB"/>
        </w:rPr>
        <w:t xml:space="preserve"> or</w:t>
      </w:r>
      <w:r w:rsidRPr="00CF3C36">
        <w:rPr>
          <w:lang w:val="en-GB"/>
        </w:rPr>
        <w:t xml:space="preserve"> the prevailing norms among the firm’s consumers, suppliers and other actors in the firm’s community. Hence the differences in institutional context and the prevailing norms will create heterogeneous environmental capabilities among firms which will give some firms a competitive advantage over others. Environmental capabilities are not necessarily static over time, but developing new capabilities is very time-consuming. Firms that have developed their environmental capabilities in a context of strict environmental regulations and norms can therefore not easily set aside these capabilities when operating in a context of weaker regulations and norms. To do so would also require them to give up the advantage of uniform production processes across plants. </w:t>
      </w:r>
      <w:r w:rsidR="009829D6" w:rsidRPr="00CF3C36">
        <w:rPr>
          <w:lang w:val="en-GB"/>
        </w:rPr>
        <w:t>Therefore,</w:t>
      </w:r>
      <w:r w:rsidRPr="00CF3C36">
        <w:rPr>
          <w:lang w:val="en-GB"/>
        </w:rPr>
        <w:t xml:space="preserve"> </w:t>
      </w:r>
      <w:r w:rsidR="009829D6" w:rsidRPr="00CF3C36">
        <w:rPr>
          <w:lang w:val="en-GB"/>
        </w:rPr>
        <w:t>MNE’s</w:t>
      </w:r>
      <w:r w:rsidRPr="00CF3C36">
        <w:rPr>
          <w:lang w:val="en-GB"/>
        </w:rPr>
        <w:t xml:space="preserve"> often choose to standardize production processes in a way that they meet the strictest environmental standards to which they are subje</w:t>
      </w:r>
      <w:r w:rsidR="0051739C" w:rsidRPr="00CF3C36">
        <w:rPr>
          <w:lang w:val="en-GB"/>
        </w:rPr>
        <w:t>cted instead of differentiating</w:t>
      </w:r>
      <w:r w:rsidRPr="00CF3C36">
        <w:rPr>
          <w:lang w:val="en-GB"/>
        </w:rPr>
        <w:t xml:space="preserve"> between the </w:t>
      </w:r>
      <w:r w:rsidR="00514653" w:rsidRPr="00CF3C36">
        <w:rPr>
          <w:lang w:val="en-GB"/>
        </w:rPr>
        <w:t>production processes</w:t>
      </w:r>
      <w:r w:rsidRPr="00CF3C36">
        <w:rPr>
          <w:lang w:val="en-GB"/>
        </w:rPr>
        <w:t xml:space="preserve"> of plants to meet the standards that the specific plant is subjected to (Christmann, 2004). This standardization causes firms </w:t>
      </w:r>
      <w:r w:rsidR="00FA26C4" w:rsidRPr="00CF3C36">
        <w:rPr>
          <w:lang w:val="en-GB"/>
        </w:rPr>
        <w:t xml:space="preserve">with </w:t>
      </w:r>
      <w:r w:rsidRPr="00CF3C36">
        <w:rPr>
          <w:lang w:val="en-GB"/>
        </w:rPr>
        <w:t xml:space="preserve">high environmental capabilities to have relatively stable production costs in countries with strict or lax environmental regulations. Hence firms that lack environmental capabilities will have a cost advantage in countries with lax environmental regulations and firms with strong environmental capabilities will have a cost advantage in countries with strict environmental capabilities. These differences in cost advantages will, ceteris paribus, cause firms with strong environmental capabilities to prefer countries with strict environmental regulations and firms with weak environmental capabilities to prefer countries with lax environmental regulations. </w:t>
      </w:r>
    </w:p>
    <w:p w14:paraId="17884682" w14:textId="6882DF58" w:rsidR="00D81BC1" w:rsidRPr="00CF3C36" w:rsidRDefault="0051739C" w:rsidP="00D81BC1">
      <w:pPr>
        <w:pStyle w:val="Heading3"/>
        <w:rPr>
          <w:lang w:val="en-GB"/>
        </w:rPr>
      </w:pPr>
      <w:bookmarkStart w:id="14" w:name="_Toc15480004"/>
      <w:r w:rsidRPr="00CF3C36">
        <w:rPr>
          <w:lang w:val="en-GB"/>
        </w:rPr>
        <w:t xml:space="preserve">2.3.4 </w:t>
      </w:r>
      <w:r w:rsidR="00E31BEB" w:rsidRPr="00CF3C36">
        <w:rPr>
          <w:lang w:val="en-GB"/>
        </w:rPr>
        <w:t xml:space="preserve">Perspective 2: </w:t>
      </w:r>
      <w:r w:rsidR="00D81BC1" w:rsidRPr="00CF3C36">
        <w:rPr>
          <w:lang w:val="en-GB"/>
        </w:rPr>
        <w:t xml:space="preserve">Environmental footprint of </w:t>
      </w:r>
      <w:r w:rsidR="00722C9F" w:rsidRPr="00CF3C36">
        <w:rPr>
          <w:lang w:val="en-GB"/>
        </w:rPr>
        <w:t xml:space="preserve">inward </w:t>
      </w:r>
      <w:r w:rsidR="00D81BC1" w:rsidRPr="00CF3C36">
        <w:rPr>
          <w:lang w:val="en-GB"/>
        </w:rPr>
        <w:t>FDI</w:t>
      </w:r>
      <w:bookmarkEnd w:id="14"/>
    </w:p>
    <w:p w14:paraId="209824FD" w14:textId="1C65A855" w:rsidR="00AA504C" w:rsidRPr="00CF3C36" w:rsidRDefault="002E6E55" w:rsidP="0049437C">
      <w:pPr>
        <w:spacing w:after="0" w:line="360" w:lineRule="auto"/>
        <w:jc w:val="both"/>
        <w:rPr>
          <w:lang w:val="en-GB"/>
        </w:rPr>
      </w:pPr>
      <w:r w:rsidRPr="00CF3C36">
        <w:rPr>
          <w:lang w:val="en-GB"/>
        </w:rPr>
        <w:t>The second perspective on this issue focusses on the effect of FDI on the environment of the host country, which is sometimes found to be positive and</w:t>
      </w:r>
      <w:r w:rsidR="00722C9F" w:rsidRPr="00CF3C36">
        <w:rPr>
          <w:lang w:val="en-GB"/>
        </w:rPr>
        <w:t xml:space="preserve"> sometimes found to be negative. This is also shown in the different positive and negative effects of the different theories. The pollution haven theory, green haven theory and induced innovation theory</w:t>
      </w:r>
      <w:r w:rsidR="00352E64" w:rsidRPr="00CF3C36">
        <w:rPr>
          <w:lang w:val="en-GB"/>
        </w:rPr>
        <w:t xml:space="preserve"> discuss how</w:t>
      </w:r>
      <w:r w:rsidR="00722C9F" w:rsidRPr="00CF3C36">
        <w:rPr>
          <w:lang w:val="en-GB"/>
        </w:rPr>
        <w:t xml:space="preserve"> the environmental footprint of inward FDI </w:t>
      </w:r>
      <w:r w:rsidR="00352E64" w:rsidRPr="00CF3C36">
        <w:rPr>
          <w:lang w:val="en-GB"/>
        </w:rPr>
        <w:t xml:space="preserve">is affected </w:t>
      </w:r>
      <w:r w:rsidR="00722C9F" w:rsidRPr="00CF3C36">
        <w:rPr>
          <w:lang w:val="en-GB"/>
        </w:rPr>
        <w:t xml:space="preserve">indirectly </w:t>
      </w:r>
      <w:r w:rsidR="00352E64" w:rsidRPr="00CF3C36">
        <w:rPr>
          <w:lang w:val="en-GB"/>
        </w:rPr>
        <w:t xml:space="preserve">by </w:t>
      </w:r>
      <w:r w:rsidR="00722C9F" w:rsidRPr="00CF3C36">
        <w:rPr>
          <w:lang w:val="en-GB"/>
        </w:rPr>
        <w:t xml:space="preserve">the FDI that is attracted due to the level of EPS. The pollution halo </w:t>
      </w:r>
      <w:r w:rsidR="00235034" w:rsidRPr="00CF3C36">
        <w:rPr>
          <w:lang w:val="en-GB"/>
        </w:rPr>
        <w:t>th</w:t>
      </w:r>
      <w:r w:rsidR="00FA26C4" w:rsidRPr="00CF3C36">
        <w:rPr>
          <w:lang w:val="en-GB"/>
        </w:rPr>
        <w:t>eo</w:t>
      </w:r>
      <w:r w:rsidR="00235034" w:rsidRPr="00CF3C36">
        <w:rPr>
          <w:lang w:val="en-GB"/>
        </w:rPr>
        <w:t>ry</w:t>
      </w:r>
      <w:r w:rsidR="00352E64" w:rsidRPr="00CF3C36">
        <w:rPr>
          <w:lang w:val="en-GB"/>
        </w:rPr>
        <w:t xml:space="preserve"> </w:t>
      </w:r>
      <w:r w:rsidR="00235034" w:rsidRPr="00CF3C36">
        <w:rPr>
          <w:lang w:val="en-GB"/>
        </w:rPr>
        <w:t xml:space="preserve">does not focus on the </w:t>
      </w:r>
      <w:r w:rsidR="00B4579B" w:rsidRPr="00CF3C36">
        <w:rPr>
          <w:lang w:val="en-GB"/>
        </w:rPr>
        <w:t>firm’s</w:t>
      </w:r>
      <w:r w:rsidR="00235034" w:rsidRPr="00CF3C36">
        <w:rPr>
          <w:lang w:val="en-GB"/>
        </w:rPr>
        <w:t xml:space="preserve"> location decision, but on the environmental performance of foreign firms compared to domestic firms (Zarksy, 1999). It states</w:t>
      </w:r>
      <w:r w:rsidRPr="00CF3C36">
        <w:rPr>
          <w:lang w:val="en-GB"/>
        </w:rPr>
        <w:t xml:space="preserve"> that </w:t>
      </w:r>
      <w:r w:rsidR="009829D6" w:rsidRPr="00CF3C36">
        <w:rPr>
          <w:lang w:val="en-GB"/>
        </w:rPr>
        <w:t xml:space="preserve">MNE’s </w:t>
      </w:r>
      <w:r w:rsidRPr="00CF3C36">
        <w:rPr>
          <w:lang w:val="en-GB"/>
        </w:rPr>
        <w:t xml:space="preserve">will </w:t>
      </w:r>
      <w:r w:rsidR="00235034" w:rsidRPr="00CF3C36">
        <w:rPr>
          <w:lang w:val="en-GB"/>
        </w:rPr>
        <w:t xml:space="preserve">perform better and even influence the domestic firms to perform better </w:t>
      </w:r>
      <w:r w:rsidR="009829D6" w:rsidRPr="00CF3C36">
        <w:rPr>
          <w:lang w:val="en-GB"/>
        </w:rPr>
        <w:t xml:space="preserve">on environmental issues </w:t>
      </w:r>
      <w:r w:rsidR="00235034" w:rsidRPr="00CF3C36">
        <w:rPr>
          <w:lang w:val="en-GB"/>
        </w:rPr>
        <w:t>as well.</w:t>
      </w:r>
    </w:p>
    <w:p w14:paraId="6242DCA8" w14:textId="25D687AB" w:rsidR="002149E4" w:rsidRPr="00CF3C36" w:rsidRDefault="00546797" w:rsidP="00966A38">
      <w:pPr>
        <w:spacing w:line="360" w:lineRule="auto"/>
        <w:ind w:firstLine="708"/>
        <w:jc w:val="both"/>
        <w:rPr>
          <w:lang w:val="en-GB"/>
        </w:rPr>
      </w:pPr>
      <w:r w:rsidRPr="00CF3C36">
        <w:rPr>
          <w:lang w:val="en-GB"/>
        </w:rPr>
        <w:lastRenderedPageBreak/>
        <w:t>As was to be expected from the theories</w:t>
      </w:r>
      <w:r w:rsidR="00555B72" w:rsidRPr="00CF3C36">
        <w:rPr>
          <w:lang w:val="en-GB"/>
        </w:rPr>
        <w:t xml:space="preserve"> that were discussed</w:t>
      </w:r>
      <w:r w:rsidRPr="00CF3C36">
        <w:rPr>
          <w:lang w:val="en-GB"/>
        </w:rPr>
        <w:t>, e</w:t>
      </w:r>
      <w:r w:rsidR="002E6E55" w:rsidRPr="00CF3C36">
        <w:rPr>
          <w:lang w:val="en-GB"/>
        </w:rPr>
        <w:t>mpirical studies have found mixed results on the relationship between FDI and the environment. The OECD (2</w:t>
      </w:r>
      <w:r w:rsidR="00966A38" w:rsidRPr="00CF3C36">
        <w:rPr>
          <w:lang w:val="en-GB"/>
        </w:rPr>
        <w:t>019a)</w:t>
      </w:r>
      <w:r w:rsidR="002E6E55" w:rsidRPr="00CF3C36">
        <w:rPr>
          <w:lang w:val="en-GB"/>
        </w:rPr>
        <w:t xml:space="preserve"> show an overview of 20 empirical studies of which 11 find that FDI increases </w:t>
      </w:r>
      <w:r w:rsidR="003F01C9" w:rsidRPr="00CF3C36">
        <w:rPr>
          <w:lang w:val="en-GB"/>
        </w:rPr>
        <w:t>CO</w:t>
      </w:r>
      <w:r w:rsidR="003F01C9" w:rsidRPr="00CF3C36">
        <w:rPr>
          <w:vertAlign w:val="subscript"/>
          <w:lang w:val="en-GB"/>
        </w:rPr>
        <w:t xml:space="preserve">2 </w:t>
      </w:r>
      <w:r w:rsidR="002E6E55" w:rsidRPr="00CF3C36">
        <w:rPr>
          <w:lang w:val="en-GB"/>
        </w:rPr>
        <w:t xml:space="preserve">emissions (of which two find this to </w:t>
      </w:r>
      <w:r w:rsidR="005A17B8" w:rsidRPr="00CF3C36">
        <w:rPr>
          <w:lang w:val="en-GB"/>
        </w:rPr>
        <w:t xml:space="preserve">be true only in low- and middle </w:t>
      </w:r>
      <w:r w:rsidR="002E6E55" w:rsidRPr="00CF3C36">
        <w:rPr>
          <w:lang w:val="en-GB"/>
        </w:rPr>
        <w:t xml:space="preserve">income countries) and nine studies do not find that FDI increases </w:t>
      </w:r>
      <w:r w:rsidR="003F01C9" w:rsidRPr="00CF3C36">
        <w:rPr>
          <w:lang w:val="en-GB"/>
        </w:rPr>
        <w:t>CO</w:t>
      </w:r>
      <w:r w:rsidR="003F01C9" w:rsidRPr="00CF3C36">
        <w:rPr>
          <w:vertAlign w:val="subscript"/>
          <w:lang w:val="en-GB"/>
        </w:rPr>
        <w:t xml:space="preserve">2 </w:t>
      </w:r>
      <w:r w:rsidR="002E6E55" w:rsidRPr="00CF3C36">
        <w:rPr>
          <w:lang w:val="en-GB"/>
        </w:rPr>
        <w:t xml:space="preserve">emissions. These mixed results could be explained by the </w:t>
      </w:r>
      <w:r w:rsidR="001B7072" w:rsidRPr="00CF3C36">
        <w:rPr>
          <w:lang w:val="en-GB"/>
        </w:rPr>
        <w:t>simultaneous</w:t>
      </w:r>
      <w:r w:rsidR="002E6E55" w:rsidRPr="00CF3C36">
        <w:rPr>
          <w:lang w:val="en-GB"/>
        </w:rPr>
        <w:t xml:space="preserve"> </w:t>
      </w:r>
      <w:r w:rsidR="00AE2B8E" w:rsidRPr="00CF3C36">
        <w:rPr>
          <w:lang w:val="en-GB"/>
        </w:rPr>
        <w:t xml:space="preserve">and opposing </w:t>
      </w:r>
      <w:r w:rsidR="002E6E55" w:rsidRPr="00CF3C36">
        <w:rPr>
          <w:lang w:val="en-GB"/>
        </w:rPr>
        <w:t xml:space="preserve">effects of the pollution haven </w:t>
      </w:r>
      <w:r w:rsidRPr="00CF3C36">
        <w:rPr>
          <w:lang w:val="en-GB"/>
        </w:rPr>
        <w:t>theory</w:t>
      </w:r>
      <w:r w:rsidR="002E6E55" w:rsidRPr="00CF3C36">
        <w:rPr>
          <w:lang w:val="en-GB"/>
        </w:rPr>
        <w:t xml:space="preserve">, </w:t>
      </w:r>
      <w:r w:rsidR="001B7072" w:rsidRPr="00CF3C36">
        <w:rPr>
          <w:lang w:val="en-GB"/>
        </w:rPr>
        <w:t xml:space="preserve">green haven </w:t>
      </w:r>
      <w:r w:rsidRPr="00CF3C36">
        <w:rPr>
          <w:lang w:val="en-GB"/>
        </w:rPr>
        <w:t>theory</w:t>
      </w:r>
      <w:r w:rsidR="001B7072" w:rsidRPr="00CF3C36">
        <w:rPr>
          <w:lang w:val="en-GB"/>
        </w:rPr>
        <w:t>,</w:t>
      </w:r>
      <w:r w:rsidRPr="00CF3C36">
        <w:rPr>
          <w:lang w:val="en-GB"/>
        </w:rPr>
        <w:t xml:space="preserve"> </w:t>
      </w:r>
      <w:r w:rsidR="00B4579B" w:rsidRPr="00CF3C36">
        <w:rPr>
          <w:lang w:val="en-GB"/>
        </w:rPr>
        <w:t>the</w:t>
      </w:r>
      <w:r w:rsidRPr="00CF3C36">
        <w:rPr>
          <w:lang w:val="en-GB"/>
        </w:rPr>
        <w:t xml:space="preserve"> induced innovation theory</w:t>
      </w:r>
      <w:r w:rsidR="00B4579B" w:rsidRPr="00CF3C36">
        <w:rPr>
          <w:lang w:val="en-GB"/>
        </w:rPr>
        <w:t xml:space="preserve"> and</w:t>
      </w:r>
      <w:r w:rsidR="001B7072" w:rsidRPr="00CF3C36">
        <w:rPr>
          <w:lang w:val="en-GB"/>
        </w:rPr>
        <w:t xml:space="preserve"> </w:t>
      </w:r>
      <w:r w:rsidR="002E6E55" w:rsidRPr="00CF3C36">
        <w:rPr>
          <w:lang w:val="en-GB"/>
        </w:rPr>
        <w:t xml:space="preserve">the pollution halo </w:t>
      </w:r>
      <w:r w:rsidRPr="00CF3C36">
        <w:rPr>
          <w:lang w:val="en-GB"/>
        </w:rPr>
        <w:t>theory</w:t>
      </w:r>
      <w:r w:rsidR="002E6E55" w:rsidRPr="00CF3C36">
        <w:rPr>
          <w:lang w:val="en-GB"/>
        </w:rPr>
        <w:t>, as one or the other effect could preponderate depending on the country, time, context or industry that is studied.</w:t>
      </w:r>
      <w:r w:rsidR="00B4370D" w:rsidRPr="00CF3C36">
        <w:rPr>
          <w:lang w:val="en-GB"/>
        </w:rPr>
        <w:t xml:space="preserve"> A similar rationale is suggested and researched by </w:t>
      </w:r>
      <w:r w:rsidR="00133224" w:rsidRPr="00CF3C36">
        <w:rPr>
          <w:lang w:val="en-GB"/>
        </w:rPr>
        <w:t>Zugravu-Soilita (2017), although in her analys</w:t>
      </w:r>
      <w:r w:rsidR="00957209" w:rsidRPr="00CF3C36">
        <w:rPr>
          <w:lang w:val="en-GB"/>
        </w:rPr>
        <w:t>i</w:t>
      </w:r>
      <w:r w:rsidR="00133224" w:rsidRPr="00CF3C36">
        <w:rPr>
          <w:lang w:val="en-GB"/>
        </w:rPr>
        <w:t xml:space="preserve">s the opposing </w:t>
      </w:r>
      <w:r w:rsidRPr="00CF3C36">
        <w:rPr>
          <w:lang w:val="en-GB"/>
        </w:rPr>
        <w:t>theory</w:t>
      </w:r>
      <w:r w:rsidR="00133224" w:rsidRPr="00CF3C36">
        <w:rPr>
          <w:lang w:val="en-GB"/>
        </w:rPr>
        <w:t xml:space="preserve"> to the pollution haven </w:t>
      </w:r>
      <w:r w:rsidRPr="00CF3C36">
        <w:rPr>
          <w:lang w:val="en-GB"/>
        </w:rPr>
        <w:t>theory</w:t>
      </w:r>
      <w:r w:rsidR="00133224" w:rsidRPr="00CF3C36">
        <w:rPr>
          <w:lang w:val="en-GB"/>
        </w:rPr>
        <w:t xml:space="preserve">, is the factor-endowment </w:t>
      </w:r>
      <w:r w:rsidRPr="00CF3C36">
        <w:rPr>
          <w:lang w:val="en-GB"/>
        </w:rPr>
        <w:t>theory</w:t>
      </w:r>
      <w:r w:rsidR="00133224" w:rsidRPr="00CF3C36">
        <w:rPr>
          <w:lang w:val="en-GB"/>
        </w:rPr>
        <w:t xml:space="preserve">. </w:t>
      </w:r>
      <w:r w:rsidR="00B903FA" w:rsidRPr="00CF3C36">
        <w:rPr>
          <w:lang w:val="en-GB"/>
        </w:rPr>
        <w:t xml:space="preserve">Her research shows that these </w:t>
      </w:r>
      <w:r w:rsidRPr="00CF3C36">
        <w:rPr>
          <w:lang w:val="en-GB"/>
        </w:rPr>
        <w:t>theories</w:t>
      </w:r>
      <w:r w:rsidR="00B903FA" w:rsidRPr="00CF3C36">
        <w:rPr>
          <w:lang w:val="en-GB"/>
        </w:rPr>
        <w:t xml:space="preserve"> together with the pollution halo </w:t>
      </w:r>
      <w:r w:rsidR="00B4579B" w:rsidRPr="00CF3C36">
        <w:rPr>
          <w:lang w:val="en-GB"/>
        </w:rPr>
        <w:t>theo</w:t>
      </w:r>
      <w:r w:rsidRPr="00CF3C36">
        <w:rPr>
          <w:lang w:val="en-GB"/>
        </w:rPr>
        <w:t>ry</w:t>
      </w:r>
      <w:r w:rsidR="00B903FA" w:rsidRPr="00CF3C36">
        <w:rPr>
          <w:lang w:val="en-GB"/>
        </w:rPr>
        <w:t xml:space="preserve"> are occurring simultaneously and with opposing effects. </w:t>
      </w:r>
      <w:r w:rsidR="001C434E" w:rsidRPr="00CF3C36">
        <w:rPr>
          <w:lang w:val="en-GB"/>
        </w:rPr>
        <w:t>Furthermore,</w:t>
      </w:r>
      <w:r w:rsidR="00B903FA" w:rsidRPr="00CF3C36">
        <w:rPr>
          <w:lang w:val="en-GB"/>
        </w:rPr>
        <w:t xml:space="preserve"> she concludes that inward FDI is associated with pollution reductions in countries with average capital endowments and not too lax environmental regulations, as here th</w:t>
      </w:r>
      <w:r w:rsidR="007F797E" w:rsidRPr="00CF3C36">
        <w:rPr>
          <w:lang w:val="en-GB"/>
        </w:rPr>
        <w:t>e pollution halo</w:t>
      </w:r>
      <w:r w:rsidR="00B903FA" w:rsidRPr="00CF3C36">
        <w:rPr>
          <w:lang w:val="en-GB"/>
        </w:rPr>
        <w:t xml:space="preserve"> </w:t>
      </w:r>
      <w:r w:rsidR="003D47F2" w:rsidRPr="00CF3C36">
        <w:rPr>
          <w:lang w:val="en-GB"/>
        </w:rPr>
        <w:t>theory</w:t>
      </w:r>
      <w:r w:rsidR="00B903FA" w:rsidRPr="00CF3C36">
        <w:rPr>
          <w:lang w:val="en-GB"/>
        </w:rPr>
        <w:t xml:space="preserve"> predominates. While in countries with average capital endowment and lax environmental regulations inward FDI is associated with an increase in pollution as the pollution haven </w:t>
      </w:r>
      <w:r w:rsidR="003D47F2" w:rsidRPr="00CF3C36">
        <w:rPr>
          <w:lang w:val="en-GB"/>
        </w:rPr>
        <w:t>theory</w:t>
      </w:r>
      <w:r w:rsidR="00B903FA" w:rsidRPr="00CF3C36">
        <w:rPr>
          <w:lang w:val="en-GB"/>
        </w:rPr>
        <w:t xml:space="preserve"> and/or the factor endowments </w:t>
      </w:r>
      <w:r w:rsidR="003D47F2" w:rsidRPr="00CF3C36">
        <w:rPr>
          <w:lang w:val="en-GB"/>
        </w:rPr>
        <w:t>theory</w:t>
      </w:r>
      <w:r w:rsidR="00B903FA" w:rsidRPr="00CF3C36">
        <w:rPr>
          <w:lang w:val="en-GB"/>
        </w:rPr>
        <w:t xml:space="preserve"> predominate here. </w:t>
      </w:r>
      <w:r w:rsidR="00966A38" w:rsidRPr="00CF3C36">
        <w:rPr>
          <w:lang w:val="en-GB"/>
        </w:rPr>
        <w:t xml:space="preserve">In capital abundant countries the factor-endowments theory, causes FDI to increase pollution as capital attracts pollution intense firms. Although this effect is mediated by stringent environmental regulations, these regulation will not reverse the effect of FDI on pollution. </w:t>
      </w:r>
      <w:r w:rsidRPr="00CF3C36">
        <w:rPr>
          <w:lang w:val="en-GB"/>
        </w:rPr>
        <w:t>From this it can be concluded that the effect of a change in EPS may depend on the capital abundancy of a country.</w:t>
      </w:r>
    </w:p>
    <w:p w14:paraId="3A17F38C" w14:textId="7FBF1D83" w:rsidR="002033D6" w:rsidRPr="00CF3C36" w:rsidRDefault="0051739C" w:rsidP="00303B6D">
      <w:pPr>
        <w:pStyle w:val="Heading2"/>
        <w:rPr>
          <w:lang w:val="en-GB"/>
        </w:rPr>
      </w:pPr>
      <w:bookmarkStart w:id="15" w:name="_Toc15480005"/>
      <w:r w:rsidRPr="00CF3C36">
        <w:rPr>
          <w:lang w:val="en-GB"/>
        </w:rPr>
        <w:t xml:space="preserve">2.4 </w:t>
      </w:r>
      <w:r w:rsidR="002033D6" w:rsidRPr="00CF3C36">
        <w:rPr>
          <w:lang w:val="en-GB"/>
        </w:rPr>
        <w:t>Research Problem</w:t>
      </w:r>
      <w:bookmarkEnd w:id="15"/>
    </w:p>
    <w:p w14:paraId="331A061E" w14:textId="4836C4A5" w:rsidR="00BC2DAC" w:rsidRPr="00CF3C36" w:rsidRDefault="00371384" w:rsidP="0049437C">
      <w:pPr>
        <w:spacing w:after="0" w:line="360" w:lineRule="auto"/>
        <w:jc w:val="both"/>
        <w:rPr>
          <w:lang w:val="en-GB"/>
        </w:rPr>
      </w:pPr>
      <w:r w:rsidRPr="00CF3C36">
        <w:rPr>
          <w:lang w:val="en-GB"/>
        </w:rPr>
        <w:t>In this thesis the focus will be on the</w:t>
      </w:r>
      <w:r w:rsidR="001B3DC5" w:rsidRPr="00CF3C36">
        <w:rPr>
          <w:lang w:val="en-GB"/>
        </w:rPr>
        <w:t xml:space="preserve"> relationship between the </w:t>
      </w:r>
      <w:r w:rsidR="00DB1781" w:rsidRPr="00CF3C36">
        <w:rPr>
          <w:lang w:val="en-GB"/>
        </w:rPr>
        <w:t>EPS</w:t>
      </w:r>
      <w:r w:rsidR="001B3DC5" w:rsidRPr="00CF3C36">
        <w:rPr>
          <w:lang w:val="en-GB"/>
        </w:rPr>
        <w:t xml:space="preserve"> of a country with the environmental footprint of this </w:t>
      </w:r>
      <w:r w:rsidRPr="00CF3C36">
        <w:rPr>
          <w:lang w:val="en-GB"/>
        </w:rPr>
        <w:t xml:space="preserve">country’s inward FDI. </w:t>
      </w:r>
      <w:r w:rsidR="00946DAF" w:rsidRPr="00CF3C36">
        <w:rPr>
          <w:lang w:val="en-GB"/>
        </w:rPr>
        <w:t>As the signing of the Sustainable Developmen</w:t>
      </w:r>
      <w:r w:rsidR="00E3507A" w:rsidRPr="00CF3C36">
        <w:rPr>
          <w:lang w:val="en-GB"/>
        </w:rPr>
        <w:t xml:space="preserve">t Goals and the Paris </w:t>
      </w:r>
      <w:r w:rsidR="00CF59B8" w:rsidRPr="00CF3C36">
        <w:rPr>
          <w:lang w:val="en-GB"/>
        </w:rPr>
        <w:t>A</w:t>
      </w:r>
      <w:r w:rsidR="00E3507A" w:rsidRPr="00CF3C36">
        <w:rPr>
          <w:lang w:val="en-GB"/>
        </w:rPr>
        <w:t>greement has shown,</w:t>
      </w:r>
      <w:r w:rsidR="00946DAF" w:rsidRPr="00CF3C36">
        <w:rPr>
          <w:lang w:val="en-GB"/>
        </w:rPr>
        <w:t xml:space="preserve"> a clean environment, both locally and globally, has become an important objective for policy makers. </w:t>
      </w:r>
      <w:r w:rsidR="005C5DDE" w:rsidRPr="00CF3C36">
        <w:rPr>
          <w:lang w:val="en-GB"/>
        </w:rPr>
        <w:t xml:space="preserve">In the scale effect that was discussed before there appears to be a trade-off between increasing economic output </w:t>
      </w:r>
      <w:r w:rsidR="008F6707" w:rsidRPr="00CF3C36">
        <w:rPr>
          <w:lang w:val="en-GB"/>
        </w:rPr>
        <w:t>and</w:t>
      </w:r>
      <w:r w:rsidR="005C5DDE" w:rsidRPr="00CF3C36">
        <w:rPr>
          <w:lang w:val="en-GB"/>
        </w:rPr>
        <w:t xml:space="preserve"> decreasing the environmental footprint. This trade-off is a very important and difficult policy debate at the moment. A focus on the composition effect an</w:t>
      </w:r>
      <w:r w:rsidR="008F6707" w:rsidRPr="00CF3C36">
        <w:rPr>
          <w:lang w:val="en-GB"/>
        </w:rPr>
        <w:t>d</w:t>
      </w:r>
      <w:r w:rsidR="005C5DDE" w:rsidRPr="00CF3C36">
        <w:rPr>
          <w:lang w:val="en-GB"/>
        </w:rPr>
        <w:t xml:space="preserve"> technique effect could offer policy makers with easier options. Because a positive composition and / or technique effect </w:t>
      </w:r>
      <w:r w:rsidR="00FA26C4" w:rsidRPr="00CF3C36">
        <w:rPr>
          <w:lang w:val="en-GB"/>
        </w:rPr>
        <w:t>means</w:t>
      </w:r>
      <w:r w:rsidR="005C5DDE" w:rsidRPr="00CF3C36">
        <w:rPr>
          <w:lang w:val="en-GB"/>
        </w:rPr>
        <w:t xml:space="preserve"> that ceteris paribus at least economic output can stay equal while the e</w:t>
      </w:r>
      <w:r w:rsidR="00AC1590" w:rsidRPr="00CF3C36">
        <w:rPr>
          <w:lang w:val="en-GB"/>
        </w:rPr>
        <w:t>nvironmental impact decreases.</w:t>
      </w:r>
      <w:r w:rsidR="005C5DDE" w:rsidRPr="00CF3C36">
        <w:rPr>
          <w:lang w:val="en-GB"/>
        </w:rPr>
        <w:t xml:space="preserve"> </w:t>
      </w:r>
      <w:r w:rsidR="00AC1590" w:rsidRPr="00CF3C36">
        <w:rPr>
          <w:lang w:val="en-GB"/>
        </w:rPr>
        <w:t>I</w:t>
      </w:r>
      <w:r w:rsidR="005C5DDE" w:rsidRPr="00CF3C36">
        <w:rPr>
          <w:lang w:val="en-GB"/>
        </w:rPr>
        <w:t>n the most opti</w:t>
      </w:r>
      <w:r w:rsidR="00AC1590" w:rsidRPr="00CF3C36">
        <w:rPr>
          <w:lang w:val="en-GB"/>
        </w:rPr>
        <w:t>mal scenario economic output could even</w:t>
      </w:r>
      <w:r w:rsidR="005C5DDE" w:rsidRPr="00CF3C36">
        <w:rPr>
          <w:lang w:val="en-GB"/>
        </w:rPr>
        <w:t xml:space="preserve"> increase while the environmental impact decreases. The lat</w:t>
      </w:r>
      <w:r w:rsidR="00957209" w:rsidRPr="00CF3C36">
        <w:rPr>
          <w:lang w:val="en-GB"/>
        </w:rPr>
        <w:t>t</w:t>
      </w:r>
      <w:r w:rsidR="005C5DDE" w:rsidRPr="00CF3C36">
        <w:rPr>
          <w:lang w:val="en-GB"/>
        </w:rPr>
        <w:t xml:space="preserve">er could occur if the positive composition effect and the technique effect more than offset the </w:t>
      </w:r>
      <w:r w:rsidR="00640E17" w:rsidRPr="00CF3C36">
        <w:rPr>
          <w:lang w:val="en-GB"/>
        </w:rPr>
        <w:t xml:space="preserve">negative scale effect. </w:t>
      </w:r>
      <w:r w:rsidR="001C434E" w:rsidRPr="00CF3C36">
        <w:rPr>
          <w:lang w:val="en-GB"/>
        </w:rPr>
        <w:t>Therefore,</w:t>
      </w:r>
      <w:r w:rsidR="00D90022" w:rsidRPr="00CF3C36">
        <w:rPr>
          <w:lang w:val="en-GB"/>
        </w:rPr>
        <w:t xml:space="preserve"> it is interesting to know what the effect of environmental policy is on the environmental footprint of FDI per unit of output. </w:t>
      </w:r>
      <w:r w:rsidR="004F1524" w:rsidRPr="00CF3C36">
        <w:rPr>
          <w:lang w:val="en-GB"/>
        </w:rPr>
        <w:t>This will be the focus of this thesis</w:t>
      </w:r>
      <w:r w:rsidR="00CF59B8" w:rsidRPr="00CF3C36">
        <w:rPr>
          <w:lang w:val="en-GB"/>
        </w:rPr>
        <w:t xml:space="preserve">. </w:t>
      </w:r>
      <w:r w:rsidR="00BE22C3" w:rsidRPr="00CF3C36">
        <w:rPr>
          <w:lang w:val="en-GB"/>
        </w:rPr>
        <w:t>The insights of this research can potentially help</w:t>
      </w:r>
      <w:r w:rsidR="00BF3D62" w:rsidRPr="00CF3C36">
        <w:rPr>
          <w:lang w:val="en-GB"/>
        </w:rPr>
        <w:t xml:space="preserve"> policy makers to </w:t>
      </w:r>
      <w:r w:rsidR="00BF3D62" w:rsidRPr="00CF3C36">
        <w:rPr>
          <w:lang w:val="en-GB"/>
        </w:rPr>
        <w:lastRenderedPageBreak/>
        <w:t xml:space="preserve">make decisions in the difficult trade-offs that might exist or might be experienced by policy makers between economic, social and environmental development. </w:t>
      </w:r>
    </w:p>
    <w:p w14:paraId="34271E3D" w14:textId="14508419" w:rsidR="00AB3F9C" w:rsidRPr="00CF3C36" w:rsidRDefault="00BC2DAC" w:rsidP="00E66ED2">
      <w:pPr>
        <w:spacing w:after="0" w:line="360" w:lineRule="auto"/>
        <w:jc w:val="both"/>
        <w:rPr>
          <w:lang w:val="en-GB"/>
        </w:rPr>
      </w:pPr>
      <w:r w:rsidRPr="00CF3C36">
        <w:rPr>
          <w:lang w:val="en-GB"/>
        </w:rPr>
        <w:tab/>
      </w:r>
      <w:r w:rsidR="00927419" w:rsidRPr="00CF3C36">
        <w:rPr>
          <w:lang w:val="en-GB"/>
        </w:rPr>
        <w:t xml:space="preserve">To understand the effect of </w:t>
      </w:r>
      <w:r w:rsidR="00DB1781" w:rsidRPr="00CF3C36">
        <w:rPr>
          <w:lang w:val="en-GB"/>
        </w:rPr>
        <w:t>EPS</w:t>
      </w:r>
      <w:r w:rsidR="00927419" w:rsidRPr="00CF3C36">
        <w:rPr>
          <w:lang w:val="en-GB"/>
        </w:rPr>
        <w:t xml:space="preserve"> on the environmental footprint of FDI per unit of output, we need to look at the theories of FDI attraction in relation to </w:t>
      </w:r>
      <w:r w:rsidR="00DB1781" w:rsidRPr="00CF3C36">
        <w:rPr>
          <w:lang w:val="en-GB"/>
        </w:rPr>
        <w:t>EPS</w:t>
      </w:r>
      <w:r w:rsidR="00927419" w:rsidRPr="00CF3C36">
        <w:rPr>
          <w:lang w:val="en-GB"/>
        </w:rPr>
        <w:t xml:space="preserve"> that where discussed in the literature review. There are two opposing views, one that says that lax environmental policies will attract FDI and one that says that stringent environmental policies will attract FDI. </w:t>
      </w:r>
      <w:r w:rsidR="00E25D0A" w:rsidRPr="00CF3C36">
        <w:rPr>
          <w:lang w:val="en-GB"/>
        </w:rPr>
        <w:t>These two views were then unified by the statement that there might be firm-level heterogeneity or sector-level hete</w:t>
      </w:r>
      <w:r w:rsidR="00BE22C3" w:rsidRPr="00CF3C36">
        <w:rPr>
          <w:lang w:val="en-GB"/>
        </w:rPr>
        <w:t>rogeneity and that some firms or firms in some</w:t>
      </w:r>
      <w:r w:rsidR="00E25D0A" w:rsidRPr="00CF3C36">
        <w:rPr>
          <w:lang w:val="en-GB"/>
        </w:rPr>
        <w:t xml:space="preserve"> sector</w:t>
      </w:r>
      <w:r w:rsidR="0047354E" w:rsidRPr="00CF3C36">
        <w:rPr>
          <w:lang w:val="en-GB"/>
        </w:rPr>
        <w:t>s</w:t>
      </w:r>
      <w:r w:rsidR="00E25D0A" w:rsidRPr="00CF3C36">
        <w:rPr>
          <w:lang w:val="en-GB"/>
        </w:rPr>
        <w:t xml:space="preserve"> will be attracted to count</w:t>
      </w:r>
      <w:r w:rsidR="00551B1A" w:rsidRPr="00CF3C36">
        <w:rPr>
          <w:lang w:val="en-GB"/>
        </w:rPr>
        <w:t>r</w:t>
      </w:r>
      <w:r w:rsidR="00E25D0A" w:rsidRPr="00CF3C36">
        <w:rPr>
          <w:lang w:val="en-GB"/>
        </w:rPr>
        <w:t xml:space="preserve">ies with lax environmental policies and some will be attracted to </w:t>
      </w:r>
      <w:r w:rsidR="0047354E" w:rsidRPr="00CF3C36">
        <w:rPr>
          <w:lang w:val="en-GB"/>
        </w:rPr>
        <w:t xml:space="preserve">countries with </w:t>
      </w:r>
      <w:r w:rsidR="00E25D0A" w:rsidRPr="00CF3C36">
        <w:rPr>
          <w:lang w:val="en-GB"/>
        </w:rPr>
        <w:t>stringent environmental policies</w:t>
      </w:r>
      <w:r w:rsidR="00925274" w:rsidRPr="00CF3C36">
        <w:rPr>
          <w:lang w:val="en-GB"/>
        </w:rPr>
        <w:t>, as explained in the previous section</w:t>
      </w:r>
      <w:r w:rsidR="00E25D0A" w:rsidRPr="00CF3C36">
        <w:rPr>
          <w:lang w:val="en-GB"/>
        </w:rPr>
        <w:t>.</w:t>
      </w:r>
      <w:r w:rsidR="00156BDB" w:rsidRPr="00CF3C36">
        <w:rPr>
          <w:lang w:val="en-GB"/>
        </w:rPr>
        <w:t xml:space="preserve"> T</w:t>
      </w:r>
      <w:r w:rsidR="009B4004" w:rsidRPr="00CF3C36">
        <w:rPr>
          <w:lang w:val="en-GB"/>
        </w:rPr>
        <w:t xml:space="preserve">his thesis will </w:t>
      </w:r>
      <w:r w:rsidR="002E6E55" w:rsidRPr="00CF3C36">
        <w:rPr>
          <w:lang w:val="en-GB"/>
        </w:rPr>
        <w:t>argue</w:t>
      </w:r>
      <w:r w:rsidR="00156BDB" w:rsidRPr="00CF3C36">
        <w:rPr>
          <w:lang w:val="en-GB"/>
        </w:rPr>
        <w:t xml:space="preserve"> similarly</w:t>
      </w:r>
      <w:r w:rsidR="002E6E55" w:rsidRPr="00CF3C36">
        <w:rPr>
          <w:lang w:val="en-GB"/>
        </w:rPr>
        <w:t xml:space="preserve"> that both </w:t>
      </w:r>
      <w:r w:rsidR="00741251" w:rsidRPr="00CF3C36">
        <w:rPr>
          <w:lang w:val="en-GB"/>
        </w:rPr>
        <w:t>views</w:t>
      </w:r>
      <w:r w:rsidR="002E6E55" w:rsidRPr="00CF3C36">
        <w:rPr>
          <w:lang w:val="en-GB"/>
        </w:rPr>
        <w:t xml:space="preserve"> </w:t>
      </w:r>
      <w:r w:rsidR="00156BDB" w:rsidRPr="00CF3C36">
        <w:rPr>
          <w:lang w:val="en-GB"/>
        </w:rPr>
        <w:t>can be</w:t>
      </w:r>
      <w:r w:rsidR="002E6E55" w:rsidRPr="00CF3C36">
        <w:rPr>
          <w:lang w:val="en-GB"/>
        </w:rPr>
        <w:t xml:space="preserve"> true at the same time, due to </w:t>
      </w:r>
      <w:r w:rsidR="009B4004" w:rsidRPr="00CF3C36">
        <w:rPr>
          <w:lang w:val="en-GB"/>
        </w:rPr>
        <w:t xml:space="preserve">these </w:t>
      </w:r>
      <w:r w:rsidR="002E6E55" w:rsidRPr="00CF3C36">
        <w:rPr>
          <w:lang w:val="en-GB"/>
        </w:rPr>
        <w:t>sector- and firm</w:t>
      </w:r>
      <w:r w:rsidR="009B4004" w:rsidRPr="00CF3C36">
        <w:rPr>
          <w:lang w:val="en-GB"/>
        </w:rPr>
        <w:t>-level</w:t>
      </w:r>
      <w:r w:rsidR="002E6E55" w:rsidRPr="00CF3C36">
        <w:rPr>
          <w:lang w:val="en-GB"/>
        </w:rPr>
        <w:t xml:space="preserve"> heterogeneity.</w:t>
      </w:r>
      <w:r w:rsidR="00741251" w:rsidRPr="00CF3C36">
        <w:rPr>
          <w:lang w:val="en-GB"/>
        </w:rPr>
        <w:t xml:space="preserve"> </w:t>
      </w:r>
      <w:r w:rsidR="00DB2600" w:rsidRPr="00CF3C36">
        <w:rPr>
          <w:lang w:val="en-GB"/>
        </w:rPr>
        <w:t>The argument that sector and / or firm level heterogeneity will have an influence here</w:t>
      </w:r>
      <w:r w:rsidR="00BE22C3" w:rsidRPr="00CF3C36">
        <w:rPr>
          <w:lang w:val="en-GB"/>
        </w:rPr>
        <w:t>,</w:t>
      </w:r>
      <w:r w:rsidR="00DB2600" w:rsidRPr="00CF3C36">
        <w:rPr>
          <w:lang w:val="en-GB"/>
        </w:rPr>
        <w:t xml:space="preserve"> will be elaborated with an analogy to the Melitz-model. </w:t>
      </w:r>
      <w:r w:rsidR="00E66ED2" w:rsidRPr="00CF3C36">
        <w:rPr>
          <w:lang w:val="en-GB"/>
        </w:rPr>
        <w:t xml:space="preserve">Melitz (2003) uses a dynamic industry model with heterogeneous firms to analyse the effect of international trade on the markets that firms will serve. He describes that when confronted with international trade, heterogeneity among firms in terms of productivity will cause </w:t>
      </w:r>
      <w:r w:rsidR="00BE22C3" w:rsidRPr="00CF3C36">
        <w:rPr>
          <w:lang w:val="en-GB"/>
        </w:rPr>
        <w:t xml:space="preserve">different </w:t>
      </w:r>
      <w:r w:rsidR="00E66ED2" w:rsidRPr="00CF3C36">
        <w:rPr>
          <w:lang w:val="en-GB"/>
        </w:rPr>
        <w:t>firms to serve different markets. Figure 3 shows this relationship. It can be seen that  the least productive firms have to exit the market, firms with a modest productivity will produce for the domestic market, firms with a high productivity will export and only the firms with the highest productivity will become multinationals (Van Marrewijk et al. 2012). This means that all MNE’s have a high productivity level, otherwise they would not have been able to become an MNE.</w:t>
      </w:r>
    </w:p>
    <w:p w14:paraId="0D7CB255" w14:textId="39CB1C10" w:rsidR="008D2DAD" w:rsidRPr="00EF4186" w:rsidRDefault="008D2DAD" w:rsidP="00AB3866">
      <w:pPr>
        <w:pStyle w:val="Heading4"/>
        <w:rPr>
          <w:lang w:val="nl-NL"/>
        </w:rPr>
      </w:pPr>
      <w:bookmarkStart w:id="16" w:name="_Toc15475694"/>
      <w:r w:rsidRPr="00EF4186">
        <w:rPr>
          <w:lang w:val="nl-NL"/>
        </w:rPr>
        <w:t>Figure 3. Melitz-model modes of entry</w:t>
      </w:r>
      <w:r w:rsidR="00293A63" w:rsidRPr="00EF4186">
        <w:rPr>
          <w:lang w:val="nl-NL"/>
        </w:rPr>
        <w:t xml:space="preserve"> (Van Marrewijk et al. 2012)</w:t>
      </w:r>
      <w:bookmarkEnd w:id="16"/>
    </w:p>
    <w:tbl>
      <w:tblPr>
        <w:tblW w:w="4986" w:type="dxa"/>
        <w:jc w:val="center"/>
        <w:tblCellMar>
          <w:left w:w="70" w:type="dxa"/>
          <w:right w:w="70" w:type="dxa"/>
        </w:tblCellMar>
        <w:tblLook w:val="04A0" w:firstRow="1" w:lastRow="0" w:firstColumn="1" w:lastColumn="0" w:noHBand="0" w:noVBand="1"/>
      </w:tblPr>
      <w:tblGrid>
        <w:gridCol w:w="960"/>
        <w:gridCol w:w="1219"/>
        <w:gridCol w:w="940"/>
        <w:gridCol w:w="1677"/>
        <w:gridCol w:w="190"/>
      </w:tblGrid>
      <w:tr w:rsidR="008D2DAD" w:rsidRPr="00CF3C36" w14:paraId="560D8929" w14:textId="77777777" w:rsidTr="00AB3866">
        <w:trPr>
          <w:trHeight w:val="300"/>
          <w:jc w:val="center"/>
        </w:trPr>
        <w:tc>
          <w:tcPr>
            <w:tcW w:w="960" w:type="dxa"/>
            <w:tcBorders>
              <w:top w:val="nil"/>
              <w:left w:val="nil"/>
              <w:bottom w:val="nil"/>
              <w:right w:val="nil"/>
            </w:tcBorders>
            <w:shd w:val="clear" w:color="auto" w:fill="auto"/>
            <w:noWrap/>
            <w:vAlign w:val="bottom"/>
            <w:hideMark/>
          </w:tcPr>
          <w:p w14:paraId="1DD8561F" w14:textId="77777777" w:rsidR="008D2DAD" w:rsidRPr="00EF4186" w:rsidRDefault="008D2DAD" w:rsidP="008D2DAD">
            <w:pPr>
              <w:spacing w:after="0" w:line="240" w:lineRule="auto"/>
              <w:rPr>
                <w:rFonts w:ascii="Times New Roman" w:eastAsia="Times New Roman" w:hAnsi="Times New Roman" w:cs="Times New Roman"/>
                <w:sz w:val="24"/>
                <w:szCs w:val="24"/>
                <w:lang w:eastAsia="nl-NL"/>
              </w:rPr>
            </w:pPr>
          </w:p>
        </w:tc>
        <w:tc>
          <w:tcPr>
            <w:tcW w:w="2159" w:type="dxa"/>
            <w:gridSpan w:val="2"/>
            <w:tcBorders>
              <w:top w:val="nil"/>
              <w:left w:val="nil"/>
              <w:bottom w:val="nil"/>
              <w:right w:val="nil"/>
            </w:tcBorders>
            <w:shd w:val="clear" w:color="auto" w:fill="auto"/>
            <w:noWrap/>
            <w:vAlign w:val="bottom"/>
            <w:hideMark/>
          </w:tcPr>
          <w:p w14:paraId="0F6C9E15" w14:textId="77777777" w:rsidR="008D2DAD" w:rsidRPr="00CF3C36" w:rsidRDefault="008D2DAD" w:rsidP="008D2DAD">
            <w:pPr>
              <w:spacing w:after="0" w:line="240" w:lineRule="auto"/>
              <w:rPr>
                <w:rFonts w:ascii="Calibri" w:eastAsia="Times New Roman" w:hAnsi="Calibri" w:cs="Calibri"/>
                <w:b/>
                <w:color w:val="000000"/>
                <w:lang w:val="en-GB" w:eastAsia="nl-NL"/>
              </w:rPr>
            </w:pPr>
            <w:r w:rsidRPr="00EF4186">
              <w:rPr>
                <w:rFonts w:ascii="Calibri" w:eastAsia="Times New Roman" w:hAnsi="Calibri" w:cs="Calibri"/>
                <w:color w:val="000000"/>
                <w:lang w:eastAsia="nl-NL"/>
              </w:rPr>
              <w:t xml:space="preserve">         </w:t>
            </w:r>
            <w:r w:rsidRPr="00CF3C36">
              <w:rPr>
                <w:rFonts w:ascii="Calibri" w:eastAsia="Times New Roman" w:hAnsi="Calibri" w:cs="Calibri"/>
                <w:b/>
                <w:color w:val="000000"/>
                <w:lang w:val="en-GB" w:eastAsia="nl-NL"/>
              </w:rPr>
              <w:t>Mode of entry</w:t>
            </w:r>
          </w:p>
        </w:tc>
        <w:tc>
          <w:tcPr>
            <w:tcW w:w="1677" w:type="dxa"/>
            <w:tcBorders>
              <w:top w:val="nil"/>
              <w:left w:val="nil"/>
              <w:bottom w:val="nil"/>
              <w:right w:val="nil"/>
            </w:tcBorders>
            <w:shd w:val="clear" w:color="auto" w:fill="auto"/>
            <w:noWrap/>
            <w:vAlign w:val="bottom"/>
            <w:hideMark/>
          </w:tcPr>
          <w:p w14:paraId="54F955A8" w14:textId="77777777" w:rsidR="008D2DAD" w:rsidRPr="00CF3C36" w:rsidRDefault="008D2DAD" w:rsidP="008D2DAD">
            <w:pPr>
              <w:spacing w:after="0" w:line="240" w:lineRule="auto"/>
              <w:rPr>
                <w:rFonts w:ascii="Calibri" w:eastAsia="Times New Roman" w:hAnsi="Calibri" w:cs="Calibri"/>
                <w:color w:val="000000"/>
                <w:lang w:val="en-GB" w:eastAsia="nl-NL"/>
              </w:rPr>
            </w:pPr>
          </w:p>
        </w:tc>
        <w:tc>
          <w:tcPr>
            <w:tcW w:w="190" w:type="dxa"/>
            <w:tcBorders>
              <w:top w:val="nil"/>
              <w:left w:val="nil"/>
              <w:bottom w:val="nil"/>
              <w:right w:val="nil"/>
            </w:tcBorders>
            <w:shd w:val="clear" w:color="auto" w:fill="auto"/>
            <w:noWrap/>
            <w:vAlign w:val="bottom"/>
            <w:hideMark/>
          </w:tcPr>
          <w:p w14:paraId="7C57F98D" w14:textId="77777777" w:rsidR="008D2DAD" w:rsidRPr="00CF3C36" w:rsidRDefault="008D2DAD" w:rsidP="008D2DAD">
            <w:pPr>
              <w:spacing w:after="0" w:line="240" w:lineRule="auto"/>
              <w:rPr>
                <w:rFonts w:ascii="Times New Roman" w:eastAsia="Times New Roman" w:hAnsi="Times New Roman" w:cs="Times New Roman"/>
                <w:sz w:val="20"/>
                <w:szCs w:val="20"/>
                <w:lang w:val="en-GB" w:eastAsia="nl-NL"/>
              </w:rPr>
            </w:pPr>
          </w:p>
        </w:tc>
      </w:tr>
      <w:tr w:rsidR="008D2DAD" w:rsidRPr="00CF3C36" w14:paraId="1773F35E" w14:textId="77777777" w:rsidTr="00AB3866">
        <w:trPr>
          <w:trHeight w:val="300"/>
          <w:jc w:val="center"/>
        </w:trPr>
        <w:tc>
          <w:tcPr>
            <w:tcW w:w="960" w:type="dxa"/>
            <w:tcBorders>
              <w:top w:val="nil"/>
              <w:left w:val="nil"/>
              <w:bottom w:val="nil"/>
              <w:right w:val="nil"/>
            </w:tcBorders>
            <w:shd w:val="clear" w:color="auto" w:fill="auto"/>
            <w:noWrap/>
            <w:vAlign w:val="bottom"/>
            <w:hideMark/>
          </w:tcPr>
          <w:p w14:paraId="6053DC4F" w14:textId="77777777" w:rsidR="008D2DAD" w:rsidRPr="00CF3C36" w:rsidRDefault="008D2DAD" w:rsidP="008D2DAD">
            <w:pPr>
              <w:spacing w:after="0" w:line="240" w:lineRule="auto"/>
              <w:rPr>
                <w:rFonts w:ascii="Times New Roman" w:eastAsia="Times New Roman" w:hAnsi="Times New Roman" w:cs="Times New Roman"/>
                <w:sz w:val="20"/>
                <w:szCs w:val="20"/>
                <w:lang w:val="en-GB" w:eastAsia="nl-NL"/>
              </w:rPr>
            </w:pPr>
          </w:p>
        </w:tc>
        <w:tc>
          <w:tcPr>
            <w:tcW w:w="1219" w:type="dxa"/>
            <w:tcBorders>
              <w:top w:val="nil"/>
              <w:left w:val="nil"/>
              <w:bottom w:val="nil"/>
              <w:right w:val="nil"/>
            </w:tcBorders>
            <w:shd w:val="clear" w:color="auto" w:fill="auto"/>
            <w:noWrap/>
            <w:vAlign w:val="bottom"/>
            <w:hideMark/>
          </w:tcPr>
          <w:p w14:paraId="0C37AA8E" w14:textId="77777777" w:rsidR="008D2DAD" w:rsidRPr="00CF3C36" w:rsidRDefault="008D2DAD" w:rsidP="008D2DAD">
            <w:pPr>
              <w:spacing w:after="0" w:line="240" w:lineRule="auto"/>
              <w:rPr>
                <w:rFonts w:ascii="Times New Roman" w:eastAsia="Times New Roman" w:hAnsi="Times New Roman" w:cs="Times New Roman"/>
                <w:sz w:val="20"/>
                <w:szCs w:val="20"/>
                <w:lang w:val="en-GB" w:eastAsia="nl-NL"/>
              </w:rPr>
            </w:pPr>
          </w:p>
        </w:tc>
        <w:tc>
          <w:tcPr>
            <w:tcW w:w="940" w:type="dxa"/>
            <w:tcBorders>
              <w:top w:val="nil"/>
              <w:left w:val="nil"/>
              <w:bottom w:val="nil"/>
              <w:right w:val="nil"/>
            </w:tcBorders>
            <w:shd w:val="clear" w:color="auto" w:fill="auto"/>
            <w:noWrap/>
            <w:vAlign w:val="bottom"/>
            <w:hideMark/>
          </w:tcPr>
          <w:p w14:paraId="4E96B39F" w14:textId="77777777" w:rsidR="008D2DAD" w:rsidRPr="00CF3C36" w:rsidRDefault="008D2DAD" w:rsidP="008D2DAD">
            <w:pPr>
              <w:spacing w:after="0" w:line="240" w:lineRule="auto"/>
              <w:rPr>
                <w:rFonts w:ascii="Times New Roman" w:eastAsia="Times New Roman" w:hAnsi="Times New Roman" w:cs="Times New Roman"/>
                <w:sz w:val="20"/>
                <w:szCs w:val="20"/>
                <w:lang w:val="en-GB" w:eastAsia="nl-NL"/>
              </w:rPr>
            </w:pPr>
          </w:p>
        </w:tc>
        <w:tc>
          <w:tcPr>
            <w:tcW w:w="1677" w:type="dxa"/>
            <w:tcBorders>
              <w:top w:val="nil"/>
              <w:left w:val="nil"/>
              <w:bottom w:val="nil"/>
              <w:right w:val="nil"/>
            </w:tcBorders>
            <w:shd w:val="clear" w:color="auto" w:fill="auto"/>
            <w:noWrap/>
            <w:vAlign w:val="bottom"/>
            <w:hideMark/>
          </w:tcPr>
          <w:p w14:paraId="0675B0C9" w14:textId="77777777" w:rsidR="008D2DAD" w:rsidRPr="00CF3C36" w:rsidRDefault="008D2DAD" w:rsidP="008D2DAD">
            <w:pPr>
              <w:spacing w:after="0" w:line="240" w:lineRule="auto"/>
              <w:rPr>
                <w:rFonts w:ascii="Times New Roman" w:eastAsia="Times New Roman" w:hAnsi="Times New Roman" w:cs="Times New Roman"/>
                <w:sz w:val="20"/>
                <w:szCs w:val="20"/>
                <w:lang w:val="en-GB" w:eastAsia="nl-NL"/>
              </w:rPr>
            </w:pPr>
          </w:p>
        </w:tc>
        <w:tc>
          <w:tcPr>
            <w:tcW w:w="190" w:type="dxa"/>
            <w:tcBorders>
              <w:top w:val="nil"/>
              <w:left w:val="nil"/>
              <w:bottom w:val="nil"/>
              <w:right w:val="nil"/>
            </w:tcBorders>
            <w:shd w:val="clear" w:color="auto" w:fill="auto"/>
            <w:noWrap/>
            <w:vAlign w:val="bottom"/>
            <w:hideMark/>
          </w:tcPr>
          <w:p w14:paraId="6C0BB036" w14:textId="77777777" w:rsidR="008D2DAD" w:rsidRPr="00CF3C36" w:rsidRDefault="008D2DAD" w:rsidP="008D2DAD">
            <w:pPr>
              <w:spacing w:after="0" w:line="240" w:lineRule="auto"/>
              <w:rPr>
                <w:rFonts w:ascii="Times New Roman" w:eastAsia="Times New Roman" w:hAnsi="Times New Roman" w:cs="Times New Roman"/>
                <w:sz w:val="20"/>
                <w:szCs w:val="20"/>
                <w:lang w:val="en-GB" w:eastAsia="nl-NL"/>
              </w:rPr>
            </w:pPr>
          </w:p>
        </w:tc>
      </w:tr>
      <w:tr w:rsidR="008D2DAD" w:rsidRPr="00CF3C36" w14:paraId="4475BFB3" w14:textId="77777777" w:rsidTr="00AB3866">
        <w:trPr>
          <w:trHeight w:val="315"/>
          <w:jc w:val="center"/>
        </w:trPr>
        <w:tc>
          <w:tcPr>
            <w:tcW w:w="960" w:type="dxa"/>
            <w:tcBorders>
              <w:top w:val="nil"/>
              <w:left w:val="nil"/>
              <w:bottom w:val="nil"/>
              <w:right w:val="nil"/>
            </w:tcBorders>
            <w:shd w:val="clear" w:color="auto" w:fill="auto"/>
            <w:noWrap/>
            <w:vAlign w:val="bottom"/>
            <w:hideMark/>
          </w:tcPr>
          <w:p w14:paraId="564C186A" w14:textId="77777777" w:rsidR="008D2DAD" w:rsidRPr="00CF3C36" w:rsidRDefault="008D2DAD" w:rsidP="008D2DAD">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Exit</w:t>
            </w:r>
          </w:p>
        </w:tc>
        <w:tc>
          <w:tcPr>
            <w:tcW w:w="1219" w:type="dxa"/>
            <w:tcBorders>
              <w:top w:val="nil"/>
              <w:left w:val="single" w:sz="12" w:space="0" w:color="auto"/>
              <w:bottom w:val="nil"/>
              <w:right w:val="single" w:sz="12" w:space="0" w:color="auto"/>
            </w:tcBorders>
            <w:shd w:val="clear" w:color="auto" w:fill="auto"/>
            <w:noWrap/>
            <w:vAlign w:val="bottom"/>
            <w:hideMark/>
          </w:tcPr>
          <w:p w14:paraId="40518E59" w14:textId="77777777" w:rsidR="008D2DAD" w:rsidRPr="00CF3C36" w:rsidRDefault="008D2DAD" w:rsidP="008D2DAD">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Domestic</w:t>
            </w:r>
          </w:p>
        </w:tc>
        <w:tc>
          <w:tcPr>
            <w:tcW w:w="940" w:type="dxa"/>
            <w:tcBorders>
              <w:top w:val="nil"/>
              <w:left w:val="nil"/>
              <w:bottom w:val="nil"/>
              <w:right w:val="single" w:sz="12" w:space="0" w:color="auto"/>
            </w:tcBorders>
            <w:shd w:val="clear" w:color="auto" w:fill="auto"/>
            <w:noWrap/>
            <w:vAlign w:val="bottom"/>
            <w:hideMark/>
          </w:tcPr>
          <w:p w14:paraId="13CEBF21" w14:textId="77777777" w:rsidR="008D2DAD" w:rsidRPr="00CF3C36" w:rsidRDefault="008D2DAD" w:rsidP="008D2DAD">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Export</w:t>
            </w:r>
          </w:p>
        </w:tc>
        <w:tc>
          <w:tcPr>
            <w:tcW w:w="1867" w:type="dxa"/>
            <w:gridSpan w:val="2"/>
            <w:tcBorders>
              <w:top w:val="nil"/>
              <w:left w:val="nil"/>
              <w:bottom w:val="nil"/>
              <w:right w:val="nil"/>
            </w:tcBorders>
            <w:shd w:val="clear" w:color="auto" w:fill="auto"/>
            <w:noWrap/>
            <w:vAlign w:val="bottom"/>
            <w:hideMark/>
          </w:tcPr>
          <w:p w14:paraId="7D8723CF" w14:textId="5F3F7997" w:rsidR="008D2DAD" w:rsidRPr="00CF3C36" w:rsidRDefault="008D2DAD" w:rsidP="008D2DAD">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FDI Multinational</w:t>
            </w:r>
          </w:p>
        </w:tc>
      </w:tr>
      <w:tr w:rsidR="008D2DAD" w:rsidRPr="00CF3C36" w14:paraId="7079087C" w14:textId="77777777" w:rsidTr="00AB3866">
        <w:trPr>
          <w:trHeight w:val="315"/>
          <w:jc w:val="center"/>
        </w:trPr>
        <w:tc>
          <w:tcPr>
            <w:tcW w:w="960" w:type="dxa"/>
            <w:tcBorders>
              <w:top w:val="single" w:sz="12" w:space="0" w:color="auto"/>
              <w:left w:val="nil"/>
              <w:bottom w:val="nil"/>
              <w:right w:val="nil"/>
            </w:tcBorders>
            <w:shd w:val="clear" w:color="auto" w:fill="auto"/>
            <w:noWrap/>
            <w:vAlign w:val="bottom"/>
            <w:hideMark/>
          </w:tcPr>
          <w:p w14:paraId="74480779" w14:textId="77777777" w:rsidR="008D2DAD" w:rsidRPr="00CF3C36" w:rsidRDefault="008D2DAD" w:rsidP="008D2DAD">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low</w:t>
            </w:r>
          </w:p>
        </w:tc>
        <w:tc>
          <w:tcPr>
            <w:tcW w:w="1219" w:type="dxa"/>
            <w:tcBorders>
              <w:top w:val="single" w:sz="12" w:space="0" w:color="auto"/>
              <w:left w:val="single" w:sz="12" w:space="0" w:color="auto"/>
              <w:bottom w:val="nil"/>
              <w:right w:val="single" w:sz="12" w:space="0" w:color="auto"/>
            </w:tcBorders>
            <w:shd w:val="clear" w:color="auto" w:fill="auto"/>
            <w:noWrap/>
            <w:vAlign w:val="bottom"/>
            <w:hideMark/>
          </w:tcPr>
          <w:p w14:paraId="0A5397CF" w14:textId="77777777" w:rsidR="008D2DAD" w:rsidRPr="00CF3C36" w:rsidRDefault="008D2DAD" w:rsidP="008D2DAD">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modest</w:t>
            </w:r>
          </w:p>
        </w:tc>
        <w:tc>
          <w:tcPr>
            <w:tcW w:w="940" w:type="dxa"/>
            <w:tcBorders>
              <w:top w:val="single" w:sz="12" w:space="0" w:color="auto"/>
              <w:left w:val="nil"/>
              <w:bottom w:val="nil"/>
              <w:right w:val="single" w:sz="12" w:space="0" w:color="auto"/>
            </w:tcBorders>
            <w:shd w:val="clear" w:color="auto" w:fill="auto"/>
            <w:noWrap/>
            <w:vAlign w:val="bottom"/>
            <w:hideMark/>
          </w:tcPr>
          <w:p w14:paraId="43F39493" w14:textId="77777777" w:rsidR="008D2DAD" w:rsidRPr="00CF3C36" w:rsidRDefault="008D2DAD" w:rsidP="008D2DAD">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high</w:t>
            </w:r>
          </w:p>
        </w:tc>
        <w:tc>
          <w:tcPr>
            <w:tcW w:w="1677" w:type="dxa"/>
            <w:tcBorders>
              <w:top w:val="single" w:sz="12" w:space="0" w:color="auto"/>
              <w:left w:val="nil"/>
              <w:bottom w:val="nil"/>
              <w:right w:val="nil"/>
            </w:tcBorders>
            <w:shd w:val="clear" w:color="auto" w:fill="auto"/>
            <w:noWrap/>
            <w:vAlign w:val="bottom"/>
            <w:hideMark/>
          </w:tcPr>
          <w:p w14:paraId="7297A3F7" w14:textId="09CDB199" w:rsidR="008D2DAD" w:rsidRPr="00CF3C36" w:rsidRDefault="008D2DAD" w:rsidP="008D2DAD">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very high</w:t>
            </w:r>
          </w:p>
        </w:tc>
        <w:tc>
          <w:tcPr>
            <w:tcW w:w="190" w:type="dxa"/>
            <w:tcBorders>
              <w:top w:val="single" w:sz="12" w:space="0" w:color="auto"/>
              <w:left w:val="nil"/>
              <w:bottom w:val="nil"/>
              <w:right w:val="nil"/>
            </w:tcBorders>
            <w:shd w:val="clear" w:color="auto" w:fill="auto"/>
            <w:noWrap/>
            <w:vAlign w:val="bottom"/>
            <w:hideMark/>
          </w:tcPr>
          <w:p w14:paraId="3E7A2F65" w14:textId="670F3CFA" w:rsidR="008D2DAD" w:rsidRPr="00CF3C36" w:rsidRDefault="008D2DAD" w:rsidP="008D2DAD">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r>
      <w:tr w:rsidR="008D2DAD" w:rsidRPr="00CF3C36" w14:paraId="4799CE36" w14:textId="77777777" w:rsidTr="00AB3866">
        <w:trPr>
          <w:trHeight w:val="300"/>
          <w:jc w:val="center"/>
        </w:trPr>
        <w:tc>
          <w:tcPr>
            <w:tcW w:w="960" w:type="dxa"/>
            <w:tcBorders>
              <w:top w:val="nil"/>
              <w:left w:val="nil"/>
              <w:bottom w:val="nil"/>
              <w:right w:val="nil"/>
            </w:tcBorders>
            <w:shd w:val="clear" w:color="auto" w:fill="auto"/>
            <w:noWrap/>
            <w:vAlign w:val="bottom"/>
            <w:hideMark/>
          </w:tcPr>
          <w:p w14:paraId="6E47723B" w14:textId="77777777" w:rsidR="008D2DAD" w:rsidRPr="00CF3C36" w:rsidRDefault="008D2DAD" w:rsidP="008D2DAD">
            <w:pPr>
              <w:spacing w:after="0" w:line="240" w:lineRule="auto"/>
              <w:rPr>
                <w:rFonts w:ascii="Calibri" w:eastAsia="Times New Roman" w:hAnsi="Calibri" w:cs="Calibri"/>
                <w:color w:val="000000"/>
                <w:lang w:val="en-GB" w:eastAsia="nl-NL"/>
              </w:rPr>
            </w:pPr>
          </w:p>
        </w:tc>
        <w:tc>
          <w:tcPr>
            <w:tcW w:w="1219" w:type="dxa"/>
            <w:tcBorders>
              <w:top w:val="nil"/>
              <w:left w:val="nil"/>
              <w:bottom w:val="nil"/>
              <w:right w:val="nil"/>
            </w:tcBorders>
            <w:shd w:val="clear" w:color="auto" w:fill="auto"/>
            <w:noWrap/>
            <w:vAlign w:val="bottom"/>
            <w:hideMark/>
          </w:tcPr>
          <w:p w14:paraId="45F644EF" w14:textId="77777777" w:rsidR="008D2DAD" w:rsidRPr="00CF3C36" w:rsidRDefault="008D2DAD" w:rsidP="008D2DAD">
            <w:pPr>
              <w:spacing w:after="0" w:line="240" w:lineRule="auto"/>
              <w:rPr>
                <w:rFonts w:ascii="Times New Roman" w:eastAsia="Times New Roman" w:hAnsi="Times New Roman" w:cs="Times New Roman"/>
                <w:sz w:val="20"/>
                <w:szCs w:val="20"/>
                <w:lang w:val="en-GB" w:eastAsia="nl-NL"/>
              </w:rPr>
            </w:pPr>
          </w:p>
        </w:tc>
        <w:tc>
          <w:tcPr>
            <w:tcW w:w="940" w:type="dxa"/>
            <w:tcBorders>
              <w:top w:val="nil"/>
              <w:left w:val="nil"/>
              <w:bottom w:val="nil"/>
              <w:right w:val="nil"/>
            </w:tcBorders>
            <w:shd w:val="clear" w:color="auto" w:fill="auto"/>
            <w:noWrap/>
            <w:vAlign w:val="bottom"/>
            <w:hideMark/>
          </w:tcPr>
          <w:p w14:paraId="13BF5646" w14:textId="77777777" w:rsidR="008D2DAD" w:rsidRPr="00CF3C36" w:rsidRDefault="008D2DAD" w:rsidP="008D2DAD">
            <w:pPr>
              <w:spacing w:after="0" w:line="240" w:lineRule="auto"/>
              <w:rPr>
                <w:rFonts w:ascii="Times New Roman" w:eastAsia="Times New Roman" w:hAnsi="Times New Roman" w:cs="Times New Roman"/>
                <w:sz w:val="20"/>
                <w:szCs w:val="20"/>
                <w:lang w:val="en-GB" w:eastAsia="nl-NL"/>
              </w:rPr>
            </w:pPr>
          </w:p>
        </w:tc>
        <w:tc>
          <w:tcPr>
            <w:tcW w:w="1677" w:type="dxa"/>
            <w:tcBorders>
              <w:top w:val="nil"/>
              <w:left w:val="nil"/>
              <w:bottom w:val="nil"/>
              <w:right w:val="nil"/>
            </w:tcBorders>
            <w:shd w:val="clear" w:color="auto" w:fill="auto"/>
            <w:noWrap/>
            <w:vAlign w:val="bottom"/>
            <w:hideMark/>
          </w:tcPr>
          <w:p w14:paraId="2E5D7FEA" w14:textId="77777777" w:rsidR="008D2DAD" w:rsidRPr="00CF3C36" w:rsidRDefault="008D2DAD" w:rsidP="008D2DAD">
            <w:pPr>
              <w:spacing w:after="0" w:line="240" w:lineRule="auto"/>
              <w:rPr>
                <w:rFonts w:ascii="Times New Roman" w:eastAsia="Times New Roman" w:hAnsi="Times New Roman" w:cs="Times New Roman"/>
                <w:sz w:val="20"/>
                <w:szCs w:val="20"/>
                <w:lang w:val="en-GB" w:eastAsia="nl-NL"/>
              </w:rPr>
            </w:pPr>
          </w:p>
        </w:tc>
        <w:tc>
          <w:tcPr>
            <w:tcW w:w="190" w:type="dxa"/>
            <w:tcBorders>
              <w:top w:val="nil"/>
              <w:left w:val="nil"/>
              <w:bottom w:val="nil"/>
              <w:right w:val="nil"/>
            </w:tcBorders>
            <w:shd w:val="clear" w:color="auto" w:fill="auto"/>
            <w:noWrap/>
            <w:vAlign w:val="bottom"/>
            <w:hideMark/>
          </w:tcPr>
          <w:p w14:paraId="54010E98" w14:textId="77777777" w:rsidR="008D2DAD" w:rsidRPr="00CF3C36" w:rsidRDefault="008D2DAD" w:rsidP="008D2DAD">
            <w:pPr>
              <w:spacing w:after="0" w:line="240" w:lineRule="auto"/>
              <w:rPr>
                <w:rFonts w:ascii="Times New Roman" w:eastAsia="Times New Roman" w:hAnsi="Times New Roman" w:cs="Times New Roman"/>
                <w:sz w:val="20"/>
                <w:szCs w:val="20"/>
                <w:lang w:val="en-GB" w:eastAsia="nl-NL"/>
              </w:rPr>
            </w:pPr>
          </w:p>
        </w:tc>
      </w:tr>
      <w:tr w:rsidR="008D2DAD" w:rsidRPr="00CF3C36" w14:paraId="044707C4" w14:textId="77777777" w:rsidTr="00AB3866">
        <w:trPr>
          <w:trHeight w:val="300"/>
          <w:jc w:val="center"/>
        </w:trPr>
        <w:tc>
          <w:tcPr>
            <w:tcW w:w="960" w:type="dxa"/>
            <w:tcBorders>
              <w:top w:val="nil"/>
              <w:left w:val="nil"/>
              <w:bottom w:val="nil"/>
              <w:right w:val="nil"/>
            </w:tcBorders>
            <w:shd w:val="clear" w:color="auto" w:fill="auto"/>
            <w:noWrap/>
            <w:vAlign w:val="bottom"/>
            <w:hideMark/>
          </w:tcPr>
          <w:p w14:paraId="7288C428" w14:textId="77777777" w:rsidR="008D2DAD" w:rsidRPr="00CF3C36" w:rsidRDefault="008D2DAD" w:rsidP="008D2DAD">
            <w:pPr>
              <w:spacing w:after="0" w:line="240" w:lineRule="auto"/>
              <w:rPr>
                <w:rFonts w:ascii="Times New Roman" w:eastAsia="Times New Roman" w:hAnsi="Times New Roman" w:cs="Times New Roman"/>
                <w:sz w:val="20"/>
                <w:szCs w:val="20"/>
                <w:lang w:val="en-GB" w:eastAsia="nl-NL"/>
              </w:rPr>
            </w:pPr>
          </w:p>
        </w:tc>
        <w:tc>
          <w:tcPr>
            <w:tcW w:w="2159" w:type="dxa"/>
            <w:gridSpan w:val="2"/>
            <w:tcBorders>
              <w:top w:val="nil"/>
              <w:left w:val="nil"/>
              <w:bottom w:val="nil"/>
              <w:right w:val="nil"/>
            </w:tcBorders>
            <w:shd w:val="clear" w:color="auto" w:fill="auto"/>
            <w:noWrap/>
            <w:vAlign w:val="bottom"/>
            <w:hideMark/>
          </w:tcPr>
          <w:p w14:paraId="03DA2ADF" w14:textId="77777777" w:rsidR="008D2DAD" w:rsidRPr="00CF3C36" w:rsidRDefault="008D2DAD" w:rsidP="008D2DAD">
            <w:pPr>
              <w:spacing w:after="0" w:line="240" w:lineRule="auto"/>
              <w:rPr>
                <w:rFonts w:ascii="Calibri" w:eastAsia="Times New Roman" w:hAnsi="Calibri" w:cs="Calibri"/>
                <w:b/>
                <w:color w:val="000000"/>
                <w:lang w:val="en-GB" w:eastAsia="nl-NL"/>
              </w:rPr>
            </w:pPr>
            <w:r w:rsidRPr="00CF3C36">
              <w:rPr>
                <w:rFonts w:ascii="Calibri" w:eastAsia="Times New Roman" w:hAnsi="Calibri" w:cs="Calibri"/>
                <w:color w:val="000000"/>
                <w:lang w:val="en-GB" w:eastAsia="nl-NL"/>
              </w:rPr>
              <w:t xml:space="preserve">        </w:t>
            </w:r>
            <w:r w:rsidRPr="00CF3C36">
              <w:rPr>
                <w:rFonts w:ascii="Calibri" w:eastAsia="Times New Roman" w:hAnsi="Calibri" w:cs="Calibri"/>
                <w:b/>
                <w:color w:val="000000"/>
                <w:lang w:val="en-GB" w:eastAsia="nl-NL"/>
              </w:rPr>
              <w:t>Firm productivity</w:t>
            </w:r>
          </w:p>
        </w:tc>
        <w:tc>
          <w:tcPr>
            <w:tcW w:w="1677" w:type="dxa"/>
            <w:tcBorders>
              <w:top w:val="nil"/>
              <w:left w:val="nil"/>
              <w:bottom w:val="nil"/>
              <w:right w:val="nil"/>
            </w:tcBorders>
            <w:shd w:val="clear" w:color="auto" w:fill="auto"/>
            <w:noWrap/>
            <w:vAlign w:val="bottom"/>
            <w:hideMark/>
          </w:tcPr>
          <w:p w14:paraId="63AB55B2" w14:textId="77777777" w:rsidR="008D2DAD" w:rsidRPr="00CF3C36" w:rsidRDefault="008D2DAD" w:rsidP="008D2DAD">
            <w:pPr>
              <w:spacing w:after="0" w:line="240" w:lineRule="auto"/>
              <w:rPr>
                <w:rFonts w:ascii="Calibri" w:eastAsia="Times New Roman" w:hAnsi="Calibri" w:cs="Calibri"/>
                <w:color w:val="000000"/>
                <w:lang w:val="en-GB" w:eastAsia="nl-NL"/>
              </w:rPr>
            </w:pPr>
          </w:p>
        </w:tc>
        <w:tc>
          <w:tcPr>
            <w:tcW w:w="190" w:type="dxa"/>
            <w:tcBorders>
              <w:top w:val="nil"/>
              <w:left w:val="nil"/>
              <w:bottom w:val="nil"/>
              <w:right w:val="nil"/>
            </w:tcBorders>
            <w:shd w:val="clear" w:color="auto" w:fill="auto"/>
            <w:noWrap/>
            <w:vAlign w:val="bottom"/>
            <w:hideMark/>
          </w:tcPr>
          <w:p w14:paraId="3F037FB5" w14:textId="77777777" w:rsidR="008D2DAD" w:rsidRPr="00CF3C36" w:rsidRDefault="008D2DAD" w:rsidP="008D2DAD">
            <w:pPr>
              <w:spacing w:after="0" w:line="240" w:lineRule="auto"/>
              <w:rPr>
                <w:rFonts w:ascii="Times New Roman" w:eastAsia="Times New Roman" w:hAnsi="Times New Roman" w:cs="Times New Roman"/>
                <w:sz w:val="20"/>
                <w:szCs w:val="20"/>
                <w:lang w:val="en-GB" w:eastAsia="nl-NL"/>
              </w:rPr>
            </w:pPr>
          </w:p>
        </w:tc>
      </w:tr>
    </w:tbl>
    <w:p w14:paraId="786BC89E" w14:textId="231C623B" w:rsidR="008D2DAD" w:rsidRPr="00CF3C36" w:rsidRDefault="008D2DAD" w:rsidP="0049437C">
      <w:pPr>
        <w:spacing w:after="0" w:line="360" w:lineRule="auto"/>
        <w:jc w:val="both"/>
        <w:rPr>
          <w:lang w:val="en-GB"/>
        </w:rPr>
      </w:pPr>
      <w:r w:rsidRPr="00CF3C36">
        <w:rPr>
          <w:rFonts w:ascii="Calibri" w:eastAsia="Times New Roman" w:hAnsi="Calibri" w:cs="Calibri"/>
          <w:noProof/>
          <w:color w:val="000000"/>
          <w:lang w:eastAsia="nl-NL"/>
        </w:rPr>
        <mc:AlternateContent>
          <mc:Choice Requires="wps">
            <w:drawing>
              <wp:anchor distT="0" distB="0" distL="114300" distR="114300" simplePos="0" relativeHeight="251663360" behindDoc="0" locked="0" layoutInCell="1" allowOverlap="1" wp14:anchorId="2B0DBE36" wp14:editId="21B77FFA">
                <wp:simplePos x="0" y="0"/>
                <wp:positionH relativeFrom="column">
                  <wp:posOffset>3122295</wp:posOffset>
                </wp:positionH>
                <wp:positionV relativeFrom="paragraph">
                  <wp:posOffset>-594360</wp:posOffset>
                </wp:positionV>
                <wp:extent cx="114935" cy="4445"/>
                <wp:effectExtent l="0" t="76200" r="18415" b="90805"/>
                <wp:wrapNone/>
                <wp:docPr id="16" name="Straight Arrow Connector 16"/>
                <wp:cNvGraphicFramePr/>
                <a:graphic xmlns:a="http://schemas.openxmlformats.org/drawingml/2006/main">
                  <a:graphicData uri="http://schemas.microsoft.com/office/word/2010/wordprocessingShape">
                    <wps:wsp>
                      <wps:cNvCnPr/>
                      <wps:spPr>
                        <a:xfrm flipV="1">
                          <a:off x="0" y="0"/>
                          <a:ext cx="114935" cy="4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48012FF" id="_x0000_t32" coordsize="21600,21600" o:spt="32" o:oned="t" path="m,l21600,21600e" filled="f">
                <v:path arrowok="t" fillok="f" o:connecttype="none"/>
                <o:lock v:ext="edit" shapetype="t"/>
              </v:shapetype>
              <v:shape id="Straight Arrow Connector 16" o:spid="_x0000_s1026" type="#_x0000_t32" style="position:absolute;margin-left:245.85pt;margin-top:-46.8pt;width:9.05pt;height:.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" strokecolor="black [3200]" strokeweight=".5pt">
                <v:stroke endarrow="block" joinstyle="miter"/>
              </v:shape>
            </w:pict>
          </mc:Fallback>
        </mc:AlternateContent>
      </w:r>
    </w:p>
    <w:p w14:paraId="3EC6817D" w14:textId="295FF155" w:rsidR="00AB3F9C" w:rsidRPr="00CF3C36" w:rsidRDefault="00AB3F9C" w:rsidP="0049437C">
      <w:pPr>
        <w:spacing w:after="0" w:line="360" w:lineRule="auto"/>
        <w:jc w:val="both"/>
        <w:rPr>
          <w:lang w:val="en-GB"/>
        </w:rPr>
      </w:pPr>
      <w:r w:rsidRPr="00CF3C36">
        <w:rPr>
          <w:lang w:val="en-GB"/>
        </w:rPr>
        <w:t xml:space="preserve">More relevant to this thesis, however, is the heterogeneity in terms of </w:t>
      </w:r>
      <w:r w:rsidR="00E66ED2" w:rsidRPr="00CF3C36">
        <w:rPr>
          <w:lang w:val="en-GB"/>
        </w:rPr>
        <w:t>environmental</w:t>
      </w:r>
      <w:r w:rsidRPr="00CF3C36">
        <w:rPr>
          <w:lang w:val="en-GB"/>
        </w:rPr>
        <w:t xml:space="preserve"> capabilities instead of productivity. </w:t>
      </w:r>
      <w:r w:rsidR="00533BEE" w:rsidRPr="00CF3C36">
        <w:rPr>
          <w:lang w:val="en-GB"/>
        </w:rPr>
        <w:t>Just as productivity is a continuum in the Melitz-model</w:t>
      </w:r>
      <w:r w:rsidR="00BE22C3" w:rsidRPr="00CF3C36">
        <w:rPr>
          <w:lang w:val="en-GB"/>
        </w:rPr>
        <w:t>, this thesis</w:t>
      </w:r>
      <w:r w:rsidR="00533BEE" w:rsidRPr="00CF3C36">
        <w:rPr>
          <w:lang w:val="en-GB"/>
        </w:rPr>
        <w:t xml:space="preserve"> </w:t>
      </w:r>
      <w:r w:rsidR="00BE22C3" w:rsidRPr="00CF3C36">
        <w:rPr>
          <w:lang w:val="en-GB"/>
        </w:rPr>
        <w:t>proposes</w:t>
      </w:r>
      <w:r w:rsidR="00533BEE" w:rsidRPr="00CF3C36">
        <w:rPr>
          <w:lang w:val="en-GB"/>
        </w:rPr>
        <w:t xml:space="preserve"> that the level of </w:t>
      </w:r>
      <w:r w:rsidR="00E66ED2" w:rsidRPr="00CF3C36">
        <w:rPr>
          <w:lang w:val="en-GB"/>
        </w:rPr>
        <w:t>environmental</w:t>
      </w:r>
      <w:r w:rsidR="00533BEE" w:rsidRPr="00CF3C36">
        <w:rPr>
          <w:lang w:val="en-GB"/>
        </w:rPr>
        <w:t xml:space="preserve"> capabilities of a firm is also a continuum. </w:t>
      </w:r>
      <w:r w:rsidR="00084F00" w:rsidRPr="00CF3C36">
        <w:rPr>
          <w:lang w:val="en-GB"/>
        </w:rPr>
        <w:t xml:space="preserve">This level of </w:t>
      </w:r>
      <w:r w:rsidR="00E66ED2" w:rsidRPr="00CF3C36">
        <w:rPr>
          <w:lang w:val="en-GB"/>
        </w:rPr>
        <w:t>environmental</w:t>
      </w:r>
      <w:r w:rsidR="00084F00" w:rsidRPr="00CF3C36">
        <w:rPr>
          <w:lang w:val="en-GB"/>
        </w:rPr>
        <w:t xml:space="preserve"> capabilities will influence the competitive advantage that a firm has in a certain country depending on the environmental regulation in that country</w:t>
      </w:r>
      <w:r w:rsidR="00E66ED2" w:rsidRPr="00CF3C36">
        <w:rPr>
          <w:lang w:val="en-GB"/>
        </w:rPr>
        <w:t xml:space="preserve">. Stringent environmental regulation will entail higher costs for firms with less environmental capabilities, as compared to firms with more environmental capabilities. </w:t>
      </w:r>
      <w:r w:rsidR="005708C0" w:rsidRPr="00CF3C36">
        <w:rPr>
          <w:lang w:val="en-GB"/>
        </w:rPr>
        <w:t xml:space="preserve">The opposite might also be true, because a firm with a high level of </w:t>
      </w:r>
      <w:r w:rsidR="00E66ED2" w:rsidRPr="00CF3C36">
        <w:rPr>
          <w:lang w:val="en-GB"/>
        </w:rPr>
        <w:t>environmental</w:t>
      </w:r>
      <w:r w:rsidR="005708C0" w:rsidRPr="00CF3C36">
        <w:rPr>
          <w:lang w:val="en-GB"/>
        </w:rPr>
        <w:t xml:space="preserve"> capabilities will usually uphold these capabilities even if it enters a country with lax environmental </w:t>
      </w:r>
      <w:r w:rsidR="005708C0" w:rsidRPr="00CF3C36">
        <w:rPr>
          <w:lang w:val="en-GB"/>
        </w:rPr>
        <w:lastRenderedPageBreak/>
        <w:t xml:space="preserve">regulations. As these </w:t>
      </w:r>
      <w:r w:rsidR="00E66ED2" w:rsidRPr="00CF3C36">
        <w:rPr>
          <w:lang w:val="en-GB"/>
        </w:rPr>
        <w:t>environmental</w:t>
      </w:r>
      <w:r w:rsidR="005708C0" w:rsidRPr="00CF3C36">
        <w:rPr>
          <w:lang w:val="en-GB"/>
        </w:rPr>
        <w:t xml:space="preserve"> capabilities </w:t>
      </w:r>
      <w:r w:rsidR="00531948" w:rsidRPr="00CF3C36">
        <w:rPr>
          <w:lang w:val="en-GB"/>
        </w:rPr>
        <w:t xml:space="preserve">are </w:t>
      </w:r>
      <w:r w:rsidR="005708C0" w:rsidRPr="00CF3C36">
        <w:rPr>
          <w:lang w:val="en-GB"/>
        </w:rPr>
        <w:t xml:space="preserve">usually </w:t>
      </w:r>
      <w:r w:rsidR="00531948" w:rsidRPr="00CF3C36">
        <w:rPr>
          <w:lang w:val="en-GB"/>
        </w:rPr>
        <w:t xml:space="preserve">associated with higher costs, this will decrease the competitive advantage of this firm. </w:t>
      </w:r>
      <w:r w:rsidR="00DF0301" w:rsidRPr="00CF3C36">
        <w:rPr>
          <w:lang w:val="en-GB"/>
        </w:rPr>
        <w:t xml:space="preserve">This will cause firms with a high level of </w:t>
      </w:r>
      <w:r w:rsidR="00BE22C3" w:rsidRPr="00CF3C36">
        <w:rPr>
          <w:lang w:val="en-GB"/>
        </w:rPr>
        <w:t>environmental</w:t>
      </w:r>
      <w:r w:rsidR="00DF0301" w:rsidRPr="00CF3C36">
        <w:rPr>
          <w:lang w:val="en-GB"/>
        </w:rPr>
        <w:t xml:space="preserve"> capabilities to be attracted to countries with stringent environmental policy and vice versa. </w:t>
      </w:r>
      <w:r w:rsidR="00BE22C3" w:rsidRPr="00CF3C36">
        <w:rPr>
          <w:lang w:val="en-GB"/>
        </w:rPr>
        <w:t>This is visualized in F</w:t>
      </w:r>
      <w:r w:rsidR="001563FE" w:rsidRPr="00CF3C36">
        <w:rPr>
          <w:lang w:val="en-GB"/>
        </w:rPr>
        <w:t xml:space="preserve">igure 4. </w:t>
      </w:r>
    </w:p>
    <w:p w14:paraId="24728014" w14:textId="4D76B26A" w:rsidR="00EC3399" w:rsidRPr="00CF3C36" w:rsidRDefault="00EC3399" w:rsidP="00AB3866">
      <w:pPr>
        <w:pStyle w:val="Heading4"/>
      </w:pPr>
      <w:bookmarkStart w:id="17" w:name="_Toc15475695"/>
      <w:r w:rsidRPr="00CF3C36">
        <w:t>Figure 4. Attraction to environmental regulation</w:t>
      </w:r>
      <w:bookmarkEnd w:id="17"/>
    </w:p>
    <w:tbl>
      <w:tblPr>
        <w:tblW w:w="6881" w:type="dxa"/>
        <w:jc w:val="center"/>
        <w:tblCellMar>
          <w:left w:w="70" w:type="dxa"/>
          <w:right w:w="70" w:type="dxa"/>
        </w:tblCellMar>
        <w:tblLook w:val="04A0" w:firstRow="1" w:lastRow="0" w:firstColumn="1" w:lastColumn="0" w:noHBand="0" w:noVBand="1"/>
      </w:tblPr>
      <w:tblGrid>
        <w:gridCol w:w="146"/>
        <w:gridCol w:w="1511"/>
        <w:gridCol w:w="1492"/>
        <w:gridCol w:w="1762"/>
        <w:gridCol w:w="1795"/>
        <w:gridCol w:w="190"/>
        <w:gridCol w:w="146"/>
      </w:tblGrid>
      <w:tr w:rsidR="00EC3399" w:rsidRPr="00EF4186" w14:paraId="69DFB10F" w14:textId="77777777" w:rsidTr="00AB3866">
        <w:trPr>
          <w:trHeight w:val="300"/>
          <w:jc w:val="center"/>
        </w:trPr>
        <w:tc>
          <w:tcPr>
            <w:tcW w:w="6881" w:type="dxa"/>
            <w:gridSpan w:val="7"/>
            <w:tcBorders>
              <w:top w:val="nil"/>
              <w:left w:val="nil"/>
              <w:bottom w:val="nil"/>
              <w:right w:val="nil"/>
            </w:tcBorders>
            <w:shd w:val="clear" w:color="auto" w:fill="auto"/>
            <w:noWrap/>
            <w:vAlign w:val="bottom"/>
            <w:hideMark/>
          </w:tcPr>
          <w:p w14:paraId="52B44C4B" w14:textId="77777777" w:rsidR="00EC3399" w:rsidRPr="00CF3C36" w:rsidRDefault="00EC3399" w:rsidP="00EC3399">
            <w:pPr>
              <w:spacing w:after="0" w:line="240" w:lineRule="auto"/>
              <w:rPr>
                <w:rFonts w:ascii="Calibri" w:eastAsia="Times New Roman" w:hAnsi="Calibri" w:cs="Calibri"/>
                <w:b/>
                <w:color w:val="000000"/>
                <w:lang w:val="en-GB" w:eastAsia="nl-NL"/>
              </w:rPr>
            </w:pPr>
            <w:r w:rsidRPr="00CF3C36">
              <w:rPr>
                <w:rFonts w:ascii="Calibri" w:eastAsia="Times New Roman" w:hAnsi="Calibri" w:cs="Calibri"/>
                <w:b/>
                <w:color w:val="000000"/>
                <w:lang w:val="en-GB" w:eastAsia="nl-NL"/>
              </w:rPr>
              <w:t xml:space="preserve">                 Type of environmental regulation the firm is attracted to </w:t>
            </w:r>
          </w:p>
        </w:tc>
      </w:tr>
      <w:tr w:rsidR="00EC3399" w:rsidRPr="00EF4186" w14:paraId="1DAEB8B9" w14:textId="77777777" w:rsidTr="00AB3866">
        <w:trPr>
          <w:trHeight w:val="300"/>
          <w:jc w:val="center"/>
        </w:trPr>
        <w:tc>
          <w:tcPr>
            <w:tcW w:w="76" w:type="dxa"/>
            <w:tcBorders>
              <w:top w:val="nil"/>
              <w:left w:val="nil"/>
              <w:bottom w:val="nil"/>
              <w:right w:val="nil"/>
            </w:tcBorders>
            <w:shd w:val="clear" w:color="auto" w:fill="auto"/>
            <w:noWrap/>
            <w:vAlign w:val="bottom"/>
            <w:hideMark/>
          </w:tcPr>
          <w:p w14:paraId="45988828" w14:textId="77777777" w:rsidR="00EC3399" w:rsidRPr="00CF3C36" w:rsidRDefault="00EC3399" w:rsidP="00EC3399">
            <w:pPr>
              <w:spacing w:after="0" w:line="240" w:lineRule="auto"/>
              <w:rPr>
                <w:rFonts w:ascii="Calibri" w:eastAsia="Times New Roman" w:hAnsi="Calibri" w:cs="Calibri"/>
                <w:color w:val="000000"/>
                <w:lang w:val="en-GB" w:eastAsia="nl-NL"/>
              </w:rPr>
            </w:pPr>
          </w:p>
        </w:tc>
        <w:tc>
          <w:tcPr>
            <w:tcW w:w="1511" w:type="dxa"/>
            <w:tcBorders>
              <w:top w:val="nil"/>
              <w:left w:val="nil"/>
              <w:bottom w:val="nil"/>
              <w:right w:val="nil"/>
            </w:tcBorders>
            <w:shd w:val="clear" w:color="auto" w:fill="auto"/>
            <w:noWrap/>
            <w:vAlign w:val="bottom"/>
            <w:hideMark/>
          </w:tcPr>
          <w:p w14:paraId="07AC3C1A" w14:textId="77777777" w:rsidR="00EC3399" w:rsidRPr="00CF3C36" w:rsidRDefault="00EC3399" w:rsidP="00EC3399">
            <w:pPr>
              <w:spacing w:after="0" w:line="240" w:lineRule="auto"/>
              <w:rPr>
                <w:rFonts w:ascii="Times New Roman" w:eastAsia="Times New Roman" w:hAnsi="Times New Roman" w:cs="Times New Roman"/>
                <w:sz w:val="20"/>
                <w:szCs w:val="20"/>
                <w:lang w:val="en-GB" w:eastAsia="nl-NL"/>
              </w:rPr>
            </w:pPr>
          </w:p>
        </w:tc>
        <w:tc>
          <w:tcPr>
            <w:tcW w:w="1492" w:type="dxa"/>
            <w:tcBorders>
              <w:top w:val="nil"/>
              <w:left w:val="nil"/>
              <w:bottom w:val="nil"/>
              <w:right w:val="nil"/>
            </w:tcBorders>
            <w:shd w:val="clear" w:color="auto" w:fill="auto"/>
            <w:noWrap/>
            <w:vAlign w:val="bottom"/>
            <w:hideMark/>
          </w:tcPr>
          <w:p w14:paraId="758A758D" w14:textId="77777777" w:rsidR="00EC3399" w:rsidRPr="00CF3C36" w:rsidRDefault="00EC3399" w:rsidP="00EC3399">
            <w:pPr>
              <w:spacing w:after="0" w:line="240" w:lineRule="auto"/>
              <w:rPr>
                <w:rFonts w:ascii="Times New Roman" w:eastAsia="Times New Roman" w:hAnsi="Times New Roman" w:cs="Times New Roman"/>
                <w:sz w:val="20"/>
                <w:szCs w:val="20"/>
                <w:lang w:val="en-GB" w:eastAsia="nl-NL"/>
              </w:rPr>
            </w:pPr>
          </w:p>
        </w:tc>
        <w:tc>
          <w:tcPr>
            <w:tcW w:w="1762" w:type="dxa"/>
            <w:tcBorders>
              <w:top w:val="nil"/>
              <w:left w:val="nil"/>
              <w:bottom w:val="nil"/>
              <w:right w:val="nil"/>
            </w:tcBorders>
            <w:shd w:val="clear" w:color="auto" w:fill="auto"/>
            <w:noWrap/>
            <w:vAlign w:val="bottom"/>
            <w:hideMark/>
          </w:tcPr>
          <w:p w14:paraId="5BCCA6B2" w14:textId="77777777" w:rsidR="00EC3399" w:rsidRPr="00CF3C36" w:rsidRDefault="00EC3399" w:rsidP="00EC3399">
            <w:pPr>
              <w:spacing w:after="0" w:line="240" w:lineRule="auto"/>
              <w:rPr>
                <w:rFonts w:ascii="Times New Roman" w:eastAsia="Times New Roman" w:hAnsi="Times New Roman" w:cs="Times New Roman"/>
                <w:sz w:val="20"/>
                <w:szCs w:val="20"/>
                <w:lang w:val="en-GB" w:eastAsia="nl-NL"/>
              </w:rPr>
            </w:pPr>
          </w:p>
        </w:tc>
        <w:tc>
          <w:tcPr>
            <w:tcW w:w="1795" w:type="dxa"/>
            <w:tcBorders>
              <w:top w:val="nil"/>
              <w:left w:val="nil"/>
              <w:bottom w:val="nil"/>
              <w:right w:val="nil"/>
            </w:tcBorders>
            <w:shd w:val="clear" w:color="auto" w:fill="auto"/>
            <w:noWrap/>
            <w:vAlign w:val="bottom"/>
            <w:hideMark/>
          </w:tcPr>
          <w:p w14:paraId="5523D9E6" w14:textId="77777777" w:rsidR="00EC3399" w:rsidRPr="00CF3C36" w:rsidRDefault="00EC3399" w:rsidP="00EC3399">
            <w:pPr>
              <w:spacing w:after="0" w:line="240" w:lineRule="auto"/>
              <w:rPr>
                <w:rFonts w:ascii="Times New Roman" w:eastAsia="Times New Roman" w:hAnsi="Times New Roman" w:cs="Times New Roman"/>
                <w:sz w:val="20"/>
                <w:szCs w:val="20"/>
                <w:lang w:val="en-GB" w:eastAsia="nl-NL"/>
              </w:rPr>
            </w:pPr>
          </w:p>
        </w:tc>
        <w:tc>
          <w:tcPr>
            <w:tcW w:w="169" w:type="dxa"/>
            <w:tcBorders>
              <w:top w:val="nil"/>
              <w:left w:val="nil"/>
              <w:bottom w:val="nil"/>
              <w:right w:val="nil"/>
            </w:tcBorders>
            <w:shd w:val="clear" w:color="auto" w:fill="auto"/>
            <w:noWrap/>
            <w:vAlign w:val="bottom"/>
            <w:hideMark/>
          </w:tcPr>
          <w:p w14:paraId="5B6B2139" w14:textId="77777777" w:rsidR="00EC3399" w:rsidRPr="00CF3C36" w:rsidRDefault="00EC3399" w:rsidP="00EC3399">
            <w:pPr>
              <w:spacing w:after="0" w:line="240" w:lineRule="auto"/>
              <w:rPr>
                <w:rFonts w:ascii="Times New Roman" w:eastAsia="Times New Roman" w:hAnsi="Times New Roman" w:cs="Times New Roman"/>
                <w:sz w:val="20"/>
                <w:szCs w:val="20"/>
                <w:lang w:val="en-GB" w:eastAsia="nl-NL"/>
              </w:rPr>
            </w:pPr>
          </w:p>
        </w:tc>
        <w:tc>
          <w:tcPr>
            <w:tcW w:w="76" w:type="dxa"/>
            <w:tcBorders>
              <w:top w:val="nil"/>
              <w:left w:val="nil"/>
              <w:bottom w:val="nil"/>
              <w:right w:val="nil"/>
            </w:tcBorders>
            <w:shd w:val="clear" w:color="auto" w:fill="auto"/>
            <w:noWrap/>
            <w:vAlign w:val="bottom"/>
            <w:hideMark/>
          </w:tcPr>
          <w:p w14:paraId="37E66B4A" w14:textId="77777777" w:rsidR="00EC3399" w:rsidRPr="00CF3C36" w:rsidRDefault="00EC3399" w:rsidP="00EC3399">
            <w:pPr>
              <w:spacing w:after="0" w:line="240" w:lineRule="auto"/>
              <w:rPr>
                <w:rFonts w:ascii="Times New Roman" w:eastAsia="Times New Roman" w:hAnsi="Times New Roman" w:cs="Times New Roman"/>
                <w:sz w:val="20"/>
                <w:szCs w:val="20"/>
                <w:lang w:val="en-GB" w:eastAsia="nl-NL"/>
              </w:rPr>
            </w:pPr>
          </w:p>
        </w:tc>
      </w:tr>
      <w:tr w:rsidR="00EC3399" w:rsidRPr="00CF3C36" w14:paraId="3514EF31" w14:textId="77777777" w:rsidTr="00AB3866">
        <w:trPr>
          <w:trHeight w:val="315"/>
          <w:jc w:val="center"/>
        </w:trPr>
        <w:tc>
          <w:tcPr>
            <w:tcW w:w="76" w:type="dxa"/>
            <w:tcBorders>
              <w:top w:val="nil"/>
              <w:left w:val="nil"/>
              <w:bottom w:val="nil"/>
              <w:right w:val="nil"/>
            </w:tcBorders>
            <w:shd w:val="clear" w:color="auto" w:fill="auto"/>
            <w:noWrap/>
            <w:vAlign w:val="bottom"/>
            <w:hideMark/>
          </w:tcPr>
          <w:p w14:paraId="52F14595" w14:textId="77777777" w:rsidR="00EC3399" w:rsidRPr="00CF3C36" w:rsidRDefault="00EC3399" w:rsidP="00EC3399">
            <w:pPr>
              <w:spacing w:after="0" w:line="240" w:lineRule="auto"/>
              <w:rPr>
                <w:rFonts w:ascii="Times New Roman" w:eastAsia="Times New Roman" w:hAnsi="Times New Roman" w:cs="Times New Roman"/>
                <w:sz w:val="20"/>
                <w:szCs w:val="20"/>
                <w:lang w:val="en-GB" w:eastAsia="nl-NL"/>
              </w:rPr>
            </w:pPr>
          </w:p>
        </w:tc>
        <w:tc>
          <w:tcPr>
            <w:tcW w:w="1511" w:type="dxa"/>
            <w:tcBorders>
              <w:top w:val="nil"/>
              <w:left w:val="nil"/>
              <w:bottom w:val="nil"/>
              <w:right w:val="nil"/>
            </w:tcBorders>
            <w:shd w:val="clear" w:color="auto" w:fill="auto"/>
            <w:noWrap/>
            <w:vAlign w:val="bottom"/>
            <w:hideMark/>
          </w:tcPr>
          <w:p w14:paraId="0D073DB3" w14:textId="77777777" w:rsidR="00EC3399" w:rsidRPr="00CF3C36" w:rsidRDefault="00EC3399" w:rsidP="00EC3399">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very lax</w:t>
            </w:r>
          </w:p>
        </w:tc>
        <w:tc>
          <w:tcPr>
            <w:tcW w:w="1492" w:type="dxa"/>
            <w:tcBorders>
              <w:top w:val="nil"/>
              <w:left w:val="single" w:sz="12" w:space="0" w:color="auto"/>
              <w:bottom w:val="nil"/>
              <w:right w:val="single" w:sz="12" w:space="0" w:color="auto"/>
            </w:tcBorders>
            <w:shd w:val="clear" w:color="auto" w:fill="auto"/>
            <w:noWrap/>
            <w:vAlign w:val="bottom"/>
            <w:hideMark/>
          </w:tcPr>
          <w:p w14:paraId="69D6A3F6" w14:textId="77777777" w:rsidR="00EC3399" w:rsidRPr="00CF3C36" w:rsidRDefault="00EC3399" w:rsidP="00EC3399">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lax</w:t>
            </w:r>
          </w:p>
        </w:tc>
        <w:tc>
          <w:tcPr>
            <w:tcW w:w="1762" w:type="dxa"/>
            <w:tcBorders>
              <w:top w:val="nil"/>
              <w:left w:val="nil"/>
              <w:bottom w:val="nil"/>
              <w:right w:val="single" w:sz="12" w:space="0" w:color="auto"/>
            </w:tcBorders>
            <w:shd w:val="clear" w:color="auto" w:fill="auto"/>
            <w:noWrap/>
            <w:vAlign w:val="bottom"/>
            <w:hideMark/>
          </w:tcPr>
          <w:p w14:paraId="6A5D0D73" w14:textId="77777777" w:rsidR="00EC3399" w:rsidRPr="00CF3C36" w:rsidRDefault="00EC3399" w:rsidP="00EC3399">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stringent</w:t>
            </w:r>
          </w:p>
        </w:tc>
        <w:tc>
          <w:tcPr>
            <w:tcW w:w="1964" w:type="dxa"/>
            <w:gridSpan w:val="2"/>
            <w:tcBorders>
              <w:top w:val="nil"/>
              <w:left w:val="nil"/>
              <w:bottom w:val="nil"/>
              <w:right w:val="nil"/>
            </w:tcBorders>
            <w:shd w:val="clear" w:color="auto" w:fill="auto"/>
            <w:noWrap/>
            <w:vAlign w:val="bottom"/>
            <w:hideMark/>
          </w:tcPr>
          <w:p w14:paraId="0ED9E300" w14:textId="0858733A" w:rsidR="00EC3399" w:rsidRPr="00CF3C36" w:rsidRDefault="00EC3399" w:rsidP="00EC3399">
            <w:pPr>
              <w:spacing w:after="0" w:line="240" w:lineRule="auto"/>
              <w:rPr>
                <w:rFonts w:ascii="Calibri" w:eastAsia="Times New Roman" w:hAnsi="Calibri" w:cs="Calibri"/>
                <w:color w:val="000000"/>
                <w:lang w:val="en-GB" w:eastAsia="nl-NL"/>
              </w:rPr>
            </w:pPr>
            <w:r w:rsidRPr="00CF3C36">
              <w:rPr>
                <w:rFonts w:ascii="Calibri" w:eastAsia="Times New Roman" w:hAnsi="Calibri" w:cs="Calibri"/>
                <w:noProof/>
                <w:color w:val="000000"/>
                <w:lang w:eastAsia="nl-NL"/>
              </w:rPr>
              <mc:AlternateContent>
                <mc:Choice Requires="wps">
                  <w:drawing>
                    <wp:anchor distT="0" distB="0" distL="114300" distR="114300" simplePos="0" relativeHeight="251665408" behindDoc="0" locked="0" layoutInCell="1" allowOverlap="1" wp14:anchorId="4B79949A" wp14:editId="7B19975A">
                      <wp:simplePos x="0" y="0"/>
                      <wp:positionH relativeFrom="column">
                        <wp:posOffset>1144905</wp:posOffset>
                      </wp:positionH>
                      <wp:positionV relativeFrom="paragraph">
                        <wp:posOffset>203200</wp:posOffset>
                      </wp:positionV>
                      <wp:extent cx="114935" cy="4445"/>
                      <wp:effectExtent l="0" t="76200" r="18415" b="90805"/>
                      <wp:wrapNone/>
                      <wp:docPr id="17" name="Straight Arrow Connector 17"/>
                      <wp:cNvGraphicFramePr/>
                      <a:graphic xmlns:a="http://schemas.openxmlformats.org/drawingml/2006/main">
                        <a:graphicData uri="http://schemas.microsoft.com/office/word/2010/wordprocessingShape">
                          <wps:wsp>
                            <wps:cNvCnPr/>
                            <wps:spPr>
                              <a:xfrm flipV="1">
                                <a:off x="0" y="0"/>
                                <a:ext cx="114935" cy="4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989A481" id="Straight Arrow Connector 17" o:spid="_x0000_s1026" type="#_x0000_t32" style="position:absolute;margin-left:90.15pt;margin-top:16pt;width:9.05pt;height:.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" strokecolor="black [3200]" strokeweight=".5pt">
                      <v:stroke endarrow="block" joinstyle="miter"/>
                    </v:shape>
                  </w:pict>
                </mc:Fallback>
              </mc:AlternateContent>
            </w:r>
            <w:r w:rsidRPr="00CF3C36">
              <w:rPr>
                <w:rFonts w:ascii="Calibri" w:eastAsia="Times New Roman" w:hAnsi="Calibri" w:cs="Calibri"/>
                <w:color w:val="000000"/>
                <w:lang w:val="en-GB" w:eastAsia="nl-NL"/>
              </w:rPr>
              <w:t>very stringent</w:t>
            </w:r>
          </w:p>
        </w:tc>
        <w:tc>
          <w:tcPr>
            <w:tcW w:w="76" w:type="dxa"/>
            <w:tcBorders>
              <w:top w:val="nil"/>
              <w:left w:val="nil"/>
              <w:bottom w:val="nil"/>
              <w:right w:val="nil"/>
            </w:tcBorders>
            <w:shd w:val="clear" w:color="auto" w:fill="auto"/>
            <w:noWrap/>
            <w:vAlign w:val="bottom"/>
            <w:hideMark/>
          </w:tcPr>
          <w:p w14:paraId="57E631E4" w14:textId="1C153C23" w:rsidR="00EC3399" w:rsidRPr="00CF3C36" w:rsidRDefault="00EC3399" w:rsidP="00EC3399">
            <w:pPr>
              <w:spacing w:after="0" w:line="240" w:lineRule="auto"/>
              <w:rPr>
                <w:rFonts w:ascii="Calibri" w:eastAsia="Times New Roman" w:hAnsi="Calibri" w:cs="Calibri"/>
                <w:color w:val="000000"/>
                <w:lang w:val="en-GB" w:eastAsia="nl-NL"/>
              </w:rPr>
            </w:pPr>
          </w:p>
        </w:tc>
      </w:tr>
      <w:tr w:rsidR="00EC3399" w:rsidRPr="00CF3C36" w14:paraId="41DDD838" w14:textId="77777777" w:rsidTr="00AB3866">
        <w:trPr>
          <w:trHeight w:val="315"/>
          <w:jc w:val="center"/>
        </w:trPr>
        <w:tc>
          <w:tcPr>
            <w:tcW w:w="76" w:type="dxa"/>
            <w:tcBorders>
              <w:top w:val="nil"/>
              <w:left w:val="nil"/>
              <w:bottom w:val="nil"/>
              <w:right w:val="nil"/>
            </w:tcBorders>
            <w:shd w:val="clear" w:color="auto" w:fill="auto"/>
            <w:noWrap/>
            <w:vAlign w:val="bottom"/>
            <w:hideMark/>
          </w:tcPr>
          <w:p w14:paraId="7F28EBD6" w14:textId="77777777" w:rsidR="00EC3399" w:rsidRPr="00CF3C36" w:rsidRDefault="00EC3399" w:rsidP="00EC3399">
            <w:pPr>
              <w:spacing w:after="0" w:line="240" w:lineRule="auto"/>
              <w:rPr>
                <w:rFonts w:ascii="Times New Roman" w:eastAsia="Times New Roman" w:hAnsi="Times New Roman" w:cs="Times New Roman"/>
                <w:sz w:val="20"/>
                <w:szCs w:val="20"/>
                <w:lang w:val="en-GB" w:eastAsia="nl-NL"/>
              </w:rPr>
            </w:pPr>
          </w:p>
        </w:tc>
        <w:tc>
          <w:tcPr>
            <w:tcW w:w="1511" w:type="dxa"/>
            <w:tcBorders>
              <w:top w:val="single" w:sz="12" w:space="0" w:color="auto"/>
              <w:left w:val="nil"/>
              <w:bottom w:val="nil"/>
              <w:right w:val="nil"/>
            </w:tcBorders>
            <w:shd w:val="clear" w:color="auto" w:fill="auto"/>
            <w:noWrap/>
            <w:vAlign w:val="bottom"/>
            <w:hideMark/>
          </w:tcPr>
          <w:p w14:paraId="5FEC640E" w14:textId="77777777" w:rsidR="00EC3399" w:rsidRPr="00CF3C36" w:rsidRDefault="00EC3399" w:rsidP="00EC3399">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low</w:t>
            </w:r>
          </w:p>
        </w:tc>
        <w:tc>
          <w:tcPr>
            <w:tcW w:w="1492" w:type="dxa"/>
            <w:tcBorders>
              <w:top w:val="single" w:sz="12" w:space="0" w:color="auto"/>
              <w:left w:val="single" w:sz="12" w:space="0" w:color="auto"/>
              <w:bottom w:val="nil"/>
              <w:right w:val="single" w:sz="12" w:space="0" w:color="auto"/>
            </w:tcBorders>
            <w:shd w:val="clear" w:color="auto" w:fill="auto"/>
            <w:noWrap/>
            <w:vAlign w:val="bottom"/>
            <w:hideMark/>
          </w:tcPr>
          <w:p w14:paraId="0AC75BE9" w14:textId="77777777" w:rsidR="00EC3399" w:rsidRPr="00CF3C36" w:rsidRDefault="00EC3399" w:rsidP="00EC3399">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modest</w:t>
            </w:r>
          </w:p>
        </w:tc>
        <w:tc>
          <w:tcPr>
            <w:tcW w:w="1762" w:type="dxa"/>
            <w:tcBorders>
              <w:top w:val="single" w:sz="12" w:space="0" w:color="auto"/>
              <w:left w:val="nil"/>
              <w:bottom w:val="nil"/>
              <w:right w:val="single" w:sz="12" w:space="0" w:color="auto"/>
            </w:tcBorders>
            <w:shd w:val="clear" w:color="auto" w:fill="auto"/>
            <w:noWrap/>
            <w:vAlign w:val="bottom"/>
            <w:hideMark/>
          </w:tcPr>
          <w:p w14:paraId="1D1D9F90" w14:textId="77777777" w:rsidR="00EC3399" w:rsidRPr="00CF3C36" w:rsidRDefault="00EC3399" w:rsidP="00EC3399">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high</w:t>
            </w:r>
          </w:p>
        </w:tc>
        <w:tc>
          <w:tcPr>
            <w:tcW w:w="1795" w:type="dxa"/>
            <w:tcBorders>
              <w:top w:val="single" w:sz="12" w:space="0" w:color="auto"/>
              <w:left w:val="nil"/>
              <w:bottom w:val="nil"/>
              <w:right w:val="nil"/>
            </w:tcBorders>
            <w:shd w:val="clear" w:color="auto" w:fill="auto"/>
            <w:noWrap/>
            <w:vAlign w:val="bottom"/>
            <w:hideMark/>
          </w:tcPr>
          <w:p w14:paraId="147F0758" w14:textId="77777777" w:rsidR="00EC3399" w:rsidRPr="00CF3C36" w:rsidRDefault="00EC3399" w:rsidP="00EC3399">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very high</w:t>
            </w:r>
          </w:p>
        </w:tc>
        <w:tc>
          <w:tcPr>
            <w:tcW w:w="169" w:type="dxa"/>
            <w:tcBorders>
              <w:top w:val="single" w:sz="12" w:space="0" w:color="auto"/>
              <w:left w:val="nil"/>
              <w:bottom w:val="nil"/>
              <w:right w:val="nil"/>
            </w:tcBorders>
            <w:shd w:val="clear" w:color="auto" w:fill="auto"/>
            <w:noWrap/>
            <w:vAlign w:val="bottom"/>
            <w:hideMark/>
          </w:tcPr>
          <w:p w14:paraId="68497F00" w14:textId="77777777" w:rsidR="00EC3399" w:rsidRPr="00CF3C36" w:rsidRDefault="00EC3399" w:rsidP="00EC3399">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c>
          <w:tcPr>
            <w:tcW w:w="76" w:type="dxa"/>
            <w:tcBorders>
              <w:top w:val="nil"/>
              <w:left w:val="nil"/>
              <w:bottom w:val="nil"/>
              <w:right w:val="nil"/>
            </w:tcBorders>
            <w:shd w:val="clear" w:color="auto" w:fill="auto"/>
            <w:noWrap/>
            <w:vAlign w:val="bottom"/>
            <w:hideMark/>
          </w:tcPr>
          <w:p w14:paraId="669A2081" w14:textId="2645C3BA" w:rsidR="00EC3399" w:rsidRPr="00CF3C36" w:rsidRDefault="00EC3399" w:rsidP="00EC3399">
            <w:pPr>
              <w:spacing w:after="0" w:line="240" w:lineRule="auto"/>
              <w:rPr>
                <w:rFonts w:ascii="Calibri" w:eastAsia="Times New Roman" w:hAnsi="Calibri" w:cs="Calibri"/>
                <w:color w:val="000000"/>
                <w:lang w:val="en-GB" w:eastAsia="nl-NL"/>
              </w:rPr>
            </w:pPr>
          </w:p>
        </w:tc>
      </w:tr>
      <w:tr w:rsidR="00EC3399" w:rsidRPr="00CF3C36" w14:paraId="2DE20DD8" w14:textId="77777777" w:rsidTr="00AB3866">
        <w:trPr>
          <w:trHeight w:val="300"/>
          <w:jc w:val="center"/>
        </w:trPr>
        <w:tc>
          <w:tcPr>
            <w:tcW w:w="76" w:type="dxa"/>
            <w:tcBorders>
              <w:top w:val="nil"/>
              <w:left w:val="nil"/>
              <w:bottom w:val="nil"/>
              <w:right w:val="nil"/>
            </w:tcBorders>
            <w:shd w:val="clear" w:color="auto" w:fill="auto"/>
            <w:noWrap/>
            <w:vAlign w:val="bottom"/>
            <w:hideMark/>
          </w:tcPr>
          <w:p w14:paraId="76BCB0A3" w14:textId="77777777" w:rsidR="00EC3399" w:rsidRPr="00CF3C36" w:rsidRDefault="00EC3399" w:rsidP="00EC3399">
            <w:pPr>
              <w:spacing w:after="0" w:line="240" w:lineRule="auto"/>
              <w:rPr>
                <w:rFonts w:ascii="Times New Roman" w:eastAsia="Times New Roman" w:hAnsi="Times New Roman" w:cs="Times New Roman"/>
                <w:sz w:val="20"/>
                <w:szCs w:val="20"/>
                <w:lang w:val="en-GB" w:eastAsia="nl-NL"/>
              </w:rPr>
            </w:pPr>
          </w:p>
        </w:tc>
        <w:tc>
          <w:tcPr>
            <w:tcW w:w="1511" w:type="dxa"/>
            <w:tcBorders>
              <w:top w:val="nil"/>
              <w:left w:val="nil"/>
              <w:bottom w:val="nil"/>
              <w:right w:val="nil"/>
            </w:tcBorders>
            <w:shd w:val="clear" w:color="auto" w:fill="auto"/>
            <w:noWrap/>
            <w:vAlign w:val="bottom"/>
            <w:hideMark/>
          </w:tcPr>
          <w:p w14:paraId="3FD14451" w14:textId="77777777" w:rsidR="00EC3399" w:rsidRPr="00CF3C36" w:rsidRDefault="00EC3399" w:rsidP="00EC3399">
            <w:pPr>
              <w:spacing w:after="0" w:line="240" w:lineRule="auto"/>
              <w:rPr>
                <w:rFonts w:ascii="Times New Roman" w:eastAsia="Times New Roman" w:hAnsi="Times New Roman" w:cs="Times New Roman"/>
                <w:sz w:val="20"/>
                <w:szCs w:val="20"/>
                <w:lang w:val="en-GB" w:eastAsia="nl-NL"/>
              </w:rPr>
            </w:pPr>
          </w:p>
        </w:tc>
        <w:tc>
          <w:tcPr>
            <w:tcW w:w="1492" w:type="dxa"/>
            <w:tcBorders>
              <w:top w:val="nil"/>
              <w:left w:val="nil"/>
              <w:bottom w:val="nil"/>
              <w:right w:val="nil"/>
            </w:tcBorders>
            <w:shd w:val="clear" w:color="auto" w:fill="auto"/>
            <w:noWrap/>
            <w:vAlign w:val="bottom"/>
            <w:hideMark/>
          </w:tcPr>
          <w:p w14:paraId="5A36AEDE" w14:textId="77777777" w:rsidR="00EC3399" w:rsidRPr="00CF3C36" w:rsidRDefault="00EC3399" w:rsidP="00EC3399">
            <w:pPr>
              <w:spacing w:after="0" w:line="240" w:lineRule="auto"/>
              <w:rPr>
                <w:rFonts w:ascii="Times New Roman" w:eastAsia="Times New Roman" w:hAnsi="Times New Roman" w:cs="Times New Roman"/>
                <w:sz w:val="20"/>
                <w:szCs w:val="20"/>
                <w:lang w:val="en-GB" w:eastAsia="nl-NL"/>
              </w:rPr>
            </w:pPr>
          </w:p>
        </w:tc>
        <w:tc>
          <w:tcPr>
            <w:tcW w:w="1762" w:type="dxa"/>
            <w:tcBorders>
              <w:top w:val="nil"/>
              <w:left w:val="nil"/>
              <w:bottom w:val="nil"/>
              <w:right w:val="nil"/>
            </w:tcBorders>
            <w:shd w:val="clear" w:color="auto" w:fill="auto"/>
            <w:noWrap/>
            <w:vAlign w:val="bottom"/>
            <w:hideMark/>
          </w:tcPr>
          <w:p w14:paraId="7EDF5383" w14:textId="77777777" w:rsidR="00EC3399" w:rsidRPr="00CF3C36" w:rsidRDefault="00EC3399" w:rsidP="00EC3399">
            <w:pPr>
              <w:spacing w:after="0" w:line="240" w:lineRule="auto"/>
              <w:rPr>
                <w:rFonts w:ascii="Times New Roman" w:eastAsia="Times New Roman" w:hAnsi="Times New Roman" w:cs="Times New Roman"/>
                <w:sz w:val="20"/>
                <w:szCs w:val="20"/>
                <w:lang w:val="en-GB" w:eastAsia="nl-NL"/>
              </w:rPr>
            </w:pPr>
          </w:p>
        </w:tc>
        <w:tc>
          <w:tcPr>
            <w:tcW w:w="1795" w:type="dxa"/>
            <w:tcBorders>
              <w:top w:val="nil"/>
              <w:left w:val="nil"/>
              <w:bottom w:val="nil"/>
              <w:right w:val="nil"/>
            </w:tcBorders>
            <w:shd w:val="clear" w:color="auto" w:fill="auto"/>
            <w:noWrap/>
            <w:vAlign w:val="bottom"/>
            <w:hideMark/>
          </w:tcPr>
          <w:p w14:paraId="5893B2C3" w14:textId="77777777" w:rsidR="00EC3399" w:rsidRPr="00CF3C36" w:rsidRDefault="00EC3399" w:rsidP="00EC3399">
            <w:pPr>
              <w:spacing w:after="0" w:line="240" w:lineRule="auto"/>
              <w:rPr>
                <w:rFonts w:ascii="Times New Roman" w:eastAsia="Times New Roman" w:hAnsi="Times New Roman" w:cs="Times New Roman"/>
                <w:sz w:val="20"/>
                <w:szCs w:val="20"/>
                <w:lang w:val="en-GB" w:eastAsia="nl-NL"/>
              </w:rPr>
            </w:pPr>
          </w:p>
        </w:tc>
        <w:tc>
          <w:tcPr>
            <w:tcW w:w="169" w:type="dxa"/>
            <w:tcBorders>
              <w:top w:val="nil"/>
              <w:left w:val="nil"/>
              <w:bottom w:val="nil"/>
              <w:right w:val="nil"/>
            </w:tcBorders>
            <w:shd w:val="clear" w:color="auto" w:fill="auto"/>
            <w:noWrap/>
            <w:vAlign w:val="bottom"/>
            <w:hideMark/>
          </w:tcPr>
          <w:p w14:paraId="353DCB84" w14:textId="77777777" w:rsidR="00EC3399" w:rsidRPr="00CF3C36" w:rsidRDefault="00EC3399" w:rsidP="00EC3399">
            <w:pPr>
              <w:spacing w:after="0" w:line="240" w:lineRule="auto"/>
              <w:rPr>
                <w:rFonts w:ascii="Times New Roman" w:eastAsia="Times New Roman" w:hAnsi="Times New Roman" w:cs="Times New Roman"/>
                <w:sz w:val="20"/>
                <w:szCs w:val="20"/>
                <w:lang w:val="en-GB" w:eastAsia="nl-NL"/>
              </w:rPr>
            </w:pPr>
          </w:p>
        </w:tc>
        <w:tc>
          <w:tcPr>
            <w:tcW w:w="76" w:type="dxa"/>
            <w:tcBorders>
              <w:top w:val="nil"/>
              <w:left w:val="nil"/>
              <w:bottom w:val="nil"/>
              <w:right w:val="nil"/>
            </w:tcBorders>
            <w:shd w:val="clear" w:color="auto" w:fill="auto"/>
            <w:noWrap/>
            <w:vAlign w:val="bottom"/>
            <w:hideMark/>
          </w:tcPr>
          <w:p w14:paraId="1EB55747" w14:textId="77777777" w:rsidR="00EC3399" w:rsidRPr="00CF3C36" w:rsidRDefault="00EC3399" w:rsidP="00EC3399">
            <w:pPr>
              <w:spacing w:after="0" w:line="240" w:lineRule="auto"/>
              <w:rPr>
                <w:rFonts w:ascii="Times New Roman" w:eastAsia="Times New Roman" w:hAnsi="Times New Roman" w:cs="Times New Roman"/>
                <w:sz w:val="20"/>
                <w:szCs w:val="20"/>
                <w:lang w:val="en-GB" w:eastAsia="nl-NL"/>
              </w:rPr>
            </w:pPr>
          </w:p>
        </w:tc>
      </w:tr>
      <w:tr w:rsidR="00EC3399" w:rsidRPr="00CF3C36" w14:paraId="085A1875" w14:textId="77777777" w:rsidTr="00AB3866">
        <w:trPr>
          <w:trHeight w:val="300"/>
          <w:jc w:val="center"/>
        </w:trPr>
        <w:tc>
          <w:tcPr>
            <w:tcW w:w="76" w:type="dxa"/>
            <w:tcBorders>
              <w:top w:val="nil"/>
              <w:left w:val="nil"/>
              <w:bottom w:val="nil"/>
              <w:right w:val="nil"/>
            </w:tcBorders>
            <w:shd w:val="clear" w:color="auto" w:fill="auto"/>
            <w:noWrap/>
            <w:vAlign w:val="bottom"/>
            <w:hideMark/>
          </w:tcPr>
          <w:p w14:paraId="5439E325" w14:textId="77777777" w:rsidR="00EC3399" w:rsidRPr="00CF3C36" w:rsidRDefault="00EC3399" w:rsidP="00EC3399">
            <w:pPr>
              <w:spacing w:after="0" w:line="240" w:lineRule="auto"/>
              <w:rPr>
                <w:rFonts w:ascii="Times New Roman" w:eastAsia="Times New Roman" w:hAnsi="Times New Roman" w:cs="Times New Roman"/>
                <w:sz w:val="20"/>
                <w:szCs w:val="20"/>
                <w:lang w:val="en-GB" w:eastAsia="nl-NL"/>
              </w:rPr>
            </w:pPr>
          </w:p>
        </w:tc>
        <w:tc>
          <w:tcPr>
            <w:tcW w:w="6560" w:type="dxa"/>
            <w:gridSpan w:val="4"/>
            <w:tcBorders>
              <w:top w:val="nil"/>
              <w:left w:val="nil"/>
              <w:bottom w:val="nil"/>
              <w:right w:val="nil"/>
            </w:tcBorders>
            <w:shd w:val="clear" w:color="auto" w:fill="auto"/>
            <w:noWrap/>
            <w:vAlign w:val="bottom"/>
            <w:hideMark/>
          </w:tcPr>
          <w:p w14:paraId="4BCBEDD0" w14:textId="1FA410CE" w:rsidR="00EC3399" w:rsidRPr="00CF3C36" w:rsidRDefault="00EC3399" w:rsidP="00E66ED2">
            <w:pPr>
              <w:spacing w:after="0" w:line="240" w:lineRule="auto"/>
              <w:rPr>
                <w:rFonts w:ascii="Calibri" w:eastAsia="Times New Roman" w:hAnsi="Calibri" w:cs="Calibri"/>
                <w:b/>
                <w:color w:val="000000"/>
                <w:lang w:val="en-GB" w:eastAsia="nl-NL"/>
              </w:rPr>
            </w:pPr>
            <w:r w:rsidRPr="00CF3C36">
              <w:rPr>
                <w:rFonts w:ascii="Calibri" w:eastAsia="Times New Roman" w:hAnsi="Calibri" w:cs="Calibri"/>
                <w:b/>
                <w:color w:val="000000"/>
                <w:lang w:val="en-GB" w:eastAsia="nl-NL"/>
              </w:rPr>
              <w:t xml:space="preserve">                                Level of </w:t>
            </w:r>
            <w:r w:rsidR="00E66ED2" w:rsidRPr="00CF3C36">
              <w:rPr>
                <w:rFonts w:ascii="Calibri" w:eastAsia="Times New Roman" w:hAnsi="Calibri" w:cs="Calibri"/>
                <w:b/>
                <w:color w:val="000000"/>
                <w:lang w:val="en-GB" w:eastAsia="nl-NL"/>
              </w:rPr>
              <w:t>environmental</w:t>
            </w:r>
            <w:r w:rsidRPr="00CF3C36">
              <w:rPr>
                <w:rFonts w:ascii="Calibri" w:eastAsia="Times New Roman" w:hAnsi="Calibri" w:cs="Calibri"/>
                <w:b/>
                <w:color w:val="000000"/>
                <w:lang w:val="en-GB" w:eastAsia="nl-NL"/>
              </w:rPr>
              <w:t xml:space="preserve"> capabilities</w:t>
            </w:r>
          </w:p>
        </w:tc>
        <w:tc>
          <w:tcPr>
            <w:tcW w:w="169" w:type="dxa"/>
            <w:tcBorders>
              <w:top w:val="nil"/>
              <w:left w:val="nil"/>
              <w:bottom w:val="nil"/>
              <w:right w:val="nil"/>
            </w:tcBorders>
            <w:shd w:val="clear" w:color="auto" w:fill="auto"/>
            <w:noWrap/>
            <w:vAlign w:val="bottom"/>
            <w:hideMark/>
          </w:tcPr>
          <w:p w14:paraId="696F2990" w14:textId="77777777" w:rsidR="00EC3399" w:rsidRPr="00CF3C36" w:rsidRDefault="00EC3399" w:rsidP="00EC3399">
            <w:pPr>
              <w:spacing w:after="0" w:line="240" w:lineRule="auto"/>
              <w:rPr>
                <w:rFonts w:ascii="Calibri" w:eastAsia="Times New Roman" w:hAnsi="Calibri" w:cs="Calibri"/>
                <w:b/>
                <w:color w:val="000000"/>
                <w:lang w:val="en-GB" w:eastAsia="nl-NL"/>
              </w:rPr>
            </w:pPr>
          </w:p>
        </w:tc>
        <w:tc>
          <w:tcPr>
            <w:tcW w:w="76" w:type="dxa"/>
            <w:tcBorders>
              <w:top w:val="nil"/>
              <w:left w:val="nil"/>
              <w:bottom w:val="nil"/>
              <w:right w:val="nil"/>
            </w:tcBorders>
            <w:shd w:val="clear" w:color="auto" w:fill="auto"/>
            <w:noWrap/>
            <w:vAlign w:val="bottom"/>
            <w:hideMark/>
          </w:tcPr>
          <w:p w14:paraId="689A73D1" w14:textId="77777777" w:rsidR="00EC3399" w:rsidRPr="00CF3C36" w:rsidRDefault="00EC3399" w:rsidP="00EC3399">
            <w:pPr>
              <w:spacing w:after="0" w:line="240" w:lineRule="auto"/>
              <w:rPr>
                <w:rFonts w:ascii="Times New Roman" w:eastAsia="Times New Roman" w:hAnsi="Times New Roman" w:cs="Times New Roman"/>
                <w:b/>
                <w:sz w:val="20"/>
                <w:szCs w:val="20"/>
                <w:lang w:val="en-GB" w:eastAsia="nl-NL"/>
              </w:rPr>
            </w:pPr>
          </w:p>
        </w:tc>
      </w:tr>
    </w:tbl>
    <w:p w14:paraId="7CA229F3" w14:textId="705B51A5" w:rsidR="00AB3F9C" w:rsidRPr="00CF3C36" w:rsidRDefault="00AB3F9C" w:rsidP="0049437C">
      <w:pPr>
        <w:spacing w:after="0" w:line="360" w:lineRule="auto"/>
        <w:jc w:val="both"/>
        <w:rPr>
          <w:lang w:val="en-GB"/>
        </w:rPr>
      </w:pPr>
    </w:p>
    <w:p w14:paraId="10CB99FC" w14:textId="70BB988C" w:rsidR="002E6E55" w:rsidRPr="00CF3C36" w:rsidRDefault="003E0BA8" w:rsidP="004978B0">
      <w:pPr>
        <w:spacing w:after="0" w:line="360" w:lineRule="auto"/>
        <w:jc w:val="both"/>
        <w:rPr>
          <w:lang w:val="en-GB"/>
        </w:rPr>
      </w:pPr>
      <w:r w:rsidRPr="00CF3C36">
        <w:rPr>
          <w:lang w:val="en-GB"/>
        </w:rPr>
        <w:t xml:space="preserve">From this understanding </w:t>
      </w:r>
      <w:r w:rsidR="006A30DA" w:rsidRPr="00CF3C36">
        <w:rPr>
          <w:lang w:val="en-GB"/>
        </w:rPr>
        <w:t>of firm and</w:t>
      </w:r>
      <w:r w:rsidR="004978B0" w:rsidRPr="00CF3C36">
        <w:rPr>
          <w:lang w:val="en-GB"/>
        </w:rPr>
        <w:t xml:space="preserve"> /</w:t>
      </w:r>
      <w:r w:rsidR="006A30DA" w:rsidRPr="00CF3C36">
        <w:rPr>
          <w:lang w:val="en-GB"/>
        </w:rPr>
        <w:t xml:space="preserve"> or sector level heterogeneity </w:t>
      </w:r>
      <w:r w:rsidRPr="00CF3C36">
        <w:rPr>
          <w:lang w:val="en-GB"/>
        </w:rPr>
        <w:t>t</w:t>
      </w:r>
      <w:r w:rsidR="00EC3399" w:rsidRPr="00CF3C36">
        <w:rPr>
          <w:lang w:val="en-GB"/>
        </w:rPr>
        <w:t>he theoretical model of Figure 5</w:t>
      </w:r>
      <w:r w:rsidRPr="00CF3C36">
        <w:rPr>
          <w:lang w:val="en-GB"/>
        </w:rPr>
        <w:t xml:space="preserve"> arises.</w:t>
      </w:r>
    </w:p>
    <w:p w14:paraId="31255C0A" w14:textId="446C8C0E" w:rsidR="003D1C37" w:rsidRPr="00CF3C36" w:rsidRDefault="00714740" w:rsidP="004978B0">
      <w:pPr>
        <w:spacing w:after="0" w:line="360" w:lineRule="auto"/>
        <w:ind w:firstLine="708"/>
        <w:jc w:val="both"/>
        <w:rPr>
          <w:lang w:val="en-GB"/>
        </w:rPr>
      </w:pPr>
      <w:r w:rsidRPr="00CF3C36">
        <w:rPr>
          <w:lang w:val="en-GB"/>
        </w:rPr>
        <w:t xml:space="preserve">This model describes the effects of a country increasing its </w:t>
      </w:r>
      <w:r w:rsidR="00DB1781" w:rsidRPr="00CF3C36">
        <w:rPr>
          <w:lang w:val="en-GB"/>
        </w:rPr>
        <w:t>EPS</w:t>
      </w:r>
      <w:r w:rsidRPr="00CF3C36">
        <w:rPr>
          <w:lang w:val="en-GB"/>
        </w:rPr>
        <w:t xml:space="preserve">. </w:t>
      </w:r>
      <w:r w:rsidR="00A97682" w:rsidRPr="00CF3C36">
        <w:rPr>
          <w:lang w:val="en-GB"/>
        </w:rPr>
        <w:t>One effect will be that some foreign firms remain in the country as the costs of abiding to the more stringent regulation are off-set by other factor</w:t>
      </w:r>
      <w:r w:rsidR="003E0BA8" w:rsidRPr="00CF3C36">
        <w:rPr>
          <w:lang w:val="en-GB"/>
        </w:rPr>
        <w:t>s</w:t>
      </w:r>
      <w:r w:rsidR="00A97682" w:rsidRPr="00CF3C36">
        <w:rPr>
          <w:lang w:val="en-GB"/>
        </w:rPr>
        <w:t xml:space="preserve"> in the location decision of the firm, such as the fixed costs of moving the company, the capital intensity of the host country, the level of human capital of the host country or other factors. These firms will then have to abide by the more stringent regulations and thus incorporate more sustainable practices.</w:t>
      </w:r>
      <w:r w:rsidR="003F5EA5" w:rsidRPr="00CF3C36">
        <w:rPr>
          <w:lang w:val="en-GB"/>
        </w:rPr>
        <w:t xml:space="preserve"> </w:t>
      </w:r>
      <w:r w:rsidR="00DC604A" w:rsidRPr="00CF3C36">
        <w:rPr>
          <w:lang w:val="en-GB"/>
        </w:rPr>
        <w:t>Another effect is that for pollution intense firms, these more stringent environmental regulation</w:t>
      </w:r>
      <w:r w:rsidR="00300F05" w:rsidRPr="00CF3C36">
        <w:rPr>
          <w:lang w:val="en-GB"/>
        </w:rPr>
        <w:t>s</w:t>
      </w:r>
      <w:r w:rsidR="00DC604A" w:rsidRPr="00CF3C36">
        <w:rPr>
          <w:lang w:val="en-GB"/>
        </w:rPr>
        <w:t xml:space="preserve"> might entail such high costs that these are not off-set by other factors</w:t>
      </w:r>
      <w:r w:rsidR="00300F05" w:rsidRPr="00CF3C36">
        <w:rPr>
          <w:lang w:val="en-GB"/>
        </w:rPr>
        <w:t>. T</w:t>
      </w:r>
      <w:r w:rsidR="00DC604A" w:rsidRPr="00CF3C36">
        <w:rPr>
          <w:lang w:val="en-GB"/>
        </w:rPr>
        <w:t xml:space="preserve">hese pollution intense firms will </w:t>
      </w:r>
      <w:r w:rsidR="00300F05" w:rsidRPr="00CF3C36">
        <w:rPr>
          <w:lang w:val="en-GB"/>
        </w:rPr>
        <w:t xml:space="preserve">then </w:t>
      </w:r>
      <w:r w:rsidR="00DC604A" w:rsidRPr="00CF3C36">
        <w:rPr>
          <w:lang w:val="en-GB"/>
        </w:rPr>
        <w:t xml:space="preserve">move their operations to a country with less stringent environmental policies (pollution haven </w:t>
      </w:r>
      <w:r w:rsidR="0047354E" w:rsidRPr="00CF3C36">
        <w:rPr>
          <w:lang w:val="en-GB"/>
        </w:rPr>
        <w:t>theory</w:t>
      </w:r>
      <w:r w:rsidR="00DC604A" w:rsidRPr="00CF3C36">
        <w:rPr>
          <w:lang w:val="en-GB"/>
        </w:rPr>
        <w:t xml:space="preserve">). </w:t>
      </w:r>
      <w:r w:rsidR="0078789F" w:rsidRPr="00CF3C36">
        <w:rPr>
          <w:lang w:val="en-GB"/>
        </w:rPr>
        <w:t xml:space="preserve">A third effect is that firms with high environmental capabilities will now invest in the country in order to exploit their </w:t>
      </w:r>
      <w:r w:rsidR="004568A6" w:rsidRPr="00CF3C36">
        <w:rPr>
          <w:lang w:val="en-GB"/>
        </w:rPr>
        <w:t>competitive</w:t>
      </w:r>
      <w:r w:rsidR="0078789F" w:rsidRPr="00CF3C36">
        <w:rPr>
          <w:lang w:val="en-GB"/>
        </w:rPr>
        <w:t xml:space="preserve"> advantage due to their high environmental capabilities</w:t>
      </w:r>
      <w:r w:rsidR="000C64D4" w:rsidRPr="00CF3C36">
        <w:rPr>
          <w:lang w:val="en-GB"/>
        </w:rPr>
        <w:t xml:space="preserve"> (induced innovation </w:t>
      </w:r>
      <w:r w:rsidR="0047354E" w:rsidRPr="00CF3C36">
        <w:rPr>
          <w:lang w:val="en-GB"/>
        </w:rPr>
        <w:t>theory</w:t>
      </w:r>
      <w:r w:rsidR="000C64D4" w:rsidRPr="00CF3C36">
        <w:rPr>
          <w:lang w:val="en-GB"/>
        </w:rPr>
        <w:t>)</w:t>
      </w:r>
      <w:r w:rsidR="0078789F" w:rsidRPr="00CF3C36">
        <w:rPr>
          <w:lang w:val="en-GB"/>
        </w:rPr>
        <w:t>.</w:t>
      </w:r>
      <w:r w:rsidR="00CD014E" w:rsidRPr="00CF3C36">
        <w:rPr>
          <w:lang w:val="en-GB"/>
        </w:rPr>
        <w:t xml:space="preserve"> Similarly firms in sectors in which a sustainable reputation is very important might also inve</w:t>
      </w:r>
      <w:r w:rsidR="00CF3C36">
        <w:rPr>
          <w:lang w:val="en-GB"/>
        </w:rPr>
        <w:t>st in this country because this</w:t>
      </w:r>
      <w:r w:rsidR="00CD014E" w:rsidRPr="00CF3C36">
        <w:rPr>
          <w:lang w:val="en-GB"/>
        </w:rPr>
        <w:t xml:space="preserve"> has now become an option as it will no longer harm their sustainable reputation (green haven theory).</w:t>
      </w:r>
      <w:r w:rsidR="0078789F" w:rsidRPr="00CF3C36">
        <w:rPr>
          <w:lang w:val="en-GB"/>
        </w:rPr>
        <w:t xml:space="preserve"> </w:t>
      </w:r>
      <w:r w:rsidR="00D02989" w:rsidRPr="00CF3C36">
        <w:rPr>
          <w:lang w:val="en-GB"/>
        </w:rPr>
        <w:t>All three o</w:t>
      </w:r>
      <w:r w:rsidR="00A07310" w:rsidRPr="00CF3C36">
        <w:rPr>
          <w:lang w:val="en-GB"/>
        </w:rPr>
        <w:t>f these effects will</w:t>
      </w:r>
      <w:r w:rsidR="00D02989" w:rsidRPr="00CF3C36">
        <w:rPr>
          <w:lang w:val="en-GB"/>
        </w:rPr>
        <w:t xml:space="preserve"> decrease the environmental footprint of the FDI per unit of output in this country. </w:t>
      </w:r>
    </w:p>
    <w:p w14:paraId="1426E68C" w14:textId="2A78A979" w:rsidR="00DC604A" w:rsidRPr="00CF3C36" w:rsidRDefault="00DC604A" w:rsidP="007D2FB8">
      <w:pPr>
        <w:jc w:val="both"/>
        <w:rPr>
          <w:lang w:val="en-GB"/>
        </w:rPr>
      </w:pPr>
      <w:r w:rsidRPr="00CF3C36">
        <w:rPr>
          <w:lang w:val="en-GB"/>
        </w:rPr>
        <w:br w:type="page"/>
      </w:r>
    </w:p>
    <w:p w14:paraId="703EF85C" w14:textId="4B79DE80" w:rsidR="00714740" w:rsidRPr="00CF3C36" w:rsidRDefault="00EC3399" w:rsidP="00AB3866">
      <w:pPr>
        <w:pStyle w:val="Heading4"/>
      </w:pPr>
      <w:bookmarkStart w:id="18" w:name="_Toc15475696"/>
      <w:r w:rsidRPr="00CF3C36">
        <w:lastRenderedPageBreak/>
        <w:t>Figure 5.</w:t>
      </w:r>
      <w:r w:rsidR="00714740" w:rsidRPr="00CF3C36">
        <w:t xml:space="preserve"> Theoretical Model</w:t>
      </w:r>
      <w:bookmarkEnd w:id="18"/>
    </w:p>
    <w:p w14:paraId="44B63392" w14:textId="24BAE847" w:rsidR="00E24F85" w:rsidRPr="00CF3C36" w:rsidRDefault="00E24F85" w:rsidP="00915DDB">
      <w:pPr>
        <w:jc w:val="center"/>
        <w:rPr>
          <w:lang w:val="en-GB"/>
        </w:rPr>
      </w:pPr>
      <w:r w:rsidRPr="00CF3C36">
        <w:rPr>
          <w:noProof/>
          <w:lang w:eastAsia="nl-NL"/>
        </w:rPr>
        <w:drawing>
          <wp:inline distT="0" distB="0" distL="0" distR="0" wp14:anchorId="316DC40F" wp14:editId="170D796B">
            <wp:extent cx="8312826" cy="3598921"/>
            <wp:effectExtent l="0" t="508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oretical model.png"/>
                    <pic:cNvPicPr/>
                  </pic:nvPicPr>
                  <pic:blipFill>
                    <a:blip r:embed="rId13">
                      <a:extLst>
                        <a:ext uri="{28A0092B-C50C-407E-A947-70E740481C1C}">
                          <a14:useLocalDpi xmlns:a14="http://schemas.microsoft.com/office/drawing/2010/main" val="0"/>
                        </a:ext>
                      </a:extLst>
                    </a:blip>
                    <a:stretch>
                      <a:fillRect/>
                    </a:stretch>
                  </pic:blipFill>
                  <pic:spPr bwMode="auto">
                    <a:xfrm rot="16200000">
                      <a:off x="0" y="0"/>
                      <a:ext cx="8312826" cy="3598921"/>
                    </a:xfrm>
                    <a:prstGeom prst="rect">
                      <a:avLst/>
                    </a:prstGeom>
                    <a:ln>
                      <a:noFill/>
                    </a:ln>
                    <a:extLst>
                      <a:ext uri="{53640926-AAD7-44D8-BBD7-CCE9431645EC}">
                        <a14:shadowObscured xmlns:a14="http://schemas.microsoft.com/office/drawing/2010/main"/>
                      </a:ext>
                    </a:extLst>
                  </pic:spPr>
                </pic:pic>
              </a:graphicData>
            </a:graphic>
          </wp:inline>
        </w:drawing>
      </w:r>
    </w:p>
    <w:p w14:paraId="3FCD2B21" w14:textId="7FD01E11" w:rsidR="0091554A" w:rsidRPr="00CF3C36" w:rsidRDefault="00DF7947" w:rsidP="00514653">
      <w:pPr>
        <w:spacing w:line="360" w:lineRule="auto"/>
        <w:ind w:firstLine="708"/>
        <w:jc w:val="both"/>
        <w:rPr>
          <w:lang w:val="en-GB"/>
        </w:rPr>
      </w:pPr>
      <w:r w:rsidRPr="00CF3C36">
        <w:rPr>
          <w:lang w:val="en-GB"/>
        </w:rPr>
        <w:lastRenderedPageBreak/>
        <w:t xml:space="preserve">This thesis will research whether these effects mentioned </w:t>
      </w:r>
      <w:r w:rsidR="001C434E" w:rsidRPr="00CF3C36">
        <w:rPr>
          <w:lang w:val="en-GB"/>
        </w:rPr>
        <w:t>above</w:t>
      </w:r>
      <w:r w:rsidRPr="00CF3C36">
        <w:rPr>
          <w:lang w:val="en-GB"/>
        </w:rPr>
        <w:t xml:space="preserve"> take place and thus whether and to what exten</w:t>
      </w:r>
      <w:r w:rsidR="007F797E" w:rsidRPr="00CF3C36">
        <w:rPr>
          <w:lang w:val="en-GB"/>
        </w:rPr>
        <w:t xml:space="preserve">t </w:t>
      </w:r>
      <w:r w:rsidRPr="00CF3C36">
        <w:rPr>
          <w:lang w:val="en-GB"/>
        </w:rPr>
        <w:t>a more stringent environmental regulation will decrease the environmental footprint of a country’s inward FDI per unit of output.</w:t>
      </w:r>
      <w:r w:rsidR="00CC73CD" w:rsidRPr="00CF3C36">
        <w:rPr>
          <w:lang w:val="en-GB"/>
        </w:rPr>
        <w:t xml:space="preserve"> In the first hypotheses, environmental footprint will be </w:t>
      </w:r>
      <w:r w:rsidR="001A63B5" w:rsidRPr="00CF3C36">
        <w:rPr>
          <w:lang w:val="en-GB"/>
        </w:rPr>
        <w:t>measured as pollution intensity.</w:t>
      </w:r>
      <w:r w:rsidRPr="00CF3C36">
        <w:rPr>
          <w:lang w:val="en-GB"/>
        </w:rPr>
        <w:t xml:space="preserve"> </w:t>
      </w:r>
      <w:r w:rsidR="0091554A" w:rsidRPr="00CF3C36">
        <w:rPr>
          <w:lang w:val="en-GB"/>
        </w:rPr>
        <w:t>Hypothesis 1 is related to the sectoral composition of the inward FDI of a country</w:t>
      </w:r>
      <w:r w:rsidR="003D47F2" w:rsidRPr="00CF3C36">
        <w:rPr>
          <w:lang w:val="en-GB"/>
        </w:rPr>
        <w:t>, the composition effect</w:t>
      </w:r>
      <w:r w:rsidR="0091554A" w:rsidRPr="00CF3C36">
        <w:rPr>
          <w:lang w:val="en-GB"/>
        </w:rPr>
        <w:t xml:space="preserve">. Here I expect that as the </w:t>
      </w:r>
      <w:r w:rsidR="00DB1781" w:rsidRPr="00CF3C36">
        <w:rPr>
          <w:lang w:val="en-GB"/>
        </w:rPr>
        <w:t>EPS</w:t>
      </w:r>
      <w:r w:rsidR="0091554A" w:rsidRPr="00CF3C36">
        <w:rPr>
          <w:lang w:val="en-GB"/>
        </w:rPr>
        <w:t xml:space="preserve"> of a country increases i.) some firms in pollution intense sectors will exit the country and ii.) some firms in less pollution intense sector</w:t>
      </w:r>
      <w:r w:rsidR="00DE15E0" w:rsidRPr="00CF3C36">
        <w:rPr>
          <w:lang w:val="en-GB"/>
        </w:rPr>
        <w:t>s</w:t>
      </w:r>
      <w:r w:rsidR="0091554A" w:rsidRPr="00CF3C36">
        <w:rPr>
          <w:lang w:val="en-GB"/>
        </w:rPr>
        <w:t xml:space="preserve"> will enter the country. Following from this is the </w:t>
      </w:r>
      <w:r w:rsidR="00DE15E0" w:rsidRPr="00CF3C36">
        <w:rPr>
          <w:lang w:val="en-GB"/>
        </w:rPr>
        <w:t>first</w:t>
      </w:r>
      <w:r w:rsidR="0091554A" w:rsidRPr="00CF3C36">
        <w:rPr>
          <w:lang w:val="en-GB"/>
        </w:rPr>
        <w:t xml:space="preserve"> hypothesis.</w:t>
      </w:r>
    </w:p>
    <w:p w14:paraId="3CFC6B21" w14:textId="468CB9F9" w:rsidR="0091554A" w:rsidRPr="00CF3C36" w:rsidRDefault="0091554A" w:rsidP="0049437C">
      <w:pPr>
        <w:spacing w:line="360" w:lineRule="auto"/>
        <w:jc w:val="both"/>
        <w:rPr>
          <w:i/>
          <w:lang w:val="en-GB"/>
        </w:rPr>
      </w:pPr>
      <w:r w:rsidRPr="00CF3C36">
        <w:rPr>
          <w:b/>
          <w:i/>
          <w:lang w:val="en-GB"/>
        </w:rPr>
        <w:t xml:space="preserve">Hypothesis 1: </w:t>
      </w:r>
      <w:r w:rsidRPr="00CF3C36">
        <w:rPr>
          <w:i/>
          <w:lang w:val="en-GB"/>
        </w:rPr>
        <w:t xml:space="preserve">An increase in a country’s </w:t>
      </w:r>
      <w:r w:rsidR="00DB1781" w:rsidRPr="00CF3C36">
        <w:rPr>
          <w:i/>
          <w:lang w:val="en-GB"/>
        </w:rPr>
        <w:t>EPS</w:t>
      </w:r>
      <w:r w:rsidRPr="00CF3C36">
        <w:rPr>
          <w:i/>
          <w:lang w:val="en-GB"/>
        </w:rPr>
        <w:t xml:space="preserve"> will result in the country’s inward FDI to flow more to sectors with a smaller </w:t>
      </w:r>
      <w:r w:rsidR="00CC73CD" w:rsidRPr="00CF3C36">
        <w:rPr>
          <w:i/>
          <w:lang w:val="en-GB"/>
        </w:rPr>
        <w:t>pollution intensity</w:t>
      </w:r>
      <w:r w:rsidRPr="00CF3C36">
        <w:rPr>
          <w:i/>
          <w:lang w:val="en-GB"/>
        </w:rPr>
        <w:t>.</w:t>
      </w:r>
    </w:p>
    <w:p w14:paraId="420346F0" w14:textId="0ECB9484" w:rsidR="00DE15E0" w:rsidRPr="00CF3C36" w:rsidRDefault="00DE15E0" w:rsidP="00514653">
      <w:pPr>
        <w:spacing w:line="360" w:lineRule="auto"/>
        <w:ind w:firstLine="708"/>
        <w:jc w:val="both"/>
        <w:rPr>
          <w:lang w:val="en-GB"/>
        </w:rPr>
      </w:pPr>
      <w:r w:rsidRPr="00CF3C36">
        <w:rPr>
          <w:lang w:val="en-GB"/>
        </w:rPr>
        <w:t>This hypothesis can reveal an overall effect, but it cannot disentangle</w:t>
      </w:r>
      <w:r w:rsidR="00300F05" w:rsidRPr="00CF3C36">
        <w:rPr>
          <w:lang w:val="en-GB"/>
        </w:rPr>
        <w:t xml:space="preserve"> if firms in</w:t>
      </w:r>
      <w:r w:rsidR="0039223B" w:rsidRPr="00CF3C36">
        <w:rPr>
          <w:lang w:val="en-GB"/>
        </w:rPr>
        <w:t xml:space="preserve"> more</w:t>
      </w:r>
      <w:r w:rsidR="00300F05" w:rsidRPr="00CF3C36">
        <w:rPr>
          <w:lang w:val="en-GB"/>
        </w:rPr>
        <w:t xml:space="preserve"> polluting sectors are leaving, firms in</w:t>
      </w:r>
      <w:r w:rsidR="0039223B" w:rsidRPr="00CF3C36">
        <w:rPr>
          <w:lang w:val="en-GB"/>
        </w:rPr>
        <w:t xml:space="preserve"> more</w:t>
      </w:r>
      <w:r w:rsidR="00300F05" w:rsidRPr="00CF3C36">
        <w:rPr>
          <w:lang w:val="en-GB"/>
        </w:rPr>
        <w:t xml:space="preserve"> sustainable sectors are entering or both. </w:t>
      </w:r>
      <w:r w:rsidRPr="00CF3C36">
        <w:rPr>
          <w:lang w:val="en-GB"/>
        </w:rPr>
        <w:t>In order to be able to disentangle these effect</w:t>
      </w:r>
      <w:r w:rsidR="00957209" w:rsidRPr="00CF3C36">
        <w:rPr>
          <w:lang w:val="en-GB"/>
        </w:rPr>
        <w:t>s</w:t>
      </w:r>
      <w:r w:rsidRPr="00CF3C36">
        <w:rPr>
          <w:lang w:val="en-GB"/>
        </w:rPr>
        <w:t xml:space="preserve"> two sub-hypotheses are put forward. For these hypotheses sectors in a host country will be divided into</w:t>
      </w:r>
      <w:r w:rsidR="003012CC" w:rsidRPr="00CF3C36">
        <w:rPr>
          <w:lang w:val="en-GB"/>
        </w:rPr>
        <w:t xml:space="preserve"> sectors with a</w:t>
      </w:r>
      <w:r w:rsidRPr="00CF3C36">
        <w:rPr>
          <w:lang w:val="en-GB"/>
        </w:rPr>
        <w:t xml:space="preserve"> pollution </w:t>
      </w:r>
      <w:r w:rsidR="0001457C" w:rsidRPr="00CF3C36">
        <w:rPr>
          <w:lang w:val="en-GB"/>
        </w:rPr>
        <w:t xml:space="preserve">intensity </w:t>
      </w:r>
      <w:r w:rsidR="003012CC" w:rsidRPr="00CF3C36">
        <w:rPr>
          <w:lang w:val="en-GB"/>
        </w:rPr>
        <w:t xml:space="preserve">above the mean value of that country </w:t>
      </w:r>
      <w:r w:rsidR="0001457C" w:rsidRPr="00CF3C36">
        <w:rPr>
          <w:lang w:val="en-GB"/>
        </w:rPr>
        <w:t xml:space="preserve">and </w:t>
      </w:r>
      <w:r w:rsidR="005E6EAF" w:rsidRPr="00CF3C36">
        <w:rPr>
          <w:lang w:val="en-GB"/>
        </w:rPr>
        <w:t xml:space="preserve">sectors with a </w:t>
      </w:r>
      <w:r w:rsidR="003012CC" w:rsidRPr="00CF3C36">
        <w:rPr>
          <w:lang w:val="en-GB"/>
        </w:rPr>
        <w:t>pollution intensity below the mean value of that country.</w:t>
      </w:r>
    </w:p>
    <w:p w14:paraId="0B44BE47" w14:textId="70786EB9" w:rsidR="00AD75C2" w:rsidRPr="00CF3C36" w:rsidRDefault="00DE15E0" w:rsidP="0049437C">
      <w:pPr>
        <w:spacing w:line="360" w:lineRule="auto"/>
        <w:jc w:val="both"/>
        <w:rPr>
          <w:i/>
          <w:lang w:val="en-GB"/>
        </w:rPr>
      </w:pPr>
      <w:r w:rsidRPr="00CF3C36">
        <w:rPr>
          <w:b/>
          <w:i/>
          <w:lang w:val="en-GB"/>
        </w:rPr>
        <w:t xml:space="preserve">Hypothesis 1.1: </w:t>
      </w:r>
      <w:r w:rsidRPr="00CF3C36">
        <w:rPr>
          <w:i/>
          <w:lang w:val="en-GB"/>
        </w:rPr>
        <w:t xml:space="preserve">An increase in a country’s EPS will result in </w:t>
      </w:r>
      <w:r w:rsidR="00AD75C2" w:rsidRPr="00CF3C36">
        <w:rPr>
          <w:i/>
          <w:lang w:val="en-GB"/>
        </w:rPr>
        <w:t>a decrease</w:t>
      </w:r>
      <w:r w:rsidR="00634305" w:rsidRPr="00CF3C36">
        <w:rPr>
          <w:i/>
          <w:lang w:val="en-GB"/>
        </w:rPr>
        <w:t xml:space="preserve"> of FDI to sectors that have a high </w:t>
      </w:r>
      <w:r w:rsidR="00AD75C2" w:rsidRPr="00CF3C36">
        <w:rPr>
          <w:i/>
          <w:lang w:val="en-GB"/>
        </w:rPr>
        <w:t>pollution intensity.</w:t>
      </w:r>
    </w:p>
    <w:p w14:paraId="1CD57241" w14:textId="7B34DC58" w:rsidR="00AD75C2" w:rsidRPr="00CF3C36" w:rsidRDefault="00AD75C2" w:rsidP="0049437C">
      <w:pPr>
        <w:spacing w:line="360" w:lineRule="auto"/>
        <w:jc w:val="both"/>
        <w:rPr>
          <w:i/>
          <w:lang w:val="en-GB"/>
        </w:rPr>
      </w:pPr>
      <w:r w:rsidRPr="00CF3C36">
        <w:rPr>
          <w:b/>
          <w:i/>
          <w:lang w:val="en-GB"/>
        </w:rPr>
        <w:t xml:space="preserve">Hypothesis 1.2: </w:t>
      </w:r>
      <w:r w:rsidRPr="00CF3C36">
        <w:rPr>
          <w:i/>
          <w:lang w:val="en-GB"/>
        </w:rPr>
        <w:t xml:space="preserve">An increase in a country’s EPS will result in an increase of FDI to sectors that have a </w:t>
      </w:r>
      <w:r w:rsidR="00634305" w:rsidRPr="00CF3C36">
        <w:rPr>
          <w:i/>
          <w:lang w:val="en-GB"/>
        </w:rPr>
        <w:t xml:space="preserve">low </w:t>
      </w:r>
      <w:r w:rsidRPr="00CF3C36">
        <w:rPr>
          <w:i/>
          <w:lang w:val="en-GB"/>
        </w:rPr>
        <w:t>pollution intensity.</w:t>
      </w:r>
    </w:p>
    <w:p w14:paraId="4B935C04" w14:textId="0C3510F4" w:rsidR="00AD75C2" w:rsidRPr="00CF3C36" w:rsidRDefault="00957209" w:rsidP="00DB5DE7">
      <w:pPr>
        <w:spacing w:after="0" w:line="360" w:lineRule="auto"/>
        <w:jc w:val="both"/>
        <w:rPr>
          <w:i/>
          <w:lang w:val="en-GB"/>
        </w:rPr>
      </w:pPr>
      <w:r w:rsidRPr="00CF3C36">
        <w:rPr>
          <w:lang w:val="en-GB"/>
        </w:rPr>
        <w:t>These hypotheses can give</w:t>
      </w:r>
      <w:r w:rsidR="00AD75C2" w:rsidRPr="00CF3C36">
        <w:rPr>
          <w:lang w:val="en-GB"/>
        </w:rPr>
        <w:t xml:space="preserve"> insight in whether the two described effects take place and to what extent both of them do. </w:t>
      </w:r>
    </w:p>
    <w:p w14:paraId="1BEC21E4" w14:textId="44E960CC" w:rsidR="006F41A4" w:rsidRPr="00CF3C36" w:rsidRDefault="0091554A" w:rsidP="00DB5DE7">
      <w:pPr>
        <w:spacing w:after="0" w:line="360" w:lineRule="auto"/>
        <w:ind w:firstLine="708"/>
        <w:jc w:val="both"/>
        <w:rPr>
          <w:lang w:val="en-GB"/>
        </w:rPr>
      </w:pPr>
      <w:r w:rsidRPr="00CF3C36">
        <w:rPr>
          <w:lang w:val="en-GB"/>
        </w:rPr>
        <w:t>H</w:t>
      </w:r>
      <w:r w:rsidR="00DF7947" w:rsidRPr="00CF3C36">
        <w:rPr>
          <w:lang w:val="en-GB"/>
        </w:rPr>
        <w:t xml:space="preserve">ypothesis </w:t>
      </w:r>
      <w:r w:rsidRPr="00CF3C36">
        <w:rPr>
          <w:lang w:val="en-GB"/>
        </w:rPr>
        <w:t xml:space="preserve">2 </w:t>
      </w:r>
      <w:r w:rsidR="00DF7947" w:rsidRPr="00CF3C36">
        <w:rPr>
          <w:lang w:val="en-GB"/>
        </w:rPr>
        <w:t>relates to the firm-level heterogeneity and loo</w:t>
      </w:r>
      <w:r w:rsidR="000A0097" w:rsidRPr="00CF3C36">
        <w:rPr>
          <w:lang w:val="en-GB"/>
        </w:rPr>
        <w:t>ks at the effect of the level of EPS on the environmental capabilities of the attracted FDI, this is the technique effect</w:t>
      </w:r>
      <w:r w:rsidR="00DF7947" w:rsidRPr="00CF3C36">
        <w:rPr>
          <w:lang w:val="en-GB"/>
        </w:rPr>
        <w:t xml:space="preserve">. Here I expect that as the </w:t>
      </w:r>
      <w:r w:rsidR="00DB1781" w:rsidRPr="00CF3C36">
        <w:rPr>
          <w:lang w:val="en-GB"/>
        </w:rPr>
        <w:t>EPS</w:t>
      </w:r>
      <w:r w:rsidR="00DF7947" w:rsidRPr="00CF3C36">
        <w:rPr>
          <w:lang w:val="en-GB"/>
        </w:rPr>
        <w:t xml:space="preserve"> of a count</w:t>
      </w:r>
      <w:r w:rsidR="006F41A4" w:rsidRPr="00CF3C36">
        <w:rPr>
          <w:lang w:val="en-GB"/>
        </w:rPr>
        <w:t xml:space="preserve">ry increases i.) some firms </w:t>
      </w:r>
      <w:r w:rsidR="00DF7947" w:rsidRPr="00CF3C36">
        <w:rPr>
          <w:lang w:val="en-GB"/>
        </w:rPr>
        <w:t xml:space="preserve">will abide by the new regulations and incorporate more sustainable practices, ii.) some firms with low environmental capabilities will exit the country and iii.) some firms with high environmental capabilities will enter the country. </w:t>
      </w:r>
      <w:r w:rsidR="0039223B" w:rsidRPr="00CF3C36">
        <w:rPr>
          <w:lang w:val="en-GB"/>
        </w:rPr>
        <w:t>As the environmental capabilities of a firm are difficult to measure and no data is available to measure this directly, a sort of case-study in performed in the energy sector.</w:t>
      </w:r>
      <w:r w:rsidR="003F4E50" w:rsidRPr="00CF3C36">
        <w:rPr>
          <w:lang w:val="en-GB"/>
        </w:rPr>
        <w:t xml:space="preserve"> As a clean energy sector is also vitally important for the transition to an environmentally sustainable society, it is interesting to take a closer look at this sector. </w:t>
      </w:r>
      <w:r w:rsidR="0039223B" w:rsidRPr="00CF3C36">
        <w:rPr>
          <w:lang w:val="en-GB"/>
        </w:rPr>
        <w:t>In this sector</w:t>
      </w:r>
      <w:r w:rsidR="00D119F1" w:rsidRPr="00CF3C36">
        <w:rPr>
          <w:lang w:val="en-GB"/>
        </w:rPr>
        <w:t>,</w:t>
      </w:r>
      <w:r w:rsidR="0039223B" w:rsidRPr="00CF3C36">
        <w:rPr>
          <w:lang w:val="en-GB"/>
        </w:rPr>
        <w:t xml:space="preserve"> data is available that distinguishes FDI into </w:t>
      </w:r>
      <w:r w:rsidR="002A2AB0" w:rsidRPr="00CF3C36">
        <w:rPr>
          <w:lang w:val="en-GB"/>
        </w:rPr>
        <w:t>the coal, oil and gas sector</w:t>
      </w:r>
      <w:r w:rsidR="00D119F1" w:rsidRPr="00CF3C36">
        <w:rPr>
          <w:lang w:val="en-GB"/>
        </w:rPr>
        <w:t xml:space="preserve"> (brown energy)</w:t>
      </w:r>
      <w:r w:rsidR="0039223B" w:rsidRPr="00CF3C36">
        <w:rPr>
          <w:lang w:val="en-GB"/>
        </w:rPr>
        <w:t xml:space="preserve"> and FDI into </w:t>
      </w:r>
      <w:r w:rsidR="002A2AB0" w:rsidRPr="00CF3C36">
        <w:rPr>
          <w:lang w:val="en-GB"/>
        </w:rPr>
        <w:t>renewable energy sector</w:t>
      </w:r>
      <w:r w:rsidR="00D119F1" w:rsidRPr="00CF3C36">
        <w:rPr>
          <w:lang w:val="en-GB"/>
        </w:rPr>
        <w:t xml:space="preserve"> (green energy)</w:t>
      </w:r>
      <w:r w:rsidR="0039223B" w:rsidRPr="00CF3C36">
        <w:rPr>
          <w:lang w:val="en-GB"/>
        </w:rPr>
        <w:t xml:space="preserve">. </w:t>
      </w:r>
      <w:r w:rsidR="00452C6D" w:rsidRPr="00CF3C36">
        <w:rPr>
          <w:lang w:val="en-GB"/>
        </w:rPr>
        <w:t xml:space="preserve">This analysis will view investments in the coal, oil and gas sector as investment from firms with low environmental capabilities and investment in renewable energy sector as investment from firm with high environmental capabilities. It is also assumed that the environmental footprint of an investment in the renewable energy sector is lower </w:t>
      </w:r>
      <w:r w:rsidR="00452C6D" w:rsidRPr="00CF3C36">
        <w:rPr>
          <w:lang w:val="en-GB"/>
        </w:rPr>
        <w:lastRenderedPageBreak/>
        <w:t>than that of an investment in the coal, oil and gas sector</w:t>
      </w:r>
      <w:r w:rsidR="0075494F" w:rsidRPr="00CF3C36">
        <w:rPr>
          <w:lang w:val="en-GB"/>
        </w:rPr>
        <w:t>. I expect that as the EPS of a country increases i.) some firms will decrease investment in fossil fuels and instead invest in renewable energy, ii.) some firms in the fossil fuel industry will exit the country and iii.) some firms in the renewable energy industry will enter the country. Thus, the following hypothesis is formulated.</w:t>
      </w:r>
    </w:p>
    <w:p w14:paraId="373733E6" w14:textId="1B867FFE" w:rsidR="0075494F" w:rsidRPr="00CF3C36" w:rsidRDefault="00DC2483" w:rsidP="00E447C5">
      <w:pPr>
        <w:spacing w:after="0" w:line="360" w:lineRule="auto"/>
        <w:jc w:val="both"/>
        <w:rPr>
          <w:i/>
          <w:lang w:val="en-GB"/>
        </w:rPr>
      </w:pPr>
      <w:r w:rsidRPr="00CF3C36">
        <w:rPr>
          <w:b/>
          <w:i/>
          <w:lang w:val="en-GB"/>
        </w:rPr>
        <w:t>Hypothesis 2</w:t>
      </w:r>
      <w:r w:rsidR="0075494F" w:rsidRPr="00CF3C36">
        <w:rPr>
          <w:b/>
          <w:i/>
          <w:lang w:val="en-GB"/>
        </w:rPr>
        <w:t xml:space="preserve">: </w:t>
      </w:r>
      <w:r w:rsidR="00B91425" w:rsidRPr="00CF3C36">
        <w:rPr>
          <w:i/>
          <w:lang w:val="en-GB"/>
        </w:rPr>
        <w:t>An increase in a country’s EPS will increase the FDI in renewable energy relative to the FDI in fossil fuels.</w:t>
      </w:r>
    </w:p>
    <w:p w14:paraId="1598DB6D" w14:textId="79CAACB2" w:rsidR="0075494F" w:rsidRPr="00CF3C36" w:rsidRDefault="00E447C5" w:rsidP="00E447C5">
      <w:pPr>
        <w:spacing w:after="0" w:line="360" w:lineRule="auto"/>
        <w:ind w:firstLine="708"/>
        <w:jc w:val="both"/>
        <w:rPr>
          <w:lang w:val="en-GB"/>
        </w:rPr>
      </w:pPr>
      <w:r w:rsidRPr="00CF3C36">
        <w:rPr>
          <w:lang w:val="en-GB"/>
        </w:rPr>
        <w:t>As was the case for H</w:t>
      </w:r>
      <w:r w:rsidR="0075494F" w:rsidRPr="00CF3C36">
        <w:rPr>
          <w:lang w:val="en-GB"/>
        </w:rPr>
        <w:t>ypothesis 1, it is difficult to disentangle the different effects that might take place simultaneously with this hypothesis. However, it is possible to do so by introdu</w:t>
      </w:r>
      <w:r w:rsidRPr="00CF3C36">
        <w:rPr>
          <w:lang w:val="en-GB"/>
        </w:rPr>
        <w:t>cing the following sub-hypothese</w:t>
      </w:r>
      <w:r w:rsidR="0075494F" w:rsidRPr="00CF3C36">
        <w:rPr>
          <w:lang w:val="en-GB"/>
        </w:rPr>
        <w:t>s.</w:t>
      </w:r>
    </w:p>
    <w:p w14:paraId="13D0664D" w14:textId="1ADAC1A8" w:rsidR="0075494F" w:rsidRPr="00CF3C36" w:rsidRDefault="0075494F" w:rsidP="0049437C">
      <w:pPr>
        <w:spacing w:line="360" w:lineRule="auto"/>
        <w:jc w:val="both"/>
        <w:rPr>
          <w:i/>
          <w:lang w:val="en-GB"/>
        </w:rPr>
      </w:pPr>
      <w:r w:rsidRPr="00CF3C36">
        <w:rPr>
          <w:b/>
          <w:i/>
          <w:lang w:val="en-GB"/>
        </w:rPr>
        <w:t>Hypothesis 2</w:t>
      </w:r>
      <w:r w:rsidR="00B8377E" w:rsidRPr="00CF3C36">
        <w:rPr>
          <w:b/>
          <w:i/>
          <w:lang w:val="en-GB"/>
        </w:rPr>
        <w:t>.1</w:t>
      </w:r>
      <w:r w:rsidRPr="00CF3C36">
        <w:rPr>
          <w:b/>
          <w:i/>
          <w:lang w:val="en-GB"/>
        </w:rPr>
        <w:t xml:space="preserve">: </w:t>
      </w:r>
      <w:r w:rsidRPr="00CF3C36">
        <w:rPr>
          <w:i/>
          <w:lang w:val="en-GB"/>
        </w:rPr>
        <w:t xml:space="preserve">An increase in a country’s EPS will decrease the </w:t>
      </w:r>
      <w:r w:rsidR="00B8377E" w:rsidRPr="00CF3C36">
        <w:rPr>
          <w:i/>
          <w:lang w:val="en-GB"/>
        </w:rPr>
        <w:t>FDI</w:t>
      </w:r>
      <w:r w:rsidRPr="00CF3C36">
        <w:rPr>
          <w:i/>
          <w:lang w:val="en-GB"/>
        </w:rPr>
        <w:t xml:space="preserve"> in fossil fuels. </w:t>
      </w:r>
    </w:p>
    <w:p w14:paraId="3CCA9E08" w14:textId="28ABFAB8" w:rsidR="00B8377E" w:rsidRPr="00CF3C36" w:rsidRDefault="00B8377E" w:rsidP="0049437C">
      <w:pPr>
        <w:spacing w:line="360" w:lineRule="auto"/>
        <w:jc w:val="both"/>
        <w:rPr>
          <w:i/>
          <w:lang w:val="en-GB"/>
        </w:rPr>
      </w:pPr>
      <w:r w:rsidRPr="00CF3C36">
        <w:rPr>
          <w:b/>
          <w:i/>
          <w:lang w:val="en-GB"/>
        </w:rPr>
        <w:t xml:space="preserve">Hypothesis 2.a.2: </w:t>
      </w:r>
      <w:r w:rsidRPr="00CF3C36">
        <w:rPr>
          <w:i/>
          <w:lang w:val="en-GB"/>
        </w:rPr>
        <w:t xml:space="preserve">An increase in a country’s EPS will increase the FDI in renewable energy. </w:t>
      </w:r>
    </w:p>
    <w:p w14:paraId="2C17B0B0" w14:textId="007EA932" w:rsidR="006C6AB4" w:rsidRPr="00CF3C36" w:rsidRDefault="00957209" w:rsidP="0049437C">
      <w:pPr>
        <w:spacing w:line="360" w:lineRule="auto"/>
        <w:jc w:val="both"/>
        <w:rPr>
          <w:i/>
          <w:lang w:val="en-GB"/>
        </w:rPr>
      </w:pPr>
      <w:r w:rsidRPr="00CF3C36">
        <w:rPr>
          <w:lang w:val="en-GB"/>
        </w:rPr>
        <w:t>These hypotheses can give</w:t>
      </w:r>
      <w:r w:rsidR="006C6AB4" w:rsidRPr="00CF3C36">
        <w:rPr>
          <w:lang w:val="en-GB"/>
        </w:rPr>
        <w:t xml:space="preserve"> insight in whether the two described effects take place and to what extent both of them do. </w:t>
      </w:r>
    </w:p>
    <w:p w14:paraId="47E45342" w14:textId="77777777" w:rsidR="00DF7947" w:rsidRPr="00CF3C36" w:rsidRDefault="00DF7947" w:rsidP="007D2FB8">
      <w:pPr>
        <w:jc w:val="both"/>
        <w:rPr>
          <w:lang w:val="en-GB"/>
        </w:rPr>
      </w:pPr>
    </w:p>
    <w:p w14:paraId="7A0DEB9C" w14:textId="77777777" w:rsidR="002033D6" w:rsidRPr="00CF3C36" w:rsidRDefault="002033D6" w:rsidP="007D2FB8">
      <w:pPr>
        <w:jc w:val="both"/>
        <w:rPr>
          <w:lang w:val="en-GB"/>
        </w:rPr>
      </w:pPr>
    </w:p>
    <w:p w14:paraId="0314B16B" w14:textId="77777777" w:rsidR="002149E4" w:rsidRPr="00CF3C36" w:rsidRDefault="002149E4" w:rsidP="007D2FB8">
      <w:pPr>
        <w:pStyle w:val="Heading1"/>
        <w:jc w:val="both"/>
        <w:rPr>
          <w:lang w:val="en-GB"/>
        </w:rPr>
      </w:pPr>
      <w:r w:rsidRPr="00CF3C36">
        <w:rPr>
          <w:lang w:val="en-GB"/>
        </w:rPr>
        <w:br w:type="page"/>
      </w:r>
    </w:p>
    <w:p w14:paraId="4BE6FF28" w14:textId="5811AC18" w:rsidR="002033D6" w:rsidRPr="00CF3C36" w:rsidRDefault="0051739C" w:rsidP="007D2FB8">
      <w:pPr>
        <w:pStyle w:val="Heading1"/>
        <w:jc w:val="both"/>
        <w:rPr>
          <w:lang w:val="en-GB"/>
        </w:rPr>
      </w:pPr>
      <w:bookmarkStart w:id="19" w:name="_Toc15480006"/>
      <w:r w:rsidRPr="00CF3C36">
        <w:rPr>
          <w:lang w:val="en-GB"/>
        </w:rPr>
        <w:lastRenderedPageBreak/>
        <w:t>3.</w:t>
      </w:r>
      <w:r w:rsidR="00303B6D" w:rsidRPr="00CF3C36">
        <w:rPr>
          <w:lang w:val="en-GB"/>
        </w:rPr>
        <w:t xml:space="preserve"> </w:t>
      </w:r>
      <w:r w:rsidR="002033D6" w:rsidRPr="00CF3C36">
        <w:rPr>
          <w:lang w:val="en-GB"/>
        </w:rPr>
        <w:t>Methodological Approach</w:t>
      </w:r>
      <w:bookmarkEnd w:id="19"/>
    </w:p>
    <w:p w14:paraId="0A6EE1BE" w14:textId="503FF6D1" w:rsidR="00DD09E1" w:rsidRPr="00CF3C36" w:rsidRDefault="00DD09E1" w:rsidP="0049437C">
      <w:pPr>
        <w:spacing w:line="360" w:lineRule="auto"/>
        <w:jc w:val="both"/>
        <w:rPr>
          <w:lang w:val="en-GB"/>
        </w:rPr>
      </w:pPr>
      <w:r w:rsidRPr="00CF3C36">
        <w:rPr>
          <w:lang w:val="en-GB"/>
        </w:rPr>
        <w:t>In order to test the hypotheses that we</w:t>
      </w:r>
      <w:r w:rsidR="000C4388" w:rsidRPr="00CF3C36">
        <w:rPr>
          <w:lang w:val="en-GB"/>
        </w:rPr>
        <w:t>re</w:t>
      </w:r>
      <w:r w:rsidRPr="00CF3C36">
        <w:rPr>
          <w:lang w:val="en-GB"/>
        </w:rPr>
        <w:t xml:space="preserve"> </w:t>
      </w:r>
      <w:r w:rsidR="008C5AC6" w:rsidRPr="00CF3C36">
        <w:rPr>
          <w:lang w:val="en-GB"/>
        </w:rPr>
        <w:t>put forward</w:t>
      </w:r>
      <w:r w:rsidRPr="00CF3C36">
        <w:rPr>
          <w:lang w:val="en-GB"/>
        </w:rPr>
        <w:t xml:space="preserve"> in the previous chapter an empirical analysis will be performed. First the data that will be used for the different variables will be discussed </w:t>
      </w:r>
      <w:r w:rsidR="001C434E" w:rsidRPr="00CF3C36">
        <w:rPr>
          <w:lang w:val="en-GB"/>
        </w:rPr>
        <w:t>after which</w:t>
      </w:r>
      <w:r w:rsidRPr="00CF3C36">
        <w:rPr>
          <w:lang w:val="en-GB"/>
        </w:rPr>
        <w:t xml:space="preserve"> the empirical methods that will be used to perform this test will be elaborated on. </w:t>
      </w:r>
    </w:p>
    <w:p w14:paraId="2B392BE9" w14:textId="3903F0BB" w:rsidR="00F939CD" w:rsidRPr="00CF3C36" w:rsidRDefault="0051739C" w:rsidP="00F939CD">
      <w:pPr>
        <w:pStyle w:val="Heading2"/>
        <w:rPr>
          <w:lang w:val="en-GB"/>
        </w:rPr>
      </w:pPr>
      <w:bookmarkStart w:id="20" w:name="_Toc15480007"/>
      <w:r w:rsidRPr="00CF3C36">
        <w:rPr>
          <w:lang w:val="en-GB"/>
        </w:rPr>
        <w:t xml:space="preserve">3.1 </w:t>
      </w:r>
      <w:r w:rsidR="00F939CD" w:rsidRPr="00CF3C36">
        <w:rPr>
          <w:lang w:val="en-GB"/>
        </w:rPr>
        <w:t>Data Description</w:t>
      </w:r>
      <w:bookmarkEnd w:id="20"/>
    </w:p>
    <w:p w14:paraId="4A0EBD57" w14:textId="159A4249" w:rsidR="003B40FB" w:rsidRPr="00CF3C36" w:rsidRDefault="0056149E" w:rsidP="00445C12">
      <w:pPr>
        <w:spacing w:after="0" w:line="360" w:lineRule="auto"/>
        <w:jc w:val="both"/>
        <w:rPr>
          <w:lang w:val="en-GB"/>
        </w:rPr>
      </w:pPr>
      <w:r w:rsidRPr="00CF3C36">
        <w:rPr>
          <w:lang w:val="en-GB"/>
        </w:rPr>
        <w:t xml:space="preserve">To answer our two </w:t>
      </w:r>
      <w:r w:rsidR="008A65D9" w:rsidRPr="00CF3C36">
        <w:rPr>
          <w:lang w:val="en-GB"/>
        </w:rPr>
        <w:t xml:space="preserve">main </w:t>
      </w:r>
      <w:r w:rsidRPr="00CF3C36">
        <w:rPr>
          <w:lang w:val="en-GB"/>
        </w:rPr>
        <w:t>hypotheses, slightly different datasets a</w:t>
      </w:r>
      <w:r w:rsidR="008A65D9" w:rsidRPr="00CF3C36">
        <w:rPr>
          <w:lang w:val="en-GB"/>
        </w:rPr>
        <w:t>re used. For the first hypothesi</w:t>
      </w:r>
      <w:r w:rsidRPr="00CF3C36">
        <w:rPr>
          <w:lang w:val="en-GB"/>
        </w:rPr>
        <w:t xml:space="preserve">s data is available for </w:t>
      </w:r>
      <w:r w:rsidR="008C5AC6" w:rsidRPr="00CF3C36">
        <w:rPr>
          <w:lang w:val="en-GB"/>
        </w:rPr>
        <w:t>54</w:t>
      </w:r>
      <w:r w:rsidR="000E0840" w:rsidRPr="00CF3C36">
        <w:rPr>
          <w:lang w:val="en-GB"/>
        </w:rPr>
        <w:t xml:space="preserve"> countries from </w:t>
      </w:r>
      <w:r w:rsidR="004203DF" w:rsidRPr="00CF3C36">
        <w:rPr>
          <w:lang w:val="en-GB"/>
        </w:rPr>
        <w:t xml:space="preserve">many different regions of the world </w:t>
      </w:r>
      <w:r w:rsidR="000E0840" w:rsidRPr="00CF3C36">
        <w:rPr>
          <w:lang w:val="en-GB"/>
        </w:rPr>
        <w:t xml:space="preserve">for the </w:t>
      </w:r>
      <w:r w:rsidR="00397224" w:rsidRPr="00CF3C36">
        <w:rPr>
          <w:lang w:val="en-GB"/>
        </w:rPr>
        <w:t>eight</w:t>
      </w:r>
      <w:r w:rsidR="003C0BEB" w:rsidRPr="00CF3C36">
        <w:rPr>
          <w:lang w:val="en-GB"/>
        </w:rPr>
        <w:t>-year</w:t>
      </w:r>
      <w:r w:rsidR="00397224" w:rsidRPr="00CF3C36">
        <w:rPr>
          <w:lang w:val="en-GB"/>
        </w:rPr>
        <w:t xml:space="preserve"> period from 2009</w:t>
      </w:r>
      <w:r w:rsidR="000E0840" w:rsidRPr="00CF3C36">
        <w:rPr>
          <w:lang w:val="en-GB"/>
        </w:rPr>
        <w:t>-201</w:t>
      </w:r>
      <w:r w:rsidR="003C0BEB" w:rsidRPr="00CF3C36">
        <w:rPr>
          <w:lang w:val="en-GB"/>
        </w:rPr>
        <w:t>6</w:t>
      </w:r>
      <w:r w:rsidR="000E0840" w:rsidRPr="00CF3C36">
        <w:rPr>
          <w:lang w:val="en-GB"/>
        </w:rPr>
        <w:t xml:space="preserve">. </w:t>
      </w:r>
      <w:r w:rsidR="008A65D9" w:rsidRPr="00CF3C36">
        <w:rPr>
          <w:lang w:val="en-GB"/>
        </w:rPr>
        <w:t>For hy</w:t>
      </w:r>
      <w:r w:rsidR="009A5D63" w:rsidRPr="00CF3C36">
        <w:rPr>
          <w:lang w:val="en-GB"/>
        </w:rPr>
        <w:t xml:space="preserve">pothesis </w:t>
      </w:r>
      <w:r w:rsidR="008A65D9" w:rsidRPr="00CF3C36">
        <w:rPr>
          <w:lang w:val="en-GB"/>
        </w:rPr>
        <w:t xml:space="preserve">2 </w:t>
      </w:r>
      <w:r w:rsidR="009A5D63" w:rsidRPr="00CF3C36">
        <w:rPr>
          <w:lang w:val="en-GB"/>
        </w:rPr>
        <w:t>data is available for 7</w:t>
      </w:r>
      <w:r w:rsidR="008A65D9" w:rsidRPr="00CF3C36">
        <w:rPr>
          <w:lang w:val="en-GB"/>
        </w:rPr>
        <w:t>1</w:t>
      </w:r>
      <w:r w:rsidR="003C0BEB" w:rsidRPr="00CF3C36">
        <w:rPr>
          <w:lang w:val="en-GB"/>
        </w:rPr>
        <w:t xml:space="preserve"> countries</w:t>
      </w:r>
      <w:r w:rsidR="008A65D9" w:rsidRPr="00CF3C36">
        <w:rPr>
          <w:lang w:val="en-GB"/>
        </w:rPr>
        <w:t xml:space="preserve"> </w:t>
      </w:r>
      <w:r w:rsidR="003C0BEB" w:rsidRPr="00CF3C36">
        <w:rPr>
          <w:lang w:val="en-GB"/>
        </w:rPr>
        <w:t>for the</w:t>
      </w:r>
      <w:r w:rsidR="0080716A" w:rsidRPr="00CF3C36">
        <w:rPr>
          <w:lang w:val="en-GB"/>
        </w:rPr>
        <w:t xml:space="preserve"> five-</w:t>
      </w:r>
      <w:r w:rsidR="003C0BEB" w:rsidRPr="00CF3C36">
        <w:rPr>
          <w:lang w:val="en-GB"/>
        </w:rPr>
        <w:t>year</w:t>
      </w:r>
      <w:r w:rsidR="0080716A" w:rsidRPr="00CF3C36">
        <w:rPr>
          <w:lang w:val="en-GB"/>
        </w:rPr>
        <w:t xml:space="preserve"> period from</w:t>
      </w:r>
      <w:r w:rsidR="003C0BEB" w:rsidRPr="00CF3C36">
        <w:rPr>
          <w:lang w:val="en-GB"/>
        </w:rPr>
        <w:t xml:space="preserve"> 2013-2017.</w:t>
      </w:r>
      <w:r w:rsidR="008A65D9" w:rsidRPr="00CF3C36">
        <w:rPr>
          <w:lang w:val="en-GB"/>
        </w:rPr>
        <w:t xml:space="preserve"> For the Hypotheses 2.1 and 2.2 data is available for 74 countries for the same period. Tables 6, 7 and 8 in the appendix show all the countries used in every model.</w:t>
      </w:r>
    </w:p>
    <w:p w14:paraId="22FBB788" w14:textId="3BB7DD97" w:rsidR="003B40FB" w:rsidRPr="00CF3C36" w:rsidRDefault="0051739C" w:rsidP="004C7D99">
      <w:pPr>
        <w:pStyle w:val="Heading3"/>
        <w:spacing w:before="120" w:line="360" w:lineRule="auto"/>
        <w:rPr>
          <w:lang w:val="en-GB"/>
        </w:rPr>
      </w:pPr>
      <w:bookmarkStart w:id="21" w:name="_Toc15480008"/>
      <w:r w:rsidRPr="00CF3C36">
        <w:rPr>
          <w:lang w:val="en-GB"/>
        </w:rPr>
        <w:t>3.1.1</w:t>
      </w:r>
      <w:r w:rsidR="004C7D99" w:rsidRPr="00CF3C36">
        <w:rPr>
          <w:lang w:val="en-GB"/>
        </w:rPr>
        <w:t xml:space="preserve"> </w:t>
      </w:r>
      <w:r w:rsidR="003B40FB" w:rsidRPr="00CF3C36">
        <w:rPr>
          <w:lang w:val="en-GB"/>
        </w:rPr>
        <w:t>Dependent variable</w:t>
      </w:r>
      <w:bookmarkEnd w:id="21"/>
    </w:p>
    <w:p w14:paraId="1DE4008C" w14:textId="3E5FCCBF" w:rsidR="00440FDB" w:rsidRPr="00CF3C36" w:rsidRDefault="003B40FB" w:rsidP="0057782E">
      <w:pPr>
        <w:spacing w:after="0" w:line="360" w:lineRule="auto"/>
        <w:jc w:val="both"/>
        <w:rPr>
          <w:lang w:val="en-GB"/>
        </w:rPr>
      </w:pPr>
      <w:r w:rsidRPr="00CF3C36">
        <w:rPr>
          <w:lang w:val="en-GB"/>
        </w:rPr>
        <w:t>The dependent v</w:t>
      </w:r>
      <w:r w:rsidR="00790288" w:rsidRPr="00CF3C36">
        <w:rPr>
          <w:lang w:val="en-GB"/>
        </w:rPr>
        <w:t>ariable for the hypothesis 1</w:t>
      </w:r>
      <w:r w:rsidR="007F1454" w:rsidRPr="00CF3C36">
        <w:rPr>
          <w:lang w:val="en-GB"/>
        </w:rPr>
        <w:t>, looking at changes in sectoral composition,</w:t>
      </w:r>
      <w:r w:rsidR="00E12C28" w:rsidRPr="00CF3C36">
        <w:rPr>
          <w:lang w:val="en-GB"/>
        </w:rPr>
        <w:t xml:space="preserve"> is the </w:t>
      </w:r>
      <w:r w:rsidR="003F01C9" w:rsidRPr="00CF3C36">
        <w:rPr>
          <w:lang w:val="en-GB"/>
        </w:rPr>
        <w:t>CO</w:t>
      </w:r>
      <w:r w:rsidR="003F01C9" w:rsidRPr="00CF3C36">
        <w:rPr>
          <w:vertAlign w:val="subscript"/>
          <w:lang w:val="en-GB"/>
        </w:rPr>
        <w:t xml:space="preserve">2 </w:t>
      </w:r>
      <w:r w:rsidR="00E12C28" w:rsidRPr="00CF3C36">
        <w:rPr>
          <w:lang w:val="en-GB"/>
        </w:rPr>
        <w:t>intensity of FDI based on the sectoral composition of FDI.</w:t>
      </w:r>
      <w:r w:rsidR="009573DE" w:rsidRPr="00CF3C36">
        <w:rPr>
          <w:lang w:val="en-GB"/>
        </w:rPr>
        <w:t xml:space="preserve"> This</w:t>
      </w:r>
      <w:r w:rsidRPr="00CF3C36">
        <w:rPr>
          <w:lang w:val="en-GB"/>
        </w:rPr>
        <w:t xml:space="preserve"> is an indicator </w:t>
      </w:r>
      <w:r w:rsidR="00DC74DF" w:rsidRPr="00CF3C36">
        <w:rPr>
          <w:lang w:val="en-GB"/>
        </w:rPr>
        <w:t xml:space="preserve">based on the </w:t>
      </w:r>
      <w:r w:rsidR="003F01C9" w:rsidRPr="00CF3C36">
        <w:rPr>
          <w:lang w:val="en-GB"/>
        </w:rPr>
        <w:t>CO</w:t>
      </w:r>
      <w:r w:rsidR="003F01C9" w:rsidRPr="00CF3C36">
        <w:rPr>
          <w:vertAlign w:val="subscript"/>
          <w:lang w:val="en-GB"/>
        </w:rPr>
        <w:t xml:space="preserve">2 </w:t>
      </w:r>
      <w:r w:rsidR="00DC74DF" w:rsidRPr="00CF3C36">
        <w:rPr>
          <w:lang w:val="en-GB"/>
        </w:rPr>
        <w:t xml:space="preserve">emissions that are generated in a sector per USD of value added in that sector and the incoming </w:t>
      </w:r>
      <w:r w:rsidR="00E12C28" w:rsidRPr="00CF3C36">
        <w:rPr>
          <w:lang w:val="en-GB"/>
        </w:rPr>
        <w:t xml:space="preserve">greenfield </w:t>
      </w:r>
      <w:r w:rsidR="00DC74DF" w:rsidRPr="00CF3C36">
        <w:rPr>
          <w:lang w:val="en-GB"/>
        </w:rPr>
        <w:t>FDI that this sector receives.</w:t>
      </w:r>
      <w:r w:rsidR="00E426D8" w:rsidRPr="00CF3C36">
        <w:rPr>
          <w:lang w:val="en-GB"/>
        </w:rPr>
        <w:t xml:space="preserve"> It is chosen to focus on greenfield FDI due to data availability.</w:t>
      </w:r>
      <w:r w:rsidR="004F0608" w:rsidRPr="00CF3C36">
        <w:rPr>
          <w:lang w:val="en-GB"/>
        </w:rPr>
        <w:t xml:space="preserve"> </w:t>
      </w:r>
      <w:r w:rsidRPr="00CF3C36">
        <w:rPr>
          <w:lang w:val="en-GB"/>
        </w:rPr>
        <w:t xml:space="preserve">To construct this indicator sector-level data on </w:t>
      </w:r>
      <w:r w:rsidR="003F01C9" w:rsidRPr="00CF3C36">
        <w:rPr>
          <w:lang w:val="en-GB"/>
        </w:rPr>
        <w:t>CO</w:t>
      </w:r>
      <w:r w:rsidR="003F01C9" w:rsidRPr="00CF3C36">
        <w:rPr>
          <w:vertAlign w:val="subscript"/>
          <w:lang w:val="en-GB"/>
        </w:rPr>
        <w:t xml:space="preserve">2 </w:t>
      </w:r>
      <w:r w:rsidRPr="00CF3C36">
        <w:rPr>
          <w:lang w:val="en-GB"/>
        </w:rPr>
        <w:t>emissions</w:t>
      </w:r>
      <w:r w:rsidR="00DC74DF" w:rsidRPr="00CF3C36">
        <w:rPr>
          <w:lang w:val="en-GB"/>
        </w:rPr>
        <w:t xml:space="preserve"> from the International Energy Agency (IEA</w:t>
      </w:r>
      <w:r w:rsidR="00664DFE" w:rsidRPr="00CF3C36">
        <w:rPr>
          <w:lang w:val="en-GB"/>
        </w:rPr>
        <w:t>, 2018</w:t>
      </w:r>
      <w:r w:rsidR="00DC74DF" w:rsidRPr="00CF3C36">
        <w:rPr>
          <w:lang w:val="en-GB"/>
        </w:rPr>
        <w:t>)</w:t>
      </w:r>
      <w:r w:rsidRPr="00CF3C36">
        <w:rPr>
          <w:lang w:val="en-GB"/>
        </w:rPr>
        <w:t xml:space="preserve"> is combined with value added estimates from OECD input-output tables</w:t>
      </w:r>
      <w:r w:rsidR="00D8283E" w:rsidRPr="00CF3C36">
        <w:rPr>
          <w:lang w:val="en-GB"/>
        </w:rPr>
        <w:t xml:space="preserve"> (OECD, 2019c</w:t>
      </w:r>
      <w:r w:rsidR="006864FC" w:rsidRPr="00CF3C36">
        <w:rPr>
          <w:lang w:val="en-GB"/>
        </w:rPr>
        <w:t>)</w:t>
      </w:r>
      <w:r w:rsidRPr="00CF3C36">
        <w:rPr>
          <w:lang w:val="en-GB"/>
        </w:rPr>
        <w:t xml:space="preserve"> and greenfield FDI statistics from fDi Markets</w:t>
      </w:r>
      <w:r w:rsidR="009573DE" w:rsidRPr="00CF3C36">
        <w:rPr>
          <w:lang w:val="en-GB"/>
        </w:rPr>
        <w:t xml:space="preserve"> database of the Financial Times</w:t>
      </w:r>
      <w:r w:rsidR="009E1402" w:rsidRPr="00CF3C36">
        <w:rPr>
          <w:lang w:val="en-GB"/>
        </w:rPr>
        <w:t xml:space="preserve"> (Financial Times, 2019)</w:t>
      </w:r>
      <w:r w:rsidR="00DD0EF3" w:rsidRPr="00CF3C36">
        <w:rPr>
          <w:lang w:val="en-GB"/>
        </w:rPr>
        <w:t xml:space="preserve">. </w:t>
      </w:r>
      <w:r w:rsidR="00DC74DF" w:rsidRPr="00CF3C36">
        <w:rPr>
          <w:lang w:val="en-GB"/>
        </w:rPr>
        <w:t xml:space="preserve">This indicator </w:t>
      </w:r>
      <w:r w:rsidR="001E7CA6" w:rsidRPr="00CF3C36">
        <w:rPr>
          <w:lang w:val="en-GB"/>
        </w:rPr>
        <w:t xml:space="preserve">measures the </w:t>
      </w:r>
      <w:r w:rsidR="00DC74DF" w:rsidRPr="00CF3C36">
        <w:rPr>
          <w:lang w:val="en-GB"/>
        </w:rPr>
        <w:t xml:space="preserve">FDI weighted </w:t>
      </w:r>
      <w:r w:rsidR="003F01C9" w:rsidRPr="00CF3C36">
        <w:rPr>
          <w:lang w:val="en-GB"/>
        </w:rPr>
        <w:t>CO</w:t>
      </w:r>
      <w:r w:rsidR="003F01C9" w:rsidRPr="00CF3C36">
        <w:rPr>
          <w:vertAlign w:val="subscript"/>
          <w:lang w:val="en-GB"/>
        </w:rPr>
        <w:t xml:space="preserve">2 </w:t>
      </w:r>
      <w:r w:rsidR="00E30B22" w:rsidRPr="00CF3C36">
        <w:rPr>
          <w:lang w:val="en-GB"/>
        </w:rPr>
        <w:t>emissions per value added</w:t>
      </w:r>
      <w:r w:rsidR="001E7CA6" w:rsidRPr="00CF3C36">
        <w:rPr>
          <w:lang w:val="en-GB"/>
        </w:rPr>
        <w:t>.</w:t>
      </w:r>
      <w:r w:rsidR="00E30B22" w:rsidRPr="00CF3C36">
        <w:rPr>
          <w:lang w:val="en-GB"/>
        </w:rPr>
        <w:t xml:space="preserve"> I</w:t>
      </w:r>
      <w:r w:rsidR="00DD0EF3" w:rsidRPr="00CF3C36">
        <w:rPr>
          <w:lang w:val="en-GB"/>
        </w:rPr>
        <w:t>t</w:t>
      </w:r>
      <w:r w:rsidR="00E67BB5" w:rsidRPr="00CF3C36">
        <w:rPr>
          <w:lang w:val="en-GB"/>
        </w:rPr>
        <w:t xml:space="preserve"> is called</w:t>
      </w:r>
      <w:r w:rsidR="00DD0EF3" w:rsidRPr="00CF3C36">
        <w:rPr>
          <w:lang w:val="en-GB"/>
        </w:rPr>
        <w:t xml:space="preserve"> the</w:t>
      </w:r>
      <w:r w:rsidR="00E67BB5" w:rsidRPr="00CF3C36">
        <w:rPr>
          <w:lang w:val="en-GB"/>
        </w:rPr>
        <w:t xml:space="preserve"> </w:t>
      </w:r>
      <w:r w:rsidR="003F01C9" w:rsidRPr="00CF3C36">
        <w:rPr>
          <w:i/>
          <w:lang w:val="en-GB"/>
        </w:rPr>
        <w:t>CO2</w:t>
      </w:r>
      <w:r w:rsidR="00E67BB5" w:rsidRPr="00CF3C36">
        <w:rPr>
          <w:i/>
          <w:lang w:val="en-GB"/>
        </w:rPr>
        <w:t>_FDIweighted</w:t>
      </w:r>
      <w:r w:rsidR="00DD0EF3" w:rsidRPr="00CF3C36">
        <w:rPr>
          <w:i/>
          <w:lang w:val="en-GB"/>
        </w:rPr>
        <w:t xml:space="preserve"> </w:t>
      </w:r>
      <w:r w:rsidR="00DD0EF3" w:rsidRPr="00CF3C36">
        <w:rPr>
          <w:lang w:val="en-GB"/>
        </w:rPr>
        <w:t>and is constructed in the following manner</w:t>
      </w:r>
      <w:r w:rsidR="00E67BB5" w:rsidRPr="00CF3C36">
        <w:rPr>
          <w:lang w:val="en-GB"/>
        </w:rPr>
        <w:t>:</w:t>
      </w:r>
    </w:p>
    <w:p w14:paraId="382B1C5A" w14:textId="1A781C82" w:rsidR="00DC74DF" w:rsidRPr="00CF3C36" w:rsidRDefault="00DC74DF" w:rsidP="0057782E">
      <w:pPr>
        <w:pStyle w:val="ListParagraph"/>
        <w:spacing w:after="0"/>
        <w:rPr>
          <w:rFonts w:eastAsiaTheme="minorEastAsia"/>
          <w:lang w:val="en-GB"/>
        </w:rPr>
      </w:pPr>
      <m:oMathPara>
        <m:oMath>
          <m:r>
            <w:rPr>
              <w:rFonts w:ascii="Cambria Math" w:hAnsi="Cambria Math"/>
              <w:lang w:val="en-GB"/>
            </w:rPr>
            <m:t>CO2_FDIweighted=</m:t>
          </m:r>
          <m:nary>
            <m:naryPr>
              <m:chr m:val="∑"/>
              <m:limLoc m:val="undOvr"/>
              <m:ctrlPr>
                <w:rPr>
                  <w:rFonts w:ascii="Cambria Math" w:hAnsi="Cambria Math"/>
                  <w:i/>
                  <w:lang w:val="en-GB"/>
                </w:rPr>
              </m:ctrlPr>
            </m:naryPr>
            <m:sub>
              <m:r>
                <w:rPr>
                  <w:rFonts w:ascii="Cambria Math" w:hAnsi="Cambria Math"/>
                  <w:lang w:val="en-GB"/>
                </w:rPr>
                <m:t>s=1</m:t>
              </m:r>
            </m:sub>
            <m:sup>
              <m:r>
                <w:rPr>
                  <w:rFonts w:ascii="Cambria Math" w:hAnsi="Cambria Math"/>
                  <w:lang w:val="en-GB"/>
                </w:rPr>
                <m:t>S</m:t>
              </m:r>
            </m:sup>
            <m:e>
              <m:r>
                <w:rPr>
                  <w:rFonts w:ascii="Cambria Math" w:hAnsi="Cambria Math"/>
                  <w:lang w:val="en-GB"/>
                </w:rPr>
                <m:t xml:space="preserve"> </m:t>
              </m:r>
            </m:e>
          </m:nary>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FDIw</m:t>
              </m:r>
            </m:e>
            <m:sub>
              <m:r>
                <w:rPr>
                  <w:rFonts w:ascii="Cambria Math" w:hAnsi="Cambria Math"/>
                  <w:lang w:val="en-GB"/>
                </w:rPr>
                <m:t>s</m:t>
              </m:r>
            </m:sub>
          </m:sSub>
        </m:oMath>
      </m:oMathPara>
    </w:p>
    <w:p w14:paraId="4F47972B" w14:textId="53AAA7DF" w:rsidR="009D0A6B" w:rsidRPr="00CF3C36" w:rsidRDefault="009D0A6B" w:rsidP="0057782E">
      <w:pPr>
        <w:spacing w:after="0" w:line="360" w:lineRule="auto"/>
        <w:jc w:val="both"/>
        <w:rPr>
          <w:lang w:val="en-GB"/>
        </w:rPr>
      </w:pPr>
      <w:r w:rsidRPr="00CF3C36">
        <w:rPr>
          <w:lang w:val="en-GB"/>
        </w:rPr>
        <w:t xml:space="preserve">Where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s</m:t>
            </m:r>
          </m:sub>
        </m:sSub>
      </m:oMath>
      <w:r w:rsidR="00244E6B" w:rsidRPr="00CF3C36">
        <w:rPr>
          <w:rFonts w:eastAsiaTheme="minorEastAsia"/>
          <w:lang w:val="en-GB"/>
        </w:rPr>
        <w:t xml:space="preserve"> is the pollution intensity of sector</w:t>
      </w:r>
      <w:r w:rsidR="00090115" w:rsidRPr="00CF3C36">
        <w:rPr>
          <w:rFonts w:eastAsiaTheme="minorEastAsia"/>
          <w:lang w:val="en-GB"/>
        </w:rPr>
        <w:t xml:space="preserve"> </w:t>
      </w:r>
      <m:oMath>
        <m:r>
          <w:rPr>
            <w:rFonts w:ascii="Cambria Math" w:hAnsi="Cambria Math"/>
            <w:lang w:val="en-GB"/>
          </w:rPr>
          <m:t>s</m:t>
        </m:r>
      </m:oMath>
      <w:r w:rsidR="00244E6B" w:rsidRPr="00CF3C36">
        <w:rPr>
          <w:rFonts w:eastAsiaTheme="minorEastAsia"/>
          <w:lang w:val="en-GB"/>
        </w:rPr>
        <w:t xml:space="preserve">, measured </w:t>
      </w:r>
      <w:r w:rsidR="003032B5" w:rsidRPr="00CF3C36">
        <w:rPr>
          <w:rFonts w:eastAsiaTheme="minorEastAsia"/>
          <w:lang w:val="en-GB"/>
        </w:rPr>
        <w:t>as</w:t>
      </w:r>
      <w:r w:rsidR="005E10F0" w:rsidRPr="00CF3C36">
        <w:rPr>
          <w:rFonts w:eastAsiaTheme="minorEastAsia"/>
          <w:lang w:val="en-GB"/>
        </w:rPr>
        <w:t xml:space="preserve"> the </w:t>
      </w:r>
      <w:r w:rsidR="003F01C9" w:rsidRPr="00CF3C36">
        <w:rPr>
          <w:rFonts w:eastAsiaTheme="minorEastAsia"/>
          <w:lang w:val="en-GB"/>
        </w:rPr>
        <w:t>CO</w:t>
      </w:r>
      <w:r w:rsidR="003F01C9" w:rsidRPr="00CF3C36">
        <w:rPr>
          <w:rFonts w:eastAsiaTheme="minorEastAsia"/>
          <w:vertAlign w:val="subscript"/>
          <w:lang w:val="en-GB"/>
        </w:rPr>
        <w:t xml:space="preserve">2 </w:t>
      </w:r>
      <w:r w:rsidR="005E10F0" w:rsidRPr="00CF3C36">
        <w:rPr>
          <w:rFonts w:eastAsiaTheme="minorEastAsia"/>
          <w:lang w:val="en-GB"/>
        </w:rPr>
        <w:t xml:space="preserve">emissions in </w:t>
      </w:r>
      <w:r w:rsidR="00090115" w:rsidRPr="00CF3C36">
        <w:rPr>
          <w:rFonts w:eastAsiaTheme="minorEastAsia"/>
          <w:lang w:val="en-GB"/>
        </w:rPr>
        <w:t xml:space="preserve">that </w:t>
      </w:r>
      <w:r w:rsidR="005E10F0" w:rsidRPr="00CF3C36">
        <w:rPr>
          <w:rFonts w:eastAsiaTheme="minorEastAsia"/>
          <w:lang w:val="en-GB"/>
        </w:rPr>
        <w:t>sector di</w:t>
      </w:r>
      <w:r w:rsidR="00244E6B" w:rsidRPr="00CF3C36">
        <w:rPr>
          <w:rFonts w:eastAsiaTheme="minorEastAsia"/>
          <w:lang w:val="en-GB"/>
        </w:rPr>
        <w:t xml:space="preserve">vided by the value-added in that sector </w:t>
      </w:r>
      <m:oMath>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sSub>
                      <m:sSubPr>
                        <m:ctrlPr>
                          <w:rPr>
                            <w:rFonts w:ascii="Cambria Math" w:hAnsi="Cambria Math"/>
                            <w:i/>
                            <w:lang w:val="en-GB"/>
                          </w:rPr>
                        </m:ctrlPr>
                      </m:sSubPr>
                      <m:e>
                        <m:r>
                          <w:rPr>
                            <w:rFonts w:ascii="Cambria Math" w:hAnsi="Cambria Math"/>
                            <w:lang w:val="en-GB"/>
                          </w:rPr>
                          <m:t>CO</m:t>
                        </m:r>
                      </m:e>
                      <m:sub>
                        <m:r>
                          <w:rPr>
                            <w:rFonts w:ascii="Cambria Math" w:hAnsi="Cambria Math"/>
                            <w:lang w:val="en-GB"/>
                          </w:rPr>
                          <m:t>2</m:t>
                        </m:r>
                      </m:sub>
                    </m:sSub>
                  </m:e>
                  <m:sub>
                    <m:r>
                      <w:rPr>
                        <w:rFonts w:ascii="Cambria Math" w:hAnsi="Cambria Math"/>
                        <w:lang w:val="en-GB"/>
                      </w:rPr>
                      <m:t>s</m:t>
                    </m:r>
                  </m:sub>
                </m:sSub>
              </m:num>
              <m:den>
                <m:sSub>
                  <m:sSubPr>
                    <m:ctrlPr>
                      <w:rPr>
                        <w:rFonts w:ascii="Cambria Math" w:hAnsi="Cambria Math"/>
                        <w:i/>
                        <w:lang w:val="en-GB"/>
                      </w:rPr>
                    </m:ctrlPr>
                  </m:sSubPr>
                  <m:e>
                    <m:r>
                      <w:rPr>
                        <w:rFonts w:ascii="Cambria Math" w:hAnsi="Cambria Math"/>
                        <w:lang w:val="en-GB"/>
                      </w:rPr>
                      <m:t>VA</m:t>
                    </m:r>
                  </m:e>
                  <m:sub>
                    <m:r>
                      <w:rPr>
                        <w:rFonts w:ascii="Cambria Math" w:hAnsi="Cambria Math"/>
                        <w:lang w:val="en-GB"/>
                      </w:rPr>
                      <m:t>s</m:t>
                    </m:r>
                  </m:sub>
                </m:sSub>
              </m:den>
            </m:f>
          </m:e>
        </m:d>
      </m:oMath>
      <w:r w:rsidR="00244E6B" w:rsidRPr="00CF3C36">
        <w:rPr>
          <w:rFonts w:eastAsiaTheme="minorEastAsia"/>
          <w:lang w:val="en-GB"/>
        </w:rPr>
        <w:t>.</w:t>
      </w:r>
      <w:r w:rsidRPr="00CF3C36">
        <w:rPr>
          <w:rFonts w:eastAsiaTheme="minorEastAsia"/>
          <w:lang w:val="en-GB"/>
        </w:rPr>
        <w:t xml:space="preserve"> </w:t>
      </w:r>
      <m:oMath>
        <m:sSub>
          <m:sSubPr>
            <m:ctrlPr>
              <w:rPr>
                <w:rFonts w:ascii="Cambria Math" w:hAnsi="Cambria Math"/>
                <w:i/>
                <w:lang w:val="en-GB"/>
              </w:rPr>
            </m:ctrlPr>
          </m:sSubPr>
          <m:e>
            <m:r>
              <w:rPr>
                <w:rFonts w:ascii="Cambria Math" w:hAnsi="Cambria Math"/>
                <w:lang w:val="en-GB"/>
              </w:rPr>
              <m:t>FDIw</m:t>
            </m:r>
          </m:e>
          <m:sub>
            <m:r>
              <w:rPr>
                <w:rFonts w:ascii="Cambria Math" w:hAnsi="Cambria Math"/>
                <w:lang w:val="en-GB"/>
              </w:rPr>
              <m:t>s</m:t>
            </m:r>
          </m:sub>
        </m:sSub>
      </m:oMath>
      <w:r w:rsidRPr="00CF3C36">
        <w:rPr>
          <w:rFonts w:eastAsiaTheme="minorEastAsia"/>
          <w:lang w:val="en-GB"/>
        </w:rPr>
        <w:t xml:space="preserve"> is the FDI weig</w:t>
      </w:r>
      <w:r w:rsidR="00244E6B" w:rsidRPr="00CF3C36">
        <w:rPr>
          <w:rFonts w:eastAsiaTheme="minorEastAsia"/>
          <w:lang w:val="en-GB"/>
        </w:rPr>
        <w:t xml:space="preserve">ht of that sector, which is measured as the FDI </w:t>
      </w:r>
      <w:r w:rsidR="00090115" w:rsidRPr="00CF3C36">
        <w:rPr>
          <w:rFonts w:eastAsiaTheme="minorEastAsia"/>
          <w:lang w:val="en-GB"/>
        </w:rPr>
        <w:t xml:space="preserve">inflow </w:t>
      </w:r>
      <w:r w:rsidR="00244E6B" w:rsidRPr="00CF3C36">
        <w:rPr>
          <w:rFonts w:eastAsiaTheme="minorEastAsia"/>
          <w:lang w:val="en-GB"/>
        </w:rPr>
        <w:t>in that sector divided by the total FDI into the country</w:t>
      </w:r>
      <m:oMath>
        <m:d>
          <m:dPr>
            <m:ctrlPr>
              <w:rPr>
                <w:rFonts w:ascii="Cambria Math" w:hAnsi="Cambria Math"/>
                <w:i/>
                <w:lang w:val="en-GB"/>
              </w:rPr>
            </m:ctrlPr>
          </m:dPr>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FDI</m:t>
                    </m:r>
                  </m:e>
                  <m:sub>
                    <m:r>
                      <w:rPr>
                        <w:rFonts w:ascii="Cambria Math" w:hAnsi="Cambria Math"/>
                        <w:lang w:val="en-GB"/>
                      </w:rPr>
                      <m:t>s</m:t>
                    </m:r>
                  </m:sub>
                </m:sSub>
              </m:num>
              <m:den>
                <m:sSub>
                  <m:sSubPr>
                    <m:ctrlPr>
                      <w:rPr>
                        <w:rFonts w:ascii="Cambria Math" w:hAnsi="Cambria Math"/>
                        <w:i/>
                        <w:lang w:val="en-GB"/>
                      </w:rPr>
                    </m:ctrlPr>
                  </m:sSubPr>
                  <m:e>
                    <m:r>
                      <w:rPr>
                        <w:rFonts w:ascii="Cambria Math" w:hAnsi="Cambria Math"/>
                        <w:lang w:val="en-GB"/>
                      </w:rPr>
                      <m:t>FDI</m:t>
                    </m:r>
                  </m:e>
                  <m:sub>
                    <m:r>
                      <w:rPr>
                        <w:rFonts w:ascii="Cambria Math" w:hAnsi="Cambria Math"/>
                        <w:lang w:val="en-GB"/>
                      </w:rPr>
                      <m:t>total</m:t>
                    </m:r>
                  </m:sub>
                </m:sSub>
              </m:den>
            </m:f>
          </m:e>
        </m:d>
      </m:oMath>
      <w:r w:rsidR="001E7CA6" w:rsidRPr="00CF3C36">
        <w:rPr>
          <w:rFonts w:eastAsiaTheme="minorEastAsia"/>
          <w:lang w:val="en-GB"/>
        </w:rPr>
        <w:t xml:space="preserve">. </w:t>
      </w:r>
      <w:r w:rsidR="00090115" w:rsidRPr="00CF3C36">
        <w:rPr>
          <w:rFonts w:eastAsiaTheme="minorEastAsia"/>
          <w:lang w:val="en-GB"/>
        </w:rPr>
        <w:t>M</w:t>
      </w:r>
      <w:r w:rsidR="00244E6B" w:rsidRPr="00CF3C36">
        <w:rPr>
          <w:rFonts w:eastAsiaTheme="minorEastAsia"/>
          <w:lang w:val="en-GB"/>
        </w:rPr>
        <w:t xml:space="preserve">ultiplying these two per sector and then taking the sum over all sectors in a country will yield an FDI weighted pollution intensity for that country. </w:t>
      </w:r>
      <w:r w:rsidR="00FB2F06" w:rsidRPr="00CF3C36">
        <w:rPr>
          <w:rFonts w:eastAsiaTheme="minorEastAsia"/>
          <w:lang w:val="en-GB"/>
        </w:rPr>
        <w:t xml:space="preserve">When FDI flows more to sectors with relatively high pollution intensity, this indicator will increase and vice versa. </w:t>
      </w:r>
      <w:r w:rsidR="00C258B3" w:rsidRPr="00CF3C36">
        <w:rPr>
          <w:rFonts w:eastAsiaTheme="minorEastAsia"/>
          <w:lang w:val="en-GB"/>
        </w:rPr>
        <w:t>It is good to note that the measure of pollution intensity is the pollution intensity of a sector as a whole</w:t>
      </w:r>
      <w:r w:rsidR="00090115" w:rsidRPr="00CF3C36">
        <w:rPr>
          <w:rFonts w:eastAsiaTheme="minorEastAsia"/>
          <w:lang w:val="en-GB"/>
        </w:rPr>
        <w:t xml:space="preserve"> and not that of foreign firms specifically</w:t>
      </w:r>
      <w:r w:rsidR="00C258B3" w:rsidRPr="00CF3C36">
        <w:rPr>
          <w:rFonts w:eastAsiaTheme="minorEastAsia"/>
          <w:lang w:val="en-GB"/>
        </w:rPr>
        <w:t xml:space="preserve">. Thus this indicator only measures the changes in the environmental footprint of FDI via changes in the sectoral composition. </w:t>
      </w:r>
      <w:r w:rsidR="00D606E8" w:rsidRPr="00CF3C36">
        <w:rPr>
          <w:rFonts w:eastAsiaTheme="minorEastAsia"/>
          <w:lang w:val="en-GB"/>
        </w:rPr>
        <w:t>By using this sector wide pollution intensity, this analysis assumes that the pollution intensity of foreign firms is similar to that of the sector average.</w:t>
      </w:r>
      <w:r w:rsidR="00C37B7A" w:rsidRPr="00CF3C36">
        <w:rPr>
          <w:rFonts w:eastAsiaTheme="minorEastAsia"/>
          <w:lang w:val="en-GB"/>
        </w:rPr>
        <w:t xml:space="preserve"> </w:t>
      </w:r>
      <w:r w:rsidR="00EF7757" w:rsidRPr="00CF3C36">
        <w:rPr>
          <w:rFonts w:eastAsiaTheme="minorEastAsia"/>
          <w:lang w:val="en-GB"/>
        </w:rPr>
        <w:t xml:space="preserve">There is much literature suggesting that FDI is more or less pollution intensive then </w:t>
      </w:r>
      <w:r w:rsidR="003A0648" w:rsidRPr="00CF3C36">
        <w:rPr>
          <w:rFonts w:eastAsiaTheme="minorEastAsia"/>
          <w:lang w:val="en-GB"/>
        </w:rPr>
        <w:t xml:space="preserve">domestic firms, such as the multiple theories discussed </w:t>
      </w:r>
      <w:r w:rsidR="003A0648" w:rsidRPr="00CF3C36">
        <w:rPr>
          <w:rFonts w:eastAsiaTheme="minorEastAsia"/>
          <w:lang w:val="en-GB"/>
        </w:rPr>
        <w:lastRenderedPageBreak/>
        <w:t xml:space="preserve">in the literature overview. </w:t>
      </w:r>
      <w:r w:rsidR="00C37B7A" w:rsidRPr="00CF3C36">
        <w:rPr>
          <w:rFonts w:eastAsiaTheme="minorEastAsia"/>
          <w:lang w:val="en-GB"/>
        </w:rPr>
        <w:t>However, b</w:t>
      </w:r>
      <w:r w:rsidR="003A0648" w:rsidRPr="00CF3C36">
        <w:rPr>
          <w:rFonts w:eastAsiaTheme="minorEastAsia"/>
          <w:lang w:val="en-GB"/>
        </w:rPr>
        <w:t>y making this assumption the sector composition effect is observed in isolation.</w:t>
      </w:r>
      <w:r w:rsidR="008244C2" w:rsidRPr="00CF3C36">
        <w:rPr>
          <w:rFonts w:eastAsiaTheme="minorEastAsia"/>
          <w:lang w:val="en-GB"/>
        </w:rPr>
        <w:t xml:space="preserve"> This dependent variable is sensitive to overall changes in the pollution intensity of a country. This is controlled for by including the overall pollution intensity of a country as a control variable, causing the dependent variable to only measure changes in the sectoral composition of FDI. </w:t>
      </w:r>
    </w:p>
    <w:p w14:paraId="55243B73" w14:textId="252086B9" w:rsidR="00B57108" w:rsidRPr="00CF3C36" w:rsidRDefault="00C37B7A" w:rsidP="00063F6D">
      <w:pPr>
        <w:spacing w:after="0" w:line="360" w:lineRule="auto"/>
        <w:jc w:val="both"/>
        <w:rPr>
          <w:lang w:val="en-GB"/>
        </w:rPr>
      </w:pPr>
      <w:r w:rsidRPr="00CF3C36">
        <w:rPr>
          <w:lang w:val="en-GB"/>
        </w:rPr>
        <w:tab/>
        <w:t>For H</w:t>
      </w:r>
      <w:r w:rsidR="00787013" w:rsidRPr="00CF3C36">
        <w:rPr>
          <w:lang w:val="en-GB"/>
        </w:rPr>
        <w:t xml:space="preserve">ypotheses 1.1 and 1.2 the dependent variable will be the </w:t>
      </w:r>
      <w:r w:rsidR="00286F41" w:rsidRPr="00CF3C36">
        <w:rPr>
          <w:lang w:val="en-GB"/>
        </w:rPr>
        <w:t xml:space="preserve">incoming FDI to sectors with a </w:t>
      </w:r>
      <w:r w:rsidR="00787013" w:rsidRPr="00CF3C36">
        <w:rPr>
          <w:lang w:val="en-GB"/>
        </w:rPr>
        <w:t xml:space="preserve">pollution intensity </w:t>
      </w:r>
      <w:r w:rsidR="00286F41" w:rsidRPr="00CF3C36">
        <w:rPr>
          <w:lang w:val="en-GB"/>
        </w:rPr>
        <w:t xml:space="preserve">that is above the mean value </w:t>
      </w:r>
      <w:r w:rsidR="00787013" w:rsidRPr="00CF3C36">
        <w:rPr>
          <w:lang w:val="en-GB"/>
        </w:rPr>
        <w:t>and to sectors with a pollution intensity</w:t>
      </w:r>
      <w:r w:rsidR="00286F41" w:rsidRPr="00CF3C36">
        <w:rPr>
          <w:lang w:val="en-GB"/>
        </w:rPr>
        <w:t xml:space="preserve"> that is below the mean value</w:t>
      </w:r>
      <w:r w:rsidRPr="00CF3C36">
        <w:rPr>
          <w:lang w:val="en-GB"/>
        </w:rPr>
        <w:t xml:space="preserve"> of a country</w:t>
      </w:r>
      <w:r w:rsidR="00787013" w:rsidRPr="00CF3C36">
        <w:rPr>
          <w:lang w:val="en-GB"/>
        </w:rPr>
        <w:t xml:space="preserve">, respectively. </w:t>
      </w:r>
      <w:r w:rsidR="007F4349" w:rsidRPr="00CF3C36">
        <w:rPr>
          <w:lang w:val="en-GB"/>
        </w:rPr>
        <w:t xml:space="preserve">This will again be tested using </w:t>
      </w:r>
      <w:r w:rsidR="003F01C9" w:rsidRPr="00CF3C36">
        <w:rPr>
          <w:lang w:val="en-GB"/>
        </w:rPr>
        <w:t>CO</w:t>
      </w:r>
      <w:r w:rsidR="003F01C9" w:rsidRPr="00CF3C36">
        <w:rPr>
          <w:vertAlign w:val="subscript"/>
          <w:lang w:val="en-GB"/>
        </w:rPr>
        <w:t xml:space="preserve">2 </w:t>
      </w:r>
      <w:r w:rsidR="007F4349" w:rsidRPr="00CF3C36">
        <w:rPr>
          <w:lang w:val="en-GB"/>
        </w:rPr>
        <w:t>emissions as the measure for pollution intensity.</w:t>
      </w:r>
      <w:r w:rsidR="00B57108" w:rsidRPr="00CF3C36">
        <w:rPr>
          <w:lang w:val="en-GB"/>
        </w:rPr>
        <w:t xml:space="preserve"> This results in th</w:t>
      </w:r>
      <w:r w:rsidR="00063F6D" w:rsidRPr="00CF3C36">
        <w:rPr>
          <w:lang w:val="en-GB"/>
        </w:rPr>
        <w:t>e dependent variable</w:t>
      </w:r>
      <w:r w:rsidR="00835618" w:rsidRPr="00CF3C36">
        <w:rPr>
          <w:lang w:val="en-GB"/>
        </w:rPr>
        <w:t xml:space="preserve"> </w:t>
      </w:r>
      <w:r w:rsidR="00063F6D" w:rsidRPr="00CF3C36">
        <w:rPr>
          <w:i/>
          <w:lang w:val="en-GB"/>
        </w:rPr>
        <w:t>FDI_total_high_</w:t>
      </w:r>
      <w:r w:rsidR="003F01C9" w:rsidRPr="00CF3C36">
        <w:rPr>
          <w:i/>
          <w:lang w:val="en-GB"/>
        </w:rPr>
        <w:t>CO2</w:t>
      </w:r>
      <w:r w:rsidR="003F01C9" w:rsidRPr="00CF3C36">
        <w:rPr>
          <w:i/>
          <w:vertAlign w:val="subscript"/>
          <w:lang w:val="en-GB"/>
        </w:rPr>
        <w:t xml:space="preserve"> </w:t>
      </w:r>
      <w:r w:rsidR="000F7FD0" w:rsidRPr="00CF3C36">
        <w:rPr>
          <w:lang w:val="en-GB"/>
        </w:rPr>
        <w:t>for M</w:t>
      </w:r>
      <w:r w:rsidR="00063F6D" w:rsidRPr="00CF3C36">
        <w:rPr>
          <w:lang w:val="en-GB"/>
        </w:rPr>
        <w:t xml:space="preserve">odel 1.1, which is the total incoming FDI to sectors with above </w:t>
      </w:r>
      <w:r w:rsidR="00286F41" w:rsidRPr="00CF3C36">
        <w:rPr>
          <w:lang w:val="en-GB"/>
        </w:rPr>
        <w:t>mean</w:t>
      </w:r>
      <w:r w:rsidR="00063F6D" w:rsidRPr="00CF3C36">
        <w:rPr>
          <w:lang w:val="en-GB"/>
        </w:rPr>
        <w:t xml:space="preserve"> </w:t>
      </w:r>
      <w:r w:rsidR="003F01C9" w:rsidRPr="00CF3C36">
        <w:rPr>
          <w:lang w:val="en-GB"/>
        </w:rPr>
        <w:t>CO</w:t>
      </w:r>
      <w:r w:rsidR="003F01C9" w:rsidRPr="00CF3C36">
        <w:rPr>
          <w:vertAlign w:val="subscript"/>
          <w:lang w:val="en-GB"/>
        </w:rPr>
        <w:t xml:space="preserve">2 </w:t>
      </w:r>
      <w:r w:rsidR="00063F6D" w:rsidRPr="00CF3C36">
        <w:rPr>
          <w:lang w:val="en-GB"/>
        </w:rPr>
        <w:t>emissions per USD of value added</w:t>
      </w:r>
      <w:r w:rsidR="000F7FD0" w:rsidRPr="00CF3C36">
        <w:rPr>
          <w:lang w:val="en-GB"/>
        </w:rPr>
        <w:t>. For M</w:t>
      </w:r>
      <w:r w:rsidR="00063F6D" w:rsidRPr="00CF3C36">
        <w:rPr>
          <w:lang w:val="en-GB"/>
        </w:rPr>
        <w:t xml:space="preserve">odel 1.2 the dependent variable is </w:t>
      </w:r>
      <w:r w:rsidR="00063F6D" w:rsidRPr="00CF3C36">
        <w:rPr>
          <w:i/>
          <w:lang w:val="en-GB"/>
        </w:rPr>
        <w:t>FDI_total_low_</w:t>
      </w:r>
      <w:r w:rsidR="003F01C9" w:rsidRPr="00CF3C36">
        <w:rPr>
          <w:i/>
          <w:lang w:val="en-GB"/>
        </w:rPr>
        <w:t>CO2</w:t>
      </w:r>
      <w:r w:rsidR="00063F6D" w:rsidRPr="00CF3C36">
        <w:rPr>
          <w:i/>
          <w:lang w:val="en-GB"/>
        </w:rPr>
        <w:t xml:space="preserve">, </w:t>
      </w:r>
      <w:r w:rsidR="00063F6D" w:rsidRPr="00CF3C36">
        <w:rPr>
          <w:lang w:val="en-GB"/>
        </w:rPr>
        <w:t xml:space="preserve">which is the total incoming FDI to sector with below </w:t>
      </w:r>
      <w:r w:rsidR="00286F41" w:rsidRPr="00CF3C36">
        <w:rPr>
          <w:lang w:val="en-GB"/>
        </w:rPr>
        <w:t>mean</w:t>
      </w:r>
      <w:r w:rsidR="00063F6D" w:rsidRPr="00CF3C36">
        <w:rPr>
          <w:lang w:val="en-GB"/>
        </w:rPr>
        <w:t xml:space="preserve"> </w:t>
      </w:r>
      <w:r w:rsidR="003F01C9" w:rsidRPr="00CF3C36">
        <w:rPr>
          <w:lang w:val="en-GB"/>
        </w:rPr>
        <w:t>CO</w:t>
      </w:r>
      <w:r w:rsidR="003F01C9" w:rsidRPr="00CF3C36">
        <w:rPr>
          <w:vertAlign w:val="subscript"/>
          <w:lang w:val="en-GB"/>
        </w:rPr>
        <w:t xml:space="preserve">2 </w:t>
      </w:r>
      <w:r w:rsidR="00063F6D" w:rsidRPr="00CF3C36">
        <w:rPr>
          <w:lang w:val="en-GB"/>
        </w:rPr>
        <w:t>emissions per USD of value added.</w:t>
      </w:r>
    </w:p>
    <w:p w14:paraId="0851DACE" w14:textId="5E564817" w:rsidR="00AD6E27" w:rsidRPr="00CF3C36" w:rsidRDefault="00AD6E27" w:rsidP="00BE757A">
      <w:pPr>
        <w:spacing w:after="0" w:line="360" w:lineRule="auto"/>
        <w:ind w:firstLine="708"/>
        <w:jc w:val="both"/>
        <w:rPr>
          <w:lang w:val="en-GB"/>
        </w:rPr>
      </w:pPr>
      <w:r w:rsidRPr="00CF3C36">
        <w:rPr>
          <w:lang w:val="en-GB"/>
        </w:rPr>
        <w:t xml:space="preserve">For the construction of the dependent variables for the analyses of the first hypothesis sector level data is used. Because the FDI data, value-added data and </w:t>
      </w:r>
      <w:r w:rsidR="003F01C9" w:rsidRPr="00CF3C36">
        <w:rPr>
          <w:lang w:val="en-GB"/>
        </w:rPr>
        <w:t>CO</w:t>
      </w:r>
      <w:r w:rsidR="003F01C9" w:rsidRPr="00CF3C36">
        <w:rPr>
          <w:vertAlign w:val="subscript"/>
          <w:lang w:val="en-GB"/>
        </w:rPr>
        <w:t xml:space="preserve">2 </w:t>
      </w:r>
      <w:r w:rsidRPr="00CF3C36">
        <w:rPr>
          <w:lang w:val="en-GB"/>
        </w:rPr>
        <w:t xml:space="preserve">data all use different sector definitions these had to be combined. This is done using a method that was recommended by the OECD, which converted the FDI data and value-added data to the </w:t>
      </w:r>
      <w:r w:rsidR="00BE757A" w:rsidRPr="00CF3C36">
        <w:rPr>
          <w:lang w:val="en-GB"/>
        </w:rPr>
        <w:t>IEA sector division,</w:t>
      </w:r>
      <w:r w:rsidRPr="00CF3C36">
        <w:rPr>
          <w:lang w:val="en-GB"/>
        </w:rPr>
        <w:t xml:space="preserve"> in which the </w:t>
      </w:r>
      <w:r w:rsidR="003F01C9" w:rsidRPr="00CF3C36">
        <w:rPr>
          <w:lang w:val="en-GB"/>
        </w:rPr>
        <w:t>CO</w:t>
      </w:r>
      <w:r w:rsidR="003F01C9" w:rsidRPr="00CF3C36">
        <w:rPr>
          <w:vertAlign w:val="subscript"/>
          <w:lang w:val="en-GB"/>
        </w:rPr>
        <w:t xml:space="preserve">2 </w:t>
      </w:r>
      <w:r w:rsidRPr="00CF3C36">
        <w:rPr>
          <w:lang w:val="en-GB"/>
        </w:rPr>
        <w:t>data was provided. After converting</w:t>
      </w:r>
      <w:r w:rsidR="00BE757A" w:rsidRPr="00CF3C36">
        <w:rPr>
          <w:lang w:val="en-GB"/>
        </w:rPr>
        <w:t>,</w:t>
      </w:r>
      <w:r w:rsidRPr="00CF3C36">
        <w:rPr>
          <w:lang w:val="en-GB"/>
        </w:rPr>
        <w:t xml:space="preserve"> 14 sectors remain for which all data is available, these are used in this analysis. The manner in which this sector data is converted can be found in the appendix. </w:t>
      </w:r>
    </w:p>
    <w:p w14:paraId="68126F62" w14:textId="4F9F1035" w:rsidR="00F02183" w:rsidRPr="00CF3C36" w:rsidRDefault="007F1454" w:rsidP="00BE757A">
      <w:pPr>
        <w:spacing w:after="0" w:line="360" w:lineRule="auto"/>
        <w:ind w:firstLine="708"/>
        <w:jc w:val="both"/>
        <w:rPr>
          <w:lang w:val="en-GB"/>
        </w:rPr>
      </w:pPr>
      <w:r w:rsidRPr="00CF3C36">
        <w:rPr>
          <w:lang w:val="en-GB"/>
        </w:rPr>
        <w:t xml:space="preserve">For </w:t>
      </w:r>
      <w:r w:rsidR="00BE757A" w:rsidRPr="00CF3C36">
        <w:rPr>
          <w:lang w:val="en-GB"/>
        </w:rPr>
        <w:t>H</w:t>
      </w:r>
      <w:r w:rsidRPr="00CF3C36">
        <w:rPr>
          <w:lang w:val="en-GB"/>
        </w:rPr>
        <w:t>ypothesis 2, looking at changes within a sector, the analysis will focus on one import</w:t>
      </w:r>
      <w:r w:rsidR="00C22503" w:rsidRPr="00CF3C36">
        <w:rPr>
          <w:lang w:val="en-GB"/>
        </w:rPr>
        <w:t xml:space="preserve">ant sector – the energy sector. For this sector data is available for FDI flowing into brown energy and FDI flowing into green energy, this makes relatively easy to analyse the effect of environmental regulations on the attraction of FDI from polluting versus less polluting firms. </w:t>
      </w:r>
      <w:r w:rsidR="00F02183" w:rsidRPr="00CF3C36">
        <w:rPr>
          <w:lang w:val="en-GB"/>
        </w:rPr>
        <w:t xml:space="preserve">The dependent variable in this analysis will be the </w:t>
      </w:r>
      <w:r w:rsidR="00286F41" w:rsidRPr="00CF3C36">
        <w:rPr>
          <w:lang w:val="en-GB"/>
        </w:rPr>
        <w:t>ratio</w:t>
      </w:r>
      <w:r w:rsidR="00F02183" w:rsidRPr="00CF3C36">
        <w:rPr>
          <w:lang w:val="en-GB"/>
        </w:rPr>
        <w:t xml:space="preserve"> </w:t>
      </w:r>
      <w:r w:rsidR="00286F41" w:rsidRPr="00CF3C36">
        <w:rPr>
          <w:lang w:val="en-GB"/>
        </w:rPr>
        <w:t xml:space="preserve">between FDI to </w:t>
      </w:r>
      <w:r w:rsidR="00BE757A" w:rsidRPr="00CF3C36">
        <w:rPr>
          <w:lang w:val="en-GB"/>
        </w:rPr>
        <w:t>green</w:t>
      </w:r>
      <w:r w:rsidR="00286F41" w:rsidRPr="00CF3C36">
        <w:rPr>
          <w:lang w:val="en-GB"/>
        </w:rPr>
        <w:t xml:space="preserve"> energy and FDI to </w:t>
      </w:r>
      <w:r w:rsidR="00BE757A" w:rsidRPr="00CF3C36">
        <w:rPr>
          <w:lang w:val="en-GB"/>
        </w:rPr>
        <w:t>brown</w:t>
      </w:r>
      <w:r w:rsidR="00286F41" w:rsidRPr="00CF3C36">
        <w:rPr>
          <w:lang w:val="en-GB"/>
        </w:rPr>
        <w:t xml:space="preserve"> energy. </w:t>
      </w:r>
      <w:r w:rsidR="0033505A" w:rsidRPr="00CF3C36">
        <w:rPr>
          <w:lang w:val="en-GB"/>
        </w:rPr>
        <w:t xml:space="preserve">In order to also be able to analyse the cases in which no FDI flowed to either brown or green energy </w:t>
      </w:r>
      <w:r w:rsidR="00292C2F" w:rsidRPr="00CF3C36">
        <w:rPr>
          <w:lang w:val="en-GB"/>
        </w:rPr>
        <w:t>1 will be added to each observation. This results in the following indicator:</w:t>
      </w:r>
    </w:p>
    <w:p w14:paraId="58C4D099" w14:textId="78FB3CC4" w:rsidR="00F02183" w:rsidRPr="00CF3C36" w:rsidRDefault="00292C2F" w:rsidP="004A7F1B">
      <w:pPr>
        <w:spacing w:after="0" w:line="360" w:lineRule="auto"/>
        <w:jc w:val="both"/>
        <w:rPr>
          <w:rFonts w:eastAsiaTheme="minorEastAsia"/>
          <w:lang w:val="en-GB"/>
        </w:rPr>
      </w:pPr>
      <m:oMathPara>
        <m:oMath>
          <m:r>
            <w:rPr>
              <w:rFonts w:ascii="Cambria Math" w:hAnsi="Cambria Math"/>
              <w:lang w:val="en-GB"/>
            </w:rPr>
            <m:t>Energy_ratio=</m:t>
          </m:r>
          <m:f>
            <m:fPr>
              <m:ctrlPr>
                <w:rPr>
                  <w:rFonts w:ascii="Cambria Math" w:hAnsi="Cambria Math"/>
                  <w:i/>
                  <w:lang w:val="en-GB"/>
                </w:rPr>
              </m:ctrlPr>
            </m:fPr>
            <m:num>
              <m:r>
                <w:rPr>
                  <w:rFonts w:ascii="Cambria Math" w:hAnsi="Cambria Math"/>
                  <w:lang w:val="en-GB"/>
                </w:rPr>
                <m:t>FD</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green</m:t>
                  </m:r>
                </m:sub>
              </m:sSub>
              <m:r>
                <w:rPr>
                  <w:rFonts w:ascii="Cambria Math" w:hAnsi="Cambria Math"/>
                  <w:lang w:val="en-GB"/>
                </w:rPr>
                <m:t>+1</m:t>
              </m:r>
            </m:num>
            <m:den>
              <m:r>
                <w:rPr>
                  <w:rFonts w:ascii="Cambria Math" w:hAnsi="Cambria Math"/>
                  <w:lang w:val="en-GB"/>
                </w:rPr>
                <m:t>FD</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brown</m:t>
                  </m:r>
                </m:sub>
              </m:sSub>
              <m:r>
                <w:rPr>
                  <w:rFonts w:ascii="Cambria Math" w:hAnsi="Cambria Math"/>
                  <w:lang w:val="en-GB"/>
                </w:rPr>
                <m:t>+1</m:t>
              </m:r>
            </m:den>
          </m:f>
        </m:oMath>
      </m:oMathPara>
    </w:p>
    <w:p w14:paraId="71C7190D" w14:textId="46C8F732" w:rsidR="00AD6E27" w:rsidRPr="00CF3C36" w:rsidRDefault="007F1454" w:rsidP="004A7F1B">
      <w:pPr>
        <w:spacing w:after="0" w:line="360" w:lineRule="auto"/>
        <w:jc w:val="both"/>
        <w:rPr>
          <w:lang w:val="en-GB"/>
        </w:rPr>
      </w:pPr>
      <w:r w:rsidRPr="00CF3C36">
        <w:rPr>
          <w:lang w:val="en-GB"/>
        </w:rPr>
        <w:t>For this i</w:t>
      </w:r>
      <w:r w:rsidR="00F02183" w:rsidRPr="00CF3C36">
        <w:rPr>
          <w:lang w:val="en-GB"/>
        </w:rPr>
        <w:t>ndicator data is available for 7</w:t>
      </w:r>
      <w:r w:rsidR="003371E2" w:rsidRPr="00CF3C36">
        <w:rPr>
          <w:lang w:val="en-GB"/>
        </w:rPr>
        <w:t>1</w:t>
      </w:r>
      <w:r w:rsidR="00BE757A" w:rsidRPr="00CF3C36">
        <w:rPr>
          <w:lang w:val="en-GB"/>
        </w:rPr>
        <w:t xml:space="preserve"> countries </w:t>
      </w:r>
      <w:r w:rsidRPr="00CF3C36">
        <w:rPr>
          <w:lang w:val="en-GB"/>
        </w:rPr>
        <w:t>for the years 2013-2017. The second hypothesis suggest</w:t>
      </w:r>
      <w:r w:rsidR="003371E2" w:rsidRPr="00CF3C36">
        <w:rPr>
          <w:lang w:val="en-GB"/>
        </w:rPr>
        <w:t>s</w:t>
      </w:r>
      <w:r w:rsidRPr="00CF3C36">
        <w:rPr>
          <w:lang w:val="en-GB"/>
        </w:rPr>
        <w:t xml:space="preserve"> that as the EPS increases</w:t>
      </w:r>
      <w:r w:rsidR="003371E2" w:rsidRPr="00CF3C36">
        <w:rPr>
          <w:lang w:val="en-GB"/>
        </w:rPr>
        <w:t>,</w:t>
      </w:r>
      <w:r w:rsidRPr="00CF3C36">
        <w:rPr>
          <w:lang w:val="en-GB"/>
        </w:rPr>
        <w:t xml:space="preserve"> the investment in </w:t>
      </w:r>
      <w:r w:rsidR="00BE757A" w:rsidRPr="00CF3C36">
        <w:rPr>
          <w:lang w:val="en-GB"/>
        </w:rPr>
        <w:t>renew</w:t>
      </w:r>
      <w:r w:rsidR="00CC4976" w:rsidRPr="00CF3C36">
        <w:rPr>
          <w:lang w:val="en-GB"/>
        </w:rPr>
        <w:t>able energy</w:t>
      </w:r>
      <w:r w:rsidRPr="00CF3C36">
        <w:rPr>
          <w:lang w:val="en-GB"/>
        </w:rPr>
        <w:t xml:space="preserve"> will </w:t>
      </w:r>
      <w:r w:rsidR="00CC4976" w:rsidRPr="00CF3C36">
        <w:rPr>
          <w:lang w:val="en-GB"/>
        </w:rPr>
        <w:t>increase</w:t>
      </w:r>
      <w:r w:rsidRPr="00CF3C36">
        <w:rPr>
          <w:lang w:val="en-GB"/>
        </w:rPr>
        <w:t xml:space="preserve"> relative to the </w:t>
      </w:r>
      <w:r w:rsidR="003371E2" w:rsidRPr="00CF3C36">
        <w:rPr>
          <w:lang w:val="en-GB"/>
        </w:rPr>
        <w:t xml:space="preserve">investment in </w:t>
      </w:r>
      <w:r w:rsidR="00CC4976" w:rsidRPr="00CF3C36">
        <w:rPr>
          <w:lang w:val="en-GB"/>
        </w:rPr>
        <w:t>fossil fuels</w:t>
      </w:r>
      <w:r w:rsidR="00F02183" w:rsidRPr="00CF3C36">
        <w:rPr>
          <w:lang w:val="en-GB"/>
        </w:rPr>
        <w:t xml:space="preserve">, as both </w:t>
      </w:r>
      <w:r w:rsidR="00CC4976" w:rsidRPr="00CF3C36">
        <w:rPr>
          <w:lang w:val="en-GB"/>
        </w:rPr>
        <w:t xml:space="preserve">investments in green energy increase and </w:t>
      </w:r>
      <w:r w:rsidR="00F02183" w:rsidRPr="00CF3C36">
        <w:rPr>
          <w:lang w:val="en-GB"/>
        </w:rPr>
        <w:t>investments in</w:t>
      </w:r>
      <w:r w:rsidR="00CC4976" w:rsidRPr="00CF3C36">
        <w:rPr>
          <w:lang w:val="en-GB"/>
        </w:rPr>
        <w:t xml:space="preserve"> fossil fuels decrease</w:t>
      </w:r>
      <w:r w:rsidRPr="00CF3C36">
        <w:rPr>
          <w:lang w:val="en-GB"/>
        </w:rPr>
        <w:t xml:space="preserve">. </w:t>
      </w:r>
      <w:r w:rsidR="00CC4517" w:rsidRPr="00CF3C36">
        <w:rPr>
          <w:lang w:val="en-GB"/>
        </w:rPr>
        <w:t>To establish which of these two effects is present to what extent, two more analyses are done. The first one uses the total FDI in brown energy</w:t>
      </w:r>
      <w:r w:rsidR="00E81CB5" w:rsidRPr="00CF3C36">
        <w:rPr>
          <w:lang w:val="en-GB"/>
        </w:rPr>
        <w:t xml:space="preserve"> (FDI_brown)</w:t>
      </w:r>
      <w:r w:rsidR="00CC4517" w:rsidRPr="00CF3C36">
        <w:rPr>
          <w:lang w:val="en-GB"/>
        </w:rPr>
        <w:t xml:space="preserve"> as the dependent variable and the second one uses the total FDI in green energy</w:t>
      </w:r>
      <w:r w:rsidR="00E81CB5" w:rsidRPr="00CF3C36">
        <w:rPr>
          <w:lang w:val="en-GB"/>
        </w:rPr>
        <w:t xml:space="preserve"> (FDI_green)</w:t>
      </w:r>
      <w:r w:rsidR="00CC4517" w:rsidRPr="00CF3C36">
        <w:rPr>
          <w:lang w:val="en-GB"/>
        </w:rPr>
        <w:t xml:space="preserve"> as the dependent variable. </w:t>
      </w:r>
    </w:p>
    <w:p w14:paraId="5ED8C61D" w14:textId="46B56CFB" w:rsidR="00497F73" w:rsidRPr="00CF3C36" w:rsidRDefault="0051739C" w:rsidP="00BA74F0">
      <w:pPr>
        <w:pStyle w:val="Heading3"/>
        <w:spacing w:before="120"/>
        <w:rPr>
          <w:lang w:val="en-GB"/>
        </w:rPr>
      </w:pPr>
      <w:bookmarkStart w:id="22" w:name="_Toc15480009"/>
      <w:r w:rsidRPr="00CF3C36">
        <w:rPr>
          <w:lang w:val="en-GB"/>
        </w:rPr>
        <w:t xml:space="preserve">3.1.2 </w:t>
      </w:r>
      <w:r w:rsidR="00497F73" w:rsidRPr="00CF3C36">
        <w:rPr>
          <w:lang w:val="en-GB"/>
        </w:rPr>
        <w:t>Independent variable</w:t>
      </w:r>
      <w:bookmarkEnd w:id="22"/>
    </w:p>
    <w:p w14:paraId="04014734" w14:textId="07A57F63" w:rsidR="00342E5E" w:rsidRPr="00CF3C36" w:rsidRDefault="00497F73" w:rsidP="004A7F1B">
      <w:pPr>
        <w:spacing w:after="0" w:line="360" w:lineRule="auto"/>
        <w:jc w:val="both"/>
        <w:rPr>
          <w:lang w:val="en-GB"/>
        </w:rPr>
      </w:pPr>
      <w:r w:rsidRPr="00CF3C36">
        <w:rPr>
          <w:lang w:val="en-GB"/>
        </w:rPr>
        <w:t xml:space="preserve">The independent variable in </w:t>
      </w:r>
      <w:r w:rsidR="00F264C7" w:rsidRPr="00CF3C36">
        <w:rPr>
          <w:lang w:val="en-GB"/>
        </w:rPr>
        <w:t>all</w:t>
      </w:r>
      <w:r w:rsidRPr="00CF3C36">
        <w:rPr>
          <w:lang w:val="en-GB"/>
        </w:rPr>
        <w:t xml:space="preserve"> the analyses is a measure of the </w:t>
      </w:r>
      <w:r w:rsidR="00F264C7" w:rsidRPr="00CF3C36">
        <w:rPr>
          <w:lang w:val="en-GB"/>
        </w:rPr>
        <w:t>EPS</w:t>
      </w:r>
      <w:r w:rsidRPr="00CF3C36">
        <w:rPr>
          <w:lang w:val="en-GB"/>
        </w:rPr>
        <w:t xml:space="preserve"> of a country. </w:t>
      </w:r>
      <w:r w:rsidR="00875D8B" w:rsidRPr="00CF3C36">
        <w:rPr>
          <w:lang w:val="en-GB"/>
        </w:rPr>
        <w:t>The measure used</w:t>
      </w:r>
      <w:r w:rsidR="00C4729D" w:rsidRPr="00CF3C36">
        <w:rPr>
          <w:lang w:val="en-GB"/>
        </w:rPr>
        <w:t xml:space="preserve"> in this </w:t>
      </w:r>
      <w:r w:rsidR="00A16BA0" w:rsidRPr="00CF3C36">
        <w:rPr>
          <w:lang w:val="en-GB"/>
        </w:rPr>
        <w:t>thesis</w:t>
      </w:r>
      <w:r w:rsidR="00875D8B" w:rsidRPr="00CF3C36">
        <w:rPr>
          <w:lang w:val="en-GB"/>
        </w:rPr>
        <w:t xml:space="preserve"> follows Kellenberg (2009) and Poelhekke and van der Ploeg (2015)</w:t>
      </w:r>
      <w:r w:rsidR="00C4729D" w:rsidRPr="00CF3C36">
        <w:rPr>
          <w:lang w:val="en-GB"/>
        </w:rPr>
        <w:t xml:space="preserve"> </w:t>
      </w:r>
      <w:r w:rsidR="00875D8B" w:rsidRPr="00CF3C36">
        <w:rPr>
          <w:lang w:val="en-GB"/>
        </w:rPr>
        <w:t xml:space="preserve">and </w:t>
      </w:r>
      <w:r w:rsidR="00C4729D" w:rsidRPr="00CF3C36">
        <w:rPr>
          <w:lang w:val="en-GB"/>
        </w:rPr>
        <w:t xml:space="preserve">is constructed from </w:t>
      </w:r>
      <w:r w:rsidR="00C4729D" w:rsidRPr="00CF3C36">
        <w:rPr>
          <w:lang w:val="en-GB"/>
        </w:rPr>
        <w:lastRenderedPageBreak/>
        <w:t>data from the Executive Opinion Survey which is conducted by the World Economic Forum and which are published in the Travel and Tou</w:t>
      </w:r>
      <w:r w:rsidR="00875D8B" w:rsidRPr="00CF3C36">
        <w:rPr>
          <w:lang w:val="en-GB"/>
        </w:rPr>
        <w:t>rism Competitiveness Reports</w:t>
      </w:r>
      <w:r w:rsidR="005B42B5" w:rsidRPr="00CF3C36">
        <w:rPr>
          <w:lang w:val="en-GB"/>
        </w:rPr>
        <w:t xml:space="preserve"> (e</w:t>
      </w:r>
      <w:r w:rsidR="008278DF" w:rsidRPr="00CF3C36">
        <w:rPr>
          <w:lang w:val="en-GB"/>
        </w:rPr>
        <w:t>.</w:t>
      </w:r>
      <w:r w:rsidR="005B42B5" w:rsidRPr="00CF3C36">
        <w:rPr>
          <w:lang w:val="en-GB"/>
        </w:rPr>
        <w:t>g.</w:t>
      </w:r>
      <w:r w:rsidR="008278DF" w:rsidRPr="00CF3C36">
        <w:rPr>
          <w:lang w:val="en-GB"/>
        </w:rPr>
        <w:t xml:space="preserve"> Blanke &amp; Chiesa, 2013</w:t>
      </w:r>
      <w:r w:rsidR="008278DF" w:rsidRPr="00CF3C36">
        <w:rPr>
          <w:rFonts w:ascii="Arial" w:hAnsi="Arial" w:cs="Arial"/>
          <w:color w:val="222222"/>
          <w:sz w:val="20"/>
          <w:szCs w:val="20"/>
          <w:shd w:val="clear" w:color="auto" w:fill="FFFFFF"/>
          <w:lang w:val="en-GB"/>
        </w:rPr>
        <w:t>)</w:t>
      </w:r>
      <w:r w:rsidR="00875D8B" w:rsidRPr="00CF3C36">
        <w:rPr>
          <w:lang w:val="en-GB"/>
        </w:rPr>
        <w:t>. This survey data is available fro</w:t>
      </w:r>
      <w:r w:rsidR="00C4729D" w:rsidRPr="00CF3C36">
        <w:rPr>
          <w:lang w:val="en-GB"/>
        </w:rPr>
        <w:t>m 200</w:t>
      </w:r>
      <w:r w:rsidR="00AF6633" w:rsidRPr="00CF3C36">
        <w:rPr>
          <w:lang w:val="en-GB"/>
        </w:rPr>
        <w:t>9</w:t>
      </w:r>
      <w:r w:rsidR="00C4729D" w:rsidRPr="00CF3C36">
        <w:rPr>
          <w:lang w:val="en-GB"/>
        </w:rPr>
        <w:t>-2017</w:t>
      </w:r>
      <w:r w:rsidR="007F3BC7" w:rsidRPr="00CF3C36">
        <w:rPr>
          <w:lang w:val="en-GB"/>
        </w:rPr>
        <w:t xml:space="preserve">. </w:t>
      </w:r>
      <w:r w:rsidR="00F64CC1" w:rsidRPr="00CF3C36">
        <w:rPr>
          <w:lang w:val="en-GB"/>
        </w:rPr>
        <w:t>In this survey</w:t>
      </w:r>
      <w:r w:rsidR="00196ED6" w:rsidRPr="00CF3C36">
        <w:rPr>
          <w:lang w:val="en-GB"/>
        </w:rPr>
        <w:t>,</w:t>
      </w:r>
      <w:r w:rsidR="00F64CC1" w:rsidRPr="00CF3C36">
        <w:rPr>
          <w:lang w:val="en-GB"/>
        </w:rPr>
        <w:t xml:space="preserve"> business executives are asked a multitude of questions concerning the economy they operate in.</w:t>
      </w:r>
      <w:r w:rsidR="006E52BA" w:rsidRPr="00CF3C36">
        <w:rPr>
          <w:lang w:val="en-GB"/>
        </w:rPr>
        <w:t xml:space="preserve"> In 2015 the survey included 13,213 observations over 134 cou</w:t>
      </w:r>
      <w:r w:rsidR="00CF3C36">
        <w:rPr>
          <w:lang w:val="en-GB"/>
        </w:rPr>
        <w:t>ntries, thus with on average 98.</w:t>
      </w:r>
      <w:r w:rsidR="006E52BA" w:rsidRPr="00CF3C36">
        <w:rPr>
          <w:lang w:val="en-GB"/>
        </w:rPr>
        <w:t xml:space="preserve">6 observations per country. The minimum number of observations </w:t>
      </w:r>
      <w:r w:rsidR="00342E5E" w:rsidRPr="00CF3C36">
        <w:rPr>
          <w:lang w:val="en-GB"/>
        </w:rPr>
        <w:t xml:space="preserve">that is required </w:t>
      </w:r>
      <w:r w:rsidR="006E52BA" w:rsidRPr="00CF3C36">
        <w:rPr>
          <w:lang w:val="en-GB"/>
        </w:rPr>
        <w:t xml:space="preserve">to be taken into account in the survey is 30 per country. </w:t>
      </w:r>
      <w:r w:rsidR="00346447" w:rsidRPr="00CF3C36">
        <w:rPr>
          <w:lang w:val="en-GB"/>
        </w:rPr>
        <w:t>More descriptive statistics on the Executive Opinion Surv</w:t>
      </w:r>
      <w:r w:rsidR="00196ED6" w:rsidRPr="00CF3C36">
        <w:rPr>
          <w:lang w:val="en-GB"/>
        </w:rPr>
        <w:t xml:space="preserve">ey of 2015 can be found in the </w:t>
      </w:r>
      <w:r w:rsidR="007E28FC" w:rsidRPr="00CF3C36">
        <w:rPr>
          <w:lang w:val="en-GB"/>
        </w:rPr>
        <w:t>a</w:t>
      </w:r>
      <w:r w:rsidR="00196ED6" w:rsidRPr="00CF3C36">
        <w:rPr>
          <w:lang w:val="en-GB"/>
        </w:rPr>
        <w:t>ppendi</w:t>
      </w:r>
      <w:r w:rsidR="00346447" w:rsidRPr="00CF3C36">
        <w:rPr>
          <w:lang w:val="en-GB"/>
        </w:rPr>
        <w:t>x</w:t>
      </w:r>
      <w:r w:rsidR="007E28FC" w:rsidRPr="00CF3C36">
        <w:rPr>
          <w:lang w:val="en-GB"/>
        </w:rPr>
        <w:t xml:space="preserve"> Figure 7</w:t>
      </w:r>
      <w:r w:rsidR="00346447" w:rsidRPr="00CF3C36">
        <w:rPr>
          <w:lang w:val="en-GB"/>
        </w:rPr>
        <w:t xml:space="preserve">, for other years the numbers vary slightly, but are generally similar. </w:t>
      </w:r>
    </w:p>
    <w:p w14:paraId="43411FB5" w14:textId="33A639B5" w:rsidR="00552511" w:rsidRPr="00CF3C36" w:rsidRDefault="00342E5E" w:rsidP="00BA74F0">
      <w:pPr>
        <w:spacing w:after="0" w:line="360" w:lineRule="auto"/>
        <w:ind w:firstLine="708"/>
        <w:jc w:val="both"/>
        <w:rPr>
          <w:lang w:val="en-GB"/>
        </w:rPr>
      </w:pPr>
      <w:r w:rsidRPr="00CF3C36">
        <w:rPr>
          <w:lang w:val="en-GB"/>
        </w:rPr>
        <w:t xml:space="preserve">Thus far this thesis has discussed environmental policy stringency, however multiple authors </w:t>
      </w:r>
      <w:r w:rsidR="00004559" w:rsidRPr="00CF3C36">
        <w:rPr>
          <w:lang w:val="en-GB"/>
        </w:rPr>
        <w:t xml:space="preserve">(Kellenberg, 2009 &amp; Poelhekke and van der Ploeg, 2015) </w:t>
      </w:r>
      <w:r w:rsidRPr="00CF3C36">
        <w:rPr>
          <w:lang w:val="en-GB"/>
        </w:rPr>
        <w:t xml:space="preserve">suggest that next the stringency of the policies also the enforcement is an important factor. </w:t>
      </w:r>
      <w:r w:rsidR="00A566BA" w:rsidRPr="00CF3C36">
        <w:rPr>
          <w:lang w:val="en-GB"/>
        </w:rPr>
        <w:t>The reasoning is that a country with a set of very strict environmental policies, but no enforcement will not cause firms to abide by the regulations. Therefore t</w:t>
      </w:r>
      <w:r w:rsidR="007F3BC7" w:rsidRPr="00CF3C36">
        <w:rPr>
          <w:lang w:val="en-GB"/>
        </w:rPr>
        <w:t xml:space="preserve">wo of the questions asked in this survey are relevant for the measure of environmental policy for this analysis. </w:t>
      </w:r>
      <w:r w:rsidR="00F64CC1" w:rsidRPr="00CF3C36">
        <w:rPr>
          <w:lang w:val="en-GB"/>
        </w:rPr>
        <w:t xml:space="preserve">The first questions </w:t>
      </w:r>
      <w:r w:rsidR="003E0BA8" w:rsidRPr="00CF3C36">
        <w:rPr>
          <w:lang w:val="en-GB"/>
        </w:rPr>
        <w:t>asks</w:t>
      </w:r>
      <w:r w:rsidR="00F64CC1" w:rsidRPr="00CF3C36">
        <w:rPr>
          <w:lang w:val="en-GB"/>
        </w:rPr>
        <w:t xml:space="preserve"> business executives about the stringency of environ</w:t>
      </w:r>
      <w:r w:rsidR="00346447" w:rsidRPr="00CF3C36">
        <w:rPr>
          <w:lang w:val="en-GB"/>
        </w:rPr>
        <w:t>mental regulations in the relevant country and the second question asks about the e</w:t>
      </w:r>
      <w:r w:rsidR="0053063A" w:rsidRPr="00CF3C36">
        <w:rPr>
          <w:lang w:val="en-GB"/>
        </w:rPr>
        <w:t>nforcement of these regulations</w:t>
      </w:r>
      <w:r w:rsidR="002C68B1" w:rsidRPr="00CF3C36">
        <w:rPr>
          <w:lang w:val="en-GB"/>
        </w:rPr>
        <w:t>.</w:t>
      </w:r>
      <w:r w:rsidR="0053063A" w:rsidRPr="00CF3C36">
        <w:rPr>
          <w:lang w:val="en-GB"/>
        </w:rPr>
        <w:t xml:space="preserve"> </w:t>
      </w:r>
      <w:r w:rsidR="00CD1E60" w:rsidRPr="00CF3C36">
        <w:rPr>
          <w:lang w:val="en-GB"/>
        </w:rPr>
        <w:t xml:space="preserve">Both </w:t>
      </w:r>
      <w:r w:rsidR="00AF6633" w:rsidRPr="00CF3C36">
        <w:rPr>
          <w:lang w:val="en-GB"/>
        </w:rPr>
        <w:t>question</w:t>
      </w:r>
      <w:r w:rsidR="00CD1E60" w:rsidRPr="00CF3C36">
        <w:rPr>
          <w:lang w:val="en-GB"/>
        </w:rPr>
        <w:t>s have</w:t>
      </w:r>
      <w:r w:rsidR="00AF6633" w:rsidRPr="00CF3C36">
        <w:rPr>
          <w:lang w:val="en-GB"/>
        </w:rPr>
        <w:t xml:space="preserve"> been rephrased slightly from 2009 to 2011, however this rephrasing is not expected to create a difference in the results. Both </w:t>
      </w:r>
      <w:r w:rsidR="00A566BA" w:rsidRPr="00CF3C36">
        <w:rPr>
          <w:lang w:val="en-GB"/>
        </w:rPr>
        <w:t xml:space="preserve">the original and the rephrased version of the </w:t>
      </w:r>
      <w:r w:rsidR="00AF6633" w:rsidRPr="00CF3C36">
        <w:rPr>
          <w:lang w:val="en-GB"/>
        </w:rPr>
        <w:t>question</w:t>
      </w:r>
      <w:r w:rsidR="00CD1E60" w:rsidRPr="00CF3C36">
        <w:rPr>
          <w:lang w:val="en-GB"/>
        </w:rPr>
        <w:t>s</w:t>
      </w:r>
      <w:r w:rsidR="00AF6633" w:rsidRPr="00CF3C36">
        <w:rPr>
          <w:lang w:val="en-GB"/>
        </w:rPr>
        <w:t xml:space="preserve"> can be found in the </w:t>
      </w:r>
      <w:r w:rsidR="004D00AC" w:rsidRPr="00CF3C36">
        <w:rPr>
          <w:lang w:val="en-GB"/>
        </w:rPr>
        <w:t>appendi</w:t>
      </w:r>
      <w:r w:rsidR="00CD1E60" w:rsidRPr="00CF3C36">
        <w:rPr>
          <w:lang w:val="en-GB"/>
        </w:rPr>
        <w:t>x.</w:t>
      </w:r>
      <w:r w:rsidR="00AF6633" w:rsidRPr="00CF3C36">
        <w:rPr>
          <w:lang w:val="en-GB"/>
        </w:rPr>
        <w:t xml:space="preserve"> </w:t>
      </w:r>
      <w:r w:rsidR="00EB094A" w:rsidRPr="00CF3C36">
        <w:rPr>
          <w:lang w:val="en-GB"/>
        </w:rPr>
        <w:t xml:space="preserve">The answers to both the questions are a number between 1 and 7 is which 1 is the least strict or the least enforced and 7 is the most strict or the most enforced. </w:t>
      </w:r>
      <w:r w:rsidR="009D7F3E" w:rsidRPr="00CF3C36">
        <w:rPr>
          <w:lang w:val="en-GB"/>
        </w:rPr>
        <w:t>The scores of the two questions are combined into a single indicator by multiplying the stringency of environmental regulations score and the enforcement of environmental regulation score</w:t>
      </w:r>
      <w:r w:rsidR="00312051" w:rsidRPr="00CF3C36">
        <w:rPr>
          <w:lang w:val="en-GB"/>
        </w:rPr>
        <w:t>. This method captures the idea that stringent environmental policy is only relevant if it is enforced.</w:t>
      </w:r>
      <w:r w:rsidR="009D7F3E" w:rsidRPr="00CF3C36">
        <w:rPr>
          <w:lang w:val="en-GB"/>
        </w:rPr>
        <w:t xml:space="preserve"> This creates what previous authors</w:t>
      </w:r>
      <w:r w:rsidR="007D1BC9" w:rsidRPr="00CF3C36">
        <w:rPr>
          <w:lang w:val="en-GB"/>
        </w:rPr>
        <w:t xml:space="preserve"> (Kellenberg 2009, Poelhekke &amp; van der Ploeg 2015)</w:t>
      </w:r>
      <w:r w:rsidR="009D7F3E" w:rsidRPr="00CF3C36">
        <w:rPr>
          <w:lang w:val="en-GB"/>
        </w:rPr>
        <w:t xml:space="preserve"> have called</w:t>
      </w:r>
      <w:r w:rsidR="003848A0" w:rsidRPr="00CF3C36">
        <w:rPr>
          <w:lang w:val="en-GB"/>
        </w:rPr>
        <w:t xml:space="preserve"> the Environmental Policy Index, which can potentially range from 1 to 49. </w:t>
      </w:r>
      <w:r w:rsidR="009D7F3E" w:rsidRPr="00CF3C36">
        <w:rPr>
          <w:lang w:val="en-GB"/>
        </w:rPr>
        <w:t xml:space="preserve"> </w:t>
      </w:r>
    </w:p>
    <w:p w14:paraId="04EBB2B8" w14:textId="3922B246" w:rsidR="004A7F1B" w:rsidRPr="00CF3C36" w:rsidRDefault="0051739C" w:rsidP="00BA74F0">
      <w:pPr>
        <w:pStyle w:val="Heading3"/>
        <w:spacing w:before="120"/>
        <w:rPr>
          <w:lang w:val="en-GB"/>
        </w:rPr>
      </w:pPr>
      <w:bookmarkStart w:id="23" w:name="_Toc15480010"/>
      <w:r w:rsidRPr="00CF3C36">
        <w:rPr>
          <w:lang w:val="en-GB"/>
        </w:rPr>
        <w:t xml:space="preserve">3.1.3 </w:t>
      </w:r>
      <w:r w:rsidR="004A7F1B" w:rsidRPr="00CF3C36">
        <w:rPr>
          <w:lang w:val="en-GB"/>
        </w:rPr>
        <w:t>Control variables</w:t>
      </w:r>
      <w:bookmarkEnd w:id="23"/>
    </w:p>
    <w:p w14:paraId="1C26804D" w14:textId="77777777" w:rsidR="00312051" w:rsidRPr="00CF3C36" w:rsidRDefault="00AA1D2B" w:rsidP="00AA1D2B">
      <w:pPr>
        <w:spacing w:line="360" w:lineRule="auto"/>
        <w:jc w:val="both"/>
        <w:rPr>
          <w:lang w:val="en-GB"/>
        </w:rPr>
      </w:pPr>
      <w:r w:rsidRPr="00CF3C36">
        <w:rPr>
          <w:lang w:val="en-GB"/>
        </w:rPr>
        <w:t>Based on the literature review provided in the second chapter of this thesis a number of control variables are included in the analysis as there is reason to believe that these variables influe</w:t>
      </w:r>
      <w:r w:rsidR="00312051" w:rsidRPr="00CF3C36">
        <w:rPr>
          <w:lang w:val="en-GB"/>
        </w:rPr>
        <w:t>nce the relationship between EPI</w:t>
      </w:r>
      <w:r w:rsidRPr="00CF3C36">
        <w:rPr>
          <w:lang w:val="en-GB"/>
        </w:rPr>
        <w:t xml:space="preserve"> and the environmental impact of FDI in the host country. </w:t>
      </w:r>
    </w:p>
    <w:p w14:paraId="3042201F" w14:textId="45E32F59" w:rsidR="0060330D" w:rsidRPr="00CF3C36" w:rsidRDefault="0060330D" w:rsidP="0060330D">
      <w:pPr>
        <w:pStyle w:val="ListParagraph"/>
        <w:numPr>
          <w:ilvl w:val="0"/>
          <w:numId w:val="4"/>
        </w:numPr>
        <w:spacing w:line="360" w:lineRule="auto"/>
        <w:jc w:val="both"/>
        <w:rPr>
          <w:lang w:val="en-GB"/>
        </w:rPr>
      </w:pPr>
      <w:r w:rsidRPr="00CF3C36">
        <w:rPr>
          <w:b/>
          <w:lang w:val="en-GB"/>
        </w:rPr>
        <w:t>Economy wide pollution intensity (</w:t>
      </w:r>
      <w:r w:rsidR="003F01C9" w:rsidRPr="00CF3C36">
        <w:rPr>
          <w:b/>
          <w:lang w:val="en-GB"/>
        </w:rPr>
        <w:t>CO2</w:t>
      </w:r>
      <w:r w:rsidRPr="00CF3C36">
        <w:rPr>
          <w:b/>
          <w:lang w:val="en-GB"/>
        </w:rPr>
        <w:t>_intensity)</w:t>
      </w:r>
      <w:r w:rsidRPr="00CF3C36">
        <w:rPr>
          <w:lang w:val="en-GB"/>
        </w:rPr>
        <w:t xml:space="preserve">, is included in order to control for changes in the pollution intensity of a country as a whole in </w:t>
      </w:r>
      <w:r w:rsidR="000F7FD0" w:rsidRPr="00CF3C36">
        <w:rPr>
          <w:lang w:val="en-GB"/>
        </w:rPr>
        <w:t>M</w:t>
      </w:r>
      <w:r w:rsidRPr="00CF3C36">
        <w:rPr>
          <w:lang w:val="en-GB"/>
        </w:rPr>
        <w:t>ode</w:t>
      </w:r>
      <w:r w:rsidR="00B92584" w:rsidRPr="00CF3C36">
        <w:rPr>
          <w:lang w:val="en-GB"/>
        </w:rPr>
        <w:t>l 1. The dependent variable in M</w:t>
      </w:r>
      <w:r w:rsidRPr="00CF3C36">
        <w:rPr>
          <w:lang w:val="en-GB"/>
        </w:rPr>
        <w:t xml:space="preserve">odel 1 is chosen to measure the environmental impact of FDI due to the sectoral composition of FDI in a country. If, for example, all sectors in a country become less pollution intensive. This will be reflected in the dependent variable of </w:t>
      </w:r>
      <w:r w:rsidR="00B92584" w:rsidRPr="00CF3C36">
        <w:rPr>
          <w:lang w:val="en-GB"/>
        </w:rPr>
        <w:t>M</w:t>
      </w:r>
      <w:r w:rsidRPr="00CF3C36">
        <w:rPr>
          <w:lang w:val="en-GB"/>
        </w:rPr>
        <w:t xml:space="preserve">odel 1 as a decrease of </w:t>
      </w:r>
      <w:r w:rsidR="00B92584" w:rsidRPr="00CF3C36">
        <w:rPr>
          <w:lang w:val="en-GB"/>
        </w:rPr>
        <w:t>pollution intensity</w:t>
      </w:r>
      <w:r w:rsidRPr="00CF3C36">
        <w:rPr>
          <w:lang w:val="en-GB"/>
        </w:rPr>
        <w:t xml:space="preserve"> of FDI unless it is controlled for. By including this control variable in </w:t>
      </w:r>
      <w:r w:rsidR="00B92584" w:rsidRPr="00CF3C36">
        <w:rPr>
          <w:lang w:val="en-GB"/>
        </w:rPr>
        <w:t>M</w:t>
      </w:r>
      <w:r w:rsidRPr="00CF3C36">
        <w:rPr>
          <w:lang w:val="en-GB"/>
        </w:rPr>
        <w:t xml:space="preserve">odel 1, the dependent </w:t>
      </w:r>
      <w:r w:rsidRPr="00CF3C36">
        <w:rPr>
          <w:lang w:val="en-GB"/>
        </w:rPr>
        <w:lastRenderedPageBreak/>
        <w:t xml:space="preserve">variable only measures the </w:t>
      </w:r>
      <w:r w:rsidR="00B66A77" w:rsidRPr="00CF3C36">
        <w:rPr>
          <w:lang w:val="en-GB"/>
        </w:rPr>
        <w:t xml:space="preserve">changes in pollution intensity due to changes in the </w:t>
      </w:r>
      <w:r w:rsidRPr="00CF3C36">
        <w:rPr>
          <w:lang w:val="en-GB"/>
        </w:rPr>
        <w:t xml:space="preserve">sectoral composition of FDI. </w:t>
      </w:r>
      <w:r w:rsidR="00DF4BC1" w:rsidRPr="00CF3C36">
        <w:rPr>
          <w:lang w:val="en-GB"/>
        </w:rPr>
        <w:t xml:space="preserve">This measure is created by dividing the total </w:t>
      </w:r>
      <w:r w:rsidR="003F01C9" w:rsidRPr="00CF3C36">
        <w:rPr>
          <w:lang w:val="en-GB"/>
        </w:rPr>
        <w:t>CO</w:t>
      </w:r>
      <w:r w:rsidR="003F01C9" w:rsidRPr="00CF3C36">
        <w:rPr>
          <w:vertAlign w:val="subscript"/>
          <w:lang w:val="en-GB"/>
        </w:rPr>
        <w:t xml:space="preserve">2 </w:t>
      </w:r>
      <w:r w:rsidR="00DF4BC1" w:rsidRPr="00CF3C36">
        <w:rPr>
          <w:lang w:val="en-GB"/>
        </w:rPr>
        <w:t xml:space="preserve">emissions of a country by the total value added of the country, </w:t>
      </w:r>
      <w:r w:rsidR="00DF4BC1" w:rsidRPr="00CF3C36">
        <w:rPr>
          <w:rFonts w:eastAsiaTheme="minorEastAsia"/>
          <w:lang w:val="en-GB"/>
        </w:rPr>
        <w:t>(</w:t>
      </w:r>
      <m:oMath>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CO2</m:t>
                </m:r>
              </m:e>
              <m:sub>
                <m:r>
                  <w:rPr>
                    <w:rFonts w:ascii="Cambria Math" w:hAnsi="Cambria Math"/>
                    <w:lang w:val="en-GB"/>
                  </w:rPr>
                  <m:t>total</m:t>
                </m:r>
              </m:sub>
            </m:sSub>
          </m:num>
          <m:den>
            <m:sSub>
              <m:sSubPr>
                <m:ctrlPr>
                  <w:rPr>
                    <w:rFonts w:ascii="Cambria Math" w:hAnsi="Cambria Math"/>
                    <w:i/>
                    <w:lang w:val="en-GB"/>
                  </w:rPr>
                </m:ctrlPr>
              </m:sSubPr>
              <m:e>
                <m:r>
                  <w:rPr>
                    <w:rFonts w:ascii="Cambria Math" w:hAnsi="Cambria Math"/>
                    <w:lang w:val="en-GB"/>
                  </w:rPr>
                  <m:t>VA</m:t>
                </m:r>
              </m:e>
              <m:sub>
                <m:r>
                  <w:rPr>
                    <w:rFonts w:ascii="Cambria Math" w:hAnsi="Cambria Math"/>
                    <w:lang w:val="en-GB"/>
                  </w:rPr>
                  <m:t>total</m:t>
                </m:r>
              </m:sub>
            </m:sSub>
          </m:den>
        </m:f>
      </m:oMath>
      <w:r w:rsidR="00DF4BC1" w:rsidRPr="00CF3C36">
        <w:rPr>
          <w:rFonts w:eastAsiaTheme="minorEastAsia"/>
          <w:lang w:val="en-GB"/>
        </w:rPr>
        <w:t xml:space="preserve">). With data form the IEA and the OECD input-output tables. </w:t>
      </w:r>
    </w:p>
    <w:p w14:paraId="0E8DAB2C" w14:textId="7783363B" w:rsidR="006A7977" w:rsidRPr="00CF3C36" w:rsidRDefault="009F7852" w:rsidP="00312051">
      <w:pPr>
        <w:spacing w:line="360" w:lineRule="auto"/>
        <w:ind w:firstLine="360"/>
        <w:jc w:val="both"/>
        <w:rPr>
          <w:lang w:val="en-GB"/>
        </w:rPr>
      </w:pPr>
      <w:r w:rsidRPr="00CF3C36">
        <w:rPr>
          <w:lang w:val="en-GB"/>
        </w:rPr>
        <w:t>Then</w:t>
      </w:r>
      <w:r w:rsidR="006A7977" w:rsidRPr="00CF3C36">
        <w:rPr>
          <w:lang w:val="en-GB"/>
        </w:rPr>
        <w:t xml:space="preserve"> some variables are included that partly describe the host-country economy and therefore might influence the investment decisions of MNE’s. </w:t>
      </w:r>
    </w:p>
    <w:p w14:paraId="5B32B097" w14:textId="00750C45" w:rsidR="006A7977" w:rsidRPr="00CF3C36" w:rsidRDefault="006A7977" w:rsidP="00FC460A">
      <w:pPr>
        <w:pStyle w:val="ListParagraph"/>
        <w:numPr>
          <w:ilvl w:val="0"/>
          <w:numId w:val="3"/>
        </w:numPr>
        <w:spacing w:line="360" w:lineRule="auto"/>
        <w:jc w:val="both"/>
        <w:rPr>
          <w:lang w:val="en-GB"/>
        </w:rPr>
      </w:pPr>
      <w:r w:rsidRPr="00CF3C36">
        <w:rPr>
          <w:b/>
          <w:lang w:val="en-GB"/>
        </w:rPr>
        <w:t>Gross Domestic Product</w:t>
      </w:r>
      <w:r w:rsidRPr="00CF3C36">
        <w:rPr>
          <w:lang w:val="en-GB"/>
        </w:rPr>
        <w:t xml:space="preserve"> </w:t>
      </w:r>
      <w:r w:rsidRPr="00CF3C36">
        <w:rPr>
          <w:b/>
          <w:lang w:val="en-GB"/>
        </w:rPr>
        <w:t>(</w:t>
      </w:r>
      <w:r w:rsidR="00FC460A" w:rsidRPr="00CF3C36">
        <w:rPr>
          <w:b/>
          <w:lang w:val="en-GB"/>
        </w:rPr>
        <w:t>rgdpna</w:t>
      </w:r>
      <w:r w:rsidRPr="00CF3C36">
        <w:rPr>
          <w:b/>
          <w:lang w:val="en-GB"/>
        </w:rPr>
        <w:t>)</w:t>
      </w:r>
      <w:r w:rsidR="00A47E3E" w:rsidRPr="00CF3C36">
        <w:rPr>
          <w:b/>
          <w:lang w:val="en-GB"/>
        </w:rPr>
        <w:t>,</w:t>
      </w:r>
      <w:r w:rsidR="00A47E3E" w:rsidRPr="00CF3C36">
        <w:rPr>
          <w:lang w:val="en-GB"/>
        </w:rPr>
        <w:t xml:space="preserve"> is included as a proxy for</w:t>
      </w:r>
      <w:r w:rsidRPr="00CF3C36">
        <w:rPr>
          <w:lang w:val="en-GB"/>
        </w:rPr>
        <w:t xml:space="preserve"> the host country’s market size.</w:t>
      </w:r>
      <w:r w:rsidR="00386A4A" w:rsidRPr="00CF3C36">
        <w:rPr>
          <w:lang w:val="en-GB"/>
        </w:rPr>
        <w:t xml:space="preserve"> The size of a country’s market can be an important factor in the location decisions of MNE’s, mainly for market seeking FDI (Dunning</w:t>
      </w:r>
      <w:r w:rsidR="00B61B7F" w:rsidRPr="00CF3C36">
        <w:rPr>
          <w:lang w:val="en-GB"/>
        </w:rPr>
        <w:t xml:space="preserve"> </w:t>
      </w:r>
      <w:r w:rsidR="00B61B7F" w:rsidRPr="00CF3C36">
        <w:rPr>
          <w:color w:val="222222"/>
          <w:shd w:val="clear" w:color="auto" w:fill="FFFFFF"/>
          <w:lang w:val="en-GB"/>
        </w:rPr>
        <w:t>&amp; Lundan</w:t>
      </w:r>
      <w:r w:rsidR="00386A4A" w:rsidRPr="00CF3C36">
        <w:rPr>
          <w:lang w:val="en-GB"/>
        </w:rPr>
        <w:t>, 2008). This type of FDI invests in a country in order to produce for the domestic demand. A bigger domestic market will, ceteris paribus mean a bigger domestic demand. Thus an increased market size will increase the incentive for MNE’s to invest in a country.</w:t>
      </w:r>
      <w:r w:rsidR="00FC460A" w:rsidRPr="00CF3C36">
        <w:rPr>
          <w:lang w:val="en-GB"/>
        </w:rPr>
        <w:t xml:space="preserve"> For this indicator data from the Penn World Tables is used on real GDP at constant 2011 national prices (in mil 2011 USD)</w:t>
      </w:r>
      <w:r w:rsidR="001344DA" w:rsidRPr="00CF3C36">
        <w:rPr>
          <w:lang w:val="en-GB"/>
        </w:rPr>
        <w:t xml:space="preserve"> (</w:t>
      </w:r>
      <w:r w:rsidR="001344DA" w:rsidRPr="00CF3C36">
        <w:rPr>
          <w:color w:val="222222"/>
          <w:shd w:val="clear" w:color="auto" w:fill="FFFFFF"/>
          <w:lang w:val="en-GB"/>
        </w:rPr>
        <w:t>Feenstra, Inklaar &amp; Timmer, 2015)</w:t>
      </w:r>
      <w:r w:rsidR="00FC460A" w:rsidRPr="00CF3C36">
        <w:rPr>
          <w:lang w:val="en-GB"/>
        </w:rPr>
        <w:t>.</w:t>
      </w:r>
    </w:p>
    <w:p w14:paraId="38DDD6AD" w14:textId="139B0FE1" w:rsidR="0095772E" w:rsidRPr="00CF3C36" w:rsidRDefault="001040A9" w:rsidP="001B78A4">
      <w:pPr>
        <w:pStyle w:val="ListParagraph"/>
        <w:numPr>
          <w:ilvl w:val="0"/>
          <w:numId w:val="3"/>
        </w:numPr>
        <w:spacing w:line="360" w:lineRule="auto"/>
        <w:jc w:val="both"/>
        <w:rPr>
          <w:lang w:val="en-GB"/>
        </w:rPr>
      </w:pPr>
      <w:r w:rsidRPr="00CF3C36">
        <w:rPr>
          <w:b/>
          <w:lang w:val="en-GB"/>
        </w:rPr>
        <w:t xml:space="preserve">The share of </w:t>
      </w:r>
      <w:r w:rsidR="001B78A4" w:rsidRPr="00CF3C36">
        <w:rPr>
          <w:b/>
          <w:lang w:val="en-GB"/>
        </w:rPr>
        <w:t xml:space="preserve">enrolment in </w:t>
      </w:r>
      <w:r w:rsidRPr="00CF3C36">
        <w:rPr>
          <w:b/>
          <w:lang w:val="en-GB"/>
        </w:rPr>
        <w:t>tertiary educa</w:t>
      </w:r>
      <w:r w:rsidR="001B78A4" w:rsidRPr="00CF3C36">
        <w:rPr>
          <w:b/>
          <w:lang w:val="en-GB"/>
        </w:rPr>
        <w:t>tion</w:t>
      </w:r>
      <w:r w:rsidRPr="00CF3C36">
        <w:rPr>
          <w:b/>
          <w:lang w:val="en-GB"/>
        </w:rPr>
        <w:t xml:space="preserve"> (SE-terX)</w:t>
      </w:r>
      <w:r w:rsidRPr="00CF3C36">
        <w:rPr>
          <w:lang w:val="en-GB"/>
        </w:rPr>
        <w:t>, is included as a proxy for human capital.</w:t>
      </w:r>
      <w:r w:rsidR="001B78A4" w:rsidRPr="00CF3C36">
        <w:rPr>
          <w:lang w:val="en-GB"/>
        </w:rPr>
        <w:t xml:space="preserve"> This indicator is calculated by dividing the number of students enrolled in tertiary education regardless of age by the population of the age group which officially corresponds to tertiary education, and multiplying by 100. </w:t>
      </w:r>
      <w:r w:rsidR="00110890" w:rsidRPr="00CF3C36">
        <w:rPr>
          <w:lang w:val="en-GB"/>
        </w:rPr>
        <w:t>Human capital can also be an important factor in the location decisions of MNE’s, and the level of human capital will affect the type of FDI that is attracted by a country (Borensztein et al., 1998 &amp; Solomon, 2011). The level of human capital is also expected to influence the public perception of sustainability and therefore can influence our analysis as well (Šlaus &amp; Jacobs, 2011).</w:t>
      </w:r>
      <w:r w:rsidR="003941BA" w:rsidRPr="00CF3C36">
        <w:rPr>
          <w:lang w:val="en-GB"/>
        </w:rPr>
        <w:t xml:space="preserve"> </w:t>
      </w:r>
      <w:r w:rsidR="00961F7D" w:rsidRPr="00CF3C36">
        <w:rPr>
          <w:lang w:val="en-GB"/>
        </w:rPr>
        <w:t xml:space="preserve">Data for this variable is retrieved from the </w:t>
      </w:r>
      <w:r w:rsidR="00AE64B0" w:rsidRPr="00CF3C36">
        <w:rPr>
          <w:lang w:val="en-GB"/>
        </w:rPr>
        <w:t>World Bank</w:t>
      </w:r>
      <w:r w:rsidR="00961F7D" w:rsidRPr="00CF3C36">
        <w:rPr>
          <w:lang w:val="en-GB"/>
        </w:rPr>
        <w:t xml:space="preserve"> Database.</w:t>
      </w:r>
    </w:p>
    <w:p w14:paraId="0D0A924B" w14:textId="2F1ECF22" w:rsidR="004558CA" w:rsidRPr="00CF3C36" w:rsidRDefault="00F41561" w:rsidP="004558CA">
      <w:pPr>
        <w:pStyle w:val="ListParagraph"/>
        <w:numPr>
          <w:ilvl w:val="0"/>
          <w:numId w:val="2"/>
        </w:numPr>
        <w:spacing w:line="360" w:lineRule="auto"/>
        <w:jc w:val="both"/>
        <w:rPr>
          <w:lang w:val="en-GB"/>
        </w:rPr>
      </w:pPr>
      <w:r w:rsidRPr="00CF3C36">
        <w:rPr>
          <w:b/>
          <w:lang w:val="en-GB"/>
        </w:rPr>
        <w:t xml:space="preserve">The ease of doing business </w:t>
      </w:r>
      <w:r w:rsidR="001E0B1F" w:rsidRPr="00CF3C36">
        <w:rPr>
          <w:b/>
          <w:lang w:val="en-GB"/>
        </w:rPr>
        <w:t>score</w:t>
      </w:r>
      <w:r w:rsidR="00FC460A" w:rsidRPr="00CF3C36">
        <w:rPr>
          <w:b/>
          <w:lang w:val="en-GB"/>
        </w:rPr>
        <w:t xml:space="preserve"> (eodb</w:t>
      </w:r>
      <w:r w:rsidR="005C1B57" w:rsidRPr="00CF3C36">
        <w:rPr>
          <w:b/>
          <w:lang w:val="en-GB"/>
        </w:rPr>
        <w:t>1</w:t>
      </w:r>
      <w:r w:rsidR="00FC460A" w:rsidRPr="00CF3C36">
        <w:rPr>
          <w:b/>
          <w:lang w:val="en-GB"/>
        </w:rPr>
        <w:t>)</w:t>
      </w:r>
      <w:r w:rsidR="00AE1B44" w:rsidRPr="00CF3C36">
        <w:rPr>
          <w:b/>
          <w:lang w:val="en-GB"/>
        </w:rPr>
        <w:t>,</w:t>
      </w:r>
      <w:r w:rsidRPr="00CF3C36">
        <w:rPr>
          <w:b/>
          <w:lang w:val="en-GB"/>
        </w:rPr>
        <w:t xml:space="preserve"> </w:t>
      </w:r>
      <w:r w:rsidRPr="00CF3C36">
        <w:rPr>
          <w:lang w:val="en-GB"/>
        </w:rPr>
        <w:t>which covers aspects of the ease of starting a business related to investment facilitation, as well as other policy area</w:t>
      </w:r>
      <w:r w:rsidR="00B0735C" w:rsidRPr="00CF3C36">
        <w:rPr>
          <w:lang w:val="en-GB"/>
        </w:rPr>
        <w:t>s</w:t>
      </w:r>
      <w:r w:rsidR="004558CA" w:rsidRPr="00CF3C36">
        <w:rPr>
          <w:lang w:val="en-GB"/>
        </w:rPr>
        <w:t>.</w:t>
      </w:r>
      <w:r w:rsidR="001E0B1F" w:rsidRPr="00CF3C36">
        <w:rPr>
          <w:lang w:val="en-GB"/>
        </w:rPr>
        <w:t xml:space="preserve"> The ease of doing business in a host-country is an important factor for the location decision of MNE’s</w:t>
      </w:r>
      <w:r w:rsidR="00E44821" w:rsidRPr="00CF3C36">
        <w:rPr>
          <w:lang w:val="en-GB"/>
        </w:rPr>
        <w:t xml:space="preserve"> (Corcoran &amp; Gillanders, 2015)</w:t>
      </w:r>
      <w:r w:rsidR="001E0B1F" w:rsidRPr="00CF3C36">
        <w:rPr>
          <w:lang w:val="en-GB"/>
        </w:rPr>
        <w:t xml:space="preserve">, therefore it is included in this analysis. </w:t>
      </w:r>
      <w:r w:rsidR="0036403F" w:rsidRPr="00CF3C36">
        <w:rPr>
          <w:lang w:val="en-GB"/>
        </w:rPr>
        <w:t xml:space="preserve">This score is constructed to capture the gap between the regulatory performance of the country in question and the best regulatory performance observed on each of the indicators across all economies in the </w:t>
      </w:r>
      <w:r w:rsidR="0036403F" w:rsidRPr="00CF3C36">
        <w:rPr>
          <w:i/>
          <w:lang w:val="en-GB"/>
        </w:rPr>
        <w:t>Doing Business</w:t>
      </w:r>
      <w:r w:rsidR="0036403F" w:rsidRPr="00CF3C36">
        <w:rPr>
          <w:lang w:val="en-GB"/>
        </w:rPr>
        <w:t xml:space="preserve"> sample. The values of the score can range from 0-100, where 100 means the country scores the best on every indicator that is included.</w:t>
      </w:r>
      <w:r w:rsidR="00AE64B0" w:rsidRPr="00CF3C36">
        <w:rPr>
          <w:lang w:val="en-GB"/>
        </w:rPr>
        <w:t xml:space="preserve"> The data is retrieved from the World Bank (World Bank, 2019)</w:t>
      </w:r>
      <w:r w:rsidR="0036403F" w:rsidRPr="00CF3C36">
        <w:rPr>
          <w:lang w:val="en-GB"/>
        </w:rPr>
        <w:t xml:space="preserve"> </w:t>
      </w:r>
    </w:p>
    <w:p w14:paraId="7C766D34" w14:textId="3B5367BC" w:rsidR="003A3EBC" w:rsidRPr="00CF3C36" w:rsidRDefault="003A3EBC" w:rsidP="00BA74F0">
      <w:pPr>
        <w:spacing w:line="360" w:lineRule="auto"/>
        <w:ind w:firstLine="360"/>
        <w:jc w:val="both"/>
        <w:rPr>
          <w:lang w:val="en-GB"/>
        </w:rPr>
      </w:pPr>
      <w:r w:rsidRPr="00CF3C36">
        <w:rPr>
          <w:lang w:val="en-GB"/>
        </w:rPr>
        <w:t>The political environment of a country can also have influence on the investment decision of a firm. Therefore</w:t>
      </w:r>
      <w:r w:rsidR="00AE1B44" w:rsidRPr="00CF3C36">
        <w:rPr>
          <w:lang w:val="en-GB"/>
        </w:rPr>
        <w:t>,</w:t>
      </w:r>
      <w:r w:rsidR="00B75E61" w:rsidRPr="00CF3C36">
        <w:rPr>
          <w:lang w:val="en-GB"/>
        </w:rPr>
        <w:t xml:space="preserve"> some</w:t>
      </w:r>
      <w:r w:rsidR="00821D56" w:rsidRPr="00CF3C36">
        <w:rPr>
          <w:lang w:val="en-GB"/>
        </w:rPr>
        <w:t xml:space="preserve"> </w:t>
      </w:r>
      <w:r w:rsidR="00444DAB" w:rsidRPr="00CF3C36">
        <w:rPr>
          <w:lang w:val="en-GB"/>
        </w:rPr>
        <w:t xml:space="preserve">variables of the World Bank’s Worldwide Governance Indicators are included. </w:t>
      </w:r>
      <w:r w:rsidR="00444DAB" w:rsidRPr="00CF3C36">
        <w:rPr>
          <w:lang w:val="en-GB"/>
        </w:rPr>
        <w:lastRenderedPageBreak/>
        <w:t>They range from -2.5 (weak performance) to 2.5 (strong performance)</w:t>
      </w:r>
      <w:r w:rsidR="00530C5E" w:rsidRPr="00CF3C36">
        <w:rPr>
          <w:lang w:val="en-GB"/>
        </w:rPr>
        <w:t>. The Worldwide Governance Indicators (WGI) are a research dataset summarizing the views on the quality of governance provided by a large number of enterprise, citizen and expert survey respondents in industrial and developing countries. These data are gathered from a number of survey institutes, think tanks, non-governmental organizations, international organizations, and private sector firms</w:t>
      </w:r>
      <w:r w:rsidR="00E50504" w:rsidRPr="00CF3C36">
        <w:rPr>
          <w:lang w:val="en-GB"/>
        </w:rPr>
        <w:t xml:space="preserve"> (World Bank, 2019</w:t>
      </w:r>
      <w:r w:rsidR="00B75E61" w:rsidRPr="00CF3C36">
        <w:rPr>
          <w:lang w:val="en-GB"/>
        </w:rPr>
        <w:t>b</w:t>
      </w:r>
      <w:r w:rsidR="00E50504" w:rsidRPr="00CF3C36">
        <w:rPr>
          <w:lang w:val="en-GB"/>
        </w:rPr>
        <w:t>)</w:t>
      </w:r>
      <w:r w:rsidR="00B57108" w:rsidRPr="00CF3C36">
        <w:rPr>
          <w:lang w:val="en-GB"/>
        </w:rPr>
        <w:t>.</w:t>
      </w:r>
      <w:r w:rsidR="00B57108" w:rsidRPr="00CF3C36">
        <w:rPr>
          <w:lang w:val="en-GB"/>
        </w:rPr>
        <w:tab/>
      </w:r>
    </w:p>
    <w:p w14:paraId="768ECB8D" w14:textId="235DFC6D" w:rsidR="00FE43A4" w:rsidRPr="00CF3C36" w:rsidRDefault="00444DAB" w:rsidP="00E7681E">
      <w:pPr>
        <w:pStyle w:val="ListParagraph"/>
        <w:numPr>
          <w:ilvl w:val="0"/>
          <w:numId w:val="2"/>
        </w:numPr>
        <w:spacing w:line="360" w:lineRule="auto"/>
        <w:jc w:val="both"/>
        <w:rPr>
          <w:lang w:val="en-GB"/>
        </w:rPr>
      </w:pPr>
      <w:r w:rsidRPr="00CF3C36">
        <w:rPr>
          <w:b/>
          <w:lang w:val="en-GB"/>
        </w:rPr>
        <w:t>Control of Corruption</w:t>
      </w:r>
      <w:r w:rsidR="005C1B57" w:rsidRPr="00CF3C36">
        <w:rPr>
          <w:b/>
          <w:lang w:val="en-GB"/>
        </w:rPr>
        <w:t xml:space="preserve"> (cce)</w:t>
      </w:r>
      <w:r w:rsidR="00B33D10" w:rsidRPr="00CF3C36">
        <w:rPr>
          <w:b/>
          <w:lang w:val="en-GB"/>
        </w:rPr>
        <w:t xml:space="preserve"> </w:t>
      </w:r>
      <w:r w:rsidR="00B33D10" w:rsidRPr="003B48C3">
        <w:rPr>
          <w:lang w:val="en-GB"/>
        </w:rPr>
        <w:t>is t</w:t>
      </w:r>
      <w:r w:rsidR="00FE43A4" w:rsidRPr="003B48C3">
        <w:rPr>
          <w:lang w:val="en-GB"/>
        </w:rPr>
        <w:t>he</w:t>
      </w:r>
      <w:r w:rsidR="00FE43A4" w:rsidRPr="00CF3C36">
        <w:rPr>
          <w:lang w:val="en-GB"/>
        </w:rPr>
        <w:t xml:space="preserve"> level of corruption in a country might be a moderating factor between the increase of EPS and the exit of polluting firms. A high level of corruption creates an opportunity for polluting firms to remain in the country without abiding to the more stringent policies. Moreover, a high level of corruption might cause a lower level of EPS as these policies are being stopped by the influence of firms (Cole et al. 2006; Candau &amp; Dienesch, 2017).</w:t>
      </w:r>
      <w:r w:rsidR="00E7681E" w:rsidRPr="00CF3C36">
        <w:rPr>
          <w:lang w:val="en-GB"/>
        </w:rPr>
        <w:t xml:space="preserve"> This indicator reflects perceptions of the extent to which public power is exercised for private gain, including both petty and grand forms of corruption, as well as "capture" of the state by elites and private interests.</w:t>
      </w:r>
    </w:p>
    <w:p w14:paraId="598F11FB" w14:textId="59623E93" w:rsidR="004558CA" w:rsidRPr="00CF3C36" w:rsidRDefault="00444DAB" w:rsidP="00E7681E">
      <w:pPr>
        <w:pStyle w:val="ListParagraph"/>
        <w:numPr>
          <w:ilvl w:val="0"/>
          <w:numId w:val="2"/>
        </w:numPr>
        <w:spacing w:line="360" w:lineRule="auto"/>
        <w:jc w:val="both"/>
        <w:rPr>
          <w:lang w:val="en-GB"/>
        </w:rPr>
      </w:pPr>
      <w:r w:rsidRPr="00CF3C36">
        <w:rPr>
          <w:b/>
          <w:lang w:val="en-GB"/>
        </w:rPr>
        <w:t>Political Stability and Absence of Violence/Terrorism</w:t>
      </w:r>
      <w:r w:rsidR="005C1B57" w:rsidRPr="00CF3C36">
        <w:rPr>
          <w:b/>
          <w:lang w:val="en-GB"/>
        </w:rPr>
        <w:t xml:space="preserve"> (pve)</w:t>
      </w:r>
      <w:r w:rsidR="00B33D10" w:rsidRPr="00CF3C36">
        <w:rPr>
          <w:b/>
          <w:lang w:val="en-GB"/>
        </w:rPr>
        <w:t xml:space="preserve"> </w:t>
      </w:r>
      <w:r w:rsidR="00E7681E" w:rsidRPr="00CF3C36">
        <w:rPr>
          <w:lang w:val="en-GB"/>
        </w:rPr>
        <w:t>measures perceptions of the likelihood of political instability and/or politically-motivated violence, including terrorism.</w:t>
      </w:r>
    </w:p>
    <w:p w14:paraId="1611520D" w14:textId="5F68E7DE" w:rsidR="00311464" w:rsidRPr="00CF3C36" w:rsidRDefault="00E64FA5" w:rsidP="00DC74DF">
      <w:pPr>
        <w:pStyle w:val="ListParagraph"/>
        <w:numPr>
          <w:ilvl w:val="0"/>
          <w:numId w:val="2"/>
        </w:numPr>
        <w:spacing w:line="360" w:lineRule="auto"/>
        <w:jc w:val="both"/>
        <w:rPr>
          <w:lang w:val="en-GB"/>
        </w:rPr>
      </w:pPr>
      <w:r w:rsidRPr="00CF3C36">
        <w:rPr>
          <w:b/>
          <w:lang w:val="en-GB"/>
        </w:rPr>
        <w:t>Rule of Law</w:t>
      </w:r>
      <w:r w:rsidR="005C1B57" w:rsidRPr="00CF3C36">
        <w:rPr>
          <w:b/>
          <w:lang w:val="en-GB"/>
        </w:rPr>
        <w:t xml:space="preserve"> (rle)</w:t>
      </w:r>
      <w:r w:rsidRPr="00CF3C36">
        <w:rPr>
          <w:b/>
          <w:lang w:val="en-GB"/>
        </w:rPr>
        <w:t>:</w:t>
      </w:r>
      <w:r w:rsidRPr="00CF3C36">
        <w:rPr>
          <w:lang w:val="en-GB"/>
        </w:rPr>
        <w:t xml:space="preserve"> Reflects the extent to which agents have confidence in and abide by the rules of society, and in particular the quality of contract enforcement, property rights, the police, and the courts, as well as the likelihood of crime and violence. Which is also important because </w:t>
      </w:r>
      <w:r w:rsidR="00311464" w:rsidRPr="00CF3C36">
        <w:rPr>
          <w:lang w:val="en-GB"/>
        </w:rPr>
        <w:t>sustainable practices often involve innovative technologies</w:t>
      </w:r>
      <w:r w:rsidRPr="00CF3C36">
        <w:rPr>
          <w:lang w:val="en-GB"/>
        </w:rPr>
        <w:t xml:space="preserve"> and thus </w:t>
      </w:r>
      <w:r w:rsidR="00311464" w:rsidRPr="00CF3C36">
        <w:rPr>
          <w:lang w:val="en-GB"/>
        </w:rPr>
        <w:t xml:space="preserve">the strength of intellectual </w:t>
      </w:r>
      <w:r w:rsidR="00AE1B44" w:rsidRPr="00CF3C36">
        <w:rPr>
          <w:lang w:val="en-GB"/>
        </w:rPr>
        <w:t>property</w:t>
      </w:r>
      <w:r w:rsidR="00311464" w:rsidRPr="00CF3C36">
        <w:rPr>
          <w:lang w:val="en-GB"/>
        </w:rPr>
        <w:t xml:space="preserve"> right can also be of influence for firm to invest in a country, therefo</w:t>
      </w:r>
      <w:r w:rsidR="00210A3E" w:rsidRPr="00CF3C36">
        <w:rPr>
          <w:lang w:val="en-GB"/>
        </w:rPr>
        <w:t>re this</w:t>
      </w:r>
      <w:r w:rsidR="00311464" w:rsidRPr="00CF3C36">
        <w:rPr>
          <w:lang w:val="en-GB"/>
        </w:rPr>
        <w:t xml:space="preserve"> </w:t>
      </w:r>
      <w:r w:rsidR="00210A3E" w:rsidRPr="00CF3C36">
        <w:rPr>
          <w:lang w:val="en-GB"/>
        </w:rPr>
        <w:t>indicator is also included.</w:t>
      </w:r>
    </w:p>
    <w:p w14:paraId="56942B5B" w14:textId="15F8C90A" w:rsidR="00906A8E" w:rsidRPr="00CF3C36" w:rsidRDefault="00906A8E" w:rsidP="00564F2E">
      <w:pPr>
        <w:spacing w:after="0" w:line="360" w:lineRule="auto"/>
        <w:ind w:firstLine="360"/>
        <w:jc w:val="both"/>
        <w:rPr>
          <w:lang w:val="en-GB"/>
        </w:rPr>
      </w:pPr>
      <w:r w:rsidRPr="00CF3C36">
        <w:rPr>
          <w:lang w:val="en-GB"/>
        </w:rPr>
        <w:t xml:space="preserve">As the indicators of the political environment listed above are found </w:t>
      </w:r>
      <w:r w:rsidR="00B75E61" w:rsidRPr="00CF3C36">
        <w:rPr>
          <w:lang w:val="en-GB"/>
        </w:rPr>
        <w:t xml:space="preserve">to </w:t>
      </w:r>
      <w:r w:rsidRPr="00CF3C36">
        <w:rPr>
          <w:lang w:val="en-GB"/>
        </w:rPr>
        <w:t>correlate strongly with one another, it is chosen to combine them into a single indicator by adding the three values together. This will decrease the multicollinearity in the model. The value of this indicator can theore</w:t>
      </w:r>
      <w:r w:rsidR="00B75E61" w:rsidRPr="00CF3C36">
        <w:rPr>
          <w:lang w:val="en-GB"/>
        </w:rPr>
        <w:t xml:space="preserve">tically be between -7.5 and 7.5. </w:t>
      </w:r>
      <w:r w:rsidRPr="00CF3C36">
        <w:rPr>
          <w:lang w:val="en-GB"/>
        </w:rPr>
        <w:t xml:space="preserve">The new indicator will be called </w:t>
      </w:r>
      <w:r w:rsidRPr="00CF3C36">
        <w:rPr>
          <w:i/>
          <w:lang w:val="en-GB"/>
        </w:rPr>
        <w:t>governance</w:t>
      </w:r>
      <w:r w:rsidR="005D2C3C" w:rsidRPr="00CF3C36">
        <w:rPr>
          <w:i/>
          <w:lang w:val="en-GB"/>
        </w:rPr>
        <w:t xml:space="preserve"> </w:t>
      </w:r>
      <w:r w:rsidR="005D2C3C" w:rsidRPr="00CF3C36">
        <w:rPr>
          <w:lang w:val="en-GB"/>
        </w:rPr>
        <w:t>and will be a reflection of the three governance indicators described above</w:t>
      </w:r>
      <w:r w:rsidRPr="00CF3C36">
        <w:rPr>
          <w:lang w:val="en-GB"/>
        </w:rPr>
        <w:t xml:space="preserve">. </w:t>
      </w:r>
      <w:r w:rsidR="002E5282" w:rsidRPr="00CF3C36">
        <w:rPr>
          <w:lang w:val="en-GB"/>
        </w:rPr>
        <w:t>This technique of combining multiple highly correlated variable into one index is more often used in literature (O’brien, 2007)</w:t>
      </w:r>
      <w:r w:rsidR="000132C2" w:rsidRPr="00CF3C36">
        <w:rPr>
          <w:lang w:val="en-GB"/>
        </w:rPr>
        <w:t xml:space="preserve">. </w:t>
      </w:r>
    </w:p>
    <w:p w14:paraId="2326A563" w14:textId="45B9FA32" w:rsidR="00B0785A" w:rsidRPr="00CF3C36" w:rsidRDefault="00B0785A" w:rsidP="00564F2E">
      <w:pPr>
        <w:spacing w:after="0" w:line="360" w:lineRule="auto"/>
        <w:ind w:firstLine="357"/>
        <w:jc w:val="both"/>
        <w:rPr>
          <w:lang w:val="en-GB"/>
        </w:rPr>
      </w:pPr>
      <w:r w:rsidRPr="00CF3C36">
        <w:rPr>
          <w:lang w:val="en-GB"/>
        </w:rPr>
        <w:t>Following the factor-endowments theory of Zugravu-Soilita (2017) the capital-labour ratio is also included as a control variable. And as Zugravu-Soulita (2017) showed in her research that the capital-labour ratio might influence the effect that environmental policy has on the existence of the pollution haven effects, also an interaction term between the capital-labour ratio and the EPI is included.</w:t>
      </w:r>
    </w:p>
    <w:p w14:paraId="0AC019E6" w14:textId="6F00881D" w:rsidR="00B42819" w:rsidRPr="00CF3C36" w:rsidRDefault="00C3328B" w:rsidP="00B42819">
      <w:pPr>
        <w:pStyle w:val="ListParagraph"/>
        <w:numPr>
          <w:ilvl w:val="0"/>
          <w:numId w:val="2"/>
        </w:numPr>
        <w:spacing w:line="360" w:lineRule="auto"/>
        <w:jc w:val="both"/>
        <w:rPr>
          <w:lang w:val="en-GB"/>
        </w:rPr>
      </w:pPr>
      <w:r w:rsidRPr="00CF3C36">
        <w:rPr>
          <w:b/>
          <w:lang w:val="en-GB"/>
        </w:rPr>
        <w:t>Capital-</w:t>
      </w:r>
      <w:r w:rsidR="00B42819" w:rsidRPr="00CF3C36">
        <w:rPr>
          <w:b/>
          <w:lang w:val="en-GB"/>
        </w:rPr>
        <w:t>Labour ratio</w:t>
      </w:r>
      <w:r w:rsidR="00FC460A" w:rsidRPr="00CF3C36">
        <w:rPr>
          <w:b/>
          <w:lang w:val="en-GB"/>
        </w:rPr>
        <w:t xml:space="preserve"> (KL)</w:t>
      </w:r>
      <w:r w:rsidR="00B42819" w:rsidRPr="00CF3C36">
        <w:rPr>
          <w:b/>
          <w:lang w:val="en-GB"/>
        </w:rPr>
        <w:t xml:space="preserve"> </w:t>
      </w:r>
      <w:r w:rsidR="00B42819" w:rsidRPr="00CF3C36">
        <w:rPr>
          <w:lang w:val="en-GB"/>
        </w:rPr>
        <w:t>is generated by data from the Penn World Tables</w:t>
      </w:r>
      <w:r w:rsidR="00B75E61" w:rsidRPr="00CF3C36">
        <w:rPr>
          <w:lang w:val="en-GB"/>
        </w:rPr>
        <w:t xml:space="preserve"> (</w:t>
      </w:r>
      <w:r w:rsidR="00B75E61" w:rsidRPr="00CF3C36">
        <w:rPr>
          <w:color w:val="222222"/>
          <w:shd w:val="clear" w:color="auto" w:fill="FFFFFF"/>
          <w:lang w:val="en-GB"/>
        </w:rPr>
        <w:t>Feenstra, Inklaar &amp; Timmer, 2015)</w:t>
      </w:r>
      <w:r w:rsidR="00B42819" w:rsidRPr="00CF3C36">
        <w:rPr>
          <w:lang w:val="en-GB"/>
        </w:rPr>
        <w:t>. The capital stock is measured by the capital stock at current PPP’s (in millions of USD)</w:t>
      </w:r>
      <w:r w:rsidR="00FC460A" w:rsidRPr="00CF3C36">
        <w:rPr>
          <w:lang w:val="en-GB"/>
        </w:rPr>
        <w:t xml:space="preserve"> (cn)</w:t>
      </w:r>
      <w:r w:rsidR="00B42819" w:rsidRPr="00CF3C36">
        <w:rPr>
          <w:lang w:val="en-GB"/>
        </w:rPr>
        <w:t xml:space="preserve">. The labour is measured as the number of persons engage in employment (in </w:t>
      </w:r>
      <w:r w:rsidR="00B42819" w:rsidRPr="00CF3C36">
        <w:rPr>
          <w:lang w:val="en-GB"/>
        </w:rPr>
        <w:lastRenderedPageBreak/>
        <w:t>millions)</w:t>
      </w:r>
      <w:r w:rsidR="00FC460A" w:rsidRPr="00CF3C36">
        <w:rPr>
          <w:lang w:val="en-GB"/>
        </w:rPr>
        <w:t xml:space="preserve"> (emp) multiplied by the average hours worked per year (avh) in this country</w:t>
      </w:r>
      <w:r w:rsidR="00B42819" w:rsidRPr="00CF3C36">
        <w:rPr>
          <w:lang w:val="en-GB"/>
        </w:rPr>
        <w:t xml:space="preserve">. The ratio is generated by dividing the capital stock by </w:t>
      </w:r>
      <w:r w:rsidR="00FC460A" w:rsidRPr="00CF3C36">
        <w:rPr>
          <w:lang w:val="en-GB"/>
        </w:rPr>
        <w:t>the labour</w:t>
      </w:r>
      <w:r w:rsidR="00B42819" w:rsidRPr="00CF3C36">
        <w:rPr>
          <w:lang w:val="en-GB"/>
        </w:rPr>
        <w:t xml:space="preserve">. </w:t>
      </w:r>
    </w:p>
    <w:p w14:paraId="2EC05B1D" w14:textId="793DA544" w:rsidR="00797A7D" w:rsidRPr="00CF3C36" w:rsidRDefault="00C3328B" w:rsidP="00BA74F0">
      <w:pPr>
        <w:pStyle w:val="ListParagraph"/>
        <w:numPr>
          <w:ilvl w:val="0"/>
          <w:numId w:val="2"/>
        </w:numPr>
        <w:spacing w:line="360" w:lineRule="auto"/>
        <w:jc w:val="both"/>
        <w:rPr>
          <w:lang w:val="en-GB"/>
        </w:rPr>
      </w:pPr>
      <w:r w:rsidRPr="00CF3C36">
        <w:rPr>
          <w:b/>
          <w:lang w:val="en-GB"/>
        </w:rPr>
        <w:t>Interaction term</w:t>
      </w:r>
      <w:r w:rsidRPr="00CF3C36">
        <w:rPr>
          <w:lang w:val="en-GB"/>
        </w:rPr>
        <w:t xml:space="preserve"> </w:t>
      </w:r>
      <w:r w:rsidRPr="00CF3C36">
        <w:rPr>
          <w:b/>
          <w:lang w:val="en-GB"/>
        </w:rPr>
        <w:t>between EPI and Capital-Labour ratio</w:t>
      </w:r>
      <w:r w:rsidRPr="00CF3C36">
        <w:rPr>
          <w:lang w:val="en-GB"/>
        </w:rPr>
        <w:t xml:space="preserve"> </w:t>
      </w:r>
      <w:r w:rsidR="00FA75D1" w:rsidRPr="00CF3C36">
        <w:rPr>
          <w:lang w:val="en-GB"/>
        </w:rPr>
        <w:t>is used because the research of Zugravu-Soulita (2017) suggests that the EPI of a country with a low or high capital-labour ratio has a limited effect on the investment decisions of firms, while it might have a big effect in a country with a capital-labour ratio around average.</w:t>
      </w:r>
      <w:r w:rsidR="00A04503" w:rsidRPr="00CF3C36">
        <w:rPr>
          <w:lang w:val="en-GB"/>
        </w:rPr>
        <w:t xml:space="preserve"> This </w:t>
      </w:r>
      <w:r w:rsidR="00B75E61" w:rsidRPr="00CF3C36">
        <w:rPr>
          <w:lang w:val="en-GB"/>
        </w:rPr>
        <w:t>effect is visualised in F</w:t>
      </w:r>
      <w:r w:rsidR="00284B3C" w:rsidRPr="00CF3C36">
        <w:rPr>
          <w:lang w:val="en-GB"/>
        </w:rPr>
        <w:t>igure 6</w:t>
      </w:r>
      <w:r w:rsidR="00A04503" w:rsidRPr="00CF3C36">
        <w:rPr>
          <w:lang w:val="en-GB"/>
        </w:rPr>
        <w:t>.</w:t>
      </w:r>
      <w:r w:rsidR="00FA75D1" w:rsidRPr="00CF3C36">
        <w:rPr>
          <w:lang w:val="en-GB"/>
        </w:rPr>
        <w:t xml:space="preserve"> </w:t>
      </w:r>
      <w:r w:rsidR="0078057F" w:rsidRPr="00CF3C36">
        <w:rPr>
          <w:lang w:val="en-GB"/>
        </w:rPr>
        <w:t>As this is a quadratic interaction term, first KL will be squared and then multiplied with EPI.</w:t>
      </w:r>
      <w:r w:rsidR="00B33D10" w:rsidRPr="00CF3C36">
        <w:rPr>
          <w:lang w:val="en-GB"/>
        </w:rPr>
        <w:t xml:space="preserve"> In order to still have a meaningful interpretation of variables the interaction term consists of, the variables in the interaction are first demeaned. This way the coefficient of for example EPI can be interpreted as the effect of one unit increase in EPI when KL has the average value.</w:t>
      </w:r>
      <w:r w:rsidR="0078057F" w:rsidRPr="00CF3C36">
        <w:rPr>
          <w:lang w:val="en-GB"/>
        </w:rPr>
        <w:t xml:space="preserve"> This generates the interaction term</w:t>
      </w:r>
      <w:r w:rsidR="00B33D10" w:rsidRPr="00CF3C36">
        <w:rPr>
          <w:lang w:val="en-GB"/>
        </w:rPr>
        <w:t>s</w:t>
      </w:r>
      <w:r w:rsidR="0078057F" w:rsidRPr="00CF3C36">
        <w:rPr>
          <w:lang w:val="en-GB"/>
        </w:rPr>
        <w:t xml:space="preserve"> EPI_KL</w:t>
      </w:r>
      <w:r w:rsidR="00B33D10" w:rsidRPr="00CF3C36">
        <w:rPr>
          <w:lang w:val="en-GB"/>
        </w:rPr>
        <w:t>_cen and EPI_KL_2_cen</w:t>
      </w:r>
      <w:r w:rsidR="0078057F" w:rsidRPr="00CF3C36">
        <w:rPr>
          <w:lang w:val="en-GB"/>
        </w:rPr>
        <w:t xml:space="preserve">, which </w:t>
      </w:r>
      <w:r w:rsidR="00B33D10" w:rsidRPr="00CF3C36">
        <w:rPr>
          <w:lang w:val="en-GB"/>
        </w:rPr>
        <w:t>are</w:t>
      </w:r>
      <w:r w:rsidR="0078057F" w:rsidRPr="00CF3C36">
        <w:rPr>
          <w:lang w:val="en-GB"/>
        </w:rPr>
        <w:t xml:space="preserve"> included in the model. The initial variables of an interaction term should always be present in a model that uses </w:t>
      </w:r>
      <w:r w:rsidR="00B33D10" w:rsidRPr="00CF3C36">
        <w:rPr>
          <w:lang w:val="en-GB"/>
        </w:rPr>
        <w:t>interaction terms. Thus also the squared KL, KL_2,</w:t>
      </w:r>
      <w:r w:rsidR="0078057F" w:rsidRPr="00CF3C36">
        <w:rPr>
          <w:lang w:val="en-GB"/>
        </w:rPr>
        <w:t xml:space="preserve"> variable is included in the model. </w:t>
      </w:r>
    </w:p>
    <w:p w14:paraId="045E4FB1" w14:textId="62FA508D" w:rsidR="00163010" w:rsidRPr="00CF3C36" w:rsidRDefault="00163010" w:rsidP="00AB3866">
      <w:pPr>
        <w:pStyle w:val="Heading4"/>
      </w:pPr>
      <w:bookmarkStart w:id="24" w:name="_Toc15475697"/>
      <w:r w:rsidRPr="00CF3C36">
        <w:t xml:space="preserve">Figure </w:t>
      </w:r>
      <w:r w:rsidR="00AB3866" w:rsidRPr="00CF3C36">
        <w:t>6</w:t>
      </w:r>
      <w:r w:rsidRPr="00CF3C36">
        <w:t>. Interaction betwee</w:t>
      </w:r>
      <w:r w:rsidR="00A04503" w:rsidRPr="00CF3C36">
        <w:t>n capital-labour ratio and EPI</w:t>
      </w:r>
      <w:bookmarkEnd w:id="24"/>
    </w:p>
    <w:p w14:paraId="26428023" w14:textId="532481F6" w:rsidR="0085386A" w:rsidRPr="00CF3C36" w:rsidRDefault="0085386A" w:rsidP="00AB3866">
      <w:pPr>
        <w:spacing w:line="360" w:lineRule="auto"/>
        <w:ind w:left="1068" w:firstLine="348"/>
        <w:jc w:val="center"/>
        <w:rPr>
          <w:lang w:val="en-GB"/>
        </w:rPr>
      </w:pPr>
      <w:r w:rsidRPr="00CF3C36">
        <w:rPr>
          <w:noProof/>
          <w:lang w:eastAsia="nl-NL"/>
        </w:rPr>
        <mc:AlternateContent>
          <mc:Choice Requires="wps">
            <w:drawing>
              <wp:anchor distT="45720" distB="45720" distL="114300" distR="114300" simplePos="0" relativeHeight="251660288" behindDoc="0" locked="0" layoutInCell="1" allowOverlap="1" wp14:anchorId="6C83D2BE" wp14:editId="640C471F">
                <wp:simplePos x="0" y="0"/>
                <wp:positionH relativeFrom="margin">
                  <wp:posOffset>1966595</wp:posOffset>
                </wp:positionH>
                <wp:positionV relativeFrom="paragraph">
                  <wp:posOffset>2844800</wp:posOffset>
                </wp:positionV>
                <wp:extent cx="2360930" cy="1404620"/>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981ADC" w14:textId="128C4E47" w:rsidR="00B77818" w:rsidRPr="0085386A" w:rsidRDefault="00B77818">
                            <w:pPr>
                              <w:rPr>
                                <w:b/>
                                <w:sz w:val="24"/>
                                <w:szCs w:val="24"/>
                              </w:rPr>
                            </w:pPr>
                            <w:r w:rsidRPr="0085386A">
                              <w:rPr>
                                <w:b/>
                                <w:sz w:val="24"/>
                                <w:szCs w:val="24"/>
                              </w:rPr>
                              <w:t>Capital-labour ratio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6C83D2BE" id="_x0000_t202" coordsize="21600,21600" o:spt="202" path="m,l,21600r21600,l21600,xe">
                <v:stroke joinstyle="miter"/>
                <v:path gradientshapeok="t" o:connecttype="rect"/>
              </v:shapetype>
              <v:shape id="Text Box 2" o:spid="_x0000_s1026" type="#_x0000_t202" style="position:absolute;left:0;text-align:left;margin-left:154.85pt;margin-top:224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" stroked="f">
                <v:textbox style="mso-fit-shape-to-text:t">
                  <w:txbxContent>
                    <w:p w14:paraId="5F981ADC" w14:textId="128C4E47" w:rsidR="00B77818" w:rsidRPr="0085386A" w:rsidRDefault="00B77818">
                      <w:pPr>
                        <w:rPr>
                          <w:b/>
                          <w:sz w:val="24"/>
                          <w:szCs w:val="24"/>
                        </w:rPr>
                      </w:pPr>
                      <w:r w:rsidRPr="0085386A">
                        <w:rPr>
                          <w:b/>
                          <w:sz w:val="24"/>
                          <w:szCs w:val="24"/>
                        </w:rPr>
                        <w:t>Capital-labour ratio</w:t>
                      </w:r>
                    </w:p>
                  </w:txbxContent>
                </v:textbox>
                <w10:wrap anchorx="margin"/>
              </v:shape>
            </w:pict>
          </mc:Fallback>
        </mc:AlternateContent>
      </w:r>
      <w:r w:rsidRPr="00CF3C36">
        <w:rPr>
          <w:noProof/>
          <w:lang w:eastAsia="nl-NL"/>
        </w:rPr>
        <mc:AlternateContent>
          <mc:Choice Requires="wps">
            <w:drawing>
              <wp:anchor distT="45720" distB="45720" distL="114300" distR="114300" simplePos="0" relativeHeight="251662336" behindDoc="0" locked="0" layoutInCell="1" allowOverlap="1" wp14:anchorId="29FCB13E" wp14:editId="79E1230B">
                <wp:simplePos x="0" y="0"/>
                <wp:positionH relativeFrom="margin">
                  <wp:posOffset>-231457</wp:posOffset>
                </wp:positionH>
                <wp:positionV relativeFrom="paragraph">
                  <wp:posOffset>631509</wp:posOffset>
                </wp:positionV>
                <wp:extent cx="2940685" cy="1404620"/>
                <wp:effectExtent l="0" t="7302" r="4762" b="4763"/>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40685" cy="1404620"/>
                        </a:xfrm>
                        <a:prstGeom prst="rect">
                          <a:avLst/>
                        </a:prstGeom>
                        <a:solidFill>
                          <a:srgbClr val="FFFFFF"/>
                        </a:solidFill>
                        <a:ln w="9525">
                          <a:noFill/>
                          <a:miter lim="800000"/>
                          <a:headEnd/>
                          <a:tailEnd/>
                        </a:ln>
                      </wps:spPr>
                      <wps:txbx>
                        <w:txbxContent>
                          <w:p w14:paraId="187049E9" w14:textId="693FB9D5" w:rsidR="00B77818" w:rsidRPr="00710492" w:rsidRDefault="00B77818" w:rsidP="0085386A">
                            <w:pPr>
                              <w:rPr>
                                <w:b/>
                                <w:sz w:val="24"/>
                                <w:szCs w:val="24"/>
                                <w:lang w:val="en-US"/>
                              </w:rPr>
                            </w:pPr>
                            <w:r w:rsidRPr="00710492">
                              <w:rPr>
                                <w:b/>
                                <w:sz w:val="24"/>
                                <w:szCs w:val="24"/>
                                <w:lang w:val="en-US"/>
                              </w:rPr>
                              <w:t>Effect of EPI on the dependent variable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FCB13E" id="_x0000_s1027" type="#_x0000_t202" style="position:absolute;left:0;text-align:left;margin-left:-18.2pt;margin-top:49.75pt;width:231.55pt;height:110.6pt;rotation:-90;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" stroked="f">
                <v:textbox style="mso-fit-shape-to-text:t">
                  <w:txbxContent>
                    <w:p w14:paraId="187049E9" w14:textId="693FB9D5" w:rsidR="00B77818" w:rsidRPr="00710492" w:rsidRDefault="00B77818" w:rsidP="0085386A">
                      <w:pPr>
                        <w:rPr>
                          <w:b/>
                          <w:sz w:val="24"/>
                          <w:szCs w:val="24"/>
                          <w:lang w:val="en-US"/>
                        </w:rPr>
                      </w:pPr>
                      <w:r w:rsidRPr="00710492">
                        <w:rPr>
                          <w:b/>
                          <w:sz w:val="24"/>
                          <w:szCs w:val="24"/>
                          <w:lang w:val="en-US"/>
                        </w:rPr>
                        <w:t>Effect of EPI on the dependent variable</w:t>
                      </w:r>
                    </w:p>
                  </w:txbxContent>
                </v:textbox>
                <w10:wrap anchorx="margin"/>
              </v:shape>
            </w:pict>
          </mc:Fallback>
        </mc:AlternateContent>
      </w:r>
      <w:r w:rsidRPr="00CF3C36">
        <w:rPr>
          <w:noProof/>
          <w:lang w:eastAsia="nl-NL"/>
        </w:rPr>
        <w:drawing>
          <wp:inline distT="0" distB="0" distL="0" distR="0" wp14:anchorId="7C7B2363" wp14:editId="037A9CCA">
            <wp:extent cx="4591050" cy="3038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rformance-arousal-Inverted-U.png"/>
                    <pic:cNvPicPr/>
                  </pic:nvPicPr>
                  <pic:blipFill rotWithShape="1">
                    <a:blip r:embed="rId14">
                      <a:extLst>
                        <a:ext uri="{28A0092B-C50C-407E-A947-70E740481C1C}">
                          <a14:useLocalDpi xmlns:a14="http://schemas.microsoft.com/office/drawing/2010/main" val="0"/>
                        </a:ext>
                      </a:extLst>
                    </a:blip>
                    <a:srcRect l="11070" b="17358"/>
                    <a:stretch/>
                  </pic:blipFill>
                  <pic:spPr bwMode="auto">
                    <a:xfrm>
                      <a:off x="0" y="0"/>
                      <a:ext cx="4591691" cy="3038899"/>
                    </a:xfrm>
                    <a:prstGeom prst="rect">
                      <a:avLst/>
                    </a:prstGeom>
                    <a:ln>
                      <a:noFill/>
                    </a:ln>
                    <a:extLst>
                      <a:ext uri="{53640926-AAD7-44D8-BBD7-CCE9431645EC}">
                        <a14:shadowObscured xmlns:a14="http://schemas.microsoft.com/office/drawing/2010/main"/>
                      </a:ext>
                    </a:extLst>
                  </pic:spPr>
                </pic:pic>
              </a:graphicData>
            </a:graphic>
          </wp:inline>
        </w:drawing>
      </w:r>
    </w:p>
    <w:p w14:paraId="3A9AAB0F" w14:textId="4F2AA941" w:rsidR="002D52F2" w:rsidRPr="00CF3C36" w:rsidRDefault="002D52F2" w:rsidP="0067170B">
      <w:pPr>
        <w:spacing w:line="360" w:lineRule="auto"/>
        <w:ind w:left="1068" w:firstLine="348"/>
        <w:rPr>
          <w:lang w:val="en-GB"/>
        </w:rPr>
      </w:pPr>
    </w:p>
    <w:p w14:paraId="32AC05BF" w14:textId="3D6A1C5B" w:rsidR="002D52F2" w:rsidRPr="00CF3C36" w:rsidRDefault="002D52F2" w:rsidP="00AB3866">
      <w:pPr>
        <w:spacing w:line="360" w:lineRule="auto"/>
        <w:ind w:left="1068" w:firstLine="348"/>
        <w:jc w:val="center"/>
        <w:rPr>
          <w:lang w:val="en-GB"/>
        </w:rPr>
      </w:pPr>
    </w:p>
    <w:p w14:paraId="2ACE9532" w14:textId="422B4041" w:rsidR="002D52F2" w:rsidRPr="00CF3C36" w:rsidRDefault="002D52F2" w:rsidP="00AB3866">
      <w:pPr>
        <w:spacing w:line="360" w:lineRule="auto"/>
        <w:ind w:left="1068" w:firstLine="348"/>
        <w:jc w:val="center"/>
        <w:rPr>
          <w:lang w:val="en-GB"/>
        </w:rPr>
      </w:pPr>
    </w:p>
    <w:p w14:paraId="104CD415" w14:textId="37C3087F" w:rsidR="002D52F2" w:rsidRPr="00CF3C36" w:rsidRDefault="002D52F2" w:rsidP="00AB3866">
      <w:pPr>
        <w:spacing w:line="360" w:lineRule="auto"/>
        <w:ind w:left="1068" w:firstLine="348"/>
        <w:jc w:val="center"/>
        <w:rPr>
          <w:lang w:val="en-GB"/>
        </w:rPr>
      </w:pPr>
    </w:p>
    <w:p w14:paraId="18C48569" w14:textId="024A5C53" w:rsidR="00EA6802" w:rsidRPr="00CF3C36" w:rsidRDefault="0051739C" w:rsidP="00BA74F0">
      <w:pPr>
        <w:pStyle w:val="Heading2"/>
        <w:spacing w:before="120"/>
        <w:rPr>
          <w:lang w:val="en-GB"/>
        </w:rPr>
      </w:pPr>
      <w:bookmarkStart w:id="25" w:name="_Toc15480011"/>
      <w:r w:rsidRPr="00CF3C36">
        <w:rPr>
          <w:lang w:val="en-GB"/>
        </w:rPr>
        <w:lastRenderedPageBreak/>
        <w:t xml:space="preserve">3.2 </w:t>
      </w:r>
      <w:r w:rsidR="00EA6802" w:rsidRPr="00CF3C36">
        <w:rPr>
          <w:lang w:val="en-GB"/>
        </w:rPr>
        <w:t>Empirical method</w:t>
      </w:r>
      <w:bookmarkEnd w:id="25"/>
    </w:p>
    <w:p w14:paraId="06AE4F56" w14:textId="445B1A9E" w:rsidR="00F52E56" w:rsidRPr="00CF3C36" w:rsidRDefault="00544E6E" w:rsidP="00361945">
      <w:pPr>
        <w:spacing w:after="0" w:line="360" w:lineRule="auto"/>
        <w:jc w:val="both"/>
        <w:rPr>
          <w:lang w:val="en-GB"/>
        </w:rPr>
      </w:pPr>
      <w:r w:rsidRPr="00CF3C36">
        <w:rPr>
          <w:lang w:val="en-GB"/>
        </w:rPr>
        <w:t>The data discussed above is pane</w:t>
      </w:r>
      <w:r w:rsidR="005D20D4" w:rsidRPr="00CF3C36">
        <w:rPr>
          <w:lang w:val="en-GB"/>
        </w:rPr>
        <w:t>l data, meaning that it includes</w:t>
      </w:r>
      <w:r w:rsidRPr="00CF3C36">
        <w:rPr>
          <w:lang w:val="en-GB"/>
        </w:rPr>
        <w:t xml:space="preserve"> multiple entities, in this case countries, which are observed over time. </w:t>
      </w:r>
      <w:r w:rsidR="00F52E56" w:rsidRPr="00CF3C36">
        <w:rPr>
          <w:lang w:val="en-GB"/>
        </w:rPr>
        <w:t>In th</w:t>
      </w:r>
      <w:r w:rsidR="00312051" w:rsidRPr="00CF3C36">
        <w:rPr>
          <w:lang w:val="en-GB"/>
        </w:rPr>
        <w:t>is analysis of the effect of EPI</w:t>
      </w:r>
      <w:r w:rsidR="00F52E56" w:rsidRPr="00CF3C36">
        <w:rPr>
          <w:lang w:val="en-GB"/>
        </w:rPr>
        <w:t xml:space="preserve"> on the environmental impact of FDI in a host country a fixed-effects model will be conducted. This is not an uncommon approach for a</w:t>
      </w:r>
      <w:r w:rsidR="00312051" w:rsidRPr="00CF3C36">
        <w:rPr>
          <w:lang w:val="en-GB"/>
        </w:rPr>
        <w:t>nalysing the relationship of EPI</w:t>
      </w:r>
      <w:r w:rsidR="00F52E56" w:rsidRPr="00CF3C36">
        <w:rPr>
          <w:lang w:val="en-GB"/>
        </w:rPr>
        <w:t xml:space="preserve"> with FDI, as it has been used in a multitude of studies (e.g. Birdsall &amp; Wheeler, 1993; Eskeland &amp; Harrison, 1997; Keller &amp; Levinson, </w:t>
      </w:r>
      <w:r w:rsidR="005219E4" w:rsidRPr="00CF3C36">
        <w:rPr>
          <w:lang w:val="en-GB"/>
        </w:rPr>
        <w:t>2002</w:t>
      </w:r>
      <w:r w:rsidR="00F52E56" w:rsidRPr="00CF3C36">
        <w:rPr>
          <w:lang w:val="en-GB"/>
        </w:rPr>
        <w:t>).</w:t>
      </w:r>
      <w:r w:rsidR="005219E4" w:rsidRPr="00CF3C36">
        <w:rPr>
          <w:lang w:val="en-GB"/>
        </w:rPr>
        <w:t xml:space="preserve"> The rationale of the fixed-effects model is to account for omitted variables, as observations may not be independent from one another and it is possible to expect more similarity within observation</w:t>
      </w:r>
      <w:r w:rsidR="00957209" w:rsidRPr="00CF3C36">
        <w:rPr>
          <w:lang w:val="en-GB"/>
        </w:rPr>
        <w:t>s</w:t>
      </w:r>
      <w:r w:rsidR="005219E4" w:rsidRPr="00CF3C36">
        <w:rPr>
          <w:lang w:val="en-GB"/>
        </w:rPr>
        <w:t xml:space="preserve"> of a country th</w:t>
      </w:r>
      <w:r w:rsidR="00361945" w:rsidRPr="00CF3C36">
        <w:rPr>
          <w:lang w:val="en-GB"/>
        </w:rPr>
        <w:t>a</w:t>
      </w:r>
      <w:r w:rsidR="005219E4" w:rsidRPr="00CF3C36">
        <w:rPr>
          <w:lang w:val="en-GB"/>
        </w:rPr>
        <w:t>n between the countries. Therefore</w:t>
      </w:r>
      <w:r w:rsidR="003C0BEB" w:rsidRPr="00CF3C36">
        <w:rPr>
          <w:lang w:val="en-GB"/>
        </w:rPr>
        <w:t>,</w:t>
      </w:r>
      <w:r w:rsidR="005219E4" w:rsidRPr="00CF3C36">
        <w:rPr>
          <w:lang w:val="en-GB"/>
        </w:rPr>
        <w:t xml:space="preserve"> a fixed-effects model uses each country as its own control (Allison, 2009)</w:t>
      </w:r>
      <w:r w:rsidR="00604109" w:rsidRPr="00CF3C36">
        <w:rPr>
          <w:lang w:val="en-GB"/>
        </w:rPr>
        <w:t xml:space="preserve">. However, </w:t>
      </w:r>
      <w:r w:rsidR="00957209" w:rsidRPr="00CF3C36">
        <w:rPr>
          <w:lang w:val="en-GB"/>
        </w:rPr>
        <w:t>f</w:t>
      </w:r>
      <w:r w:rsidR="00604109" w:rsidRPr="00CF3C36">
        <w:rPr>
          <w:lang w:val="en-GB"/>
        </w:rPr>
        <w:t xml:space="preserve">inally, a Hausman test will </w:t>
      </w:r>
      <w:r w:rsidR="0066057D" w:rsidRPr="00CF3C36">
        <w:rPr>
          <w:lang w:val="en-GB"/>
        </w:rPr>
        <w:t xml:space="preserve">determine </w:t>
      </w:r>
      <w:r w:rsidR="003C0BEB" w:rsidRPr="00CF3C36">
        <w:rPr>
          <w:lang w:val="en-GB"/>
        </w:rPr>
        <w:t>whether</w:t>
      </w:r>
      <w:r w:rsidR="00604109" w:rsidRPr="00CF3C36">
        <w:rPr>
          <w:lang w:val="en-GB"/>
        </w:rPr>
        <w:t xml:space="preserve"> to</w:t>
      </w:r>
      <w:r w:rsidR="002529BE" w:rsidRPr="00CF3C36">
        <w:rPr>
          <w:lang w:val="en-GB"/>
        </w:rPr>
        <w:t xml:space="preserve"> prefer a fixed-</w:t>
      </w:r>
      <w:r w:rsidR="00604109" w:rsidRPr="00CF3C36">
        <w:rPr>
          <w:lang w:val="en-GB"/>
        </w:rPr>
        <w:t>effects approach above a random-effects model.</w:t>
      </w:r>
    </w:p>
    <w:p w14:paraId="7E0E1098" w14:textId="163B7CE9" w:rsidR="003C0BEB" w:rsidRPr="00CF3C36" w:rsidRDefault="003C0BEB" w:rsidP="00361945">
      <w:pPr>
        <w:spacing w:after="0" w:line="360" w:lineRule="auto"/>
        <w:ind w:firstLine="708"/>
        <w:jc w:val="both"/>
        <w:rPr>
          <w:lang w:val="en-GB"/>
        </w:rPr>
      </w:pPr>
      <w:r w:rsidRPr="00CF3C36">
        <w:rPr>
          <w:lang w:val="en-GB"/>
        </w:rPr>
        <w:t>For the first hypothesis this model</w:t>
      </w:r>
      <w:r w:rsidR="00361945" w:rsidRPr="00CF3C36">
        <w:rPr>
          <w:lang w:val="en-GB"/>
        </w:rPr>
        <w:t xml:space="preserve"> that is constructed is</w:t>
      </w:r>
      <w:r w:rsidRPr="00CF3C36">
        <w:rPr>
          <w:lang w:val="en-GB"/>
        </w:rPr>
        <w:t>:</w:t>
      </w:r>
    </w:p>
    <w:p w14:paraId="5D3649EC" w14:textId="56C706A8" w:rsidR="004F0608" w:rsidRPr="00BE1FE3" w:rsidRDefault="000C53BC" w:rsidP="00604109">
      <w:pPr>
        <w:spacing w:line="360" w:lineRule="auto"/>
        <w:jc w:val="both"/>
        <w:rPr>
          <w:lang w:val="en-GB"/>
        </w:rPr>
      </w:pPr>
      <m:oMathPara>
        <m:oMathParaPr>
          <m:jc m:val="left"/>
        </m:oMathParaPr>
        <m:oMath>
          <m:r>
            <m:rPr>
              <m:sty m:val="bi"/>
            </m:rPr>
            <w:rPr>
              <w:rFonts w:ascii="Cambria Math" w:hAnsi="Cambria Math"/>
              <w:lang w:val="en-GB"/>
            </w:rPr>
            <m:t>Model 1</m:t>
          </m:r>
          <m:r>
            <w:rPr>
              <w:rFonts w:ascii="Cambria Math" w:hAnsi="Cambria Math"/>
              <w:lang w:val="en-GB"/>
            </w:rPr>
            <m:t>: CO</m:t>
          </m:r>
          <m:sSub>
            <m:sSubPr>
              <m:ctrlPr>
                <w:rPr>
                  <w:rFonts w:ascii="Cambria Math" w:hAnsi="Cambria Math"/>
                  <w:i/>
                  <w:lang w:val="en-GB"/>
                </w:rPr>
              </m:ctrlPr>
            </m:sSubPr>
            <m:e>
              <m:r>
                <w:rPr>
                  <w:rFonts w:ascii="Cambria Math" w:hAnsi="Cambria Math"/>
                  <w:lang w:val="en-GB"/>
                </w:rPr>
                <m:t>2_FDIweighted</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r>
            <w:rPr>
              <w:rFonts w:ascii="Cambria Math" w:hAnsi="Cambria Math"/>
              <w:lang w:val="en-GB"/>
            </w:rPr>
            <m:t>EP</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r>
            <w:rPr>
              <w:rFonts w:ascii="Cambria Math" w:hAnsi="Cambria Math"/>
              <w:lang w:val="en-GB"/>
            </w:rPr>
            <m:t>Contro</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4</m:t>
              </m:r>
            </m:sub>
          </m:sSub>
          <m:r>
            <w:rPr>
              <w:rFonts w:ascii="Cambria Math" w:hAnsi="Cambria Math"/>
              <w:lang w:val="en-GB"/>
            </w:rPr>
            <m:t>Interactio</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c</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ct</m:t>
              </m:r>
            </m:sub>
          </m:sSub>
        </m:oMath>
      </m:oMathPara>
    </w:p>
    <w:p w14:paraId="0948A0AE" w14:textId="12915708" w:rsidR="00A80747" w:rsidRPr="00CF3C36" w:rsidRDefault="00F862A5" w:rsidP="00361945">
      <w:pPr>
        <w:spacing w:after="0" w:line="360" w:lineRule="auto"/>
        <w:jc w:val="both"/>
        <w:rPr>
          <w:rFonts w:eastAsiaTheme="minorEastAsia"/>
          <w:lang w:val="en-GB"/>
        </w:rPr>
      </w:pPr>
      <w:r w:rsidRPr="00CF3C36">
        <w:rPr>
          <w:lang w:val="en-GB"/>
        </w:rPr>
        <w:t xml:space="preserve">In which </w:t>
      </w:r>
      <m:oMath>
        <m:r>
          <w:rPr>
            <w:rFonts w:ascii="Cambria Math" w:hAnsi="Cambria Math"/>
            <w:lang w:val="en-GB"/>
          </w:rPr>
          <m:t>CO</m:t>
        </m:r>
        <m:sSub>
          <m:sSubPr>
            <m:ctrlPr>
              <w:rPr>
                <w:rFonts w:ascii="Cambria Math" w:hAnsi="Cambria Math"/>
                <w:i/>
                <w:lang w:val="en-GB"/>
              </w:rPr>
            </m:ctrlPr>
          </m:sSubPr>
          <m:e>
            <m:r>
              <w:rPr>
                <w:rFonts w:ascii="Cambria Math" w:hAnsi="Cambria Math"/>
                <w:lang w:val="en-GB"/>
              </w:rPr>
              <m:t>2_FDIweighted</m:t>
            </m:r>
          </m:e>
          <m:sub>
            <m:r>
              <w:rPr>
                <w:rFonts w:ascii="Cambria Math" w:hAnsi="Cambria Math"/>
                <w:lang w:val="en-GB"/>
              </w:rPr>
              <m:t>ct</m:t>
            </m:r>
          </m:sub>
        </m:sSub>
      </m:oMath>
      <w:r w:rsidRPr="00CF3C36">
        <w:rPr>
          <w:lang w:val="en-GB"/>
        </w:rPr>
        <w:t xml:space="preserve"> is the first indicator as described in the previous section for country </w:t>
      </w:r>
      <m:oMath>
        <m:r>
          <w:rPr>
            <w:rFonts w:ascii="Cambria Math" w:hAnsi="Cambria Math"/>
            <w:lang w:val="en-GB"/>
          </w:rPr>
          <m:t>c</m:t>
        </m:r>
      </m:oMath>
      <w:r w:rsidRPr="00CF3C36">
        <w:rPr>
          <w:rFonts w:eastAsiaTheme="minorEastAsia"/>
          <w:lang w:val="en-GB"/>
        </w:rPr>
        <w:t xml:space="preserve"> in year </w:t>
      </w:r>
      <m:oMath>
        <m:r>
          <w:rPr>
            <w:rFonts w:ascii="Cambria Math" w:eastAsiaTheme="minorEastAsia" w:hAnsi="Cambria Math"/>
            <w:lang w:val="en-GB"/>
          </w:rPr>
          <m:t>t</m:t>
        </m:r>
      </m:oMath>
      <w:r w:rsidR="00F36B02" w:rsidRPr="00CF3C36">
        <w:rPr>
          <w:rFonts w:eastAsiaTheme="minorEastAsia"/>
          <w:lang w:val="en-GB"/>
        </w:rPr>
        <w:t>.</w:t>
      </w:r>
      <w:r w:rsidRPr="00CF3C36">
        <w:rPr>
          <w:rFonts w:eastAsiaTheme="minorEastAsia"/>
          <w:lang w:val="en-GB"/>
        </w:rPr>
        <w:t xml:space="preserve"> </w:t>
      </w:r>
      <m:oMath>
        <m:r>
          <w:rPr>
            <w:rFonts w:ascii="Cambria Math" w:hAnsi="Cambria Math"/>
            <w:lang w:val="en-GB"/>
          </w:rPr>
          <m:t>EP</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ct</m:t>
            </m:r>
          </m:sub>
        </m:sSub>
      </m:oMath>
      <w:r w:rsidRPr="00CF3C36">
        <w:rPr>
          <w:rFonts w:eastAsiaTheme="minorEastAsia"/>
          <w:lang w:val="en-GB"/>
        </w:rPr>
        <w:t xml:space="preserve"> is</w:t>
      </w:r>
      <w:r w:rsidR="00F36B02" w:rsidRPr="00CF3C36">
        <w:rPr>
          <w:rFonts w:eastAsiaTheme="minorEastAsia"/>
          <w:lang w:val="en-GB"/>
        </w:rPr>
        <w:t xml:space="preserve"> the Environmental Policy Index.</w:t>
      </w:r>
      <w:r w:rsidRPr="00CF3C36">
        <w:rPr>
          <w:rFonts w:eastAsiaTheme="minorEastAsia"/>
          <w:lang w:val="en-GB"/>
        </w:rPr>
        <w:t xml:space="preserve"> </w:t>
      </w:r>
      <m:oMath>
        <m:r>
          <w:rPr>
            <w:rFonts w:ascii="Cambria Math" w:hAnsi="Cambria Math"/>
            <w:lang w:val="en-GB"/>
          </w:rPr>
          <m:t>Contro</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ct</m:t>
            </m:r>
          </m:sub>
        </m:sSub>
      </m:oMath>
      <w:r w:rsidRPr="00CF3C36">
        <w:rPr>
          <w:rFonts w:eastAsiaTheme="minorEastAsia"/>
          <w:lang w:val="en-GB"/>
        </w:rPr>
        <w:t xml:space="preserve"> represents the selection of control variables that where described in the previous section</w:t>
      </w:r>
      <w:r w:rsidR="00F36B02" w:rsidRPr="00CF3C36">
        <w:rPr>
          <w:rFonts w:eastAsiaTheme="minorEastAsia"/>
          <w:lang w:val="en-GB"/>
        </w:rPr>
        <w:t>.</w:t>
      </w:r>
      <m:oMath>
        <m:r>
          <w:rPr>
            <w:rFonts w:ascii="Cambria Math" w:hAnsi="Cambria Math"/>
            <w:lang w:val="en-GB"/>
          </w:rPr>
          <m:t xml:space="preserve"> Interactio</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ct</m:t>
            </m:r>
          </m:sub>
        </m:sSub>
      </m:oMath>
      <w:r w:rsidR="00F36B02" w:rsidRPr="00CF3C36">
        <w:rPr>
          <w:rFonts w:eastAsiaTheme="minorEastAsia"/>
          <w:lang w:val="en-GB"/>
        </w:rPr>
        <w:t xml:space="preserve"> represents the select</w:t>
      </w:r>
      <w:r w:rsidR="000C1BE2" w:rsidRPr="00CF3C36">
        <w:rPr>
          <w:rFonts w:eastAsiaTheme="minorEastAsia"/>
          <w:lang w:val="en-GB"/>
        </w:rPr>
        <w:t>i</w:t>
      </w:r>
      <w:r w:rsidR="00F36B02" w:rsidRPr="00CF3C36">
        <w:rPr>
          <w:rFonts w:eastAsiaTheme="minorEastAsia"/>
          <w:lang w:val="en-GB"/>
        </w:rPr>
        <w:t>on of interaction variables that where described in the previous section.</w:t>
      </w:r>
      <w:r w:rsidRPr="00CF3C36">
        <w:rPr>
          <w:rFonts w:eastAsiaTheme="minorEastAsia"/>
          <w:lang w:val="en-GB"/>
        </w:rPr>
        <w:t xml:space="preserve"> </w:t>
      </w:r>
      <m:oMath>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c</m:t>
            </m:r>
          </m:sub>
        </m:sSub>
      </m:oMath>
      <w:r w:rsidRPr="00CF3C36">
        <w:rPr>
          <w:rFonts w:eastAsiaTheme="minorEastAsia"/>
          <w:lang w:val="en-GB"/>
        </w:rPr>
        <w:t xml:space="preserve"> is </w:t>
      </w:r>
      <w:r w:rsidR="00F36B02" w:rsidRPr="00CF3C36">
        <w:rPr>
          <w:rFonts w:eastAsiaTheme="minorEastAsia"/>
          <w:lang w:val="en-GB"/>
        </w:rPr>
        <w:t>the</w:t>
      </w:r>
      <w:r w:rsidRPr="00CF3C36">
        <w:rPr>
          <w:rFonts w:eastAsiaTheme="minorEastAsia"/>
          <w:lang w:val="en-GB"/>
        </w:rPr>
        <w:t xml:space="preserve"> set of country dummies and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ct</m:t>
            </m:r>
          </m:sub>
        </m:sSub>
      </m:oMath>
      <w:r w:rsidRPr="00CF3C36">
        <w:rPr>
          <w:rFonts w:eastAsiaTheme="minorEastAsia"/>
          <w:lang w:val="en-GB"/>
        </w:rPr>
        <w:t xml:space="preserve"> is an error term. </w:t>
      </w:r>
      <w:r w:rsidR="00F06840" w:rsidRPr="00CF3C36">
        <w:rPr>
          <w:rFonts w:eastAsiaTheme="minorEastAsia"/>
          <w:lang w:val="en-GB"/>
        </w:rPr>
        <w:t>This model will be referred to as Model 1.</w:t>
      </w:r>
    </w:p>
    <w:p w14:paraId="328895DD" w14:textId="62C64303" w:rsidR="00A80747" w:rsidRPr="00CF3C36" w:rsidRDefault="00A80747" w:rsidP="00361945">
      <w:pPr>
        <w:spacing w:after="0" w:line="360" w:lineRule="auto"/>
        <w:ind w:firstLine="708"/>
        <w:jc w:val="both"/>
        <w:rPr>
          <w:rFonts w:eastAsiaTheme="minorEastAsia"/>
          <w:lang w:val="en-GB"/>
        </w:rPr>
      </w:pPr>
      <w:r w:rsidRPr="00CF3C36">
        <w:rPr>
          <w:rFonts w:eastAsiaTheme="minorEastAsia"/>
          <w:lang w:val="en-GB"/>
        </w:rPr>
        <w:t>For hy</w:t>
      </w:r>
      <w:r w:rsidR="003C1485" w:rsidRPr="00CF3C36">
        <w:rPr>
          <w:rFonts w:eastAsiaTheme="minorEastAsia"/>
          <w:lang w:val="en-GB"/>
        </w:rPr>
        <w:t>potheses 1.1 and 1.2 the depende</w:t>
      </w:r>
      <w:r w:rsidRPr="00CF3C36">
        <w:rPr>
          <w:rFonts w:eastAsiaTheme="minorEastAsia"/>
          <w:lang w:val="en-GB"/>
        </w:rPr>
        <w:t xml:space="preserve">nt variable will be the total incoming FDI to sectors in which the </w:t>
      </w:r>
      <w:r w:rsidR="00634305" w:rsidRPr="00CF3C36">
        <w:rPr>
          <w:rFonts w:eastAsiaTheme="minorEastAsia"/>
          <w:lang w:val="en-GB"/>
        </w:rPr>
        <w:t>CO</w:t>
      </w:r>
      <w:r w:rsidR="00634305" w:rsidRPr="00CF3C36">
        <w:rPr>
          <w:rFonts w:eastAsiaTheme="minorEastAsia"/>
          <w:vertAlign w:val="subscript"/>
          <w:lang w:val="en-GB"/>
        </w:rPr>
        <w:t>2</w:t>
      </w:r>
      <w:r w:rsidRPr="00CF3C36">
        <w:rPr>
          <w:rFonts w:eastAsiaTheme="minorEastAsia"/>
          <w:lang w:val="en-GB"/>
        </w:rPr>
        <w:t xml:space="preserve"> emissions per USD of value</w:t>
      </w:r>
      <w:r w:rsidR="00634305" w:rsidRPr="00CF3C36">
        <w:rPr>
          <w:rFonts w:eastAsiaTheme="minorEastAsia"/>
          <w:lang w:val="en-GB"/>
        </w:rPr>
        <w:t xml:space="preserve"> added are higher or lower than the mean value</w:t>
      </w:r>
      <w:r w:rsidR="000C1BE2" w:rsidRPr="00CF3C36">
        <w:rPr>
          <w:rFonts w:eastAsiaTheme="minorEastAsia"/>
          <w:lang w:val="en-GB"/>
        </w:rPr>
        <w:t>,</w:t>
      </w:r>
      <w:r w:rsidRPr="00CF3C36">
        <w:rPr>
          <w:rFonts w:eastAsiaTheme="minorEastAsia"/>
          <w:lang w:val="en-GB"/>
        </w:rPr>
        <w:t xml:space="preserve"> respectively. </w:t>
      </w:r>
      <w:r w:rsidR="000F7FD0" w:rsidRPr="00CF3C36">
        <w:rPr>
          <w:rFonts w:eastAsiaTheme="minorEastAsia"/>
          <w:lang w:val="en-GB"/>
        </w:rPr>
        <w:t>Creating M</w:t>
      </w:r>
      <w:r w:rsidR="003C1485" w:rsidRPr="00CF3C36">
        <w:rPr>
          <w:rFonts w:eastAsiaTheme="minorEastAsia"/>
          <w:lang w:val="en-GB"/>
        </w:rPr>
        <w:t xml:space="preserve">odels 1.1 and 1.2: </w:t>
      </w:r>
    </w:p>
    <w:p w14:paraId="19119D5D" w14:textId="3F2F41B5" w:rsidR="003C1485" w:rsidRPr="00BE1FE3" w:rsidRDefault="000C53BC" w:rsidP="003C1485">
      <w:pPr>
        <w:spacing w:line="360" w:lineRule="auto"/>
        <w:jc w:val="both"/>
        <w:rPr>
          <w:rFonts w:eastAsiaTheme="minorEastAsia"/>
          <w:lang w:val="en-GB"/>
        </w:rPr>
      </w:pPr>
      <m:oMathPara>
        <m:oMathParaPr>
          <m:jc m:val="left"/>
        </m:oMathParaPr>
        <m:oMath>
          <m:r>
            <m:rPr>
              <m:sty m:val="bi"/>
            </m:rPr>
            <w:rPr>
              <w:rFonts w:ascii="Cambria Math" w:hAnsi="Cambria Math"/>
              <w:lang w:val="en-GB"/>
            </w:rPr>
            <m:t>Model 1.1</m:t>
          </m:r>
          <m:r>
            <w:rPr>
              <w:rFonts w:ascii="Cambria Math" w:hAnsi="Cambria Math"/>
              <w:lang w:val="en-GB"/>
            </w:rPr>
            <m:t>: FDI_total_high_CO2=</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r>
            <w:rPr>
              <w:rFonts w:ascii="Cambria Math" w:hAnsi="Cambria Math"/>
              <w:lang w:val="en-GB"/>
            </w:rPr>
            <m:t>EP</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r>
            <w:rPr>
              <w:rFonts w:ascii="Cambria Math" w:hAnsi="Cambria Math"/>
              <w:lang w:val="en-GB"/>
            </w:rPr>
            <m:t>Contro</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4</m:t>
              </m:r>
            </m:sub>
          </m:sSub>
          <m:r>
            <w:rPr>
              <w:rFonts w:ascii="Cambria Math" w:hAnsi="Cambria Math"/>
              <w:lang w:val="en-GB"/>
            </w:rPr>
            <m:t>Interactio</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c</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ct</m:t>
              </m:r>
            </m:sub>
          </m:sSub>
        </m:oMath>
      </m:oMathPara>
    </w:p>
    <w:p w14:paraId="5DDD9FBD" w14:textId="45467E9D" w:rsidR="003C1485" w:rsidRPr="00BE1FE3" w:rsidRDefault="000C53BC" w:rsidP="003C1485">
      <w:pPr>
        <w:spacing w:line="360" w:lineRule="auto"/>
        <w:jc w:val="both"/>
        <w:rPr>
          <w:rFonts w:eastAsiaTheme="minorEastAsia"/>
          <w:lang w:val="en-GB"/>
        </w:rPr>
      </w:pPr>
      <m:oMathPara>
        <m:oMathParaPr>
          <m:jc m:val="left"/>
        </m:oMathParaPr>
        <m:oMath>
          <m:r>
            <m:rPr>
              <m:sty m:val="bi"/>
            </m:rPr>
            <w:rPr>
              <w:rFonts w:ascii="Cambria Math" w:hAnsi="Cambria Math"/>
              <w:lang w:val="en-GB"/>
            </w:rPr>
            <m:t>Model 1.2</m:t>
          </m:r>
          <m:r>
            <w:rPr>
              <w:rFonts w:ascii="Cambria Math" w:hAnsi="Cambria Math"/>
              <w:lang w:val="en-GB"/>
            </w:rPr>
            <m:t>: FDI_total_low_CO2=</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r>
            <w:rPr>
              <w:rFonts w:ascii="Cambria Math" w:hAnsi="Cambria Math"/>
              <w:lang w:val="en-GB"/>
            </w:rPr>
            <m:t>EP</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r>
            <w:rPr>
              <w:rFonts w:ascii="Cambria Math" w:hAnsi="Cambria Math"/>
              <w:lang w:val="en-GB"/>
            </w:rPr>
            <m:t>Contro</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4</m:t>
              </m:r>
            </m:sub>
          </m:sSub>
          <m:r>
            <w:rPr>
              <w:rFonts w:ascii="Cambria Math" w:hAnsi="Cambria Math"/>
              <w:lang w:val="en-GB"/>
            </w:rPr>
            <m:t>Interactio</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c</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ct</m:t>
              </m:r>
            </m:sub>
          </m:sSub>
        </m:oMath>
      </m:oMathPara>
    </w:p>
    <w:p w14:paraId="1CF10D21" w14:textId="2F2E358F" w:rsidR="00853D27" w:rsidRPr="00CF3C36" w:rsidRDefault="00853D27" w:rsidP="00853D27">
      <w:pPr>
        <w:spacing w:line="360" w:lineRule="auto"/>
        <w:jc w:val="both"/>
        <w:rPr>
          <w:rFonts w:eastAsiaTheme="minorEastAsia"/>
          <w:lang w:val="en-GB"/>
        </w:rPr>
      </w:pPr>
      <w:r w:rsidRPr="00CF3C36">
        <w:rPr>
          <w:rFonts w:eastAsiaTheme="minorEastAsia"/>
          <w:lang w:val="en-GB"/>
        </w:rPr>
        <w:t>For hypothesis two also a similar model will be used</w:t>
      </w:r>
      <w:r w:rsidR="009D62EB" w:rsidRPr="00CF3C36">
        <w:rPr>
          <w:rFonts w:eastAsiaTheme="minorEastAsia"/>
          <w:lang w:val="en-GB"/>
        </w:rPr>
        <w:t>,</w:t>
      </w:r>
      <w:r w:rsidRPr="00CF3C36">
        <w:rPr>
          <w:rFonts w:eastAsiaTheme="minorEastAsia"/>
          <w:lang w:val="en-GB"/>
        </w:rPr>
        <w:t xml:space="preserve"> but </w:t>
      </w:r>
      <w:r w:rsidR="00482E5C" w:rsidRPr="00CF3C36">
        <w:rPr>
          <w:rFonts w:eastAsiaTheme="minorEastAsia"/>
          <w:lang w:val="en-GB"/>
        </w:rPr>
        <w:t xml:space="preserve">with </w:t>
      </w:r>
      <m:oMath>
        <m:r>
          <w:rPr>
            <w:rFonts w:ascii="Cambria Math" w:hAnsi="Cambria Math"/>
            <w:lang w:val="en-GB"/>
          </w:rPr>
          <m:t>Energ</m:t>
        </m:r>
        <m:sSub>
          <m:sSubPr>
            <m:ctrlPr>
              <w:rPr>
                <w:rFonts w:ascii="Cambria Math" w:hAnsi="Cambria Math"/>
                <w:i/>
                <w:lang w:val="en-GB"/>
              </w:rPr>
            </m:ctrlPr>
          </m:sSubPr>
          <m:e>
            <m:r>
              <w:rPr>
                <w:rFonts w:ascii="Cambria Math" w:hAnsi="Cambria Math"/>
                <w:lang w:val="en-GB"/>
              </w:rPr>
              <m:t>y_ratio</m:t>
            </m:r>
          </m:e>
          <m:sub>
            <m:r>
              <w:rPr>
                <w:rFonts w:ascii="Cambria Math" w:hAnsi="Cambria Math"/>
                <w:lang w:val="en-GB"/>
              </w:rPr>
              <m:t>ct</m:t>
            </m:r>
          </m:sub>
        </m:sSub>
      </m:oMath>
      <w:r w:rsidR="00482E5C" w:rsidRPr="00CF3C36">
        <w:rPr>
          <w:rFonts w:eastAsiaTheme="minorEastAsia"/>
          <w:lang w:val="en-GB"/>
        </w:rPr>
        <w:t xml:space="preserve"> as the dependent variable:</w:t>
      </w:r>
    </w:p>
    <w:p w14:paraId="732BCFBB" w14:textId="5947EBC8" w:rsidR="00482E5C" w:rsidRPr="00BE1FE3" w:rsidRDefault="000C53BC" w:rsidP="00482E5C">
      <w:pPr>
        <w:spacing w:line="360" w:lineRule="auto"/>
        <w:jc w:val="both"/>
        <w:rPr>
          <w:rFonts w:eastAsiaTheme="minorEastAsia"/>
          <w:lang w:val="en-GB"/>
        </w:rPr>
      </w:pPr>
      <m:oMathPara>
        <m:oMathParaPr>
          <m:jc m:val="left"/>
        </m:oMathParaPr>
        <m:oMath>
          <m:r>
            <m:rPr>
              <m:sty m:val="bi"/>
            </m:rPr>
            <w:rPr>
              <w:rFonts w:ascii="Cambria Math" w:hAnsi="Cambria Math"/>
              <w:lang w:val="en-GB"/>
            </w:rPr>
            <m:t>Model 2</m:t>
          </m:r>
          <m:r>
            <w:rPr>
              <w:rFonts w:ascii="Cambria Math" w:hAnsi="Cambria Math"/>
              <w:lang w:val="en-GB"/>
            </w:rPr>
            <m:t>:Energ</m:t>
          </m:r>
          <m:sSub>
            <m:sSubPr>
              <m:ctrlPr>
                <w:rPr>
                  <w:rFonts w:ascii="Cambria Math" w:hAnsi="Cambria Math"/>
                  <w:i/>
                  <w:lang w:val="en-GB"/>
                </w:rPr>
              </m:ctrlPr>
            </m:sSubPr>
            <m:e>
              <m:r>
                <w:rPr>
                  <w:rFonts w:ascii="Cambria Math" w:hAnsi="Cambria Math"/>
                  <w:lang w:val="en-GB"/>
                </w:rPr>
                <m:t>y_ratio</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r>
            <w:rPr>
              <w:rFonts w:ascii="Cambria Math" w:hAnsi="Cambria Math"/>
              <w:lang w:val="en-GB"/>
            </w:rPr>
            <m:t>EP</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r>
            <w:rPr>
              <w:rFonts w:ascii="Cambria Math" w:hAnsi="Cambria Math"/>
              <w:lang w:val="en-GB"/>
            </w:rPr>
            <m:t>Contro</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4</m:t>
              </m:r>
            </m:sub>
          </m:sSub>
          <m:r>
            <w:rPr>
              <w:rFonts w:ascii="Cambria Math" w:hAnsi="Cambria Math"/>
              <w:lang w:val="en-GB"/>
            </w:rPr>
            <m:t>Interactio</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c</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ct</m:t>
              </m:r>
            </m:sub>
          </m:sSub>
        </m:oMath>
      </m:oMathPara>
    </w:p>
    <w:p w14:paraId="5A7CEA9C" w14:textId="7B0644DF" w:rsidR="00F06840" w:rsidRPr="00CF3C36" w:rsidRDefault="00F06840" w:rsidP="00482E5C">
      <w:pPr>
        <w:spacing w:line="360" w:lineRule="auto"/>
        <w:jc w:val="both"/>
        <w:rPr>
          <w:rFonts w:eastAsiaTheme="minorEastAsia"/>
          <w:lang w:val="en-GB"/>
        </w:rPr>
      </w:pPr>
      <w:r w:rsidRPr="00CF3C36">
        <w:rPr>
          <w:rFonts w:eastAsiaTheme="minorEastAsia"/>
          <w:lang w:val="en-GB"/>
        </w:rPr>
        <w:t>This mode</w:t>
      </w:r>
      <w:r w:rsidR="00FC1D85" w:rsidRPr="00CF3C36">
        <w:rPr>
          <w:rFonts w:eastAsiaTheme="minorEastAsia"/>
          <w:lang w:val="en-GB"/>
        </w:rPr>
        <w:t>l will be referred to as Model 2</w:t>
      </w:r>
      <w:r w:rsidRPr="00CF3C36">
        <w:rPr>
          <w:rFonts w:eastAsiaTheme="minorEastAsia"/>
          <w:lang w:val="en-GB"/>
        </w:rPr>
        <w:t>.</w:t>
      </w:r>
      <w:r w:rsidR="00B2337A" w:rsidRPr="00CF3C36">
        <w:rPr>
          <w:rFonts w:eastAsiaTheme="minorEastAsia"/>
          <w:lang w:val="en-GB"/>
        </w:rPr>
        <w:t xml:space="preserve"> Hypotheses 2.1 and 2.2 will analysed with models that use the total FDI to the brown and the green energy sector, respectively:</w:t>
      </w:r>
    </w:p>
    <w:p w14:paraId="1D3A1D64" w14:textId="65738C7D" w:rsidR="00361945" w:rsidRPr="00BE1FE3" w:rsidRDefault="000C53BC" w:rsidP="00361945">
      <w:pPr>
        <w:spacing w:line="360" w:lineRule="auto"/>
        <w:jc w:val="both"/>
        <w:rPr>
          <w:rFonts w:eastAsiaTheme="minorEastAsia"/>
          <w:lang w:val="en-GB"/>
        </w:rPr>
      </w:pPr>
      <m:oMathPara>
        <m:oMathParaPr>
          <m:jc m:val="left"/>
        </m:oMathParaPr>
        <m:oMath>
          <m:r>
            <m:rPr>
              <m:sty m:val="bi"/>
            </m:rPr>
            <w:rPr>
              <w:rFonts w:ascii="Cambria Math" w:hAnsi="Cambria Math"/>
              <w:lang w:val="en-GB"/>
            </w:rPr>
            <m:t>Model 2.1</m:t>
          </m:r>
          <m:r>
            <w:rPr>
              <w:rFonts w:ascii="Cambria Math" w:hAnsi="Cambria Math"/>
              <w:lang w:val="en-GB"/>
            </w:rPr>
            <m:t>:FDI_brown=</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r>
            <w:rPr>
              <w:rFonts w:ascii="Cambria Math" w:hAnsi="Cambria Math"/>
              <w:lang w:val="en-GB"/>
            </w:rPr>
            <m:t>EP</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r>
            <w:rPr>
              <w:rFonts w:ascii="Cambria Math" w:hAnsi="Cambria Math"/>
              <w:lang w:val="en-GB"/>
            </w:rPr>
            <m:t>Contro</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4</m:t>
              </m:r>
            </m:sub>
          </m:sSub>
          <m:r>
            <w:rPr>
              <w:rFonts w:ascii="Cambria Math" w:hAnsi="Cambria Math"/>
              <w:lang w:val="en-GB"/>
            </w:rPr>
            <m:t>Interactio</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c</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ct</m:t>
              </m:r>
            </m:sub>
          </m:sSub>
        </m:oMath>
      </m:oMathPara>
    </w:p>
    <w:p w14:paraId="59863A60" w14:textId="6B0CA1B3" w:rsidR="00361945" w:rsidRPr="00BE1FE3" w:rsidRDefault="000C53BC" w:rsidP="00361945">
      <w:pPr>
        <w:spacing w:line="360" w:lineRule="auto"/>
        <w:jc w:val="both"/>
        <w:rPr>
          <w:rFonts w:eastAsiaTheme="minorEastAsia"/>
          <w:lang w:val="en-GB"/>
        </w:rPr>
      </w:pPr>
      <m:oMathPara>
        <m:oMathParaPr>
          <m:jc m:val="left"/>
        </m:oMathParaPr>
        <m:oMath>
          <m:r>
            <m:rPr>
              <m:sty m:val="bi"/>
            </m:rPr>
            <w:rPr>
              <w:rFonts w:ascii="Cambria Math" w:hAnsi="Cambria Math"/>
              <w:lang w:val="en-GB"/>
            </w:rPr>
            <m:t>Model 2.2</m:t>
          </m:r>
          <m:r>
            <w:rPr>
              <w:rFonts w:ascii="Cambria Math" w:hAnsi="Cambria Math"/>
              <w:lang w:val="en-GB"/>
            </w:rPr>
            <m:t>:FDI_green=</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r>
            <w:rPr>
              <w:rFonts w:ascii="Cambria Math" w:hAnsi="Cambria Math"/>
              <w:lang w:val="en-GB"/>
            </w:rPr>
            <m:t>EP</m:t>
          </m:r>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r>
            <w:rPr>
              <w:rFonts w:ascii="Cambria Math" w:hAnsi="Cambria Math"/>
              <w:lang w:val="en-GB"/>
            </w:rPr>
            <m:t>Contro</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4</m:t>
              </m:r>
            </m:sub>
          </m:sSub>
          <m:r>
            <w:rPr>
              <w:rFonts w:ascii="Cambria Math" w:hAnsi="Cambria Math"/>
              <w:lang w:val="en-GB"/>
            </w:rPr>
            <m:t>Interactio</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δ</m:t>
              </m:r>
            </m:e>
            <m:sub>
              <m:r>
                <w:rPr>
                  <w:rFonts w:ascii="Cambria Math" w:hAnsi="Cambria Math"/>
                  <w:lang w:val="en-GB"/>
                </w:rPr>
                <m:t>c</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ct</m:t>
              </m:r>
            </m:sub>
          </m:sSub>
        </m:oMath>
      </m:oMathPara>
    </w:p>
    <w:p w14:paraId="26F95335" w14:textId="77777777" w:rsidR="00361945" w:rsidRPr="00CF3C36" w:rsidRDefault="00361945" w:rsidP="00482E5C">
      <w:pPr>
        <w:spacing w:line="360" w:lineRule="auto"/>
        <w:jc w:val="both"/>
        <w:rPr>
          <w:rFonts w:eastAsiaTheme="minorEastAsia"/>
          <w:lang w:val="en-GB"/>
        </w:rPr>
      </w:pPr>
    </w:p>
    <w:p w14:paraId="02003DF2" w14:textId="44AE48B1" w:rsidR="00C4166D" w:rsidRPr="00CF3C36" w:rsidRDefault="0051739C" w:rsidP="00C4166D">
      <w:pPr>
        <w:pStyle w:val="Heading2"/>
        <w:rPr>
          <w:lang w:val="en-GB"/>
        </w:rPr>
      </w:pPr>
      <w:bookmarkStart w:id="26" w:name="_Toc15480012"/>
      <w:r w:rsidRPr="00CF3C36">
        <w:rPr>
          <w:lang w:val="en-GB"/>
        </w:rPr>
        <w:lastRenderedPageBreak/>
        <w:t xml:space="preserve">3.3 </w:t>
      </w:r>
      <w:r w:rsidR="00C4166D" w:rsidRPr="00CF3C36">
        <w:rPr>
          <w:lang w:val="en-GB"/>
        </w:rPr>
        <w:t xml:space="preserve">Missing Data </w:t>
      </w:r>
      <w:r w:rsidR="0097107A" w:rsidRPr="00CF3C36">
        <w:rPr>
          <w:lang w:val="en-GB"/>
        </w:rPr>
        <w:t>and data management</w:t>
      </w:r>
      <w:bookmarkEnd w:id="26"/>
    </w:p>
    <w:p w14:paraId="5E551560" w14:textId="0F94D94D" w:rsidR="00C4166D" w:rsidRPr="00CF3C36" w:rsidRDefault="00C4166D" w:rsidP="008806A2">
      <w:pPr>
        <w:spacing w:after="0" w:line="360" w:lineRule="auto"/>
        <w:jc w:val="both"/>
        <w:rPr>
          <w:lang w:val="en-GB"/>
        </w:rPr>
      </w:pPr>
      <w:r w:rsidRPr="00CF3C36">
        <w:rPr>
          <w:lang w:val="en-GB"/>
        </w:rPr>
        <w:t>For the dependent variabl</w:t>
      </w:r>
      <w:r w:rsidR="0040387C" w:rsidRPr="00CF3C36">
        <w:rPr>
          <w:lang w:val="en-GB"/>
        </w:rPr>
        <w:t>e</w:t>
      </w:r>
      <w:r w:rsidR="006029A9" w:rsidRPr="00CF3C36">
        <w:rPr>
          <w:lang w:val="en-GB"/>
        </w:rPr>
        <w:t>s</w:t>
      </w:r>
      <w:r w:rsidR="0040387C" w:rsidRPr="00CF3C36">
        <w:rPr>
          <w:lang w:val="en-GB"/>
        </w:rPr>
        <w:t xml:space="preserve"> no values are missing. </w:t>
      </w:r>
      <w:r w:rsidR="00246EFD" w:rsidRPr="00CF3C36">
        <w:rPr>
          <w:lang w:val="en-GB"/>
        </w:rPr>
        <w:t xml:space="preserve">However, the value added data of the OECD input output tables that are used to construct the dependent variable of Model 1 are only available </w:t>
      </w:r>
      <w:r w:rsidR="00EB373C" w:rsidRPr="00CF3C36">
        <w:rPr>
          <w:lang w:val="en-GB"/>
        </w:rPr>
        <w:t>from 1995 to</w:t>
      </w:r>
      <w:r w:rsidR="00246EFD" w:rsidRPr="00CF3C36">
        <w:rPr>
          <w:lang w:val="en-GB"/>
        </w:rPr>
        <w:t xml:space="preserve"> 2011.</w:t>
      </w:r>
      <w:r w:rsidR="00032F3B" w:rsidRPr="00CF3C36">
        <w:rPr>
          <w:lang w:val="en-GB"/>
        </w:rPr>
        <w:t xml:space="preserve"> </w:t>
      </w:r>
      <w:r w:rsidR="00E94B0D" w:rsidRPr="00CF3C36">
        <w:rPr>
          <w:lang w:val="en-GB"/>
        </w:rPr>
        <w:t>This value-added data was constructed by using the average growth rate over this period to project the value-added forwards to 2016, this method is also used by the OECD (2019a) and was recommended for this research.</w:t>
      </w:r>
    </w:p>
    <w:p w14:paraId="0121E104" w14:textId="346C4C1E" w:rsidR="00C4166D" w:rsidRPr="00CF3C36" w:rsidRDefault="00C4166D" w:rsidP="008806A2">
      <w:pPr>
        <w:spacing w:after="0" w:line="360" w:lineRule="auto"/>
        <w:ind w:firstLine="708"/>
        <w:jc w:val="both"/>
        <w:rPr>
          <w:lang w:val="en-GB"/>
        </w:rPr>
      </w:pPr>
      <w:r w:rsidRPr="00CF3C36">
        <w:rPr>
          <w:lang w:val="en-GB"/>
        </w:rPr>
        <w:t xml:space="preserve">For </w:t>
      </w:r>
      <w:r w:rsidR="007E14F2" w:rsidRPr="00CF3C36">
        <w:rPr>
          <w:lang w:val="en-GB"/>
        </w:rPr>
        <w:t>the</w:t>
      </w:r>
      <w:r w:rsidRPr="00CF3C36">
        <w:rPr>
          <w:lang w:val="en-GB"/>
        </w:rPr>
        <w:t xml:space="preserve"> independent variable</w:t>
      </w:r>
      <w:r w:rsidR="00EC365C" w:rsidRPr="00CF3C36">
        <w:rPr>
          <w:lang w:val="en-GB"/>
        </w:rPr>
        <w:t>, the Environmental Policy Index</w:t>
      </w:r>
      <w:r w:rsidRPr="00CF3C36">
        <w:rPr>
          <w:lang w:val="en-GB"/>
        </w:rPr>
        <w:t>, data is</w:t>
      </w:r>
      <w:r w:rsidR="00E44F37" w:rsidRPr="00CF3C36">
        <w:rPr>
          <w:lang w:val="en-GB"/>
        </w:rPr>
        <w:t xml:space="preserve"> available</w:t>
      </w:r>
      <w:r w:rsidRPr="00CF3C36">
        <w:rPr>
          <w:lang w:val="en-GB"/>
        </w:rPr>
        <w:t xml:space="preserve"> for 2009, 2011, 2013, 2015 and 2017.</w:t>
      </w:r>
      <w:r w:rsidR="000D4CC1" w:rsidRPr="00CF3C36">
        <w:rPr>
          <w:lang w:val="en-GB"/>
        </w:rPr>
        <w:t xml:space="preserve"> In order to fully exploit the availability of the dependent variable </w:t>
      </w:r>
      <w:r w:rsidRPr="00CF3C36">
        <w:rPr>
          <w:lang w:val="en-GB"/>
        </w:rPr>
        <w:t>in the period under research</w:t>
      </w:r>
      <w:r w:rsidR="00501380" w:rsidRPr="00CF3C36">
        <w:rPr>
          <w:lang w:val="en-GB"/>
        </w:rPr>
        <w:t>,</w:t>
      </w:r>
      <w:r w:rsidRPr="00CF3C36">
        <w:rPr>
          <w:lang w:val="en-GB"/>
        </w:rPr>
        <w:t xml:space="preserve"> the</w:t>
      </w:r>
      <w:r w:rsidR="000D4CC1" w:rsidRPr="00CF3C36">
        <w:rPr>
          <w:lang w:val="en-GB"/>
        </w:rPr>
        <w:t xml:space="preserve"> EPI</w:t>
      </w:r>
      <w:r w:rsidRPr="00CF3C36">
        <w:rPr>
          <w:lang w:val="en-GB"/>
        </w:rPr>
        <w:t xml:space="preserve"> data for the ye</w:t>
      </w:r>
      <w:r w:rsidR="00501380" w:rsidRPr="00CF3C36">
        <w:rPr>
          <w:lang w:val="en-GB"/>
        </w:rPr>
        <w:t xml:space="preserve">ars 2010, 2012, 2014 and 2016 </w:t>
      </w:r>
      <w:r w:rsidR="00EC365C" w:rsidRPr="00CF3C36">
        <w:rPr>
          <w:lang w:val="en-GB"/>
        </w:rPr>
        <w:t>are</w:t>
      </w:r>
      <w:r w:rsidRPr="00CF3C36">
        <w:rPr>
          <w:lang w:val="en-GB"/>
        </w:rPr>
        <w:t xml:space="preserve"> computed as the average value between the previous and the following year. As the values of the perceived stringency and enforcement of environmental policy is not expected to change drastically in one year this method is thought to generate representative values for the independent variable.</w:t>
      </w:r>
      <w:r w:rsidR="008A5EAD" w:rsidRPr="00CF3C36">
        <w:rPr>
          <w:lang w:val="en-GB"/>
        </w:rPr>
        <w:t xml:space="preserve"> </w:t>
      </w:r>
      <w:r w:rsidR="00387A9D" w:rsidRPr="00CF3C36">
        <w:rPr>
          <w:lang w:val="en-GB"/>
        </w:rPr>
        <w:t xml:space="preserve">Four countries in </w:t>
      </w:r>
      <w:r w:rsidR="001257A5" w:rsidRPr="00CF3C36">
        <w:rPr>
          <w:lang w:val="en-GB"/>
        </w:rPr>
        <w:t>the</w:t>
      </w:r>
      <w:r w:rsidR="00387A9D" w:rsidRPr="00CF3C36">
        <w:rPr>
          <w:lang w:val="en-GB"/>
        </w:rPr>
        <w:t xml:space="preserve"> dataset are missing one value of EPI as they were not included in the survey that year, these countries are Ecuador (2015), Lebanon (2009),</w:t>
      </w:r>
      <w:r w:rsidR="00E44F37" w:rsidRPr="00CF3C36">
        <w:rPr>
          <w:lang w:val="en-GB"/>
        </w:rPr>
        <w:t xml:space="preserve"> Tunisia</w:t>
      </w:r>
      <w:r w:rsidR="00387A9D" w:rsidRPr="00CF3C36">
        <w:rPr>
          <w:lang w:val="en-GB"/>
        </w:rPr>
        <w:t xml:space="preserve"> (2013) and Ukraine (2015).</w:t>
      </w:r>
      <w:r w:rsidR="00E44F37" w:rsidRPr="00CF3C36">
        <w:rPr>
          <w:lang w:val="en-GB"/>
        </w:rPr>
        <w:t xml:space="preserve"> In </w:t>
      </w:r>
      <w:r w:rsidR="00387A9D" w:rsidRPr="00CF3C36">
        <w:rPr>
          <w:lang w:val="en-GB"/>
        </w:rPr>
        <w:t>the</w:t>
      </w:r>
      <w:r w:rsidR="008A5EAD" w:rsidRPr="00CF3C36">
        <w:rPr>
          <w:lang w:val="en-GB"/>
        </w:rPr>
        <w:t>s</w:t>
      </w:r>
      <w:r w:rsidR="00387A9D" w:rsidRPr="00CF3C36">
        <w:rPr>
          <w:lang w:val="en-GB"/>
        </w:rPr>
        <w:t>e</w:t>
      </w:r>
      <w:r w:rsidR="00E44F37" w:rsidRPr="00CF3C36">
        <w:rPr>
          <w:lang w:val="en-GB"/>
        </w:rPr>
        <w:t xml:space="preserve"> cases </w:t>
      </w:r>
      <w:r w:rsidR="00387A9D" w:rsidRPr="00CF3C36">
        <w:rPr>
          <w:lang w:val="en-GB"/>
        </w:rPr>
        <w:t>the values for the missing year</w:t>
      </w:r>
      <w:r w:rsidR="008A5EAD" w:rsidRPr="00CF3C36">
        <w:rPr>
          <w:lang w:val="en-GB"/>
        </w:rPr>
        <w:t xml:space="preserve"> </w:t>
      </w:r>
      <w:r w:rsidR="00387A9D" w:rsidRPr="00CF3C36">
        <w:rPr>
          <w:lang w:val="en-GB"/>
        </w:rPr>
        <w:t>is</w:t>
      </w:r>
      <w:r w:rsidR="008A5EAD" w:rsidRPr="00CF3C36">
        <w:rPr>
          <w:lang w:val="en-GB"/>
        </w:rPr>
        <w:t xml:space="preserve"> first estimated by taking the average between </w:t>
      </w:r>
      <w:r w:rsidR="0045747D" w:rsidRPr="00CF3C36">
        <w:rPr>
          <w:lang w:val="en-GB"/>
        </w:rPr>
        <w:t>the values of two year before and two years after the missing year</w:t>
      </w:r>
      <w:r w:rsidR="008A5EAD" w:rsidRPr="00CF3C36">
        <w:rPr>
          <w:lang w:val="en-GB"/>
        </w:rPr>
        <w:t xml:space="preserve">, after which the values for </w:t>
      </w:r>
      <w:r w:rsidR="0045747D" w:rsidRPr="00CF3C36">
        <w:rPr>
          <w:lang w:val="en-GB"/>
        </w:rPr>
        <w:t>the two years in between</w:t>
      </w:r>
      <w:r w:rsidR="008A5EAD" w:rsidRPr="00CF3C36">
        <w:rPr>
          <w:lang w:val="en-GB"/>
        </w:rPr>
        <w:t xml:space="preserve"> are estimated using the same method as before. </w:t>
      </w:r>
      <w:r w:rsidR="00BB37CA" w:rsidRPr="00CF3C36">
        <w:rPr>
          <w:lang w:val="en-GB"/>
        </w:rPr>
        <w:t xml:space="preserve">Also five countries </w:t>
      </w:r>
      <w:r w:rsidR="008D760B" w:rsidRPr="00CF3C36">
        <w:rPr>
          <w:lang w:val="en-GB"/>
        </w:rPr>
        <w:t>are</w:t>
      </w:r>
      <w:r w:rsidR="00BB37CA" w:rsidRPr="00CF3C36">
        <w:rPr>
          <w:lang w:val="en-GB"/>
        </w:rPr>
        <w:t xml:space="preserve"> dropped from the database because </w:t>
      </w:r>
      <w:r w:rsidR="001926AA" w:rsidRPr="00CF3C36">
        <w:rPr>
          <w:lang w:val="en-GB"/>
        </w:rPr>
        <w:t>values for two or more years</w:t>
      </w:r>
      <w:r w:rsidR="00BB37CA" w:rsidRPr="00CF3C36">
        <w:rPr>
          <w:lang w:val="en-GB"/>
        </w:rPr>
        <w:t xml:space="preserve"> for environmental policy stringency </w:t>
      </w:r>
      <w:r w:rsidR="001926AA" w:rsidRPr="00CF3C36">
        <w:rPr>
          <w:lang w:val="en-GB"/>
        </w:rPr>
        <w:t>and/or enforcement of environmental policy where missing. Thes</w:t>
      </w:r>
      <w:r w:rsidR="00BB37CA" w:rsidRPr="00CF3C36">
        <w:rPr>
          <w:lang w:val="en-GB"/>
        </w:rPr>
        <w:t xml:space="preserve">e countries where Angola, Myanmar, Seychelles, Uzbekistan and Yemen. </w:t>
      </w:r>
    </w:p>
    <w:p w14:paraId="69821EFC" w14:textId="0BB24199" w:rsidR="00835618" w:rsidRPr="00CF3C36" w:rsidRDefault="00C4166D" w:rsidP="004126F0">
      <w:pPr>
        <w:spacing w:after="0" w:line="360" w:lineRule="auto"/>
        <w:ind w:firstLine="708"/>
        <w:jc w:val="both"/>
        <w:rPr>
          <w:lang w:val="en-GB"/>
        </w:rPr>
      </w:pPr>
      <w:r w:rsidRPr="00CF3C36">
        <w:rPr>
          <w:lang w:val="en-GB"/>
        </w:rPr>
        <w:t>For the control variables data is missin</w:t>
      </w:r>
      <w:r w:rsidR="00F367B9" w:rsidRPr="00CF3C36">
        <w:rPr>
          <w:lang w:val="en-GB"/>
        </w:rPr>
        <w:t xml:space="preserve">g for </w:t>
      </w:r>
      <w:r w:rsidR="001257A5" w:rsidRPr="00CF3C36">
        <w:rPr>
          <w:lang w:val="en-GB"/>
        </w:rPr>
        <w:t xml:space="preserve">three variables, namely for the share of enrolment in tertiary education (SE-ter), </w:t>
      </w:r>
      <w:r w:rsidRPr="00CF3C36">
        <w:rPr>
          <w:lang w:val="en-GB"/>
        </w:rPr>
        <w:t>the ease of doing business index (eodb)</w:t>
      </w:r>
      <w:r w:rsidR="00F367B9" w:rsidRPr="00CF3C36">
        <w:rPr>
          <w:lang w:val="en-GB"/>
        </w:rPr>
        <w:t xml:space="preserve"> and the average hours worked (avh)</w:t>
      </w:r>
      <w:r w:rsidRPr="00CF3C36">
        <w:rPr>
          <w:lang w:val="en-GB"/>
        </w:rPr>
        <w:t>.</w:t>
      </w:r>
      <w:r w:rsidR="006F739B" w:rsidRPr="00CF3C36">
        <w:rPr>
          <w:lang w:val="en-GB"/>
        </w:rPr>
        <w:t xml:space="preserve"> </w:t>
      </w:r>
      <w:r w:rsidR="00764CAF" w:rsidRPr="00CF3C36">
        <w:rPr>
          <w:lang w:val="en-GB"/>
        </w:rPr>
        <w:t xml:space="preserve">For SE_ter some countries are missing one or more values, here the average value of SE_ter for that country is imputed. For the countries that have no values for SE_ter at all, the average value of countries from the same region in the same income group for that year is imputed. </w:t>
      </w:r>
      <w:r w:rsidR="009003DA" w:rsidRPr="00CF3C36">
        <w:rPr>
          <w:lang w:val="en-GB"/>
        </w:rPr>
        <w:t xml:space="preserve">For the eodb </w:t>
      </w:r>
      <w:r w:rsidR="00C36E8C" w:rsidRPr="00CF3C36">
        <w:rPr>
          <w:lang w:val="en-GB"/>
        </w:rPr>
        <w:t xml:space="preserve">all countries lack data for 2009, 1 country also lacks data for 2010 and 2011 and 7 countries also lack data for 2010-2013. To fill these missing data </w:t>
      </w:r>
      <w:r w:rsidR="004126F0" w:rsidRPr="00CF3C36">
        <w:rPr>
          <w:lang w:val="en-GB"/>
        </w:rPr>
        <w:t xml:space="preserve">the value of the following year is divided by the average growth rate of the relevant country for the years that are available. </w:t>
      </w:r>
      <w:r w:rsidR="001805E4" w:rsidRPr="00CF3C36">
        <w:rPr>
          <w:lang w:val="en-GB"/>
        </w:rPr>
        <w:t>For the countries that only lack one year this can be expected to be a rather accurate technique to estimate the missing data values. For</w:t>
      </w:r>
      <w:r w:rsidR="006F739B" w:rsidRPr="00CF3C36">
        <w:rPr>
          <w:lang w:val="en-GB"/>
        </w:rPr>
        <w:t xml:space="preserve"> the</w:t>
      </w:r>
      <w:r w:rsidR="001805E4" w:rsidRPr="00CF3C36">
        <w:rPr>
          <w:lang w:val="en-GB"/>
        </w:rPr>
        <w:t xml:space="preserve"> 8 countries for which 3 years or more are missing the technique might be less accurate because an average growth rate over a shorter period is used to estimate values over a longer period. This is a limitation of this technique, but I still trust this to be the best way to estimate these missing values. </w:t>
      </w:r>
      <w:r w:rsidR="00F367B9" w:rsidRPr="00CF3C36">
        <w:rPr>
          <w:lang w:val="en-GB"/>
        </w:rPr>
        <w:t xml:space="preserve">The values of avh are used to create the capital-labour ratio, but </w:t>
      </w:r>
      <w:r w:rsidR="006C7FE9" w:rsidRPr="00CF3C36">
        <w:rPr>
          <w:lang w:val="en-GB"/>
        </w:rPr>
        <w:t xml:space="preserve"> in the first three models </w:t>
      </w:r>
      <w:r w:rsidR="00F367B9" w:rsidRPr="00CF3C36">
        <w:rPr>
          <w:lang w:val="en-GB"/>
        </w:rPr>
        <w:t xml:space="preserve">these values are missing for three countries, namely Morocco, </w:t>
      </w:r>
      <w:r w:rsidR="007D4959" w:rsidRPr="00CF3C36">
        <w:rPr>
          <w:lang w:val="en-GB"/>
        </w:rPr>
        <w:t>Saudi Arabia</w:t>
      </w:r>
      <w:r w:rsidR="00F367B9" w:rsidRPr="00CF3C36">
        <w:rPr>
          <w:lang w:val="en-GB"/>
        </w:rPr>
        <w:t xml:space="preserve"> and Tunisia. As for these countries the values are missing for all years, the techniques used previously cannot be used here. Therefore another method has to be chosen to estimate the avh in these countries. One way to do this is to impute the </w:t>
      </w:r>
      <w:r w:rsidR="00F367B9" w:rsidRPr="00CF3C36">
        <w:rPr>
          <w:lang w:val="en-GB"/>
        </w:rPr>
        <w:lastRenderedPageBreak/>
        <w:t>average avh for a year of the region these countries are in. However, these countries are all from the region “Middle East &amp; North Africa” and the only other country from this regi</w:t>
      </w:r>
      <w:r w:rsidR="007D4959" w:rsidRPr="00CF3C36">
        <w:rPr>
          <w:lang w:val="en-GB"/>
        </w:rPr>
        <w:t>on in the database used is Malta</w:t>
      </w:r>
      <w:r w:rsidR="00F367B9" w:rsidRPr="00CF3C36">
        <w:rPr>
          <w:lang w:val="en-GB"/>
        </w:rPr>
        <w:t xml:space="preserve">. So to use the average avh of the region would mean to assume the avh in these three countries is the same as </w:t>
      </w:r>
      <w:r w:rsidR="007D4959" w:rsidRPr="00CF3C36">
        <w:rPr>
          <w:lang w:val="en-GB"/>
        </w:rPr>
        <w:t>Malta</w:t>
      </w:r>
      <w:r w:rsidR="00F367B9" w:rsidRPr="00CF3C36">
        <w:rPr>
          <w:lang w:val="en-GB"/>
        </w:rPr>
        <w:t xml:space="preserve"> and this is an assum</w:t>
      </w:r>
      <w:r w:rsidR="00EB6DD2" w:rsidRPr="00CF3C36">
        <w:rPr>
          <w:lang w:val="en-GB"/>
        </w:rPr>
        <w:t>ption I am not confident to make</w:t>
      </w:r>
      <w:r w:rsidR="00F367B9" w:rsidRPr="00CF3C36">
        <w:rPr>
          <w:lang w:val="en-GB"/>
        </w:rPr>
        <w:t xml:space="preserve">. </w:t>
      </w:r>
      <w:r w:rsidR="00F26AF7" w:rsidRPr="00CF3C36">
        <w:rPr>
          <w:lang w:val="en-GB"/>
        </w:rPr>
        <w:t xml:space="preserve">Therefore it is chosen to impute the average avh for all the countries in the dataset for a certain year. </w:t>
      </w:r>
      <w:r w:rsidR="006C7FE9" w:rsidRPr="00CF3C36">
        <w:rPr>
          <w:lang w:val="en-GB"/>
        </w:rPr>
        <w:t>For the last three models data on avh is missing for more countries, but as also more countries from different regions are included, here it is chosen to impute the average value for a year</w:t>
      </w:r>
      <w:r w:rsidR="0089277D" w:rsidRPr="00CF3C36">
        <w:rPr>
          <w:lang w:val="en-GB"/>
        </w:rPr>
        <w:t xml:space="preserve"> of the region a country is in. Only for the region “Middle East &amp; North Africa” still not enough countries are included to use this method, but now more countries from similar income groups as these countries are included. Therefore for this region the average avh of countries in the same income group for the relevant year is imputed. </w:t>
      </w:r>
    </w:p>
    <w:p w14:paraId="37A0E6FE" w14:textId="250FE6CD" w:rsidR="0067170B" w:rsidRPr="00CF3C36" w:rsidRDefault="008806A2" w:rsidP="006A2453">
      <w:pPr>
        <w:spacing w:after="0" w:line="360" w:lineRule="auto"/>
        <w:ind w:firstLine="708"/>
        <w:jc w:val="both"/>
        <w:rPr>
          <w:lang w:val="en-GB"/>
        </w:rPr>
      </w:pPr>
      <w:r w:rsidRPr="00CF3C36">
        <w:rPr>
          <w:lang w:val="en-GB"/>
        </w:rPr>
        <w:t xml:space="preserve">All the data is </w:t>
      </w:r>
      <w:r w:rsidR="004126F0" w:rsidRPr="00CF3C36">
        <w:rPr>
          <w:lang w:val="en-GB"/>
        </w:rPr>
        <w:t>checked for skewness by analysing</w:t>
      </w:r>
      <w:r w:rsidRPr="00CF3C36">
        <w:rPr>
          <w:lang w:val="en-GB"/>
        </w:rPr>
        <w:t xml:space="preserve"> histograms of each variable. Most variable </w:t>
      </w:r>
      <w:r w:rsidR="004126F0" w:rsidRPr="00CF3C36">
        <w:rPr>
          <w:lang w:val="en-GB"/>
        </w:rPr>
        <w:t>that</w:t>
      </w:r>
      <w:r w:rsidRPr="00CF3C36">
        <w:rPr>
          <w:lang w:val="en-GB"/>
        </w:rPr>
        <w:t xml:space="preserve"> are strictly positive, such as the dependent variables</w:t>
      </w:r>
      <w:r w:rsidR="00B425F0" w:rsidRPr="00CF3C36">
        <w:rPr>
          <w:lang w:val="en-GB"/>
        </w:rPr>
        <w:t xml:space="preserve"> in all the models</w:t>
      </w:r>
      <w:r w:rsidR="006B5D3A" w:rsidRPr="00CF3C36">
        <w:rPr>
          <w:lang w:val="en-GB"/>
        </w:rPr>
        <w:t xml:space="preserve">, </w:t>
      </w:r>
      <w:r w:rsidR="00FD5A12" w:rsidRPr="00CF3C36">
        <w:rPr>
          <w:lang w:val="en-GB"/>
        </w:rPr>
        <w:t xml:space="preserve">the capital-labour ratio and the </w:t>
      </w:r>
      <w:r w:rsidR="003F01C9" w:rsidRPr="00CF3C36">
        <w:rPr>
          <w:lang w:val="en-GB"/>
        </w:rPr>
        <w:t>CO</w:t>
      </w:r>
      <w:r w:rsidR="003F01C9" w:rsidRPr="00CF3C36">
        <w:rPr>
          <w:vertAlign w:val="subscript"/>
          <w:lang w:val="en-GB"/>
        </w:rPr>
        <w:t>2</w:t>
      </w:r>
      <w:r w:rsidR="005A17B8" w:rsidRPr="00CF3C36">
        <w:rPr>
          <w:lang w:val="en-GB"/>
        </w:rPr>
        <w:t xml:space="preserve"> </w:t>
      </w:r>
      <w:r w:rsidR="00FD5A12" w:rsidRPr="00CF3C36">
        <w:rPr>
          <w:lang w:val="en-GB"/>
        </w:rPr>
        <w:t>intensity control</w:t>
      </w:r>
      <w:r w:rsidR="004126F0" w:rsidRPr="00CF3C36">
        <w:rPr>
          <w:lang w:val="en-GB"/>
        </w:rPr>
        <w:t>,</w:t>
      </w:r>
      <w:r w:rsidR="000F7FD0" w:rsidRPr="00CF3C36">
        <w:rPr>
          <w:lang w:val="en-GB"/>
        </w:rPr>
        <w:t xml:space="preserve"> that is used in M</w:t>
      </w:r>
      <w:r w:rsidR="00FD5A12" w:rsidRPr="00CF3C36">
        <w:rPr>
          <w:lang w:val="en-GB"/>
        </w:rPr>
        <w:t>odel 1</w:t>
      </w:r>
      <w:r w:rsidR="004126F0" w:rsidRPr="00CF3C36">
        <w:rPr>
          <w:lang w:val="en-GB"/>
        </w:rPr>
        <w:t>,</w:t>
      </w:r>
      <w:r w:rsidR="006B5D3A" w:rsidRPr="00CF3C36">
        <w:rPr>
          <w:lang w:val="en-GB"/>
        </w:rPr>
        <w:t xml:space="preserve"> </w:t>
      </w:r>
      <w:r w:rsidRPr="00CF3C36">
        <w:rPr>
          <w:lang w:val="en-GB"/>
        </w:rPr>
        <w:t xml:space="preserve">are skewed to the right. Therefore the natural logarithm of these variables are taken in order to solve this problem and achieve normality. This log transformation also solves some possible order of magnitude problems between different variables. </w:t>
      </w:r>
      <w:r w:rsidR="00AE71D7" w:rsidRPr="00CF3C36">
        <w:rPr>
          <w:lang w:val="en-GB"/>
        </w:rPr>
        <w:t>The quadratic variable of capital-labour ratio and the interaction terms between EPI and capital-labour ratio are constructed with the log transformed capital-labour ratio.</w:t>
      </w:r>
      <w:r w:rsidR="006A2453" w:rsidRPr="00CF3C36">
        <w:rPr>
          <w:lang w:val="en-GB"/>
        </w:rPr>
        <w:t xml:space="preserve"> </w:t>
      </w:r>
      <w:r w:rsidR="0067170B" w:rsidRPr="00CF3C36">
        <w:rPr>
          <w:lang w:val="en-GB"/>
        </w:rPr>
        <w:t xml:space="preserve">Table 3 gives the descriptive statistics for all the variables used in the analyses, after the data management described above has been performed. </w:t>
      </w:r>
    </w:p>
    <w:p w14:paraId="718EDA82" w14:textId="547B1B3D" w:rsidR="00C467C3" w:rsidRPr="00CF3C36" w:rsidRDefault="00C467C3" w:rsidP="00675DC7">
      <w:pPr>
        <w:spacing w:after="0" w:line="360" w:lineRule="auto"/>
        <w:ind w:firstLine="708"/>
        <w:jc w:val="both"/>
        <w:rPr>
          <w:lang w:val="en-GB"/>
        </w:rPr>
      </w:pPr>
      <w:r w:rsidRPr="00CF3C36">
        <w:rPr>
          <w:lang w:val="en-GB"/>
        </w:rPr>
        <w:t xml:space="preserve">Some diagnostic tests are performed on the data before estimating with a fixed effects model, these tests indicate some issues which are then appropriately addressed. The results of these tests can </w:t>
      </w:r>
      <w:r w:rsidR="00014231" w:rsidRPr="00CF3C36">
        <w:rPr>
          <w:lang w:val="en-GB"/>
        </w:rPr>
        <w:t>be found in the appendix Table 12</w:t>
      </w:r>
      <w:r w:rsidRPr="00CF3C36">
        <w:rPr>
          <w:lang w:val="en-GB"/>
        </w:rPr>
        <w:t>. First a Modified Wald test for groupwise heteroscedasticity is performed. The null-hypothesis, that there is presence of homoscedasticity, is rejected for all models which implies the presence of heteroscedasticity. The data is also tested for autocorrelation using the program written by Drukker (2003) based on the Wooldridge test (Wooldridge, 2002), which is a specific test for autocorrelation in panel data. This test suggests the presence of autocorrelation in most of the models. In order to control for both these data issues, most models are estimated with standard errors that are robust to both heteroscedasticity and autocorrelation (</w:t>
      </w:r>
      <w:r w:rsidRPr="00CF3C36">
        <w:rPr>
          <w:i/>
          <w:lang w:val="en-GB"/>
        </w:rPr>
        <w:t>vce (cluster cou1)</w:t>
      </w:r>
      <w:r w:rsidRPr="00CF3C36">
        <w:rPr>
          <w:lang w:val="en-GB"/>
        </w:rPr>
        <w:t xml:space="preserve">) (Hoechle, 2007). Furthermore the data is tested for cross-sectional dependence, when T &gt;N the Breusch-Pagan LM test is often used (De Hoyos &amp; Sarafidis 2006). In this analysis however, N&gt;T therefore an alternative program, written by De Hoyos &amp; Sarafidis (2006) to test for cross-sectional dependence when N&gt;T, is used. This program includes the Pesaran’s CD test, the Friedman’s test and the Frees’ test. In some model cross sectional dependence is also found, in this case the robust </w:t>
      </w:r>
      <w:r w:rsidRPr="00CF3C36">
        <w:rPr>
          <w:lang w:val="en-GB"/>
        </w:rPr>
        <w:lastRenderedPageBreak/>
        <w:t xml:space="preserve">standard errors created with the </w:t>
      </w:r>
      <w:r w:rsidRPr="00CF3C36">
        <w:rPr>
          <w:i/>
          <w:lang w:val="en-GB"/>
        </w:rPr>
        <w:t>vce(cluster cou1)</w:t>
      </w:r>
      <w:r w:rsidRPr="00CF3C36">
        <w:rPr>
          <w:lang w:val="en-GB"/>
        </w:rPr>
        <w:t xml:space="preserve"> option cannot be used as they are not robust to cross-sectional dependence. </w:t>
      </w:r>
    </w:p>
    <w:p w14:paraId="39EB3D71" w14:textId="77777777" w:rsidR="0067170B" w:rsidRPr="00CF3C36" w:rsidRDefault="0067170B" w:rsidP="0067170B">
      <w:pPr>
        <w:pStyle w:val="Heading5"/>
        <w:jc w:val="center"/>
        <w:rPr>
          <w:lang w:val="en-GB"/>
        </w:rPr>
      </w:pPr>
      <w:bookmarkStart w:id="27" w:name="_Toc15475666"/>
      <w:r w:rsidRPr="00CF3C36">
        <w:rPr>
          <w:lang w:val="en-GB"/>
        </w:rPr>
        <w:t>Table 3. Descriptive statistics</w:t>
      </w:r>
      <w:bookmarkEnd w:id="27"/>
    </w:p>
    <w:tbl>
      <w:tblPr>
        <w:tblW w:w="8260" w:type="dxa"/>
        <w:jc w:val="center"/>
        <w:tblCellMar>
          <w:left w:w="70" w:type="dxa"/>
          <w:right w:w="70" w:type="dxa"/>
        </w:tblCellMar>
        <w:tblLook w:val="04A0" w:firstRow="1" w:lastRow="0" w:firstColumn="1" w:lastColumn="0" w:noHBand="0" w:noVBand="1"/>
      </w:tblPr>
      <w:tblGrid>
        <w:gridCol w:w="2320"/>
        <w:gridCol w:w="1160"/>
        <w:gridCol w:w="1180"/>
        <w:gridCol w:w="1160"/>
        <w:gridCol w:w="1260"/>
        <w:gridCol w:w="1180"/>
      </w:tblGrid>
      <w:tr w:rsidR="0067170B" w:rsidRPr="00CF3C36" w14:paraId="4DCD6068" w14:textId="77777777" w:rsidTr="00097DA7">
        <w:trPr>
          <w:trHeight w:val="300"/>
          <w:jc w:val="center"/>
        </w:trPr>
        <w:tc>
          <w:tcPr>
            <w:tcW w:w="2320" w:type="dxa"/>
            <w:tcBorders>
              <w:top w:val="nil"/>
              <w:left w:val="nil"/>
              <w:bottom w:val="nil"/>
              <w:right w:val="nil"/>
            </w:tcBorders>
            <w:shd w:val="clear" w:color="000000" w:fill="63A0D7"/>
            <w:noWrap/>
            <w:vAlign w:val="bottom"/>
            <w:hideMark/>
          </w:tcPr>
          <w:p w14:paraId="10A0EE72" w14:textId="77777777" w:rsidR="0067170B" w:rsidRPr="00CF3C36" w:rsidRDefault="0067170B" w:rsidP="00097DA7">
            <w:pPr>
              <w:spacing w:after="0" w:line="240" w:lineRule="auto"/>
              <w:rPr>
                <w:rFonts w:ascii="Calibri" w:eastAsia="Times New Roman" w:hAnsi="Calibri" w:cs="Calibri"/>
                <w:b/>
                <w:bCs/>
                <w:i/>
                <w:iCs/>
                <w:color w:val="000000"/>
                <w:lang w:val="en-GB" w:eastAsia="nl-NL"/>
              </w:rPr>
            </w:pPr>
            <w:r w:rsidRPr="00CF3C36">
              <w:rPr>
                <w:rFonts w:ascii="Calibri" w:eastAsia="Times New Roman" w:hAnsi="Calibri" w:cs="Calibri"/>
                <w:b/>
                <w:bCs/>
                <w:i/>
                <w:iCs/>
                <w:color w:val="000000"/>
                <w:lang w:val="en-GB" w:eastAsia="nl-NL"/>
              </w:rPr>
              <w:t>Variable</w:t>
            </w:r>
          </w:p>
        </w:tc>
        <w:tc>
          <w:tcPr>
            <w:tcW w:w="1160" w:type="dxa"/>
            <w:tcBorders>
              <w:top w:val="nil"/>
              <w:left w:val="nil"/>
              <w:bottom w:val="nil"/>
              <w:right w:val="nil"/>
            </w:tcBorders>
            <w:shd w:val="clear" w:color="000000" w:fill="63A0D7"/>
            <w:noWrap/>
            <w:vAlign w:val="bottom"/>
            <w:hideMark/>
          </w:tcPr>
          <w:p w14:paraId="08E84F74" w14:textId="77777777" w:rsidR="0067170B" w:rsidRPr="00CF3C36" w:rsidRDefault="0067170B" w:rsidP="00097DA7">
            <w:pPr>
              <w:spacing w:after="0" w:line="240" w:lineRule="auto"/>
              <w:rPr>
                <w:rFonts w:ascii="Calibri" w:eastAsia="Times New Roman" w:hAnsi="Calibri" w:cs="Calibri"/>
                <w:b/>
                <w:bCs/>
                <w:i/>
                <w:iCs/>
                <w:color w:val="000000"/>
                <w:lang w:val="en-GB" w:eastAsia="nl-NL"/>
              </w:rPr>
            </w:pPr>
            <w:r w:rsidRPr="00CF3C36">
              <w:rPr>
                <w:rFonts w:ascii="Calibri" w:eastAsia="Times New Roman" w:hAnsi="Calibri" w:cs="Calibri"/>
                <w:b/>
                <w:bCs/>
                <w:i/>
                <w:iCs/>
                <w:color w:val="000000"/>
                <w:lang w:val="en-GB" w:eastAsia="nl-NL"/>
              </w:rPr>
              <w:t>Obs</w:t>
            </w:r>
          </w:p>
        </w:tc>
        <w:tc>
          <w:tcPr>
            <w:tcW w:w="1180" w:type="dxa"/>
            <w:tcBorders>
              <w:top w:val="nil"/>
              <w:left w:val="nil"/>
              <w:bottom w:val="nil"/>
              <w:right w:val="nil"/>
            </w:tcBorders>
            <w:shd w:val="clear" w:color="000000" w:fill="63A0D7"/>
            <w:noWrap/>
            <w:vAlign w:val="bottom"/>
            <w:hideMark/>
          </w:tcPr>
          <w:p w14:paraId="533CC5EB" w14:textId="77777777" w:rsidR="0067170B" w:rsidRPr="00CF3C36" w:rsidRDefault="0067170B" w:rsidP="00097DA7">
            <w:pPr>
              <w:spacing w:after="0" w:line="240" w:lineRule="auto"/>
              <w:rPr>
                <w:rFonts w:ascii="Calibri" w:eastAsia="Times New Roman" w:hAnsi="Calibri" w:cs="Calibri"/>
                <w:b/>
                <w:bCs/>
                <w:i/>
                <w:iCs/>
                <w:color w:val="000000"/>
                <w:lang w:val="en-GB" w:eastAsia="nl-NL"/>
              </w:rPr>
            </w:pPr>
            <w:r w:rsidRPr="00CF3C36">
              <w:rPr>
                <w:rFonts w:ascii="Calibri" w:eastAsia="Times New Roman" w:hAnsi="Calibri" w:cs="Calibri"/>
                <w:b/>
                <w:bCs/>
                <w:i/>
                <w:iCs/>
                <w:color w:val="000000"/>
                <w:lang w:val="en-GB" w:eastAsia="nl-NL"/>
              </w:rPr>
              <w:t>Mean</w:t>
            </w:r>
          </w:p>
        </w:tc>
        <w:tc>
          <w:tcPr>
            <w:tcW w:w="1160" w:type="dxa"/>
            <w:tcBorders>
              <w:top w:val="nil"/>
              <w:left w:val="nil"/>
              <w:bottom w:val="nil"/>
              <w:right w:val="nil"/>
            </w:tcBorders>
            <w:shd w:val="clear" w:color="000000" w:fill="63A0D7"/>
            <w:noWrap/>
            <w:vAlign w:val="bottom"/>
            <w:hideMark/>
          </w:tcPr>
          <w:p w14:paraId="5D81ABB9" w14:textId="77777777" w:rsidR="0067170B" w:rsidRPr="00CF3C36" w:rsidRDefault="0067170B" w:rsidP="00097DA7">
            <w:pPr>
              <w:spacing w:after="0" w:line="240" w:lineRule="auto"/>
              <w:rPr>
                <w:rFonts w:ascii="Calibri" w:eastAsia="Times New Roman" w:hAnsi="Calibri" w:cs="Calibri"/>
                <w:b/>
                <w:bCs/>
                <w:i/>
                <w:iCs/>
                <w:color w:val="000000"/>
                <w:lang w:val="en-GB" w:eastAsia="nl-NL"/>
              </w:rPr>
            </w:pPr>
            <w:r w:rsidRPr="00CF3C36">
              <w:rPr>
                <w:rFonts w:ascii="Calibri" w:eastAsia="Times New Roman" w:hAnsi="Calibri" w:cs="Calibri"/>
                <w:b/>
                <w:bCs/>
                <w:i/>
                <w:iCs/>
                <w:color w:val="000000"/>
                <w:lang w:val="en-GB" w:eastAsia="nl-NL"/>
              </w:rPr>
              <w:t>Std. Dev.</w:t>
            </w:r>
          </w:p>
        </w:tc>
        <w:tc>
          <w:tcPr>
            <w:tcW w:w="1260" w:type="dxa"/>
            <w:tcBorders>
              <w:top w:val="nil"/>
              <w:left w:val="nil"/>
              <w:bottom w:val="nil"/>
              <w:right w:val="nil"/>
            </w:tcBorders>
            <w:shd w:val="clear" w:color="000000" w:fill="63A0D7"/>
            <w:noWrap/>
            <w:vAlign w:val="bottom"/>
            <w:hideMark/>
          </w:tcPr>
          <w:p w14:paraId="52A5D2DD" w14:textId="77777777" w:rsidR="0067170B" w:rsidRPr="00CF3C36" w:rsidRDefault="0067170B" w:rsidP="00097DA7">
            <w:pPr>
              <w:spacing w:after="0" w:line="240" w:lineRule="auto"/>
              <w:rPr>
                <w:rFonts w:ascii="Calibri" w:eastAsia="Times New Roman" w:hAnsi="Calibri" w:cs="Calibri"/>
                <w:b/>
                <w:bCs/>
                <w:i/>
                <w:iCs/>
                <w:color w:val="000000"/>
                <w:lang w:val="en-GB" w:eastAsia="nl-NL"/>
              </w:rPr>
            </w:pPr>
            <w:r w:rsidRPr="00CF3C36">
              <w:rPr>
                <w:rFonts w:ascii="Calibri" w:eastAsia="Times New Roman" w:hAnsi="Calibri" w:cs="Calibri"/>
                <w:b/>
                <w:bCs/>
                <w:i/>
                <w:iCs/>
                <w:color w:val="000000"/>
                <w:lang w:val="en-GB" w:eastAsia="nl-NL"/>
              </w:rPr>
              <w:t>Min</w:t>
            </w:r>
          </w:p>
        </w:tc>
        <w:tc>
          <w:tcPr>
            <w:tcW w:w="1180" w:type="dxa"/>
            <w:tcBorders>
              <w:top w:val="nil"/>
              <w:left w:val="nil"/>
              <w:bottom w:val="nil"/>
              <w:right w:val="nil"/>
            </w:tcBorders>
            <w:shd w:val="clear" w:color="000000" w:fill="63A0D7"/>
            <w:noWrap/>
            <w:vAlign w:val="bottom"/>
            <w:hideMark/>
          </w:tcPr>
          <w:p w14:paraId="3E974F63" w14:textId="77777777" w:rsidR="0067170B" w:rsidRPr="00CF3C36" w:rsidRDefault="0067170B" w:rsidP="00097DA7">
            <w:pPr>
              <w:spacing w:after="0" w:line="240" w:lineRule="auto"/>
              <w:rPr>
                <w:rFonts w:ascii="Calibri" w:eastAsia="Times New Roman" w:hAnsi="Calibri" w:cs="Calibri"/>
                <w:b/>
                <w:bCs/>
                <w:i/>
                <w:iCs/>
                <w:color w:val="000000"/>
                <w:lang w:val="en-GB" w:eastAsia="nl-NL"/>
              </w:rPr>
            </w:pPr>
            <w:r w:rsidRPr="00CF3C36">
              <w:rPr>
                <w:rFonts w:ascii="Calibri" w:eastAsia="Times New Roman" w:hAnsi="Calibri" w:cs="Calibri"/>
                <w:b/>
                <w:bCs/>
                <w:i/>
                <w:iCs/>
                <w:color w:val="000000"/>
                <w:lang w:val="en-GB" w:eastAsia="nl-NL"/>
              </w:rPr>
              <w:t>Max</w:t>
            </w:r>
          </w:p>
        </w:tc>
      </w:tr>
      <w:tr w:rsidR="0067170B" w:rsidRPr="00CF3C36" w14:paraId="5EC23932" w14:textId="77777777" w:rsidTr="00097DA7">
        <w:trPr>
          <w:trHeight w:val="300"/>
          <w:jc w:val="center"/>
        </w:trPr>
        <w:tc>
          <w:tcPr>
            <w:tcW w:w="2320" w:type="dxa"/>
            <w:tcBorders>
              <w:top w:val="single" w:sz="4" w:space="0" w:color="auto"/>
              <w:left w:val="nil"/>
              <w:bottom w:val="nil"/>
              <w:right w:val="single" w:sz="4" w:space="0" w:color="auto"/>
            </w:tcBorders>
            <w:shd w:val="clear" w:color="000000" w:fill="9BC2E6"/>
            <w:noWrap/>
            <w:vAlign w:val="bottom"/>
            <w:hideMark/>
          </w:tcPr>
          <w:p w14:paraId="5AF84EA5" w14:textId="77777777" w:rsidR="0067170B" w:rsidRPr="00CF3C36" w:rsidRDefault="0067170B" w:rsidP="00097DA7">
            <w:pPr>
              <w:spacing w:after="0" w:line="240" w:lineRule="auto"/>
              <w:rPr>
                <w:rFonts w:ascii="Calibri" w:eastAsia="Times New Roman" w:hAnsi="Calibri" w:cs="Calibri"/>
                <w:b/>
                <w:bCs/>
                <w:color w:val="000000"/>
                <w:lang w:val="en-GB" w:eastAsia="nl-NL"/>
              </w:rPr>
            </w:pPr>
            <w:r w:rsidRPr="00CF3C36">
              <w:rPr>
                <w:rFonts w:ascii="Calibri" w:eastAsia="Times New Roman" w:hAnsi="Calibri" w:cs="Calibri"/>
                <w:b/>
                <w:bCs/>
                <w:color w:val="000000"/>
                <w:lang w:val="en-GB" w:eastAsia="nl-NL"/>
              </w:rPr>
              <w:t>Models 1, 1.1 &amp; 1.2</w:t>
            </w:r>
          </w:p>
        </w:tc>
        <w:tc>
          <w:tcPr>
            <w:tcW w:w="1160" w:type="dxa"/>
            <w:tcBorders>
              <w:top w:val="single" w:sz="4" w:space="0" w:color="auto"/>
              <w:left w:val="nil"/>
              <w:bottom w:val="nil"/>
              <w:right w:val="nil"/>
            </w:tcBorders>
            <w:shd w:val="clear" w:color="000000" w:fill="9BC2E6"/>
            <w:noWrap/>
            <w:vAlign w:val="bottom"/>
            <w:hideMark/>
          </w:tcPr>
          <w:p w14:paraId="02EDFA1E" w14:textId="77777777" w:rsidR="0067170B" w:rsidRPr="00CF3C36" w:rsidRDefault="0067170B" w:rsidP="00097DA7">
            <w:pPr>
              <w:spacing w:after="0" w:line="240" w:lineRule="auto"/>
              <w:rPr>
                <w:rFonts w:ascii="Calibri" w:eastAsia="Times New Roman" w:hAnsi="Calibri" w:cs="Calibri"/>
                <w:b/>
                <w:bCs/>
                <w:color w:val="000000"/>
                <w:lang w:val="en-GB" w:eastAsia="nl-NL"/>
              </w:rPr>
            </w:pPr>
            <w:r w:rsidRPr="00CF3C36">
              <w:rPr>
                <w:rFonts w:ascii="Calibri" w:eastAsia="Times New Roman" w:hAnsi="Calibri" w:cs="Calibri"/>
                <w:b/>
                <w:bCs/>
                <w:color w:val="000000"/>
                <w:lang w:val="en-GB" w:eastAsia="nl-NL"/>
              </w:rPr>
              <w:t> </w:t>
            </w:r>
          </w:p>
        </w:tc>
        <w:tc>
          <w:tcPr>
            <w:tcW w:w="1180" w:type="dxa"/>
            <w:tcBorders>
              <w:top w:val="single" w:sz="4" w:space="0" w:color="auto"/>
              <w:left w:val="nil"/>
              <w:bottom w:val="nil"/>
              <w:right w:val="nil"/>
            </w:tcBorders>
            <w:shd w:val="clear" w:color="000000" w:fill="9BC2E6"/>
            <w:noWrap/>
            <w:vAlign w:val="bottom"/>
            <w:hideMark/>
          </w:tcPr>
          <w:p w14:paraId="7EA11322" w14:textId="77777777" w:rsidR="0067170B" w:rsidRPr="00CF3C36" w:rsidRDefault="0067170B" w:rsidP="00097DA7">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c>
          <w:tcPr>
            <w:tcW w:w="1160" w:type="dxa"/>
            <w:tcBorders>
              <w:top w:val="single" w:sz="4" w:space="0" w:color="auto"/>
              <w:left w:val="nil"/>
              <w:bottom w:val="nil"/>
              <w:right w:val="nil"/>
            </w:tcBorders>
            <w:shd w:val="clear" w:color="000000" w:fill="9BC2E6"/>
            <w:noWrap/>
            <w:vAlign w:val="bottom"/>
            <w:hideMark/>
          </w:tcPr>
          <w:p w14:paraId="0467EF13" w14:textId="77777777" w:rsidR="0067170B" w:rsidRPr="00CF3C36" w:rsidRDefault="0067170B" w:rsidP="00097DA7">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c>
          <w:tcPr>
            <w:tcW w:w="1260" w:type="dxa"/>
            <w:tcBorders>
              <w:top w:val="single" w:sz="4" w:space="0" w:color="auto"/>
              <w:left w:val="nil"/>
              <w:bottom w:val="nil"/>
              <w:right w:val="nil"/>
            </w:tcBorders>
            <w:shd w:val="clear" w:color="000000" w:fill="9BC2E6"/>
            <w:noWrap/>
            <w:vAlign w:val="bottom"/>
            <w:hideMark/>
          </w:tcPr>
          <w:p w14:paraId="224B6FB7" w14:textId="77777777" w:rsidR="0067170B" w:rsidRPr="00CF3C36" w:rsidRDefault="0067170B" w:rsidP="00097DA7">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c>
          <w:tcPr>
            <w:tcW w:w="1180" w:type="dxa"/>
            <w:tcBorders>
              <w:top w:val="single" w:sz="4" w:space="0" w:color="auto"/>
              <w:left w:val="nil"/>
              <w:bottom w:val="nil"/>
              <w:right w:val="nil"/>
            </w:tcBorders>
            <w:shd w:val="clear" w:color="000000" w:fill="9BC2E6"/>
            <w:noWrap/>
            <w:vAlign w:val="bottom"/>
            <w:hideMark/>
          </w:tcPr>
          <w:p w14:paraId="430981B8" w14:textId="77777777" w:rsidR="0067170B" w:rsidRPr="00CF3C36" w:rsidRDefault="0067170B" w:rsidP="00097DA7">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r>
      <w:tr w:rsidR="0067170B" w:rsidRPr="00CF3C36" w14:paraId="71AA5E6B" w14:textId="77777777" w:rsidTr="00097DA7">
        <w:trPr>
          <w:trHeight w:val="300"/>
          <w:jc w:val="center"/>
        </w:trPr>
        <w:tc>
          <w:tcPr>
            <w:tcW w:w="2320" w:type="dxa"/>
            <w:tcBorders>
              <w:top w:val="nil"/>
              <w:left w:val="nil"/>
              <w:bottom w:val="single" w:sz="4" w:space="0" w:color="FFFFFF"/>
              <w:right w:val="single" w:sz="4" w:space="0" w:color="auto"/>
            </w:tcBorders>
            <w:shd w:val="clear" w:color="BDD7EE" w:fill="BDD7EE"/>
            <w:noWrap/>
            <w:vAlign w:val="bottom"/>
            <w:hideMark/>
          </w:tcPr>
          <w:p w14:paraId="5C192CB2"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ln_CO2g_FDIweighted1</w:t>
            </w:r>
          </w:p>
        </w:tc>
        <w:tc>
          <w:tcPr>
            <w:tcW w:w="1160" w:type="dxa"/>
            <w:tcBorders>
              <w:top w:val="nil"/>
              <w:left w:val="single" w:sz="4" w:space="0" w:color="auto"/>
              <w:bottom w:val="single" w:sz="4" w:space="0" w:color="FFFFFF"/>
              <w:right w:val="single" w:sz="4" w:space="0" w:color="FFFFFF"/>
            </w:tcBorders>
            <w:shd w:val="clear" w:color="BDD7EE" w:fill="BDD7EE"/>
            <w:noWrap/>
            <w:vAlign w:val="bottom"/>
            <w:hideMark/>
          </w:tcPr>
          <w:p w14:paraId="4CD49A54"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448</w:t>
            </w:r>
          </w:p>
        </w:tc>
        <w:tc>
          <w:tcPr>
            <w:tcW w:w="1180" w:type="dxa"/>
            <w:tcBorders>
              <w:top w:val="nil"/>
              <w:left w:val="single" w:sz="4" w:space="0" w:color="FFFFFF"/>
              <w:bottom w:val="single" w:sz="4" w:space="0" w:color="FFFFFF"/>
              <w:right w:val="single" w:sz="4" w:space="0" w:color="FFFFFF"/>
            </w:tcBorders>
            <w:shd w:val="clear" w:color="BDD7EE" w:fill="BDD7EE"/>
            <w:noWrap/>
            <w:vAlign w:val="bottom"/>
            <w:hideMark/>
          </w:tcPr>
          <w:p w14:paraId="1331776A"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5.673</w:t>
            </w:r>
          </w:p>
        </w:tc>
        <w:tc>
          <w:tcPr>
            <w:tcW w:w="1160" w:type="dxa"/>
            <w:tcBorders>
              <w:top w:val="nil"/>
              <w:left w:val="single" w:sz="4" w:space="0" w:color="FFFFFF"/>
              <w:bottom w:val="single" w:sz="4" w:space="0" w:color="FFFFFF"/>
              <w:right w:val="single" w:sz="4" w:space="0" w:color="FFFFFF"/>
            </w:tcBorders>
            <w:shd w:val="clear" w:color="BDD7EE" w:fill="BDD7EE"/>
            <w:noWrap/>
            <w:vAlign w:val="bottom"/>
            <w:hideMark/>
          </w:tcPr>
          <w:p w14:paraId="6BBECA63"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1.460</w:t>
            </w:r>
          </w:p>
        </w:tc>
        <w:tc>
          <w:tcPr>
            <w:tcW w:w="1260" w:type="dxa"/>
            <w:tcBorders>
              <w:top w:val="nil"/>
              <w:left w:val="single" w:sz="4" w:space="0" w:color="FFFFFF"/>
              <w:bottom w:val="single" w:sz="4" w:space="0" w:color="FFFFFF"/>
              <w:right w:val="single" w:sz="4" w:space="0" w:color="FFFFFF"/>
            </w:tcBorders>
            <w:shd w:val="clear" w:color="BDD7EE" w:fill="BDD7EE"/>
            <w:noWrap/>
            <w:vAlign w:val="bottom"/>
            <w:hideMark/>
          </w:tcPr>
          <w:p w14:paraId="1167309A"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0.000</w:t>
            </w:r>
          </w:p>
        </w:tc>
        <w:tc>
          <w:tcPr>
            <w:tcW w:w="1180" w:type="dxa"/>
            <w:tcBorders>
              <w:top w:val="nil"/>
              <w:left w:val="single" w:sz="4" w:space="0" w:color="FFFFFF"/>
              <w:bottom w:val="single" w:sz="4" w:space="0" w:color="FFFFFF"/>
              <w:right w:val="nil"/>
            </w:tcBorders>
            <w:shd w:val="clear" w:color="BDD7EE" w:fill="BDD7EE"/>
            <w:noWrap/>
            <w:vAlign w:val="bottom"/>
            <w:hideMark/>
          </w:tcPr>
          <w:p w14:paraId="3EC04881"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9.803</w:t>
            </w:r>
          </w:p>
        </w:tc>
      </w:tr>
      <w:tr w:rsidR="0067170B" w:rsidRPr="00CF3C36" w14:paraId="675FAC3B"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DDEBF7" w:fill="DDEBF7"/>
            <w:noWrap/>
            <w:vAlign w:val="bottom"/>
            <w:hideMark/>
          </w:tcPr>
          <w:p w14:paraId="2FF51BBE"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EPI</w:t>
            </w:r>
          </w:p>
        </w:tc>
        <w:tc>
          <w:tcPr>
            <w:tcW w:w="11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69361F03"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448</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5C50B1DF"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22.665</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1EC4948D"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9.069</w:t>
            </w:r>
          </w:p>
        </w:tc>
        <w:tc>
          <w:tcPr>
            <w:tcW w:w="12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683A535"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7.540</w:t>
            </w:r>
          </w:p>
        </w:tc>
        <w:tc>
          <w:tcPr>
            <w:tcW w:w="1180" w:type="dxa"/>
            <w:tcBorders>
              <w:top w:val="single" w:sz="4" w:space="0" w:color="FFFFFF"/>
              <w:left w:val="single" w:sz="4" w:space="0" w:color="FFFFFF"/>
              <w:bottom w:val="single" w:sz="4" w:space="0" w:color="FFFFFF"/>
              <w:right w:val="nil"/>
            </w:tcBorders>
            <w:shd w:val="clear" w:color="DDEBF7" w:fill="DDEBF7"/>
            <w:noWrap/>
            <w:vAlign w:val="bottom"/>
            <w:hideMark/>
          </w:tcPr>
          <w:p w14:paraId="3365E71A"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42.240</w:t>
            </w:r>
          </w:p>
        </w:tc>
      </w:tr>
      <w:tr w:rsidR="0067170B" w:rsidRPr="00CF3C36" w14:paraId="4F6D3C78"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BDD7EE" w:fill="BDD7EE"/>
            <w:noWrap/>
            <w:vAlign w:val="bottom"/>
            <w:hideMark/>
          </w:tcPr>
          <w:p w14:paraId="5C5F40D4" w14:textId="525DA360"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ln_CO2g_in</w:t>
            </w:r>
            <w:r w:rsidR="00822AE7" w:rsidRPr="00CF3C36">
              <w:rPr>
                <w:rFonts w:ascii="Calibri" w:eastAsia="Times New Roman" w:hAnsi="Calibri" w:cs="Calibri"/>
                <w:i/>
                <w:iCs/>
                <w:color w:val="000000"/>
                <w:lang w:val="en-GB" w:eastAsia="nl-NL"/>
              </w:rPr>
              <w:t>tensit</w:t>
            </w:r>
            <w:r w:rsidRPr="00CF3C36">
              <w:rPr>
                <w:rFonts w:ascii="Calibri" w:eastAsia="Times New Roman" w:hAnsi="Calibri" w:cs="Calibri"/>
                <w:i/>
                <w:iCs/>
                <w:color w:val="000000"/>
                <w:lang w:val="en-GB" w:eastAsia="nl-NL"/>
              </w:rPr>
              <w:t>y</w:t>
            </w:r>
          </w:p>
        </w:tc>
        <w:tc>
          <w:tcPr>
            <w:tcW w:w="11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4D46E659"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448</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3FFBC4D"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5.069</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4E792E3"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0.603</w:t>
            </w:r>
          </w:p>
        </w:tc>
        <w:tc>
          <w:tcPr>
            <w:tcW w:w="12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2FB0227"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3.556</w:t>
            </w:r>
          </w:p>
        </w:tc>
        <w:tc>
          <w:tcPr>
            <w:tcW w:w="1180" w:type="dxa"/>
            <w:tcBorders>
              <w:top w:val="single" w:sz="4" w:space="0" w:color="FFFFFF"/>
              <w:left w:val="single" w:sz="4" w:space="0" w:color="FFFFFF"/>
              <w:bottom w:val="single" w:sz="4" w:space="0" w:color="FFFFFF"/>
              <w:right w:val="nil"/>
            </w:tcBorders>
            <w:shd w:val="clear" w:color="BDD7EE" w:fill="BDD7EE"/>
            <w:noWrap/>
            <w:vAlign w:val="bottom"/>
            <w:hideMark/>
          </w:tcPr>
          <w:p w14:paraId="228E7D64"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6.763</w:t>
            </w:r>
          </w:p>
        </w:tc>
      </w:tr>
      <w:tr w:rsidR="0067170B" w:rsidRPr="00CF3C36" w14:paraId="7EB05B29"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DDEBF7" w:fill="DDEBF7"/>
            <w:noWrap/>
            <w:vAlign w:val="bottom"/>
            <w:hideMark/>
          </w:tcPr>
          <w:p w14:paraId="2CB5AAF3"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ln_rgdpna</w:t>
            </w:r>
          </w:p>
        </w:tc>
        <w:tc>
          <w:tcPr>
            <w:tcW w:w="11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506C0092"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448</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5A5EC824"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12.915</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0130E486"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1.649</w:t>
            </w:r>
          </w:p>
        </w:tc>
        <w:tc>
          <w:tcPr>
            <w:tcW w:w="12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4BBB9B2E"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9.134</w:t>
            </w:r>
          </w:p>
        </w:tc>
        <w:tc>
          <w:tcPr>
            <w:tcW w:w="1180" w:type="dxa"/>
            <w:tcBorders>
              <w:top w:val="single" w:sz="4" w:space="0" w:color="FFFFFF"/>
              <w:left w:val="single" w:sz="4" w:space="0" w:color="FFFFFF"/>
              <w:bottom w:val="single" w:sz="4" w:space="0" w:color="FFFFFF"/>
              <w:right w:val="nil"/>
            </w:tcBorders>
            <w:shd w:val="clear" w:color="DDEBF7" w:fill="DDEBF7"/>
            <w:noWrap/>
            <w:vAlign w:val="bottom"/>
            <w:hideMark/>
          </w:tcPr>
          <w:p w14:paraId="773D1DE2"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16.716</w:t>
            </w:r>
          </w:p>
        </w:tc>
      </w:tr>
      <w:tr w:rsidR="0067170B" w:rsidRPr="00CF3C36" w14:paraId="16D94E66"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BDD7EE" w:fill="BDD7EE"/>
            <w:noWrap/>
            <w:vAlign w:val="bottom"/>
            <w:hideMark/>
          </w:tcPr>
          <w:p w14:paraId="4EA64208"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SE_terX</w:t>
            </w:r>
          </w:p>
        </w:tc>
        <w:tc>
          <w:tcPr>
            <w:tcW w:w="11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5B401CC6"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448</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459CB909"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61.225</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87377B2"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23.027</w:t>
            </w:r>
          </w:p>
        </w:tc>
        <w:tc>
          <w:tcPr>
            <w:tcW w:w="12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0C3B0F1"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11.772</w:t>
            </w:r>
          </w:p>
        </w:tc>
        <w:tc>
          <w:tcPr>
            <w:tcW w:w="1180" w:type="dxa"/>
            <w:tcBorders>
              <w:top w:val="single" w:sz="4" w:space="0" w:color="FFFFFF"/>
              <w:left w:val="single" w:sz="4" w:space="0" w:color="FFFFFF"/>
              <w:bottom w:val="single" w:sz="4" w:space="0" w:color="FFFFFF"/>
              <w:right w:val="nil"/>
            </w:tcBorders>
            <w:shd w:val="clear" w:color="BDD7EE" w:fill="BDD7EE"/>
            <w:noWrap/>
            <w:vAlign w:val="bottom"/>
            <w:hideMark/>
          </w:tcPr>
          <w:p w14:paraId="1E68001E"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126.383</w:t>
            </w:r>
          </w:p>
        </w:tc>
      </w:tr>
      <w:tr w:rsidR="0067170B" w:rsidRPr="00CF3C36" w14:paraId="79339085"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DDEBF7" w:fill="DDEBF7"/>
            <w:noWrap/>
            <w:vAlign w:val="bottom"/>
            <w:hideMark/>
          </w:tcPr>
          <w:p w14:paraId="29A16E2E"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eodb1</w:t>
            </w:r>
          </w:p>
        </w:tc>
        <w:tc>
          <w:tcPr>
            <w:tcW w:w="11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310CAD5C"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448</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4E63634F"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70.705</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55E5B314"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9.191</w:t>
            </w:r>
          </w:p>
        </w:tc>
        <w:tc>
          <w:tcPr>
            <w:tcW w:w="12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813D6E3"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45.325</w:t>
            </w:r>
          </w:p>
        </w:tc>
        <w:tc>
          <w:tcPr>
            <w:tcW w:w="1180" w:type="dxa"/>
            <w:tcBorders>
              <w:top w:val="single" w:sz="4" w:space="0" w:color="FFFFFF"/>
              <w:left w:val="single" w:sz="4" w:space="0" w:color="FFFFFF"/>
              <w:bottom w:val="single" w:sz="4" w:space="0" w:color="FFFFFF"/>
              <w:right w:val="nil"/>
            </w:tcBorders>
            <w:shd w:val="clear" w:color="DDEBF7" w:fill="DDEBF7"/>
            <w:noWrap/>
            <w:vAlign w:val="bottom"/>
            <w:hideMark/>
          </w:tcPr>
          <w:p w14:paraId="5C27AD63"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91.255</w:t>
            </w:r>
          </w:p>
        </w:tc>
      </w:tr>
      <w:tr w:rsidR="0067170B" w:rsidRPr="00CF3C36" w14:paraId="324DDC93"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BDD7EE" w:fill="BDD7EE"/>
            <w:noWrap/>
            <w:vAlign w:val="bottom"/>
            <w:hideMark/>
          </w:tcPr>
          <w:p w14:paraId="4A3C2B30"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governance</w:t>
            </w:r>
          </w:p>
        </w:tc>
        <w:tc>
          <w:tcPr>
            <w:tcW w:w="11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0151A76F"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448</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490FC61"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1.927</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92EF1C7"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2.547</w:t>
            </w:r>
          </w:p>
        </w:tc>
        <w:tc>
          <w:tcPr>
            <w:tcW w:w="12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8FE2AC8"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-3.066</w:t>
            </w:r>
          </w:p>
        </w:tc>
        <w:tc>
          <w:tcPr>
            <w:tcW w:w="1180" w:type="dxa"/>
            <w:tcBorders>
              <w:top w:val="single" w:sz="4" w:space="0" w:color="FFFFFF"/>
              <w:left w:val="single" w:sz="4" w:space="0" w:color="FFFFFF"/>
              <w:bottom w:val="single" w:sz="4" w:space="0" w:color="FFFFFF"/>
              <w:right w:val="nil"/>
            </w:tcBorders>
            <w:shd w:val="clear" w:color="BDD7EE" w:fill="BDD7EE"/>
            <w:noWrap/>
            <w:vAlign w:val="bottom"/>
            <w:hideMark/>
          </w:tcPr>
          <w:p w14:paraId="29BC27C1"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5.802</w:t>
            </w:r>
          </w:p>
        </w:tc>
      </w:tr>
      <w:tr w:rsidR="0067170B" w:rsidRPr="00CF3C36" w14:paraId="5BAC3993"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DDEBF7" w:fill="DDEBF7"/>
            <w:noWrap/>
            <w:vAlign w:val="bottom"/>
            <w:hideMark/>
          </w:tcPr>
          <w:p w14:paraId="7013B57D"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ln_KL</w:t>
            </w:r>
          </w:p>
        </w:tc>
        <w:tc>
          <w:tcPr>
            <w:tcW w:w="11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3F265E31"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448</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3DF8594A"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4.841</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B863D67"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0.895</w:t>
            </w:r>
          </w:p>
        </w:tc>
        <w:tc>
          <w:tcPr>
            <w:tcW w:w="12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7EE8A3B"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1.302</w:t>
            </w:r>
          </w:p>
        </w:tc>
        <w:tc>
          <w:tcPr>
            <w:tcW w:w="1180" w:type="dxa"/>
            <w:tcBorders>
              <w:top w:val="single" w:sz="4" w:space="0" w:color="FFFFFF"/>
              <w:left w:val="single" w:sz="4" w:space="0" w:color="FFFFFF"/>
              <w:bottom w:val="single" w:sz="4" w:space="0" w:color="FFFFFF"/>
              <w:right w:val="nil"/>
            </w:tcBorders>
            <w:shd w:val="clear" w:color="DDEBF7" w:fill="DDEBF7"/>
            <w:noWrap/>
            <w:vAlign w:val="bottom"/>
            <w:hideMark/>
          </w:tcPr>
          <w:p w14:paraId="4539F657"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6.023</w:t>
            </w:r>
          </w:p>
        </w:tc>
      </w:tr>
      <w:tr w:rsidR="0067170B" w:rsidRPr="00CF3C36" w14:paraId="38D5CCD5"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BDD7EE" w:fill="BDD7EE"/>
            <w:noWrap/>
            <w:vAlign w:val="bottom"/>
            <w:hideMark/>
          </w:tcPr>
          <w:p w14:paraId="7929B1A9"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ln_KL_2</w:t>
            </w:r>
          </w:p>
        </w:tc>
        <w:tc>
          <w:tcPr>
            <w:tcW w:w="11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4F91AADD"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448</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254AD8A"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24.234</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5924507"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7.801</w:t>
            </w:r>
          </w:p>
        </w:tc>
        <w:tc>
          <w:tcPr>
            <w:tcW w:w="12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76ED25D"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1.694</w:t>
            </w:r>
          </w:p>
        </w:tc>
        <w:tc>
          <w:tcPr>
            <w:tcW w:w="1180" w:type="dxa"/>
            <w:tcBorders>
              <w:top w:val="single" w:sz="4" w:space="0" w:color="FFFFFF"/>
              <w:left w:val="single" w:sz="4" w:space="0" w:color="FFFFFF"/>
              <w:bottom w:val="single" w:sz="4" w:space="0" w:color="FFFFFF"/>
              <w:right w:val="nil"/>
            </w:tcBorders>
            <w:shd w:val="clear" w:color="BDD7EE" w:fill="BDD7EE"/>
            <w:noWrap/>
            <w:vAlign w:val="bottom"/>
            <w:hideMark/>
          </w:tcPr>
          <w:p w14:paraId="71893C28"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36.279</w:t>
            </w:r>
          </w:p>
        </w:tc>
      </w:tr>
      <w:tr w:rsidR="0067170B" w:rsidRPr="00CF3C36" w14:paraId="35172B91"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DDEBF7" w:fill="DDEBF7"/>
            <w:noWrap/>
            <w:vAlign w:val="bottom"/>
            <w:hideMark/>
          </w:tcPr>
          <w:p w14:paraId="7D1FDC6B"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EPI_ln_KL_cen</w:t>
            </w:r>
          </w:p>
        </w:tc>
        <w:tc>
          <w:tcPr>
            <w:tcW w:w="11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4A57FB4B"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448</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2C5040FE"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5.335</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1DDA1476"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7.697</w:t>
            </w:r>
          </w:p>
        </w:tc>
        <w:tc>
          <w:tcPr>
            <w:tcW w:w="12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524FB195"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-9.323</w:t>
            </w:r>
          </w:p>
        </w:tc>
        <w:tc>
          <w:tcPr>
            <w:tcW w:w="1180" w:type="dxa"/>
            <w:tcBorders>
              <w:top w:val="single" w:sz="4" w:space="0" w:color="FFFFFF"/>
              <w:left w:val="single" w:sz="4" w:space="0" w:color="FFFFFF"/>
              <w:bottom w:val="single" w:sz="4" w:space="0" w:color="FFFFFF"/>
              <w:right w:val="nil"/>
            </w:tcBorders>
            <w:shd w:val="clear" w:color="DDEBF7" w:fill="DDEBF7"/>
            <w:noWrap/>
            <w:vAlign w:val="bottom"/>
            <w:hideMark/>
          </w:tcPr>
          <w:p w14:paraId="565C7C3E"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50.596</w:t>
            </w:r>
          </w:p>
        </w:tc>
      </w:tr>
      <w:tr w:rsidR="0067170B" w:rsidRPr="00CF3C36" w14:paraId="2C589D08" w14:textId="77777777" w:rsidTr="00097DA7">
        <w:trPr>
          <w:trHeight w:val="300"/>
          <w:jc w:val="center"/>
        </w:trPr>
        <w:tc>
          <w:tcPr>
            <w:tcW w:w="2320" w:type="dxa"/>
            <w:tcBorders>
              <w:top w:val="single" w:sz="4" w:space="0" w:color="FFFFFF"/>
              <w:left w:val="nil"/>
              <w:bottom w:val="nil"/>
              <w:right w:val="single" w:sz="4" w:space="0" w:color="auto"/>
            </w:tcBorders>
            <w:shd w:val="clear" w:color="BDD7EE" w:fill="BDD7EE"/>
            <w:noWrap/>
            <w:vAlign w:val="bottom"/>
            <w:hideMark/>
          </w:tcPr>
          <w:p w14:paraId="54EF39BC"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EPI_ln_KL2_cen</w:t>
            </w:r>
          </w:p>
        </w:tc>
        <w:tc>
          <w:tcPr>
            <w:tcW w:w="1160" w:type="dxa"/>
            <w:tcBorders>
              <w:top w:val="single" w:sz="4" w:space="0" w:color="FFFFFF"/>
              <w:left w:val="single" w:sz="4" w:space="0" w:color="auto"/>
              <w:bottom w:val="nil"/>
              <w:right w:val="single" w:sz="4" w:space="0" w:color="FFFFFF"/>
            </w:tcBorders>
            <w:shd w:val="clear" w:color="BDD7EE" w:fill="BDD7EE"/>
            <w:noWrap/>
            <w:vAlign w:val="bottom"/>
            <w:hideMark/>
          </w:tcPr>
          <w:p w14:paraId="7886B5E3"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448</w:t>
            </w:r>
          </w:p>
        </w:tc>
        <w:tc>
          <w:tcPr>
            <w:tcW w:w="1180" w:type="dxa"/>
            <w:tcBorders>
              <w:top w:val="single" w:sz="4" w:space="0" w:color="FFFFFF"/>
              <w:left w:val="single" w:sz="4" w:space="0" w:color="FFFFFF"/>
              <w:bottom w:val="nil"/>
              <w:right w:val="single" w:sz="4" w:space="0" w:color="FFFFFF"/>
            </w:tcBorders>
            <w:shd w:val="clear" w:color="BDD7EE" w:fill="BDD7EE"/>
            <w:noWrap/>
            <w:vAlign w:val="bottom"/>
            <w:hideMark/>
          </w:tcPr>
          <w:p w14:paraId="62FCC870"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48.335</w:t>
            </w:r>
          </w:p>
        </w:tc>
        <w:tc>
          <w:tcPr>
            <w:tcW w:w="1160" w:type="dxa"/>
            <w:tcBorders>
              <w:top w:val="single" w:sz="4" w:space="0" w:color="FFFFFF"/>
              <w:left w:val="single" w:sz="4" w:space="0" w:color="FFFFFF"/>
              <w:bottom w:val="nil"/>
              <w:right w:val="single" w:sz="4" w:space="0" w:color="FFFFFF"/>
            </w:tcBorders>
            <w:shd w:val="clear" w:color="BDD7EE" w:fill="BDD7EE"/>
            <w:noWrap/>
            <w:vAlign w:val="bottom"/>
            <w:hideMark/>
          </w:tcPr>
          <w:p w14:paraId="16A25E03"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62.897</w:t>
            </w:r>
          </w:p>
        </w:tc>
        <w:tc>
          <w:tcPr>
            <w:tcW w:w="1260" w:type="dxa"/>
            <w:tcBorders>
              <w:top w:val="single" w:sz="4" w:space="0" w:color="FFFFFF"/>
              <w:left w:val="single" w:sz="4" w:space="0" w:color="FFFFFF"/>
              <w:bottom w:val="nil"/>
              <w:right w:val="single" w:sz="4" w:space="0" w:color="FFFFFF"/>
            </w:tcBorders>
            <w:shd w:val="clear" w:color="BDD7EE" w:fill="BDD7EE"/>
            <w:noWrap/>
            <w:vAlign w:val="bottom"/>
            <w:hideMark/>
          </w:tcPr>
          <w:p w14:paraId="6DFD4D16"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-88.015</w:t>
            </w:r>
          </w:p>
        </w:tc>
        <w:tc>
          <w:tcPr>
            <w:tcW w:w="1180" w:type="dxa"/>
            <w:tcBorders>
              <w:top w:val="single" w:sz="4" w:space="0" w:color="FFFFFF"/>
              <w:left w:val="single" w:sz="4" w:space="0" w:color="FFFFFF"/>
              <w:bottom w:val="nil"/>
              <w:right w:val="nil"/>
            </w:tcBorders>
            <w:shd w:val="clear" w:color="BDD7EE" w:fill="BDD7EE"/>
            <w:noWrap/>
            <w:vAlign w:val="bottom"/>
            <w:hideMark/>
          </w:tcPr>
          <w:p w14:paraId="29834772"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322.216</w:t>
            </w:r>
          </w:p>
        </w:tc>
      </w:tr>
      <w:tr w:rsidR="0067170B" w:rsidRPr="00CF3C36" w14:paraId="0E5013BB" w14:textId="77777777" w:rsidTr="00097DA7">
        <w:trPr>
          <w:trHeight w:val="300"/>
          <w:jc w:val="center"/>
        </w:trPr>
        <w:tc>
          <w:tcPr>
            <w:tcW w:w="2320" w:type="dxa"/>
            <w:tcBorders>
              <w:top w:val="nil"/>
              <w:left w:val="nil"/>
              <w:bottom w:val="nil"/>
              <w:right w:val="single" w:sz="4" w:space="0" w:color="auto"/>
            </w:tcBorders>
            <w:shd w:val="clear" w:color="000000" w:fill="9BC2E6"/>
            <w:noWrap/>
            <w:vAlign w:val="bottom"/>
            <w:hideMark/>
          </w:tcPr>
          <w:p w14:paraId="5E8D13B8" w14:textId="77777777" w:rsidR="0067170B" w:rsidRPr="00CF3C36" w:rsidRDefault="0067170B" w:rsidP="00097DA7">
            <w:pPr>
              <w:spacing w:after="0" w:line="240" w:lineRule="auto"/>
              <w:rPr>
                <w:rFonts w:ascii="Calibri" w:eastAsia="Times New Roman" w:hAnsi="Calibri" w:cs="Calibri"/>
                <w:b/>
                <w:bCs/>
                <w:color w:val="000000"/>
                <w:lang w:val="en-GB" w:eastAsia="nl-NL"/>
              </w:rPr>
            </w:pPr>
            <w:r w:rsidRPr="00CF3C36">
              <w:rPr>
                <w:rFonts w:ascii="Calibri" w:eastAsia="Times New Roman" w:hAnsi="Calibri" w:cs="Calibri"/>
                <w:b/>
                <w:bCs/>
                <w:color w:val="000000"/>
                <w:lang w:val="en-GB" w:eastAsia="nl-NL"/>
              </w:rPr>
              <w:t>Model 2</w:t>
            </w:r>
          </w:p>
        </w:tc>
        <w:tc>
          <w:tcPr>
            <w:tcW w:w="1160" w:type="dxa"/>
            <w:tcBorders>
              <w:top w:val="nil"/>
              <w:left w:val="nil"/>
              <w:bottom w:val="nil"/>
              <w:right w:val="nil"/>
            </w:tcBorders>
            <w:shd w:val="clear" w:color="000000" w:fill="9BC2E6"/>
            <w:noWrap/>
            <w:vAlign w:val="bottom"/>
            <w:hideMark/>
          </w:tcPr>
          <w:p w14:paraId="653A758C"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c>
          <w:tcPr>
            <w:tcW w:w="1180" w:type="dxa"/>
            <w:tcBorders>
              <w:top w:val="nil"/>
              <w:left w:val="nil"/>
              <w:bottom w:val="nil"/>
              <w:right w:val="nil"/>
            </w:tcBorders>
            <w:shd w:val="clear" w:color="000000" w:fill="9BC2E6"/>
            <w:noWrap/>
            <w:vAlign w:val="bottom"/>
            <w:hideMark/>
          </w:tcPr>
          <w:p w14:paraId="0EBC77CB"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c>
          <w:tcPr>
            <w:tcW w:w="1160" w:type="dxa"/>
            <w:tcBorders>
              <w:top w:val="nil"/>
              <w:left w:val="nil"/>
              <w:bottom w:val="nil"/>
              <w:right w:val="nil"/>
            </w:tcBorders>
            <w:shd w:val="clear" w:color="000000" w:fill="9BC2E6"/>
            <w:noWrap/>
            <w:vAlign w:val="bottom"/>
            <w:hideMark/>
          </w:tcPr>
          <w:p w14:paraId="6F4C6ADA"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c>
          <w:tcPr>
            <w:tcW w:w="1260" w:type="dxa"/>
            <w:tcBorders>
              <w:top w:val="nil"/>
              <w:left w:val="nil"/>
              <w:bottom w:val="nil"/>
              <w:right w:val="nil"/>
            </w:tcBorders>
            <w:shd w:val="clear" w:color="000000" w:fill="9BC2E6"/>
            <w:noWrap/>
            <w:vAlign w:val="bottom"/>
            <w:hideMark/>
          </w:tcPr>
          <w:p w14:paraId="61AC31AB"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c>
          <w:tcPr>
            <w:tcW w:w="1180" w:type="dxa"/>
            <w:tcBorders>
              <w:top w:val="nil"/>
              <w:left w:val="nil"/>
              <w:bottom w:val="nil"/>
              <w:right w:val="nil"/>
            </w:tcBorders>
            <w:shd w:val="clear" w:color="000000" w:fill="9BC2E6"/>
            <w:noWrap/>
            <w:vAlign w:val="bottom"/>
            <w:hideMark/>
          </w:tcPr>
          <w:p w14:paraId="25FA4C5B"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r>
      <w:tr w:rsidR="0067170B" w:rsidRPr="00CF3C36" w14:paraId="4BF79694" w14:textId="77777777" w:rsidTr="00097DA7">
        <w:trPr>
          <w:trHeight w:val="300"/>
          <w:jc w:val="center"/>
        </w:trPr>
        <w:tc>
          <w:tcPr>
            <w:tcW w:w="2320" w:type="dxa"/>
            <w:tcBorders>
              <w:top w:val="nil"/>
              <w:left w:val="nil"/>
              <w:bottom w:val="single" w:sz="4" w:space="0" w:color="FFFFFF"/>
              <w:right w:val="single" w:sz="4" w:space="0" w:color="auto"/>
            </w:tcBorders>
            <w:shd w:val="clear" w:color="BDD7EE" w:fill="BDD7EE"/>
            <w:noWrap/>
            <w:vAlign w:val="bottom"/>
            <w:hideMark/>
          </w:tcPr>
          <w:p w14:paraId="3111AA27"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ln_ratio1</w:t>
            </w:r>
          </w:p>
        </w:tc>
        <w:tc>
          <w:tcPr>
            <w:tcW w:w="1160" w:type="dxa"/>
            <w:tcBorders>
              <w:top w:val="nil"/>
              <w:left w:val="single" w:sz="4" w:space="0" w:color="auto"/>
              <w:bottom w:val="single" w:sz="4" w:space="0" w:color="FFFFFF"/>
              <w:right w:val="single" w:sz="4" w:space="0" w:color="FFFFFF"/>
            </w:tcBorders>
            <w:shd w:val="clear" w:color="BDD7EE" w:fill="BDD7EE"/>
            <w:noWrap/>
            <w:vAlign w:val="bottom"/>
            <w:hideMark/>
          </w:tcPr>
          <w:p w14:paraId="0DB95D02"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502</w:t>
            </w:r>
          </w:p>
        </w:tc>
        <w:tc>
          <w:tcPr>
            <w:tcW w:w="1180" w:type="dxa"/>
            <w:tcBorders>
              <w:top w:val="nil"/>
              <w:left w:val="single" w:sz="4" w:space="0" w:color="FFFFFF"/>
              <w:bottom w:val="single" w:sz="4" w:space="0" w:color="FFFFFF"/>
              <w:right w:val="single" w:sz="4" w:space="0" w:color="FFFFFF"/>
            </w:tcBorders>
            <w:shd w:val="clear" w:color="BDD7EE" w:fill="BDD7EE"/>
            <w:noWrap/>
            <w:vAlign w:val="bottom"/>
            <w:hideMark/>
          </w:tcPr>
          <w:p w14:paraId="1B31CA1B"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0.179</w:t>
            </w:r>
          </w:p>
        </w:tc>
        <w:tc>
          <w:tcPr>
            <w:tcW w:w="1160" w:type="dxa"/>
            <w:tcBorders>
              <w:top w:val="nil"/>
              <w:left w:val="single" w:sz="4" w:space="0" w:color="FFFFFF"/>
              <w:bottom w:val="single" w:sz="4" w:space="0" w:color="FFFFFF"/>
              <w:right w:val="single" w:sz="4" w:space="0" w:color="FFFFFF"/>
            </w:tcBorders>
            <w:shd w:val="clear" w:color="BDD7EE" w:fill="BDD7EE"/>
            <w:noWrap/>
            <w:vAlign w:val="bottom"/>
            <w:hideMark/>
          </w:tcPr>
          <w:p w14:paraId="60232002"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3.998</w:t>
            </w:r>
          </w:p>
        </w:tc>
        <w:tc>
          <w:tcPr>
            <w:tcW w:w="1260" w:type="dxa"/>
            <w:tcBorders>
              <w:top w:val="nil"/>
              <w:left w:val="single" w:sz="4" w:space="0" w:color="FFFFFF"/>
              <w:bottom w:val="single" w:sz="4" w:space="0" w:color="FFFFFF"/>
              <w:right w:val="single" w:sz="4" w:space="0" w:color="FFFFFF"/>
            </w:tcBorders>
            <w:shd w:val="clear" w:color="BDD7EE" w:fill="BDD7EE"/>
            <w:noWrap/>
            <w:vAlign w:val="bottom"/>
            <w:hideMark/>
          </w:tcPr>
          <w:p w14:paraId="3E8FE164"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-10.541</w:t>
            </w:r>
          </w:p>
        </w:tc>
        <w:tc>
          <w:tcPr>
            <w:tcW w:w="1180" w:type="dxa"/>
            <w:tcBorders>
              <w:top w:val="nil"/>
              <w:left w:val="single" w:sz="4" w:space="0" w:color="FFFFFF"/>
              <w:bottom w:val="single" w:sz="4" w:space="0" w:color="FFFFFF"/>
              <w:right w:val="nil"/>
            </w:tcBorders>
            <w:shd w:val="clear" w:color="BDD7EE" w:fill="BDD7EE"/>
            <w:noWrap/>
            <w:vAlign w:val="bottom"/>
            <w:hideMark/>
          </w:tcPr>
          <w:p w14:paraId="30C68C0D"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8.376</w:t>
            </w:r>
          </w:p>
        </w:tc>
      </w:tr>
      <w:tr w:rsidR="0067170B" w:rsidRPr="00CF3C36" w14:paraId="02370AEB"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DDEBF7" w:fill="DDEBF7"/>
            <w:noWrap/>
            <w:vAlign w:val="bottom"/>
            <w:hideMark/>
          </w:tcPr>
          <w:p w14:paraId="74588D05"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EPI</w:t>
            </w:r>
          </w:p>
        </w:tc>
        <w:tc>
          <w:tcPr>
            <w:tcW w:w="11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0426F02E"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502</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4D8D5D2"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20.622</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D8FD392"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9.174</w:t>
            </w:r>
          </w:p>
        </w:tc>
        <w:tc>
          <w:tcPr>
            <w:tcW w:w="12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41B472AA"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7.250</w:t>
            </w:r>
          </w:p>
        </w:tc>
        <w:tc>
          <w:tcPr>
            <w:tcW w:w="1180" w:type="dxa"/>
            <w:tcBorders>
              <w:top w:val="single" w:sz="4" w:space="0" w:color="FFFFFF"/>
              <w:left w:val="single" w:sz="4" w:space="0" w:color="FFFFFF"/>
              <w:bottom w:val="single" w:sz="4" w:space="0" w:color="FFFFFF"/>
              <w:right w:val="nil"/>
            </w:tcBorders>
            <w:shd w:val="clear" w:color="DDEBF7" w:fill="DDEBF7"/>
            <w:noWrap/>
            <w:vAlign w:val="bottom"/>
            <w:hideMark/>
          </w:tcPr>
          <w:p w14:paraId="429FA984"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42.240</w:t>
            </w:r>
          </w:p>
        </w:tc>
      </w:tr>
      <w:tr w:rsidR="0067170B" w:rsidRPr="00CF3C36" w14:paraId="05E56E85"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BDD7EE" w:fill="BDD7EE"/>
            <w:noWrap/>
            <w:vAlign w:val="bottom"/>
            <w:hideMark/>
          </w:tcPr>
          <w:p w14:paraId="14AA844F"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ln_rgdpna</w:t>
            </w:r>
          </w:p>
        </w:tc>
        <w:tc>
          <w:tcPr>
            <w:tcW w:w="11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6CA2813F"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502</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14547B9"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12.987</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49DD452B"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1.615</w:t>
            </w:r>
          </w:p>
        </w:tc>
        <w:tc>
          <w:tcPr>
            <w:tcW w:w="12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48B36EF8"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9.410</w:t>
            </w:r>
          </w:p>
        </w:tc>
        <w:tc>
          <w:tcPr>
            <w:tcW w:w="1180" w:type="dxa"/>
            <w:tcBorders>
              <w:top w:val="single" w:sz="4" w:space="0" w:color="FFFFFF"/>
              <w:left w:val="single" w:sz="4" w:space="0" w:color="FFFFFF"/>
              <w:bottom w:val="single" w:sz="4" w:space="0" w:color="FFFFFF"/>
              <w:right w:val="nil"/>
            </w:tcBorders>
            <w:shd w:val="clear" w:color="BDD7EE" w:fill="BDD7EE"/>
            <w:noWrap/>
            <w:vAlign w:val="bottom"/>
            <w:hideMark/>
          </w:tcPr>
          <w:p w14:paraId="26B4EC99"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16.759</w:t>
            </w:r>
          </w:p>
        </w:tc>
      </w:tr>
      <w:tr w:rsidR="0067170B" w:rsidRPr="00CF3C36" w14:paraId="5D3CD3B8"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DDEBF7" w:fill="DDEBF7"/>
            <w:noWrap/>
            <w:vAlign w:val="bottom"/>
            <w:hideMark/>
          </w:tcPr>
          <w:p w14:paraId="4DCD9BFD"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SE_terX</w:t>
            </w:r>
          </w:p>
        </w:tc>
        <w:tc>
          <w:tcPr>
            <w:tcW w:w="11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63E6112C"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502</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0C2DC424"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56.527</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52CA55EB"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25.837</w:t>
            </w:r>
          </w:p>
        </w:tc>
        <w:tc>
          <w:tcPr>
            <w:tcW w:w="12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374F0518"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3.830</w:t>
            </w:r>
          </w:p>
        </w:tc>
        <w:tc>
          <w:tcPr>
            <w:tcW w:w="1180" w:type="dxa"/>
            <w:tcBorders>
              <w:top w:val="single" w:sz="4" w:space="0" w:color="FFFFFF"/>
              <w:left w:val="single" w:sz="4" w:space="0" w:color="FFFFFF"/>
              <w:bottom w:val="single" w:sz="4" w:space="0" w:color="FFFFFF"/>
              <w:right w:val="nil"/>
            </w:tcBorders>
            <w:shd w:val="clear" w:color="DDEBF7" w:fill="DDEBF7"/>
            <w:noWrap/>
            <w:vAlign w:val="bottom"/>
            <w:hideMark/>
          </w:tcPr>
          <w:p w14:paraId="6D8332B2"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126.383</w:t>
            </w:r>
          </w:p>
        </w:tc>
      </w:tr>
      <w:tr w:rsidR="0067170B" w:rsidRPr="00CF3C36" w14:paraId="698E5BE7"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BDD7EE" w:fill="BDD7EE"/>
            <w:noWrap/>
            <w:vAlign w:val="bottom"/>
            <w:hideMark/>
          </w:tcPr>
          <w:p w14:paraId="019319D5"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eodb1</w:t>
            </w:r>
          </w:p>
        </w:tc>
        <w:tc>
          <w:tcPr>
            <w:tcW w:w="11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0352A7A5"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502</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4F61F51"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68.454</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411C1225"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10.344</w:t>
            </w:r>
          </w:p>
        </w:tc>
        <w:tc>
          <w:tcPr>
            <w:tcW w:w="12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CF0EAF8"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36.569</w:t>
            </w:r>
          </w:p>
        </w:tc>
        <w:tc>
          <w:tcPr>
            <w:tcW w:w="1180" w:type="dxa"/>
            <w:tcBorders>
              <w:top w:val="single" w:sz="4" w:space="0" w:color="FFFFFF"/>
              <w:left w:val="single" w:sz="4" w:space="0" w:color="FFFFFF"/>
              <w:bottom w:val="single" w:sz="4" w:space="0" w:color="FFFFFF"/>
              <w:right w:val="nil"/>
            </w:tcBorders>
            <w:shd w:val="clear" w:color="BDD7EE" w:fill="BDD7EE"/>
            <w:noWrap/>
            <w:vAlign w:val="bottom"/>
            <w:hideMark/>
          </w:tcPr>
          <w:p w14:paraId="71732639"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91.023</w:t>
            </w:r>
          </w:p>
        </w:tc>
      </w:tr>
      <w:tr w:rsidR="0067170B" w:rsidRPr="00CF3C36" w14:paraId="6E6174CC"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DDEBF7" w:fill="DDEBF7"/>
            <w:noWrap/>
            <w:vAlign w:val="bottom"/>
            <w:hideMark/>
          </w:tcPr>
          <w:p w14:paraId="1568AF39"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governance</w:t>
            </w:r>
          </w:p>
        </w:tc>
        <w:tc>
          <w:tcPr>
            <w:tcW w:w="11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6C16CC4F"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502</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41A8F227"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1.117</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095E9AF6"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2.744</w:t>
            </w:r>
          </w:p>
        </w:tc>
        <w:tc>
          <w:tcPr>
            <w:tcW w:w="12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0D6B8C36"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-4.296</w:t>
            </w:r>
          </w:p>
        </w:tc>
        <w:tc>
          <w:tcPr>
            <w:tcW w:w="1180" w:type="dxa"/>
            <w:tcBorders>
              <w:top w:val="single" w:sz="4" w:space="0" w:color="FFFFFF"/>
              <w:left w:val="single" w:sz="4" w:space="0" w:color="FFFFFF"/>
              <w:bottom w:val="single" w:sz="4" w:space="0" w:color="FFFFFF"/>
              <w:right w:val="nil"/>
            </w:tcBorders>
            <w:shd w:val="clear" w:color="DDEBF7" w:fill="DDEBF7"/>
            <w:noWrap/>
            <w:vAlign w:val="bottom"/>
            <w:hideMark/>
          </w:tcPr>
          <w:p w14:paraId="71EEB9F9"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5.681</w:t>
            </w:r>
          </w:p>
        </w:tc>
      </w:tr>
      <w:tr w:rsidR="0067170B" w:rsidRPr="00CF3C36" w14:paraId="2B7812CA"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BDD7EE" w:fill="BDD7EE"/>
            <w:noWrap/>
            <w:vAlign w:val="bottom"/>
            <w:hideMark/>
          </w:tcPr>
          <w:p w14:paraId="2BCAB351"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ln_KL</w:t>
            </w:r>
          </w:p>
        </w:tc>
        <w:tc>
          <w:tcPr>
            <w:tcW w:w="11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1A4DF1FC"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502</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B4915EE"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4.528</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DDB2CF0"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1.100</w:t>
            </w:r>
          </w:p>
        </w:tc>
        <w:tc>
          <w:tcPr>
            <w:tcW w:w="12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C57FF74"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0.371</w:t>
            </w:r>
          </w:p>
        </w:tc>
        <w:tc>
          <w:tcPr>
            <w:tcW w:w="1180" w:type="dxa"/>
            <w:tcBorders>
              <w:top w:val="single" w:sz="4" w:space="0" w:color="FFFFFF"/>
              <w:left w:val="single" w:sz="4" w:space="0" w:color="FFFFFF"/>
              <w:bottom w:val="single" w:sz="4" w:space="0" w:color="FFFFFF"/>
              <w:right w:val="nil"/>
            </w:tcBorders>
            <w:shd w:val="clear" w:color="BDD7EE" w:fill="BDD7EE"/>
            <w:noWrap/>
            <w:vAlign w:val="bottom"/>
            <w:hideMark/>
          </w:tcPr>
          <w:p w14:paraId="36EFE02E"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6.023</w:t>
            </w:r>
          </w:p>
        </w:tc>
      </w:tr>
      <w:tr w:rsidR="0067170B" w:rsidRPr="00CF3C36" w14:paraId="4F1B250B"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DDEBF7" w:fill="DDEBF7"/>
            <w:noWrap/>
            <w:vAlign w:val="bottom"/>
            <w:hideMark/>
          </w:tcPr>
          <w:p w14:paraId="38758D33"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ln_KL_2</w:t>
            </w:r>
          </w:p>
        </w:tc>
        <w:tc>
          <w:tcPr>
            <w:tcW w:w="11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10B6B1C0"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502</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4BCDCC85"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21.714</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312BE5E1"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8.885</w:t>
            </w:r>
          </w:p>
        </w:tc>
        <w:tc>
          <w:tcPr>
            <w:tcW w:w="12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C1EC13A"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0.137</w:t>
            </w:r>
          </w:p>
        </w:tc>
        <w:tc>
          <w:tcPr>
            <w:tcW w:w="1180" w:type="dxa"/>
            <w:tcBorders>
              <w:top w:val="single" w:sz="4" w:space="0" w:color="FFFFFF"/>
              <w:left w:val="single" w:sz="4" w:space="0" w:color="FFFFFF"/>
              <w:bottom w:val="single" w:sz="4" w:space="0" w:color="FFFFFF"/>
              <w:right w:val="nil"/>
            </w:tcBorders>
            <w:shd w:val="clear" w:color="DDEBF7" w:fill="DDEBF7"/>
            <w:noWrap/>
            <w:vAlign w:val="bottom"/>
            <w:hideMark/>
          </w:tcPr>
          <w:p w14:paraId="42E7BBC4"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36.279</w:t>
            </w:r>
          </w:p>
        </w:tc>
      </w:tr>
      <w:tr w:rsidR="0067170B" w:rsidRPr="00CF3C36" w14:paraId="4692D662"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BDD7EE" w:fill="BDD7EE"/>
            <w:noWrap/>
            <w:vAlign w:val="bottom"/>
            <w:hideMark/>
          </w:tcPr>
          <w:p w14:paraId="5F6904D7"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EPI_ln_KL_cen</w:t>
            </w:r>
          </w:p>
        </w:tc>
        <w:tc>
          <w:tcPr>
            <w:tcW w:w="11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5AEB90E2"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502</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A2213B5"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7.015</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85AC5EC"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8.980</w:t>
            </w:r>
          </w:p>
        </w:tc>
        <w:tc>
          <w:tcPr>
            <w:tcW w:w="12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D67A6EE"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-10.820</w:t>
            </w:r>
          </w:p>
        </w:tc>
        <w:tc>
          <w:tcPr>
            <w:tcW w:w="1180" w:type="dxa"/>
            <w:tcBorders>
              <w:top w:val="single" w:sz="4" w:space="0" w:color="FFFFFF"/>
              <w:left w:val="single" w:sz="4" w:space="0" w:color="FFFFFF"/>
              <w:bottom w:val="single" w:sz="4" w:space="0" w:color="FFFFFF"/>
              <w:right w:val="nil"/>
            </w:tcBorders>
            <w:shd w:val="clear" w:color="BDD7EE" w:fill="BDD7EE"/>
            <w:noWrap/>
            <w:vAlign w:val="bottom"/>
            <w:hideMark/>
          </w:tcPr>
          <w:p w14:paraId="4C7BDB24"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51.148</w:t>
            </w:r>
          </w:p>
        </w:tc>
      </w:tr>
      <w:tr w:rsidR="0067170B" w:rsidRPr="00CF3C36" w14:paraId="2BF4CADE" w14:textId="77777777" w:rsidTr="00097DA7">
        <w:trPr>
          <w:trHeight w:val="300"/>
          <w:jc w:val="center"/>
        </w:trPr>
        <w:tc>
          <w:tcPr>
            <w:tcW w:w="2320" w:type="dxa"/>
            <w:tcBorders>
              <w:top w:val="single" w:sz="4" w:space="0" w:color="FFFFFF"/>
              <w:left w:val="nil"/>
              <w:bottom w:val="nil"/>
              <w:right w:val="single" w:sz="4" w:space="0" w:color="auto"/>
            </w:tcBorders>
            <w:shd w:val="clear" w:color="DDEBF7" w:fill="DDEBF7"/>
            <w:noWrap/>
            <w:vAlign w:val="bottom"/>
            <w:hideMark/>
          </w:tcPr>
          <w:p w14:paraId="0A37536F"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EPI_ln_KL2_cen</w:t>
            </w:r>
          </w:p>
        </w:tc>
        <w:tc>
          <w:tcPr>
            <w:tcW w:w="1160" w:type="dxa"/>
            <w:tcBorders>
              <w:top w:val="single" w:sz="4" w:space="0" w:color="FFFFFF"/>
              <w:left w:val="single" w:sz="4" w:space="0" w:color="auto"/>
              <w:bottom w:val="nil"/>
              <w:right w:val="single" w:sz="4" w:space="0" w:color="FFFFFF"/>
            </w:tcBorders>
            <w:shd w:val="clear" w:color="DDEBF7" w:fill="DDEBF7"/>
            <w:noWrap/>
            <w:vAlign w:val="bottom"/>
            <w:hideMark/>
          </w:tcPr>
          <w:p w14:paraId="07887709"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502</w:t>
            </w:r>
          </w:p>
        </w:tc>
        <w:tc>
          <w:tcPr>
            <w:tcW w:w="1180" w:type="dxa"/>
            <w:tcBorders>
              <w:top w:val="single" w:sz="4" w:space="0" w:color="FFFFFF"/>
              <w:left w:val="single" w:sz="4" w:space="0" w:color="FFFFFF"/>
              <w:bottom w:val="nil"/>
              <w:right w:val="single" w:sz="4" w:space="0" w:color="FFFFFF"/>
            </w:tcBorders>
            <w:shd w:val="clear" w:color="DDEBF7" w:fill="DDEBF7"/>
            <w:noWrap/>
            <w:vAlign w:val="bottom"/>
            <w:hideMark/>
          </w:tcPr>
          <w:p w14:paraId="194B401B"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60.500</w:t>
            </w:r>
          </w:p>
        </w:tc>
        <w:tc>
          <w:tcPr>
            <w:tcW w:w="1160" w:type="dxa"/>
            <w:tcBorders>
              <w:top w:val="single" w:sz="4" w:space="0" w:color="FFFFFF"/>
              <w:left w:val="single" w:sz="4" w:space="0" w:color="FFFFFF"/>
              <w:bottom w:val="nil"/>
              <w:right w:val="single" w:sz="4" w:space="0" w:color="FFFFFF"/>
            </w:tcBorders>
            <w:shd w:val="clear" w:color="DDEBF7" w:fill="DDEBF7"/>
            <w:noWrap/>
            <w:vAlign w:val="bottom"/>
            <w:hideMark/>
          </w:tcPr>
          <w:p w14:paraId="76E7093F"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69.035</w:t>
            </w:r>
          </w:p>
        </w:tc>
        <w:tc>
          <w:tcPr>
            <w:tcW w:w="1260" w:type="dxa"/>
            <w:tcBorders>
              <w:top w:val="single" w:sz="4" w:space="0" w:color="FFFFFF"/>
              <w:left w:val="single" w:sz="4" w:space="0" w:color="FFFFFF"/>
              <w:bottom w:val="nil"/>
              <w:right w:val="single" w:sz="4" w:space="0" w:color="FFFFFF"/>
            </w:tcBorders>
            <w:shd w:val="clear" w:color="DDEBF7" w:fill="DDEBF7"/>
            <w:noWrap/>
            <w:vAlign w:val="bottom"/>
            <w:hideMark/>
          </w:tcPr>
          <w:p w14:paraId="185AB3FE"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-97.878</w:t>
            </w:r>
          </w:p>
        </w:tc>
        <w:tc>
          <w:tcPr>
            <w:tcW w:w="1180" w:type="dxa"/>
            <w:tcBorders>
              <w:top w:val="single" w:sz="4" w:space="0" w:color="FFFFFF"/>
              <w:left w:val="single" w:sz="4" w:space="0" w:color="FFFFFF"/>
              <w:bottom w:val="nil"/>
              <w:right w:val="nil"/>
            </w:tcBorders>
            <w:shd w:val="clear" w:color="DDEBF7" w:fill="DDEBF7"/>
            <w:noWrap/>
            <w:vAlign w:val="bottom"/>
            <w:hideMark/>
          </w:tcPr>
          <w:p w14:paraId="6AB7E5B9"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265.431</w:t>
            </w:r>
          </w:p>
        </w:tc>
      </w:tr>
      <w:tr w:rsidR="0067170B" w:rsidRPr="00CF3C36" w14:paraId="1E1679DC" w14:textId="77777777" w:rsidTr="00097DA7">
        <w:trPr>
          <w:trHeight w:val="300"/>
          <w:jc w:val="center"/>
        </w:trPr>
        <w:tc>
          <w:tcPr>
            <w:tcW w:w="2320" w:type="dxa"/>
            <w:tcBorders>
              <w:top w:val="nil"/>
              <w:left w:val="nil"/>
              <w:bottom w:val="nil"/>
              <w:right w:val="single" w:sz="4" w:space="0" w:color="auto"/>
            </w:tcBorders>
            <w:shd w:val="clear" w:color="000000" w:fill="9BC2E6"/>
            <w:noWrap/>
            <w:vAlign w:val="bottom"/>
            <w:hideMark/>
          </w:tcPr>
          <w:p w14:paraId="69176643" w14:textId="77777777" w:rsidR="0067170B" w:rsidRPr="00CF3C36" w:rsidRDefault="0067170B" w:rsidP="00097DA7">
            <w:pPr>
              <w:spacing w:after="0" w:line="240" w:lineRule="auto"/>
              <w:rPr>
                <w:rFonts w:ascii="Calibri" w:eastAsia="Times New Roman" w:hAnsi="Calibri" w:cs="Calibri"/>
                <w:b/>
                <w:bCs/>
                <w:color w:val="000000"/>
                <w:lang w:val="en-GB" w:eastAsia="nl-NL"/>
              </w:rPr>
            </w:pPr>
            <w:r w:rsidRPr="00CF3C36">
              <w:rPr>
                <w:rFonts w:ascii="Calibri" w:eastAsia="Times New Roman" w:hAnsi="Calibri" w:cs="Calibri"/>
                <w:b/>
                <w:bCs/>
                <w:color w:val="000000"/>
                <w:lang w:val="en-GB" w:eastAsia="nl-NL"/>
              </w:rPr>
              <w:t xml:space="preserve">Models 2.1 &amp; 2.2 </w:t>
            </w:r>
          </w:p>
        </w:tc>
        <w:tc>
          <w:tcPr>
            <w:tcW w:w="1160" w:type="dxa"/>
            <w:tcBorders>
              <w:top w:val="nil"/>
              <w:left w:val="nil"/>
              <w:bottom w:val="nil"/>
              <w:right w:val="nil"/>
            </w:tcBorders>
            <w:shd w:val="clear" w:color="000000" w:fill="9BC2E6"/>
            <w:noWrap/>
            <w:vAlign w:val="bottom"/>
            <w:hideMark/>
          </w:tcPr>
          <w:p w14:paraId="41BAFA59" w14:textId="77777777" w:rsidR="0067170B" w:rsidRPr="00CF3C36" w:rsidRDefault="0067170B" w:rsidP="00097DA7">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c>
          <w:tcPr>
            <w:tcW w:w="1180" w:type="dxa"/>
            <w:tcBorders>
              <w:top w:val="nil"/>
              <w:left w:val="nil"/>
              <w:bottom w:val="nil"/>
              <w:right w:val="nil"/>
            </w:tcBorders>
            <w:shd w:val="clear" w:color="000000" w:fill="9BC2E6"/>
            <w:noWrap/>
            <w:vAlign w:val="bottom"/>
            <w:hideMark/>
          </w:tcPr>
          <w:p w14:paraId="3D22F249" w14:textId="77777777" w:rsidR="0067170B" w:rsidRPr="00CF3C36" w:rsidRDefault="0067170B" w:rsidP="00097DA7">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c>
          <w:tcPr>
            <w:tcW w:w="1160" w:type="dxa"/>
            <w:tcBorders>
              <w:top w:val="nil"/>
              <w:left w:val="nil"/>
              <w:bottom w:val="nil"/>
              <w:right w:val="nil"/>
            </w:tcBorders>
            <w:shd w:val="clear" w:color="000000" w:fill="9BC2E6"/>
            <w:noWrap/>
            <w:vAlign w:val="bottom"/>
            <w:hideMark/>
          </w:tcPr>
          <w:p w14:paraId="00B5BF14" w14:textId="77777777" w:rsidR="0067170B" w:rsidRPr="00CF3C36" w:rsidRDefault="0067170B" w:rsidP="00097DA7">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c>
          <w:tcPr>
            <w:tcW w:w="1260" w:type="dxa"/>
            <w:tcBorders>
              <w:top w:val="nil"/>
              <w:left w:val="nil"/>
              <w:bottom w:val="nil"/>
              <w:right w:val="nil"/>
            </w:tcBorders>
            <w:shd w:val="clear" w:color="000000" w:fill="9BC2E6"/>
            <w:noWrap/>
            <w:vAlign w:val="bottom"/>
            <w:hideMark/>
          </w:tcPr>
          <w:p w14:paraId="57700C99" w14:textId="77777777" w:rsidR="0067170B" w:rsidRPr="00CF3C36" w:rsidRDefault="0067170B" w:rsidP="00097DA7">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c>
          <w:tcPr>
            <w:tcW w:w="1180" w:type="dxa"/>
            <w:tcBorders>
              <w:top w:val="nil"/>
              <w:left w:val="nil"/>
              <w:bottom w:val="nil"/>
              <w:right w:val="nil"/>
            </w:tcBorders>
            <w:shd w:val="clear" w:color="000000" w:fill="9BC2E6"/>
            <w:noWrap/>
            <w:vAlign w:val="bottom"/>
            <w:hideMark/>
          </w:tcPr>
          <w:p w14:paraId="00A03B7A" w14:textId="77777777" w:rsidR="0067170B" w:rsidRPr="00CF3C36" w:rsidRDefault="0067170B" w:rsidP="00097DA7">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r>
      <w:tr w:rsidR="0067170B" w:rsidRPr="00CF3C36" w14:paraId="240B5C37" w14:textId="77777777" w:rsidTr="00097DA7">
        <w:trPr>
          <w:trHeight w:val="300"/>
          <w:jc w:val="center"/>
        </w:trPr>
        <w:tc>
          <w:tcPr>
            <w:tcW w:w="2320" w:type="dxa"/>
            <w:tcBorders>
              <w:top w:val="nil"/>
              <w:left w:val="nil"/>
              <w:bottom w:val="single" w:sz="4" w:space="0" w:color="FFFFFF"/>
              <w:right w:val="single" w:sz="4" w:space="0" w:color="auto"/>
            </w:tcBorders>
            <w:shd w:val="clear" w:color="BDD7EE" w:fill="BDD7EE"/>
            <w:noWrap/>
            <w:vAlign w:val="bottom"/>
            <w:hideMark/>
          </w:tcPr>
          <w:p w14:paraId="5F4DABC9"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ln_fdi_brown1</w:t>
            </w:r>
          </w:p>
        </w:tc>
        <w:tc>
          <w:tcPr>
            <w:tcW w:w="1160" w:type="dxa"/>
            <w:tcBorders>
              <w:top w:val="nil"/>
              <w:left w:val="single" w:sz="4" w:space="0" w:color="auto"/>
              <w:bottom w:val="single" w:sz="4" w:space="0" w:color="FFFFFF"/>
              <w:right w:val="single" w:sz="4" w:space="0" w:color="FFFFFF"/>
            </w:tcBorders>
            <w:shd w:val="clear" w:color="BDD7EE" w:fill="BDD7EE"/>
            <w:noWrap/>
            <w:vAlign w:val="bottom"/>
            <w:hideMark/>
          </w:tcPr>
          <w:p w14:paraId="41C43292"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664</w:t>
            </w:r>
          </w:p>
        </w:tc>
        <w:tc>
          <w:tcPr>
            <w:tcW w:w="1180" w:type="dxa"/>
            <w:tcBorders>
              <w:top w:val="nil"/>
              <w:left w:val="single" w:sz="4" w:space="0" w:color="FFFFFF"/>
              <w:bottom w:val="single" w:sz="4" w:space="0" w:color="FFFFFF"/>
              <w:right w:val="single" w:sz="4" w:space="0" w:color="FFFFFF"/>
            </w:tcBorders>
            <w:shd w:val="clear" w:color="BDD7EE" w:fill="BDD7EE"/>
            <w:noWrap/>
            <w:vAlign w:val="bottom"/>
            <w:hideMark/>
          </w:tcPr>
          <w:p w14:paraId="1ED4E674"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3.351</w:t>
            </w:r>
          </w:p>
        </w:tc>
        <w:tc>
          <w:tcPr>
            <w:tcW w:w="1160" w:type="dxa"/>
            <w:tcBorders>
              <w:top w:val="nil"/>
              <w:left w:val="single" w:sz="4" w:space="0" w:color="FFFFFF"/>
              <w:bottom w:val="single" w:sz="4" w:space="0" w:color="FFFFFF"/>
              <w:right w:val="single" w:sz="4" w:space="0" w:color="FFFFFF"/>
            </w:tcBorders>
            <w:shd w:val="clear" w:color="BDD7EE" w:fill="BDD7EE"/>
            <w:noWrap/>
            <w:vAlign w:val="bottom"/>
            <w:hideMark/>
          </w:tcPr>
          <w:p w14:paraId="6899BAB1"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3.135</w:t>
            </w:r>
          </w:p>
        </w:tc>
        <w:tc>
          <w:tcPr>
            <w:tcW w:w="1260" w:type="dxa"/>
            <w:tcBorders>
              <w:top w:val="nil"/>
              <w:left w:val="single" w:sz="4" w:space="0" w:color="FFFFFF"/>
              <w:bottom w:val="single" w:sz="4" w:space="0" w:color="FFFFFF"/>
              <w:right w:val="single" w:sz="4" w:space="0" w:color="FFFFFF"/>
            </w:tcBorders>
            <w:shd w:val="clear" w:color="BDD7EE" w:fill="BDD7EE"/>
            <w:noWrap/>
            <w:vAlign w:val="bottom"/>
            <w:hideMark/>
          </w:tcPr>
          <w:p w14:paraId="6C9C0E3C"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0.000</w:t>
            </w:r>
          </w:p>
        </w:tc>
        <w:tc>
          <w:tcPr>
            <w:tcW w:w="1180" w:type="dxa"/>
            <w:tcBorders>
              <w:top w:val="nil"/>
              <w:left w:val="single" w:sz="4" w:space="0" w:color="FFFFFF"/>
              <w:bottom w:val="single" w:sz="4" w:space="0" w:color="FFFFFF"/>
              <w:right w:val="nil"/>
            </w:tcBorders>
            <w:shd w:val="clear" w:color="BDD7EE" w:fill="BDD7EE"/>
            <w:noWrap/>
            <w:vAlign w:val="bottom"/>
            <w:hideMark/>
          </w:tcPr>
          <w:p w14:paraId="39DB1041"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10.546</w:t>
            </w:r>
          </w:p>
        </w:tc>
      </w:tr>
      <w:tr w:rsidR="0067170B" w:rsidRPr="00CF3C36" w14:paraId="269D2388"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DDEBF7" w:fill="DDEBF7"/>
            <w:noWrap/>
            <w:vAlign w:val="bottom"/>
            <w:hideMark/>
          </w:tcPr>
          <w:p w14:paraId="62DD7236"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ln_fdi_green1</w:t>
            </w:r>
          </w:p>
        </w:tc>
        <w:tc>
          <w:tcPr>
            <w:tcW w:w="11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64735F5A"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664</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391DE274"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3.486</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4A853F0D"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3.225</w:t>
            </w:r>
          </w:p>
        </w:tc>
        <w:tc>
          <w:tcPr>
            <w:tcW w:w="12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4D0B76D"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0.000</w:t>
            </w:r>
          </w:p>
        </w:tc>
        <w:tc>
          <w:tcPr>
            <w:tcW w:w="1180" w:type="dxa"/>
            <w:tcBorders>
              <w:top w:val="single" w:sz="4" w:space="0" w:color="FFFFFF"/>
              <w:left w:val="single" w:sz="4" w:space="0" w:color="FFFFFF"/>
              <w:bottom w:val="single" w:sz="4" w:space="0" w:color="FFFFFF"/>
              <w:right w:val="nil"/>
            </w:tcBorders>
            <w:shd w:val="clear" w:color="DDEBF7" w:fill="DDEBF7"/>
            <w:noWrap/>
            <w:vAlign w:val="bottom"/>
            <w:hideMark/>
          </w:tcPr>
          <w:p w14:paraId="0619CB69"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9.627</w:t>
            </w:r>
          </w:p>
        </w:tc>
      </w:tr>
      <w:tr w:rsidR="0067170B" w:rsidRPr="00CF3C36" w14:paraId="6E48F032"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BDD7EE" w:fill="BDD7EE"/>
            <w:noWrap/>
            <w:vAlign w:val="bottom"/>
            <w:hideMark/>
          </w:tcPr>
          <w:p w14:paraId="7568EE92"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EPI</w:t>
            </w:r>
          </w:p>
        </w:tc>
        <w:tc>
          <w:tcPr>
            <w:tcW w:w="11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559552E5"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664</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C99FEC5"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20.077</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ACFB4C5"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9.361</w:t>
            </w:r>
          </w:p>
        </w:tc>
        <w:tc>
          <w:tcPr>
            <w:tcW w:w="12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D569DF1"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3.420</w:t>
            </w:r>
          </w:p>
        </w:tc>
        <w:tc>
          <w:tcPr>
            <w:tcW w:w="1180" w:type="dxa"/>
            <w:tcBorders>
              <w:top w:val="single" w:sz="4" w:space="0" w:color="FFFFFF"/>
              <w:left w:val="single" w:sz="4" w:space="0" w:color="FFFFFF"/>
              <w:bottom w:val="single" w:sz="4" w:space="0" w:color="FFFFFF"/>
              <w:right w:val="nil"/>
            </w:tcBorders>
            <w:shd w:val="clear" w:color="BDD7EE" w:fill="BDD7EE"/>
            <w:noWrap/>
            <w:vAlign w:val="bottom"/>
            <w:hideMark/>
          </w:tcPr>
          <w:p w14:paraId="6EF5FF1D"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42.240</w:t>
            </w:r>
          </w:p>
        </w:tc>
      </w:tr>
      <w:tr w:rsidR="0067170B" w:rsidRPr="00CF3C36" w14:paraId="35164B63"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DDEBF7" w:fill="DDEBF7"/>
            <w:noWrap/>
            <w:vAlign w:val="bottom"/>
            <w:hideMark/>
          </w:tcPr>
          <w:p w14:paraId="7F33A752"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ln_rgdpna</w:t>
            </w:r>
          </w:p>
        </w:tc>
        <w:tc>
          <w:tcPr>
            <w:tcW w:w="11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7BA6EA0C"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664</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4D6DD8E7"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12.522</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0A26EA37"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1.741</w:t>
            </w:r>
          </w:p>
        </w:tc>
        <w:tc>
          <w:tcPr>
            <w:tcW w:w="12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11F400B9"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8.435</w:t>
            </w:r>
          </w:p>
        </w:tc>
        <w:tc>
          <w:tcPr>
            <w:tcW w:w="1180" w:type="dxa"/>
            <w:tcBorders>
              <w:top w:val="single" w:sz="4" w:space="0" w:color="FFFFFF"/>
              <w:left w:val="single" w:sz="4" w:space="0" w:color="FFFFFF"/>
              <w:bottom w:val="single" w:sz="4" w:space="0" w:color="FFFFFF"/>
              <w:right w:val="nil"/>
            </w:tcBorders>
            <w:shd w:val="clear" w:color="DDEBF7" w:fill="DDEBF7"/>
            <w:noWrap/>
            <w:vAlign w:val="bottom"/>
            <w:hideMark/>
          </w:tcPr>
          <w:p w14:paraId="58CC6A49"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16.759</w:t>
            </w:r>
          </w:p>
        </w:tc>
      </w:tr>
      <w:tr w:rsidR="0067170B" w:rsidRPr="00CF3C36" w14:paraId="308BECE6"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BDD7EE" w:fill="BDD7EE"/>
            <w:noWrap/>
            <w:vAlign w:val="bottom"/>
            <w:hideMark/>
          </w:tcPr>
          <w:p w14:paraId="3356D8C7"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SE_terX</w:t>
            </w:r>
          </w:p>
        </w:tc>
        <w:tc>
          <w:tcPr>
            <w:tcW w:w="11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25C70C88"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664</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03886C2"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53.365</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396BA02"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26.401</w:t>
            </w:r>
          </w:p>
        </w:tc>
        <w:tc>
          <w:tcPr>
            <w:tcW w:w="12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86AD064"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3.495</w:t>
            </w:r>
          </w:p>
        </w:tc>
        <w:tc>
          <w:tcPr>
            <w:tcW w:w="1180" w:type="dxa"/>
            <w:tcBorders>
              <w:top w:val="single" w:sz="4" w:space="0" w:color="FFFFFF"/>
              <w:left w:val="single" w:sz="4" w:space="0" w:color="FFFFFF"/>
              <w:bottom w:val="single" w:sz="4" w:space="0" w:color="FFFFFF"/>
              <w:right w:val="nil"/>
            </w:tcBorders>
            <w:shd w:val="clear" w:color="BDD7EE" w:fill="BDD7EE"/>
            <w:noWrap/>
            <w:vAlign w:val="bottom"/>
            <w:hideMark/>
          </w:tcPr>
          <w:p w14:paraId="34C97B4C"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126.383</w:t>
            </w:r>
          </w:p>
        </w:tc>
      </w:tr>
      <w:tr w:rsidR="0067170B" w:rsidRPr="00CF3C36" w14:paraId="505705B8"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DDEBF7" w:fill="DDEBF7"/>
            <w:noWrap/>
            <w:vAlign w:val="bottom"/>
            <w:hideMark/>
          </w:tcPr>
          <w:p w14:paraId="030C08AD"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eodb1</w:t>
            </w:r>
          </w:p>
        </w:tc>
        <w:tc>
          <w:tcPr>
            <w:tcW w:w="11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7FB59582"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664</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4359310"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67.787</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4657C0E0"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10.591</w:t>
            </w:r>
          </w:p>
        </w:tc>
        <w:tc>
          <w:tcPr>
            <w:tcW w:w="12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2F8F3927"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36.569</w:t>
            </w:r>
          </w:p>
        </w:tc>
        <w:tc>
          <w:tcPr>
            <w:tcW w:w="1180" w:type="dxa"/>
            <w:tcBorders>
              <w:top w:val="single" w:sz="4" w:space="0" w:color="FFFFFF"/>
              <w:left w:val="single" w:sz="4" w:space="0" w:color="FFFFFF"/>
              <w:bottom w:val="single" w:sz="4" w:space="0" w:color="FFFFFF"/>
              <w:right w:val="nil"/>
            </w:tcBorders>
            <w:shd w:val="clear" w:color="DDEBF7" w:fill="DDEBF7"/>
            <w:noWrap/>
            <w:vAlign w:val="bottom"/>
            <w:hideMark/>
          </w:tcPr>
          <w:p w14:paraId="2490569A"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91.023</w:t>
            </w:r>
          </w:p>
        </w:tc>
      </w:tr>
      <w:tr w:rsidR="0067170B" w:rsidRPr="00CF3C36" w14:paraId="684510D9"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BDD7EE" w:fill="BDD7EE"/>
            <w:noWrap/>
            <w:vAlign w:val="bottom"/>
            <w:hideMark/>
          </w:tcPr>
          <w:p w14:paraId="35835164"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governance</w:t>
            </w:r>
          </w:p>
        </w:tc>
        <w:tc>
          <w:tcPr>
            <w:tcW w:w="11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09D6323D"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664</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951F784"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1.049</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8918D58"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2.770</w:t>
            </w:r>
          </w:p>
        </w:tc>
        <w:tc>
          <w:tcPr>
            <w:tcW w:w="12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2E855B0"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-4.375</w:t>
            </w:r>
          </w:p>
        </w:tc>
        <w:tc>
          <w:tcPr>
            <w:tcW w:w="1180" w:type="dxa"/>
            <w:tcBorders>
              <w:top w:val="single" w:sz="4" w:space="0" w:color="FFFFFF"/>
              <w:left w:val="single" w:sz="4" w:space="0" w:color="FFFFFF"/>
              <w:bottom w:val="single" w:sz="4" w:space="0" w:color="FFFFFF"/>
              <w:right w:val="nil"/>
            </w:tcBorders>
            <w:shd w:val="clear" w:color="BDD7EE" w:fill="BDD7EE"/>
            <w:noWrap/>
            <w:vAlign w:val="bottom"/>
            <w:hideMark/>
          </w:tcPr>
          <w:p w14:paraId="062C3049"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5.802</w:t>
            </w:r>
          </w:p>
        </w:tc>
      </w:tr>
      <w:tr w:rsidR="0067170B" w:rsidRPr="00CF3C36" w14:paraId="7D251FFC"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DDEBF7" w:fill="DDEBF7"/>
            <w:noWrap/>
            <w:vAlign w:val="bottom"/>
            <w:hideMark/>
          </w:tcPr>
          <w:p w14:paraId="3CA434BE"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ln_KL</w:t>
            </w:r>
          </w:p>
        </w:tc>
        <w:tc>
          <w:tcPr>
            <w:tcW w:w="11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028823AF"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664</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3BCDAF11"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4.449</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5CC1E562"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1.135</w:t>
            </w:r>
          </w:p>
        </w:tc>
        <w:tc>
          <w:tcPr>
            <w:tcW w:w="12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1589D904"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0.371</w:t>
            </w:r>
          </w:p>
        </w:tc>
        <w:tc>
          <w:tcPr>
            <w:tcW w:w="1180" w:type="dxa"/>
            <w:tcBorders>
              <w:top w:val="single" w:sz="4" w:space="0" w:color="FFFFFF"/>
              <w:left w:val="single" w:sz="4" w:space="0" w:color="FFFFFF"/>
              <w:bottom w:val="single" w:sz="4" w:space="0" w:color="FFFFFF"/>
              <w:right w:val="nil"/>
            </w:tcBorders>
            <w:shd w:val="clear" w:color="DDEBF7" w:fill="DDEBF7"/>
            <w:noWrap/>
            <w:vAlign w:val="bottom"/>
            <w:hideMark/>
          </w:tcPr>
          <w:p w14:paraId="64571DF5"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6.023</w:t>
            </w:r>
          </w:p>
        </w:tc>
      </w:tr>
      <w:tr w:rsidR="0067170B" w:rsidRPr="00CF3C36" w14:paraId="1FFA57D2"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BDD7EE" w:fill="BDD7EE"/>
            <w:noWrap/>
            <w:vAlign w:val="bottom"/>
            <w:hideMark/>
          </w:tcPr>
          <w:p w14:paraId="1448FA8A"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ln_KL_2</w:t>
            </w:r>
          </w:p>
        </w:tc>
        <w:tc>
          <w:tcPr>
            <w:tcW w:w="11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4EC03A80"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664</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F912D72"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21.082</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F894C4D"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9.067</w:t>
            </w:r>
          </w:p>
        </w:tc>
        <w:tc>
          <w:tcPr>
            <w:tcW w:w="12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140F04E"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0.137</w:t>
            </w:r>
          </w:p>
        </w:tc>
        <w:tc>
          <w:tcPr>
            <w:tcW w:w="1180" w:type="dxa"/>
            <w:tcBorders>
              <w:top w:val="single" w:sz="4" w:space="0" w:color="FFFFFF"/>
              <w:left w:val="single" w:sz="4" w:space="0" w:color="FFFFFF"/>
              <w:bottom w:val="single" w:sz="4" w:space="0" w:color="FFFFFF"/>
              <w:right w:val="nil"/>
            </w:tcBorders>
            <w:shd w:val="clear" w:color="BDD7EE" w:fill="BDD7EE"/>
            <w:noWrap/>
            <w:vAlign w:val="bottom"/>
            <w:hideMark/>
          </w:tcPr>
          <w:p w14:paraId="034F9B02"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36.279</w:t>
            </w:r>
          </w:p>
        </w:tc>
      </w:tr>
      <w:tr w:rsidR="0067170B" w:rsidRPr="00CF3C36" w14:paraId="3096A31B" w14:textId="77777777" w:rsidTr="00097DA7">
        <w:trPr>
          <w:trHeight w:val="300"/>
          <w:jc w:val="center"/>
        </w:trPr>
        <w:tc>
          <w:tcPr>
            <w:tcW w:w="2320" w:type="dxa"/>
            <w:tcBorders>
              <w:top w:val="single" w:sz="4" w:space="0" w:color="FFFFFF"/>
              <w:left w:val="nil"/>
              <w:bottom w:val="single" w:sz="4" w:space="0" w:color="FFFFFF"/>
              <w:right w:val="single" w:sz="4" w:space="0" w:color="auto"/>
            </w:tcBorders>
            <w:shd w:val="clear" w:color="DDEBF7" w:fill="DDEBF7"/>
            <w:noWrap/>
            <w:vAlign w:val="bottom"/>
            <w:hideMark/>
          </w:tcPr>
          <w:p w14:paraId="6207E0B1"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EPI_ln_KL_cen</w:t>
            </w:r>
          </w:p>
        </w:tc>
        <w:tc>
          <w:tcPr>
            <w:tcW w:w="11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6343C921"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664</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3A87E73B"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7.254</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0ABEA006"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9.319</w:t>
            </w:r>
          </w:p>
        </w:tc>
        <w:tc>
          <w:tcPr>
            <w:tcW w:w="12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4E0DB4A2"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-10.962</w:t>
            </w:r>
          </w:p>
        </w:tc>
        <w:tc>
          <w:tcPr>
            <w:tcW w:w="1180" w:type="dxa"/>
            <w:tcBorders>
              <w:top w:val="single" w:sz="4" w:space="0" w:color="FFFFFF"/>
              <w:left w:val="single" w:sz="4" w:space="0" w:color="FFFFFF"/>
              <w:bottom w:val="single" w:sz="4" w:space="0" w:color="FFFFFF"/>
              <w:right w:val="nil"/>
            </w:tcBorders>
            <w:shd w:val="clear" w:color="DDEBF7" w:fill="DDEBF7"/>
            <w:noWrap/>
            <w:vAlign w:val="bottom"/>
            <w:hideMark/>
          </w:tcPr>
          <w:p w14:paraId="7ED79C5D"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47.954</w:t>
            </w:r>
          </w:p>
        </w:tc>
      </w:tr>
      <w:tr w:rsidR="0067170B" w:rsidRPr="00CF3C36" w14:paraId="167B7242" w14:textId="77777777" w:rsidTr="00097DA7">
        <w:trPr>
          <w:trHeight w:val="300"/>
          <w:jc w:val="center"/>
        </w:trPr>
        <w:tc>
          <w:tcPr>
            <w:tcW w:w="2320" w:type="dxa"/>
            <w:tcBorders>
              <w:top w:val="single" w:sz="4" w:space="0" w:color="FFFFFF"/>
              <w:left w:val="nil"/>
              <w:bottom w:val="nil"/>
              <w:right w:val="single" w:sz="4" w:space="0" w:color="auto"/>
            </w:tcBorders>
            <w:shd w:val="clear" w:color="BDD7EE" w:fill="BDD7EE"/>
            <w:noWrap/>
            <w:vAlign w:val="bottom"/>
            <w:hideMark/>
          </w:tcPr>
          <w:p w14:paraId="1DFC1E73" w14:textId="77777777" w:rsidR="0067170B" w:rsidRPr="00CF3C36" w:rsidRDefault="0067170B" w:rsidP="00097DA7">
            <w:pPr>
              <w:spacing w:after="0" w:line="240" w:lineRule="auto"/>
              <w:rPr>
                <w:rFonts w:ascii="Calibri" w:eastAsia="Times New Roman" w:hAnsi="Calibri" w:cs="Calibri"/>
                <w:i/>
                <w:iCs/>
                <w:color w:val="000000"/>
                <w:lang w:val="en-GB" w:eastAsia="nl-NL"/>
              </w:rPr>
            </w:pPr>
            <w:r w:rsidRPr="00CF3C36">
              <w:rPr>
                <w:rFonts w:ascii="Calibri" w:eastAsia="Times New Roman" w:hAnsi="Calibri" w:cs="Calibri"/>
                <w:i/>
                <w:iCs/>
                <w:color w:val="000000"/>
                <w:lang w:val="en-GB" w:eastAsia="nl-NL"/>
              </w:rPr>
              <w:t>EPI_ln_KL2_cen</w:t>
            </w:r>
          </w:p>
        </w:tc>
        <w:tc>
          <w:tcPr>
            <w:tcW w:w="1160" w:type="dxa"/>
            <w:tcBorders>
              <w:top w:val="single" w:sz="4" w:space="0" w:color="FFFFFF"/>
              <w:left w:val="single" w:sz="4" w:space="0" w:color="auto"/>
              <w:bottom w:val="nil"/>
              <w:right w:val="single" w:sz="4" w:space="0" w:color="FFFFFF"/>
            </w:tcBorders>
            <w:shd w:val="clear" w:color="BDD7EE" w:fill="BDD7EE"/>
            <w:noWrap/>
            <w:vAlign w:val="bottom"/>
            <w:hideMark/>
          </w:tcPr>
          <w:p w14:paraId="6C28DADF"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664</w:t>
            </w:r>
          </w:p>
        </w:tc>
        <w:tc>
          <w:tcPr>
            <w:tcW w:w="1180" w:type="dxa"/>
            <w:tcBorders>
              <w:top w:val="single" w:sz="4" w:space="0" w:color="FFFFFF"/>
              <w:left w:val="single" w:sz="4" w:space="0" w:color="FFFFFF"/>
              <w:bottom w:val="nil"/>
              <w:right w:val="single" w:sz="4" w:space="0" w:color="FFFFFF"/>
            </w:tcBorders>
            <w:shd w:val="clear" w:color="BDD7EE" w:fill="BDD7EE"/>
            <w:noWrap/>
            <w:vAlign w:val="bottom"/>
            <w:hideMark/>
          </w:tcPr>
          <w:p w14:paraId="76618695"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61.936</w:t>
            </w:r>
          </w:p>
        </w:tc>
        <w:tc>
          <w:tcPr>
            <w:tcW w:w="1160" w:type="dxa"/>
            <w:tcBorders>
              <w:top w:val="single" w:sz="4" w:space="0" w:color="FFFFFF"/>
              <w:left w:val="single" w:sz="4" w:space="0" w:color="FFFFFF"/>
              <w:bottom w:val="nil"/>
              <w:right w:val="single" w:sz="4" w:space="0" w:color="FFFFFF"/>
            </w:tcBorders>
            <w:shd w:val="clear" w:color="BDD7EE" w:fill="BDD7EE"/>
            <w:noWrap/>
            <w:vAlign w:val="bottom"/>
            <w:hideMark/>
          </w:tcPr>
          <w:p w14:paraId="1674FFC9"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72.658</w:t>
            </w:r>
          </w:p>
        </w:tc>
        <w:tc>
          <w:tcPr>
            <w:tcW w:w="1260" w:type="dxa"/>
            <w:tcBorders>
              <w:top w:val="single" w:sz="4" w:space="0" w:color="FFFFFF"/>
              <w:left w:val="single" w:sz="4" w:space="0" w:color="FFFFFF"/>
              <w:bottom w:val="nil"/>
              <w:right w:val="single" w:sz="4" w:space="0" w:color="FFFFFF"/>
            </w:tcBorders>
            <w:shd w:val="clear" w:color="BDD7EE" w:fill="BDD7EE"/>
            <w:noWrap/>
            <w:vAlign w:val="bottom"/>
            <w:hideMark/>
          </w:tcPr>
          <w:p w14:paraId="21858D06"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-98.392</w:t>
            </w:r>
          </w:p>
        </w:tc>
        <w:tc>
          <w:tcPr>
            <w:tcW w:w="1180" w:type="dxa"/>
            <w:tcBorders>
              <w:top w:val="single" w:sz="4" w:space="0" w:color="FFFFFF"/>
              <w:left w:val="single" w:sz="4" w:space="0" w:color="FFFFFF"/>
              <w:bottom w:val="nil"/>
              <w:right w:val="nil"/>
            </w:tcBorders>
            <w:shd w:val="clear" w:color="BDD7EE" w:fill="BDD7EE"/>
            <w:noWrap/>
            <w:vAlign w:val="bottom"/>
            <w:hideMark/>
          </w:tcPr>
          <w:p w14:paraId="1B7FF234" w14:textId="77777777" w:rsidR="0067170B" w:rsidRPr="00CF3C36" w:rsidRDefault="0067170B" w:rsidP="00097DA7">
            <w:pPr>
              <w:spacing w:after="0" w:line="240" w:lineRule="auto"/>
              <w:jc w:val="center"/>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247.682</w:t>
            </w:r>
          </w:p>
        </w:tc>
      </w:tr>
    </w:tbl>
    <w:p w14:paraId="382D408A" w14:textId="77777777" w:rsidR="0067170B" w:rsidRPr="00CF3C36" w:rsidRDefault="0067170B" w:rsidP="00675DC7">
      <w:pPr>
        <w:spacing w:after="0" w:line="360" w:lineRule="auto"/>
        <w:ind w:firstLine="708"/>
        <w:jc w:val="both"/>
        <w:rPr>
          <w:lang w:val="en-GB"/>
        </w:rPr>
      </w:pPr>
    </w:p>
    <w:p w14:paraId="5FA41A01" w14:textId="40631C43" w:rsidR="00C467C3" w:rsidRPr="00CF3C36" w:rsidRDefault="00C467C3" w:rsidP="001E1D75">
      <w:pPr>
        <w:spacing w:after="0" w:line="360" w:lineRule="auto"/>
        <w:ind w:firstLine="708"/>
        <w:jc w:val="both"/>
        <w:rPr>
          <w:lang w:val="en-GB"/>
        </w:rPr>
      </w:pPr>
      <w:r w:rsidRPr="00CF3C36">
        <w:rPr>
          <w:lang w:val="en-GB"/>
        </w:rPr>
        <w:t xml:space="preserve">A method that is robust against cross-sectional dependence is a fixed effects model with Driscoll and Kraay standard errors. These standard errors are robust against heteroscedasticity, autocorrelation and cross-sectional dependence and can be used in Stata with the command </w:t>
      </w:r>
      <w:r w:rsidRPr="00CF3C36">
        <w:rPr>
          <w:i/>
          <w:lang w:val="en-GB"/>
        </w:rPr>
        <w:t xml:space="preserve">xtscc. </w:t>
      </w:r>
      <w:r w:rsidRPr="00CF3C36">
        <w:rPr>
          <w:lang w:val="en-GB"/>
        </w:rPr>
        <w:lastRenderedPageBreak/>
        <w:t>(Hoechle, 2007).</w:t>
      </w:r>
      <w:r w:rsidRPr="00CF3C36">
        <w:rPr>
          <w:i/>
          <w:lang w:val="en-GB"/>
        </w:rPr>
        <w:t xml:space="preserve"> </w:t>
      </w:r>
      <w:r w:rsidRPr="00CF3C36">
        <w:rPr>
          <w:lang w:val="en-GB"/>
        </w:rPr>
        <w:t xml:space="preserve">This method will be used when cross-sectional dependence is found. The results section will specify for each model which estimation method is used, and the results of the diagnostic tests can be found in the appendix. Hoechle (2007) explains that xtscc can be used when N&gt;T, but one has to be cautious in using this method when analysis a short period of time. Our analysis is concerning a relatively short period of time, therefore the results of the same model estimates with xtreg, fe vce(cluster cou1) will be reported </w:t>
      </w:r>
      <w:r w:rsidR="001011DE" w:rsidRPr="00CF3C36">
        <w:rPr>
          <w:lang w:val="en-GB"/>
        </w:rPr>
        <w:t>if different results our found.</w:t>
      </w:r>
    </w:p>
    <w:p w14:paraId="51BF40CD" w14:textId="708710C0" w:rsidR="002E5282" w:rsidRPr="00CF3C36" w:rsidRDefault="002E5282" w:rsidP="001E1D75">
      <w:pPr>
        <w:spacing w:after="0" w:line="360" w:lineRule="auto"/>
        <w:ind w:firstLine="708"/>
        <w:jc w:val="both"/>
        <w:rPr>
          <w:lang w:val="en-GB"/>
        </w:rPr>
      </w:pPr>
      <w:r w:rsidRPr="00CF3C36">
        <w:rPr>
          <w:lang w:val="en-GB"/>
        </w:rPr>
        <w:t>Lastly</w:t>
      </w:r>
      <w:r w:rsidR="00B1066E" w:rsidRPr="00CF3C36">
        <w:rPr>
          <w:lang w:val="en-GB"/>
        </w:rPr>
        <w:t>,</w:t>
      </w:r>
      <w:r w:rsidRPr="00CF3C36">
        <w:rPr>
          <w:lang w:val="en-GB"/>
        </w:rPr>
        <w:t xml:space="preserve"> multicollinearity has to be given some attention. Multicollinearity can become an issue when two or more independent (or control) variables are highly correlated. </w:t>
      </w:r>
      <w:r w:rsidR="000132C2" w:rsidRPr="00CF3C36">
        <w:rPr>
          <w:lang w:val="en-GB"/>
        </w:rPr>
        <w:t>In panel-data multicollinearity is much less of a problem compared to cross-sectional or time-series data</w:t>
      </w:r>
      <w:r w:rsidR="00EC5128" w:rsidRPr="00CF3C36">
        <w:rPr>
          <w:lang w:val="en-GB"/>
        </w:rPr>
        <w:t xml:space="preserve"> (</w:t>
      </w:r>
      <w:r w:rsidR="00EC5128" w:rsidRPr="00CF3C36">
        <w:rPr>
          <w:color w:val="222222"/>
          <w:shd w:val="clear" w:color="auto" w:fill="FFFFFF"/>
          <w:lang w:val="en-GB"/>
        </w:rPr>
        <w:t>Hsiao, 2014).</w:t>
      </w:r>
      <w:r w:rsidR="00F43C88" w:rsidRPr="00CF3C36">
        <w:rPr>
          <w:color w:val="222222"/>
          <w:shd w:val="clear" w:color="auto" w:fill="FFFFFF"/>
          <w:lang w:val="en-GB"/>
        </w:rPr>
        <w:t xml:space="preserve"> </w:t>
      </w:r>
      <w:r w:rsidR="001A4888" w:rsidRPr="00CF3C36">
        <w:rPr>
          <w:color w:val="222222"/>
          <w:shd w:val="clear" w:color="auto" w:fill="FFFFFF"/>
          <w:lang w:val="en-GB"/>
        </w:rPr>
        <w:t>Furthermore multicollinearity can only a problem if there is a high correlation between a control variable and the variable of interest, because multicollinearity between two contro</w:t>
      </w:r>
      <w:r w:rsidR="0078728A" w:rsidRPr="00CF3C36">
        <w:rPr>
          <w:color w:val="222222"/>
          <w:shd w:val="clear" w:color="auto" w:fill="FFFFFF"/>
          <w:lang w:val="en-GB"/>
        </w:rPr>
        <w:t>l variables does not affect the coefficient or standard errors of the variable of interest.</w:t>
      </w:r>
      <w:r w:rsidR="001A4888" w:rsidRPr="00CF3C36">
        <w:rPr>
          <w:color w:val="222222"/>
          <w:shd w:val="clear" w:color="auto" w:fill="FFFFFF"/>
          <w:lang w:val="en-GB"/>
        </w:rPr>
        <w:t xml:space="preserve"> </w:t>
      </w:r>
      <w:r w:rsidR="00BC11E4" w:rsidRPr="00CF3C36">
        <w:rPr>
          <w:color w:val="222222"/>
          <w:shd w:val="clear" w:color="auto" w:fill="FFFFFF"/>
          <w:lang w:val="en-GB"/>
        </w:rPr>
        <w:t>The correlation matrices</w:t>
      </w:r>
      <w:r w:rsidR="000F7FD0" w:rsidRPr="00CF3C36">
        <w:rPr>
          <w:color w:val="222222"/>
          <w:shd w:val="clear" w:color="auto" w:fill="FFFFFF"/>
          <w:lang w:val="en-GB"/>
        </w:rPr>
        <w:t xml:space="preserve"> of the data in M</w:t>
      </w:r>
      <w:r w:rsidR="00446374" w:rsidRPr="00CF3C36">
        <w:rPr>
          <w:color w:val="222222"/>
          <w:shd w:val="clear" w:color="auto" w:fill="FFFFFF"/>
          <w:lang w:val="en-GB"/>
        </w:rPr>
        <w:t>odel</w:t>
      </w:r>
      <w:r w:rsidR="00BC11E4" w:rsidRPr="00CF3C36">
        <w:rPr>
          <w:color w:val="222222"/>
          <w:shd w:val="clear" w:color="auto" w:fill="FFFFFF"/>
          <w:lang w:val="en-GB"/>
        </w:rPr>
        <w:t>s</w:t>
      </w:r>
      <w:r w:rsidR="00446374" w:rsidRPr="00CF3C36">
        <w:rPr>
          <w:color w:val="222222"/>
          <w:shd w:val="clear" w:color="auto" w:fill="FFFFFF"/>
          <w:lang w:val="en-GB"/>
        </w:rPr>
        <w:t xml:space="preserve"> 1</w:t>
      </w:r>
      <w:r w:rsidR="00BC11E4" w:rsidRPr="00CF3C36">
        <w:rPr>
          <w:color w:val="222222"/>
          <w:shd w:val="clear" w:color="auto" w:fill="FFFFFF"/>
          <w:lang w:val="en-GB"/>
        </w:rPr>
        <w:t>, 1.1 &amp; 1.2</w:t>
      </w:r>
      <w:r w:rsidR="00446374" w:rsidRPr="00CF3C36">
        <w:rPr>
          <w:color w:val="222222"/>
          <w:shd w:val="clear" w:color="auto" w:fill="FFFFFF"/>
          <w:lang w:val="en-GB"/>
        </w:rPr>
        <w:t>,</w:t>
      </w:r>
      <w:r w:rsidR="00F43C88" w:rsidRPr="00CF3C36">
        <w:rPr>
          <w:color w:val="222222"/>
          <w:shd w:val="clear" w:color="auto" w:fill="FFFFFF"/>
          <w:lang w:val="en-GB"/>
        </w:rPr>
        <w:t xml:space="preserve"> </w:t>
      </w:r>
      <w:r w:rsidR="000F7FD0" w:rsidRPr="00CF3C36">
        <w:rPr>
          <w:color w:val="222222"/>
          <w:shd w:val="clear" w:color="auto" w:fill="FFFFFF"/>
          <w:lang w:val="en-GB"/>
        </w:rPr>
        <w:t>M</w:t>
      </w:r>
      <w:r w:rsidR="00F43C88" w:rsidRPr="00CF3C36">
        <w:rPr>
          <w:color w:val="222222"/>
          <w:shd w:val="clear" w:color="auto" w:fill="FFFFFF"/>
          <w:lang w:val="en-GB"/>
        </w:rPr>
        <w:t>o</w:t>
      </w:r>
      <w:r w:rsidR="0033053B" w:rsidRPr="00CF3C36">
        <w:rPr>
          <w:color w:val="222222"/>
          <w:shd w:val="clear" w:color="auto" w:fill="FFFFFF"/>
          <w:lang w:val="en-GB"/>
        </w:rPr>
        <w:t>del 2</w:t>
      </w:r>
      <w:r w:rsidR="00446374" w:rsidRPr="00CF3C36">
        <w:rPr>
          <w:color w:val="222222"/>
          <w:shd w:val="clear" w:color="auto" w:fill="FFFFFF"/>
          <w:lang w:val="en-GB"/>
        </w:rPr>
        <w:t xml:space="preserve"> and </w:t>
      </w:r>
      <w:r w:rsidR="000F7FD0" w:rsidRPr="00CF3C36">
        <w:rPr>
          <w:color w:val="222222"/>
          <w:shd w:val="clear" w:color="auto" w:fill="FFFFFF"/>
          <w:lang w:val="en-GB"/>
        </w:rPr>
        <w:t>M</w:t>
      </w:r>
      <w:r w:rsidR="00446374" w:rsidRPr="00CF3C36">
        <w:rPr>
          <w:color w:val="222222"/>
          <w:shd w:val="clear" w:color="auto" w:fill="FFFFFF"/>
          <w:lang w:val="en-GB"/>
        </w:rPr>
        <w:t>odel</w:t>
      </w:r>
      <w:r w:rsidR="00BC11E4" w:rsidRPr="00CF3C36">
        <w:rPr>
          <w:color w:val="222222"/>
          <w:shd w:val="clear" w:color="auto" w:fill="FFFFFF"/>
          <w:lang w:val="en-GB"/>
        </w:rPr>
        <w:t xml:space="preserve">s 2.1 &amp; </w:t>
      </w:r>
      <w:r w:rsidR="00446374" w:rsidRPr="00CF3C36">
        <w:rPr>
          <w:color w:val="222222"/>
          <w:shd w:val="clear" w:color="auto" w:fill="FFFFFF"/>
          <w:lang w:val="en-GB"/>
        </w:rPr>
        <w:t>2.2</w:t>
      </w:r>
      <w:r w:rsidR="0033053B" w:rsidRPr="00CF3C36">
        <w:rPr>
          <w:color w:val="222222"/>
          <w:shd w:val="clear" w:color="auto" w:fill="FFFFFF"/>
          <w:lang w:val="en-GB"/>
        </w:rPr>
        <w:t xml:space="preserve"> is shown in the appendix.</w:t>
      </w:r>
      <w:r w:rsidR="00505DC4" w:rsidRPr="00CF3C36">
        <w:rPr>
          <w:color w:val="222222"/>
          <w:shd w:val="clear" w:color="auto" w:fill="FFFFFF"/>
          <w:lang w:val="en-GB"/>
        </w:rPr>
        <w:t xml:space="preserve"> The models need separate correlation matrices, because they use differe</w:t>
      </w:r>
      <w:r w:rsidR="008D1221" w:rsidRPr="00CF3C36">
        <w:rPr>
          <w:color w:val="222222"/>
          <w:shd w:val="clear" w:color="auto" w:fill="FFFFFF"/>
          <w:lang w:val="en-GB"/>
        </w:rPr>
        <w:t>nt sets of countries and years.</w:t>
      </w:r>
      <w:r w:rsidR="0033053B" w:rsidRPr="00CF3C36">
        <w:rPr>
          <w:color w:val="222222"/>
          <w:shd w:val="clear" w:color="auto" w:fill="FFFFFF"/>
          <w:lang w:val="en-GB"/>
        </w:rPr>
        <w:t xml:space="preserve"> In these correlation matrices the correlation between the different variables can be studied. </w:t>
      </w:r>
      <w:r w:rsidR="00682526" w:rsidRPr="00CF3C36">
        <w:rPr>
          <w:color w:val="222222"/>
          <w:shd w:val="clear" w:color="auto" w:fill="FFFFFF"/>
          <w:lang w:val="en-GB"/>
        </w:rPr>
        <w:t xml:space="preserve">Only the correlation between EPI and governance gives a value (0.8821) which can even in panel data be seen as problematic, therefore a robustness check will be done that excludes governance from the analysis. </w:t>
      </w:r>
    </w:p>
    <w:p w14:paraId="2285D7E8" w14:textId="77777777" w:rsidR="00C812E0" w:rsidRPr="00CF3C36" w:rsidRDefault="00C812E0" w:rsidP="00102ADD">
      <w:pPr>
        <w:pStyle w:val="Heading1"/>
        <w:jc w:val="both"/>
        <w:rPr>
          <w:lang w:val="en-GB"/>
        </w:rPr>
      </w:pPr>
      <w:r w:rsidRPr="00CF3C36">
        <w:rPr>
          <w:lang w:val="en-GB"/>
        </w:rPr>
        <w:br w:type="page"/>
      </w:r>
    </w:p>
    <w:p w14:paraId="116CBB17" w14:textId="6FF198F5" w:rsidR="00303B6D" w:rsidRPr="00CF3C36" w:rsidRDefault="0051739C" w:rsidP="00102ADD">
      <w:pPr>
        <w:pStyle w:val="Heading1"/>
        <w:jc w:val="both"/>
        <w:rPr>
          <w:lang w:val="en-GB"/>
        </w:rPr>
      </w:pPr>
      <w:bookmarkStart w:id="28" w:name="_Toc15480013"/>
      <w:r w:rsidRPr="00CF3C36">
        <w:rPr>
          <w:lang w:val="en-GB"/>
        </w:rPr>
        <w:lastRenderedPageBreak/>
        <w:t>4.</w:t>
      </w:r>
      <w:r w:rsidR="00303B6D" w:rsidRPr="00CF3C36">
        <w:rPr>
          <w:lang w:val="en-GB"/>
        </w:rPr>
        <w:t xml:space="preserve"> Empirical Results</w:t>
      </w:r>
      <w:bookmarkEnd w:id="28"/>
    </w:p>
    <w:p w14:paraId="56F8C9A4" w14:textId="316D12F7" w:rsidR="003D7A8C" w:rsidRPr="00CF3C36" w:rsidRDefault="00835618" w:rsidP="00D16159">
      <w:pPr>
        <w:spacing w:after="0" w:line="360" w:lineRule="auto"/>
        <w:jc w:val="both"/>
        <w:rPr>
          <w:lang w:val="en-GB"/>
        </w:rPr>
      </w:pPr>
      <w:r w:rsidRPr="00CF3C36">
        <w:rPr>
          <w:lang w:val="en-GB"/>
        </w:rPr>
        <w:t xml:space="preserve">In this chapter the results of all the described models will be discussed and will be used to reject or accept the hypotheses that were made while describing the research problem. </w:t>
      </w:r>
      <w:r w:rsidR="003D7A8C" w:rsidRPr="00CF3C36">
        <w:rPr>
          <w:lang w:val="en-GB"/>
        </w:rPr>
        <w:t xml:space="preserve">The </w:t>
      </w:r>
      <w:r w:rsidRPr="00CF3C36">
        <w:rPr>
          <w:lang w:val="en-GB"/>
        </w:rPr>
        <w:t xml:space="preserve">Hausman test was performed to determine whether a fixed-effects model or a random-effects model is appropriate. </w:t>
      </w:r>
      <w:r w:rsidR="003D7A8C" w:rsidRPr="00CF3C36">
        <w:rPr>
          <w:lang w:val="en-GB"/>
        </w:rPr>
        <w:t xml:space="preserve">As the Hausman test yielded different results for different models, it was chosen to use the fixed-effects model for all the models in this thesis in order to increase comparability. Furthermore the fixed-effects model is recognized to be a more robust model when compared to the random-effects model. Therefore the use of the fixed-effects model will increase the confidence in the results </w:t>
      </w:r>
      <w:r w:rsidR="00FE794E" w:rsidRPr="00CF3C36">
        <w:rPr>
          <w:lang w:val="en-GB"/>
        </w:rPr>
        <w:t xml:space="preserve">of the analysis. </w:t>
      </w:r>
      <w:r w:rsidR="00A40D8D" w:rsidRPr="00CF3C36">
        <w:rPr>
          <w:lang w:val="en-GB"/>
        </w:rPr>
        <w:t>The results of the Hausman test can b</w:t>
      </w:r>
      <w:r w:rsidR="0087578C" w:rsidRPr="00CF3C36">
        <w:rPr>
          <w:lang w:val="en-GB"/>
        </w:rPr>
        <w:t>e found in the appendix Table 12</w:t>
      </w:r>
      <w:r w:rsidR="002341E5" w:rsidRPr="00CF3C36">
        <w:rPr>
          <w:lang w:val="en-GB"/>
        </w:rPr>
        <w:t xml:space="preserve"> together with other tests on the data.</w:t>
      </w:r>
    </w:p>
    <w:p w14:paraId="6B9F3C2D" w14:textId="7A421ABB" w:rsidR="00A66198" w:rsidRPr="00CF3C36" w:rsidRDefault="00821762" w:rsidP="00D16159">
      <w:pPr>
        <w:spacing w:after="0" w:line="360" w:lineRule="auto"/>
        <w:jc w:val="both"/>
        <w:rPr>
          <w:lang w:val="en-GB"/>
        </w:rPr>
      </w:pPr>
      <w:r w:rsidRPr="00CF3C36">
        <w:rPr>
          <w:lang w:val="en-GB"/>
        </w:rPr>
        <w:tab/>
        <w:t>For all</w:t>
      </w:r>
      <w:r w:rsidR="00173CD3" w:rsidRPr="00CF3C36">
        <w:rPr>
          <w:lang w:val="en-GB"/>
        </w:rPr>
        <w:t xml:space="preserve"> the models used in this empirical analysis</w:t>
      </w:r>
      <w:r w:rsidRPr="00CF3C36">
        <w:rPr>
          <w:lang w:val="en-GB"/>
        </w:rPr>
        <w:t xml:space="preserve">, some robustness </w:t>
      </w:r>
      <w:r w:rsidR="00173CD3" w:rsidRPr="00CF3C36">
        <w:rPr>
          <w:lang w:val="en-GB"/>
        </w:rPr>
        <w:t>checks</w:t>
      </w:r>
      <w:r w:rsidRPr="00CF3C36">
        <w:rPr>
          <w:lang w:val="en-GB"/>
        </w:rPr>
        <w:t xml:space="preserve"> are performed in order to guarantee the robustness of the presented results. </w:t>
      </w:r>
      <w:r w:rsidR="0051321D" w:rsidRPr="00CF3C36">
        <w:rPr>
          <w:lang w:val="en-GB"/>
        </w:rPr>
        <w:t>The first robustness test only includes the years for which EPI is directly measured, this halves the amount of observation</w:t>
      </w:r>
      <w:r w:rsidR="000B4AAC" w:rsidRPr="00CF3C36">
        <w:rPr>
          <w:lang w:val="en-GB"/>
        </w:rPr>
        <w:t>s</w:t>
      </w:r>
      <w:r w:rsidR="00047478" w:rsidRPr="00CF3C36">
        <w:rPr>
          <w:lang w:val="en-GB"/>
        </w:rPr>
        <w:t xml:space="preserve"> that are used in the analyse</w:t>
      </w:r>
      <w:r w:rsidR="0051321D" w:rsidRPr="00CF3C36">
        <w:rPr>
          <w:lang w:val="en-GB"/>
        </w:rPr>
        <w:t xml:space="preserve">s. </w:t>
      </w:r>
      <w:r w:rsidR="00D96E51" w:rsidRPr="00CF3C36">
        <w:rPr>
          <w:lang w:val="en-GB"/>
        </w:rPr>
        <w:t>Secondly, all the models are estimated without the governance</w:t>
      </w:r>
      <w:r w:rsidR="000B4AAC" w:rsidRPr="00CF3C36">
        <w:rPr>
          <w:lang w:val="en-GB"/>
        </w:rPr>
        <w:t xml:space="preserve"> indicator, this is to check whether or not </w:t>
      </w:r>
      <w:r w:rsidR="00D96E51" w:rsidRPr="00CF3C36">
        <w:rPr>
          <w:lang w:val="en-GB"/>
        </w:rPr>
        <w:t>the high correlation between governa</w:t>
      </w:r>
      <w:r w:rsidR="000B4AAC" w:rsidRPr="00CF3C36">
        <w:rPr>
          <w:lang w:val="en-GB"/>
        </w:rPr>
        <w:t>nce and EPI affects the results</w:t>
      </w:r>
      <w:r w:rsidR="00D96E51" w:rsidRPr="00CF3C36">
        <w:rPr>
          <w:lang w:val="en-GB"/>
        </w:rPr>
        <w:t xml:space="preserve">. </w:t>
      </w:r>
      <w:r w:rsidR="008D0BA8" w:rsidRPr="00CF3C36">
        <w:rPr>
          <w:lang w:val="en-GB"/>
        </w:rPr>
        <w:t>Thirdly all models are estimated without the observation</w:t>
      </w:r>
      <w:r w:rsidR="000B4AAC" w:rsidRPr="00CF3C36">
        <w:rPr>
          <w:lang w:val="en-GB"/>
        </w:rPr>
        <w:t>s</w:t>
      </w:r>
      <w:r w:rsidR="008D0BA8" w:rsidRPr="00CF3C36">
        <w:rPr>
          <w:lang w:val="en-GB"/>
        </w:rPr>
        <w:t xml:space="preserve"> that had missing variables for </w:t>
      </w:r>
      <w:r w:rsidR="008D0BA8" w:rsidRPr="00CF3C36">
        <w:rPr>
          <w:i/>
          <w:lang w:val="en-GB"/>
        </w:rPr>
        <w:t xml:space="preserve">SE_terX, eodb </w:t>
      </w:r>
      <w:r w:rsidR="008D0BA8" w:rsidRPr="00CF3C36">
        <w:rPr>
          <w:lang w:val="en-GB"/>
        </w:rPr>
        <w:t>or</w:t>
      </w:r>
      <w:r w:rsidR="008D0BA8" w:rsidRPr="00CF3C36">
        <w:rPr>
          <w:i/>
          <w:lang w:val="en-GB"/>
        </w:rPr>
        <w:t xml:space="preserve"> avh</w:t>
      </w:r>
      <w:r w:rsidR="008D0BA8" w:rsidRPr="00CF3C36">
        <w:rPr>
          <w:lang w:val="en-GB"/>
        </w:rPr>
        <w:t>.</w:t>
      </w:r>
      <w:r w:rsidR="00CA233F" w:rsidRPr="00CF3C36">
        <w:rPr>
          <w:lang w:val="en-GB"/>
        </w:rPr>
        <w:t xml:space="preserve"> Fourthly, the independent variable EPI is replaced with an alternative measure of the stringency of environmental policy, namely the Environmental Policy Stringency </w:t>
      </w:r>
      <w:r w:rsidR="00A66198" w:rsidRPr="00CF3C36">
        <w:rPr>
          <w:lang w:val="en-GB"/>
        </w:rPr>
        <w:t>Index</w:t>
      </w:r>
      <w:r w:rsidR="00180052" w:rsidRPr="00CF3C36">
        <w:rPr>
          <w:lang w:val="en-GB"/>
        </w:rPr>
        <w:t xml:space="preserve"> (EPSI)</w:t>
      </w:r>
      <w:r w:rsidR="00CA233F" w:rsidRPr="00CF3C36">
        <w:rPr>
          <w:lang w:val="en-GB"/>
        </w:rPr>
        <w:t xml:space="preserve"> of the OECD. </w:t>
      </w:r>
      <w:r w:rsidR="00A66198" w:rsidRPr="00CF3C36">
        <w:rPr>
          <w:lang w:val="en-GB"/>
        </w:rPr>
        <w:t>This index is a country-specific and internationally-comparable measure of the strin</w:t>
      </w:r>
      <w:r w:rsidR="00CE5DE5" w:rsidRPr="00CF3C36">
        <w:rPr>
          <w:lang w:val="en-GB"/>
        </w:rPr>
        <w:t>gency of environmental policy. In this index s</w:t>
      </w:r>
      <w:r w:rsidR="00A66198" w:rsidRPr="00CF3C36">
        <w:rPr>
          <w:lang w:val="en-GB"/>
        </w:rPr>
        <w:t>tringency is defined as the degree to which environmental policies put an explicit or implicit price on polluting or environmentally harmful behaviour. The index is based on the degree of stringency of 14 environmental policy instruments, primarily related to climate and air pollution (Botta &amp; Kozluk, 2014).</w:t>
      </w:r>
      <w:r w:rsidR="00EE7A50" w:rsidRPr="00CF3C36">
        <w:rPr>
          <w:lang w:val="en-GB"/>
        </w:rPr>
        <w:t xml:space="preserve"> </w:t>
      </w:r>
      <w:r w:rsidR="00C94B42" w:rsidRPr="00CF3C36">
        <w:rPr>
          <w:lang w:val="en-GB"/>
        </w:rPr>
        <w:t xml:space="preserve">This indicator is only available for 33 countries (OECD countries and the BRIICS), </w:t>
      </w:r>
      <w:r w:rsidR="0090776F" w:rsidRPr="00CF3C36">
        <w:rPr>
          <w:lang w:val="en-GB"/>
        </w:rPr>
        <w:t>all of which have data for a different amount of year between 2009 and 2015. In Model 1, 1.1 and 1.2 these add up to 127 observations and in the other models t</w:t>
      </w:r>
      <w:r w:rsidR="00CE5DE5" w:rsidRPr="00CF3C36">
        <w:rPr>
          <w:lang w:val="en-GB"/>
        </w:rPr>
        <w:t>hey add up to 120 observations</w:t>
      </w:r>
      <w:r w:rsidR="00CA1FC1" w:rsidRPr="00CF3C36">
        <w:rPr>
          <w:lang w:val="en-GB"/>
        </w:rPr>
        <w:t xml:space="preserve"> that match with </w:t>
      </w:r>
      <w:r w:rsidR="00AE319B" w:rsidRPr="00CF3C36">
        <w:rPr>
          <w:lang w:val="en-GB"/>
        </w:rPr>
        <w:t>data of the dependent variables</w:t>
      </w:r>
      <w:r w:rsidR="00CE5DE5" w:rsidRPr="00CF3C36">
        <w:rPr>
          <w:lang w:val="en-GB"/>
        </w:rPr>
        <w:t>.</w:t>
      </w:r>
      <w:r w:rsidR="00C94B42" w:rsidRPr="00CF3C36">
        <w:rPr>
          <w:lang w:val="en-GB"/>
        </w:rPr>
        <w:t xml:space="preserve"> </w:t>
      </w:r>
      <w:r w:rsidR="00EE7A50" w:rsidRPr="00CF3C36">
        <w:rPr>
          <w:lang w:val="en-GB"/>
        </w:rPr>
        <w:t>The last robustness test</w:t>
      </w:r>
      <w:r w:rsidR="000F7FD0" w:rsidRPr="00CF3C36">
        <w:rPr>
          <w:lang w:val="en-GB"/>
        </w:rPr>
        <w:t xml:space="preserve"> is only performed for M</w:t>
      </w:r>
      <w:r w:rsidR="00EE7A50" w:rsidRPr="00CF3C36">
        <w:rPr>
          <w:lang w:val="en-GB"/>
        </w:rPr>
        <w:t xml:space="preserve">odels 1, 1.1 and 1.2 and uses a different measure of pollution intensity in constructing the dependent variables. </w:t>
      </w:r>
      <w:r w:rsidR="00387930" w:rsidRPr="00CF3C36">
        <w:rPr>
          <w:lang w:val="en-GB"/>
        </w:rPr>
        <w:t xml:space="preserve">In the main analysis the pollution intensity is measured as the </w:t>
      </w:r>
      <w:r w:rsidR="003F01C9" w:rsidRPr="00CF3C36">
        <w:rPr>
          <w:lang w:val="en-GB"/>
        </w:rPr>
        <w:t>CO</w:t>
      </w:r>
      <w:r w:rsidR="003F01C9" w:rsidRPr="00CF3C36">
        <w:rPr>
          <w:vertAlign w:val="subscript"/>
          <w:lang w:val="en-GB"/>
        </w:rPr>
        <w:t>2</w:t>
      </w:r>
      <w:r w:rsidR="00387930" w:rsidRPr="00CF3C36">
        <w:rPr>
          <w:lang w:val="en-GB"/>
        </w:rPr>
        <w:t xml:space="preserve"> emissions from production per USD of value added in a sector. </w:t>
      </w:r>
      <w:r w:rsidR="00C27C1E" w:rsidRPr="00CF3C36">
        <w:rPr>
          <w:lang w:val="en-GB"/>
        </w:rPr>
        <w:t xml:space="preserve">There could however also be sectors that do not emit much </w:t>
      </w:r>
      <w:r w:rsidR="003F01C9" w:rsidRPr="00CF3C36">
        <w:rPr>
          <w:lang w:val="en-GB"/>
        </w:rPr>
        <w:t>CO</w:t>
      </w:r>
      <w:r w:rsidR="003F01C9" w:rsidRPr="00CF3C36">
        <w:rPr>
          <w:vertAlign w:val="subscript"/>
          <w:lang w:val="en-GB"/>
        </w:rPr>
        <w:t xml:space="preserve">2 </w:t>
      </w:r>
      <w:r w:rsidR="00C27C1E" w:rsidRPr="00CF3C36">
        <w:rPr>
          <w:lang w:val="en-GB"/>
        </w:rPr>
        <w:t xml:space="preserve">from production, but instead use a lot of energy which in turn causes </w:t>
      </w:r>
      <w:r w:rsidR="003F01C9" w:rsidRPr="00CF3C36">
        <w:rPr>
          <w:lang w:val="en-GB"/>
        </w:rPr>
        <w:t>CO</w:t>
      </w:r>
      <w:r w:rsidR="003F01C9" w:rsidRPr="00CF3C36">
        <w:rPr>
          <w:vertAlign w:val="subscript"/>
          <w:lang w:val="en-GB"/>
        </w:rPr>
        <w:t xml:space="preserve">2 </w:t>
      </w:r>
      <w:r w:rsidR="00CE5DE5" w:rsidRPr="00CF3C36">
        <w:rPr>
          <w:lang w:val="en-GB"/>
        </w:rPr>
        <w:t>emissions</w:t>
      </w:r>
      <w:r w:rsidR="00C27C1E" w:rsidRPr="00CF3C36">
        <w:rPr>
          <w:lang w:val="en-GB"/>
        </w:rPr>
        <w:t xml:space="preserve">. As data is also available on </w:t>
      </w:r>
      <w:r w:rsidR="003F01C9" w:rsidRPr="00CF3C36">
        <w:rPr>
          <w:lang w:val="en-GB"/>
        </w:rPr>
        <w:t>CO</w:t>
      </w:r>
      <w:r w:rsidR="003F01C9" w:rsidRPr="00CF3C36">
        <w:rPr>
          <w:vertAlign w:val="subscript"/>
          <w:lang w:val="en-GB"/>
        </w:rPr>
        <w:t xml:space="preserve">2 </w:t>
      </w:r>
      <w:r w:rsidR="00C27C1E" w:rsidRPr="00CF3C36">
        <w:rPr>
          <w:lang w:val="en-GB"/>
        </w:rPr>
        <w:t>emissions from electricity and heat consumption, this can be used as an alternative measure of pollution intensity in Model 1, 1.1 and 1.2</w:t>
      </w:r>
      <w:r w:rsidR="00406C6C" w:rsidRPr="00CF3C36">
        <w:rPr>
          <w:lang w:val="en-GB"/>
        </w:rPr>
        <w:t xml:space="preserve">. For the construction of the dependent variables with </w:t>
      </w:r>
      <w:r w:rsidR="003F01C9" w:rsidRPr="00CF3C36">
        <w:rPr>
          <w:lang w:val="en-GB"/>
        </w:rPr>
        <w:t>CO</w:t>
      </w:r>
      <w:r w:rsidR="003F01C9" w:rsidRPr="00CF3C36">
        <w:rPr>
          <w:vertAlign w:val="subscript"/>
          <w:lang w:val="en-GB"/>
        </w:rPr>
        <w:t xml:space="preserve">2 </w:t>
      </w:r>
      <w:r w:rsidR="00406C6C" w:rsidRPr="00CF3C36">
        <w:rPr>
          <w:lang w:val="en-GB"/>
        </w:rPr>
        <w:t xml:space="preserve">emissions from electricity and heat consumption the same method is used as in the original dependent variable. However, the data from the IEA is separated into less detailed sector definitions, which causes the dependent variables in these analyses to be based on a division into only four sectors, namely: </w:t>
      </w:r>
      <w:r w:rsidR="00406C6C" w:rsidRPr="00CF3C36">
        <w:rPr>
          <w:lang w:val="en-GB"/>
        </w:rPr>
        <w:lastRenderedPageBreak/>
        <w:t>Other energy industry own use, Commercial and public services, Transport and Industry. This has to be taken into account when analysing the results from these model</w:t>
      </w:r>
      <w:r w:rsidR="00CE5DE5" w:rsidRPr="00CF3C36">
        <w:rPr>
          <w:lang w:val="en-GB"/>
        </w:rPr>
        <w:t>s</w:t>
      </w:r>
      <w:r w:rsidR="00406C6C" w:rsidRPr="00CF3C36">
        <w:rPr>
          <w:lang w:val="en-GB"/>
        </w:rPr>
        <w:t xml:space="preserve">, but it is not a big issue as these models are only used as robustness checks for the models using </w:t>
      </w:r>
      <w:r w:rsidR="003F01C9" w:rsidRPr="00CF3C36">
        <w:rPr>
          <w:lang w:val="en-GB"/>
        </w:rPr>
        <w:t>CO</w:t>
      </w:r>
      <w:r w:rsidR="003F01C9" w:rsidRPr="00CF3C36">
        <w:rPr>
          <w:vertAlign w:val="subscript"/>
          <w:lang w:val="en-GB"/>
        </w:rPr>
        <w:t xml:space="preserve">2 </w:t>
      </w:r>
      <w:r w:rsidR="00406C6C" w:rsidRPr="00CF3C36">
        <w:rPr>
          <w:lang w:val="en-GB"/>
        </w:rPr>
        <w:t xml:space="preserve">emissions from production </w:t>
      </w:r>
      <w:r w:rsidR="00CE5DE5" w:rsidRPr="00CF3C36">
        <w:rPr>
          <w:lang w:val="en-GB"/>
        </w:rPr>
        <w:t>as</w:t>
      </w:r>
      <w:r w:rsidR="00406C6C" w:rsidRPr="00CF3C36">
        <w:rPr>
          <w:lang w:val="en-GB"/>
        </w:rPr>
        <w:t xml:space="preserve"> the dependent v</w:t>
      </w:r>
      <w:r w:rsidR="00CE5DE5" w:rsidRPr="00CF3C36">
        <w:rPr>
          <w:lang w:val="en-GB"/>
        </w:rPr>
        <w:t>ariable</w:t>
      </w:r>
      <w:r w:rsidR="00406C6C" w:rsidRPr="00CF3C36">
        <w:rPr>
          <w:lang w:val="en-GB"/>
        </w:rPr>
        <w:t>.</w:t>
      </w:r>
      <w:r w:rsidR="0002256B" w:rsidRPr="00CF3C36">
        <w:rPr>
          <w:lang w:val="en-GB"/>
        </w:rPr>
        <w:t xml:space="preserve"> The robustness checks for each model can be found in de appendix. When interesting results are found in the robustness checks they will also be discussed in the next section.</w:t>
      </w:r>
    </w:p>
    <w:p w14:paraId="6AE49897" w14:textId="50D1E49D" w:rsidR="0057782E" w:rsidRPr="00CF3C36" w:rsidRDefault="0051739C" w:rsidP="00835618">
      <w:pPr>
        <w:pStyle w:val="Heading2"/>
        <w:rPr>
          <w:lang w:val="en-GB"/>
        </w:rPr>
      </w:pPr>
      <w:bookmarkStart w:id="29" w:name="_Toc15480014"/>
      <w:r w:rsidRPr="00CF3C36">
        <w:rPr>
          <w:lang w:val="en-GB"/>
        </w:rPr>
        <w:t xml:space="preserve">4.1 </w:t>
      </w:r>
      <w:r w:rsidR="00E23629" w:rsidRPr="00CF3C36">
        <w:rPr>
          <w:lang w:val="en-GB"/>
        </w:rPr>
        <w:t>EPI</w:t>
      </w:r>
      <w:r w:rsidR="00303B1D" w:rsidRPr="00CF3C36">
        <w:rPr>
          <w:lang w:val="en-GB"/>
        </w:rPr>
        <w:t xml:space="preserve"> and</w:t>
      </w:r>
      <w:r w:rsidR="00DE0F23" w:rsidRPr="00CF3C36">
        <w:rPr>
          <w:lang w:val="en-GB"/>
        </w:rPr>
        <w:t xml:space="preserve"> </w:t>
      </w:r>
      <w:r w:rsidR="00E23629" w:rsidRPr="00CF3C36">
        <w:rPr>
          <w:lang w:val="en-GB"/>
        </w:rPr>
        <w:t xml:space="preserve">the </w:t>
      </w:r>
      <w:r w:rsidR="00DE0F23" w:rsidRPr="00CF3C36">
        <w:rPr>
          <w:lang w:val="en-GB"/>
        </w:rPr>
        <w:t>pollution intensity</w:t>
      </w:r>
      <w:r w:rsidR="00E23629" w:rsidRPr="00CF3C36">
        <w:rPr>
          <w:lang w:val="en-GB"/>
        </w:rPr>
        <w:t xml:space="preserve"> of FDI</w:t>
      </w:r>
      <w:bookmarkEnd w:id="29"/>
    </w:p>
    <w:p w14:paraId="1EE81939" w14:textId="70F84900" w:rsidR="0057782E" w:rsidRPr="00CF3C36" w:rsidRDefault="0057782E" w:rsidP="00D27492">
      <w:pPr>
        <w:spacing w:after="0" w:line="360" w:lineRule="auto"/>
        <w:jc w:val="both"/>
        <w:rPr>
          <w:lang w:val="en-GB"/>
        </w:rPr>
      </w:pPr>
      <w:r w:rsidRPr="00CF3C36">
        <w:rPr>
          <w:lang w:val="en-GB"/>
        </w:rPr>
        <w:t xml:space="preserve">This section will describe the results that are found using Model 1, Model 1.1 and Model 1.2. These models help to shed a light on the effect of the Environmental Policy Index on the sectoral composition of FDI and more importantly the </w:t>
      </w:r>
      <w:r w:rsidR="003F01C9" w:rsidRPr="00CF3C36">
        <w:rPr>
          <w:lang w:val="en-GB"/>
        </w:rPr>
        <w:t>CO</w:t>
      </w:r>
      <w:r w:rsidR="003F01C9" w:rsidRPr="00CF3C36">
        <w:rPr>
          <w:vertAlign w:val="subscript"/>
          <w:lang w:val="en-GB"/>
        </w:rPr>
        <w:t xml:space="preserve">2 </w:t>
      </w:r>
      <w:r w:rsidRPr="00CF3C36">
        <w:rPr>
          <w:lang w:val="en-GB"/>
        </w:rPr>
        <w:t>emissions related to that sectoral composition. The</w:t>
      </w:r>
      <w:r w:rsidR="00984CD7" w:rsidRPr="00CF3C36">
        <w:rPr>
          <w:lang w:val="en-GB"/>
        </w:rPr>
        <w:t xml:space="preserve"> results can be found in Table 4</w:t>
      </w:r>
      <w:r w:rsidRPr="00CF3C36">
        <w:rPr>
          <w:lang w:val="en-GB"/>
        </w:rPr>
        <w:t>. The first hypothesis posed on this topic is:</w:t>
      </w:r>
    </w:p>
    <w:p w14:paraId="696FE24C" w14:textId="40817887" w:rsidR="0057782E" w:rsidRPr="00CF3C36" w:rsidRDefault="0057782E" w:rsidP="0057782E">
      <w:pPr>
        <w:spacing w:after="0" w:line="360" w:lineRule="auto"/>
        <w:jc w:val="center"/>
        <w:rPr>
          <w:i/>
          <w:lang w:val="en-GB"/>
        </w:rPr>
      </w:pPr>
      <w:r w:rsidRPr="00CF3C36">
        <w:rPr>
          <w:i/>
          <w:lang w:val="en-GB"/>
        </w:rPr>
        <w:t xml:space="preserve">“An increase in a country’s EPS will result in the country’s inward FDI to flow more to sectors with a smaller </w:t>
      </w:r>
      <w:r w:rsidR="00CC73CD" w:rsidRPr="00CF3C36">
        <w:rPr>
          <w:i/>
          <w:lang w:val="en-GB"/>
        </w:rPr>
        <w:t>pollution intensity</w:t>
      </w:r>
      <w:r w:rsidRPr="00CF3C36">
        <w:rPr>
          <w:i/>
          <w:lang w:val="en-GB"/>
        </w:rPr>
        <w:t>.”</w:t>
      </w:r>
    </w:p>
    <w:p w14:paraId="21084FB6" w14:textId="2CF962E4" w:rsidR="00223FA6" w:rsidRPr="00CF3C36" w:rsidRDefault="00835618" w:rsidP="00D27492">
      <w:pPr>
        <w:spacing w:after="0" w:line="360" w:lineRule="auto"/>
        <w:jc w:val="both"/>
        <w:rPr>
          <w:lang w:val="en-GB"/>
        </w:rPr>
      </w:pPr>
      <w:r w:rsidRPr="00CF3C36">
        <w:rPr>
          <w:lang w:val="en-GB"/>
        </w:rPr>
        <w:t>This hypothesis is tested usi</w:t>
      </w:r>
      <w:r w:rsidR="00996ADE" w:rsidRPr="00CF3C36">
        <w:rPr>
          <w:lang w:val="en-GB"/>
        </w:rPr>
        <w:t>ng M</w:t>
      </w:r>
      <w:r w:rsidRPr="00CF3C36">
        <w:rPr>
          <w:lang w:val="en-GB"/>
        </w:rPr>
        <w:t>odel 1</w:t>
      </w:r>
      <w:r w:rsidR="00435BEF" w:rsidRPr="00CF3C36">
        <w:rPr>
          <w:lang w:val="en-GB"/>
        </w:rPr>
        <w:t xml:space="preserve">, </w:t>
      </w:r>
      <w:r w:rsidR="00AE3D4F" w:rsidRPr="00CF3C36">
        <w:rPr>
          <w:lang w:val="en-GB"/>
        </w:rPr>
        <w:t xml:space="preserve">which utilises the dependent variable </w:t>
      </w:r>
      <w:r w:rsidR="003F01C9" w:rsidRPr="00CF3C36">
        <w:rPr>
          <w:i/>
          <w:lang w:val="en-GB"/>
        </w:rPr>
        <w:t>CO2</w:t>
      </w:r>
      <w:r w:rsidR="00AE3D4F" w:rsidRPr="00CF3C36">
        <w:rPr>
          <w:i/>
          <w:lang w:val="en-GB"/>
        </w:rPr>
        <w:t xml:space="preserve">_FDIweighted </w:t>
      </w:r>
      <w:r w:rsidR="00996ADE" w:rsidRPr="00CF3C36">
        <w:rPr>
          <w:lang w:val="en-GB"/>
        </w:rPr>
        <w:t>as explained in c</w:t>
      </w:r>
      <w:r w:rsidR="00AE3D4F" w:rsidRPr="00CF3C36">
        <w:rPr>
          <w:lang w:val="en-GB"/>
        </w:rPr>
        <w:t>hapter 3.</w:t>
      </w:r>
      <w:r w:rsidR="00D27492" w:rsidRPr="00CF3C36">
        <w:rPr>
          <w:lang w:val="en-GB"/>
        </w:rPr>
        <w:t xml:space="preserve"> </w:t>
      </w:r>
      <w:r w:rsidR="007A7025" w:rsidRPr="00CF3C36">
        <w:rPr>
          <w:lang w:val="en-GB"/>
        </w:rPr>
        <w:t>The first thing to see in the table is the fact that EPI does not have a significant effect</w:t>
      </w:r>
      <w:r w:rsidR="00AE3D4F" w:rsidRPr="00CF3C36">
        <w:rPr>
          <w:lang w:val="en-GB"/>
        </w:rPr>
        <w:t xml:space="preserve"> in the model</w:t>
      </w:r>
      <w:r w:rsidR="007A7025" w:rsidRPr="00CF3C36">
        <w:rPr>
          <w:lang w:val="en-GB"/>
        </w:rPr>
        <w:t xml:space="preserve">. </w:t>
      </w:r>
      <w:r w:rsidR="001875B4" w:rsidRPr="00CF3C36">
        <w:rPr>
          <w:lang w:val="en-GB"/>
        </w:rPr>
        <w:t xml:space="preserve">Therefore the first hypothesis has to be rejected as no evidence has been provided that more stringent </w:t>
      </w:r>
      <w:r w:rsidR="00C823CC" w:rsidRPr="00CF3C36">
        <w:rPr>
          <w:lang w:val="en-GB"/>
        </w:rPr>
        <w:t>and/</w:t>
      </w:r>
      <w:r w:rsidR="001875B4" w:rsidRPr="00CF3C36">
        <w:rPr>
          <w:lang w:val="en-GB"/>
        </w:rPr>
        <w:t>or more strictly enforced environ</w:t>
      </w:r>
      <w:r w:rsidR="00D27492" w:rsidRPr="00CF3C36">
        <w:rPr>
          <w:lang w:val="en-GB"/>
        </w:rPr>
        <w:t xml:space="preserve">mental policy will cause FDI </w:t>
      </w:r>
      <w:r w:rsidR="001875B4" w:rsidRPr="00CF3C36">
        <w:rPr>
          <w:lang w:val="en-GB"/>
        </w:rPr>
        <w:t xml:space="preserve">to flow more to sectors with a smaller </w:t>
      </w:r>
      <w:r w:rsidR="00D906CE" w:rsidRPr="00CF3C36">
        <w:rPr>
          <w:lang w:val="en-GB"/>
        </w:rPr>
        <w:t>pollution intensity</w:t>
      </w:r>
      <w:r w:rsidR="001875B4" w:rsidRPr="00CF3C36">
        <w:rPr>
          <w:lang w:val="en-GB"/>
        </w:rPr>
        <w:t xml:space="preserve">. </w:t>
      </w:r>
      <w:r w:rsidR="00BA2449" w:rsidRPr="00CF3C36">
        <w:rPr>
          <w:lang w:val="en-GB"/>
        </w:rPr>
        <w:t xml:space="preserve">Still it is interesting to see what control variables </w:t>
      </w:r>
      <w:r w:rsidR="00C823CC" w:rsidRPr="00CF3C36">
        <w:rPr>
          <w:lang w:val="en-GB"/>
        </w:rPr>
        <w:t>have a significant effect in thi</w:t>
      </w:r>
      <w:r w:rsidR="00BA2449" w:rsidRPr="00CF3C36">
        <w:rPr>
          <w:lang w:val="en-GB"/>
        </w:rPr>
        <w:t xml:space="preserve">s model. </w:t>
      </w:r>
    </w:p>
    <w:p w14:paraId="34EB6904" w14:textId="096E3FB9" w:rsidR="00F94C53" w:rsidRPr="00CF3C36" w:rsidRDefault="00D27492" w:rsidP="00B11B1A">
      <w:pPr>
        <w:spacing w:after="0" w:line="360" w:lineRule="auto"/>
        <w:jc w:val="both"/>
        <w:rPr>
          <w:lang w:val="en-GB"/>
        </w:rPr>
      </w:pPr>
      <w:r w:rsidRPr="00CF3C36">
        <w:rPr>
          <w:lang w:val="en-GB"/>
        </w:rPr>
        <w:tab/>
        <w:t xml:space="preserve">First </w:t>
      </w:r>
      <w:r w:rsidR="003F01C9" w:rsidRPr="00CF3C36">
        <w:rPr>
          <w:lang w:val="en-GB"/>
        </w:rPr>
        <w:t>CO2</w:t>
      </w:r>
      <w:r w:rsidRPr="00CF3C36">
        <w:rPr>
          <w:lang w:val="en-GB"/>
        </w:rPr>
        <w:t>g_intensity is highly significant. This is to be expected as it is directly rela</w:t>
      </w:r>
      <w:r w:rsidR="00BF2B95" w:rsidRPr="00CF3C36">
        <w:rPr>
          <w:lang w:val="en-GB"/>
        </w:rPr>
        <w:t>ted to the dependent variable and</w:t>
      </w:r>
      <w:r w:rsidRPr="00CF3C36">
        <w:rPr>
          <w:lang w:val="en-GB"/>
        </w:rPr>
        <w:t xml:space="preserve"> it is added to the model to control for changes in the overall </w:t>
      </w:r>
      <w:r w:rsidR="003F01C9" w:rsidRPr="00CF3C36">
        <w:rPr>
          <w:lang w:val="en-GB"/>
        </w:rPr>
        <w:t>CO2</w:t>
      </w:r>
      <w:r w:rsidR="005A17B8" w:rsidRPr="00CF3C36">
        <w:rPr>
          <w:lang w:val="en-GB"/>
        </w:rPr>
        <w:t xml:space="preserve"> </w:t>
      </w:r>
      <w:r w:rsidRPr="00CF3C36">
        <w:rPr>
          <w:lang w:val="en-GB"/>
        </w:rPr>
        <w:t>intensity of the country</w:t>
      </w:r>
      <w:r w:rsidR="00996ADE" w:rsidRPr="00CF3C36">
        <w:rPr>
          <w:lang w:val="en-GB"/>
        </w:rPr>
        <w:t>, which influence the dependent variable</w:t>
      </w:r>
      <w:r w:rsidRPr="00CF3C36">
        <w:rPr>
          <w:lang w:val="en-GB"/>
        </w:rPr>
        <w:t xml:space="preserve">. </w:t>
      </w:r>
      <w:r w:rsidR="00F94C53" w:rsidRPr="00CF3C36">
        <w:rPr>
          <w:lang w:val="en-GB"/>
        </w:rPr>
        <w:t>The capital-labour ratio (KL) and the quadratic term of KL are both significant at a 1% level. This indicates the existence of a quadratic rela</w:t>
      </w:r>
      <w:r w:rsidR="003A3EFA" w:rsidRPr="00CF3C36">
        <w:rPr>
          <w:lang w:val="en-GB"/>
        </w:rPr>
        <w:t>tionship between KL and the FDI-</w:t>
      </w:r>
      <w:r w:rsidR="00F94C53" w:rsidRPr="00CF3C36">
        <w:rPr>
          <w:lang w:val="en-GB"/>
        </w:rPr>
        <w:t xml:space="preserve">weighted </w:t>
      </w:r>
      <w:r w:rsidR="003F01C9" w:rsidRPr="00CF3C36">
        <w:rPr>
          <w:lang w:val="en-GB"/>
        </w:rPr>
        <w:t>CO</w:t>
      </w:r>
      <w:r w:rsidR="003F01C9" w:rsidRPr="00CF3C36">
        <w:rPr>
          <w:vertAlign w:val="subscript"/>
          <w:lang w:val="en-GB"/>
        </w:rPr>
        <w:t xml:space="preserve">2 </w:t>
      </w:r>
      <w:r w:rsidR="00F94C53" w:rsidRPr="00CF3C36">
        <w:rPr>
          <w:lang w:val="en-GB"/>
        </w:rPr>
        <w:t xml:space="preserve">intensity. The linear variable has a positive coefficient and the quadratic term has a negative coefficient, thus the relationship is an inverted U-shape. The turning point of such a quadratic relationship can be calculated by dividing the negative value of the coefficient of the linear variable by the value of the quadratic variable times two (Wooldridge, 2002). Based on the results of Model 1 this turning point </w:t>
      </w:r>
      <w:r w:rsidR="003A3EFA" w:rsidRPr="00CF3C36">
        <w:rPr>
          <w:lang w:val="en-GB"/>
        </w:rPr>
        <w:t>is</w:t>
      </w:r>
      <w:r w:rsidR="00F94C53" w:rsidRPr="00CF3C36">
        <w:rPr>
          <w:lang w:val="en-GB"/>
        </w:rPr>
        <w:t xml:space="preserve"> at -7.767/(2*-0.780</w:t>
      </w:r>
      <w:r w:rsidR="00CF3C36">
        <w:rPr>
          <w:lang w:val="en-GB"/>
        </w:rPr>
        <w:t>)</w:t>
      </w:r>
      <w:r w:rsidR="00CF3C36" w:rsidRPr="00CF3C36">
        <w:rPr>
          <w:lang w:val="en-GB"/>
        </w:rPr>
        <w:t>=</w:t>
      </w:r>
      <w:r w:rsidR="00F94C53" w:rsidRPr="00CF3C36">
        <w:rPr>
          <w:lang w:val="en-GB"/>
        </w:rPr>
        <w:t>4.979. This value is around the mean capital-labour ratio in the sample used, as roughly 46% of the cases in the database use</w:t>
      </w:r>
      <w:r w:rsidR="005A17B8" w:rsidRPr="00CF3C36">
        <w:rPr>
          <w:lang w:val="en-GB"/>
        </w:rPr>
        <w:t>d have a lower value for KL and</w:t>
      </w:r>
      <w:r w:rsidR="00F94C53" w:rsidRPr="00CF3C36">
        <w:rPr>
          <w:lang w:val="en-GB"/>
        </w:rPr>
        <w:t xml:space="preserve"> 54% of the cases have a higher value. If the initial KL is below the turning point, an increase in KL is expected to attract FDI to sectors with a </w:t>
      </w:r>
      <w:r w:rsidR="00D906CE" w:rsidRPr="00CF3C36">
        <w:rPr>
          <w:lang w:val="en-GB"/>
        </w:rPr>
        <w:t>high</w:t>
      </w:r>
      <w:r w:rsidR="00F94C53" w:rsidRPr="00CF3C36">
        <w:rPr>
          <w:lang w:val="en-GB"/>
        </w:rPr>
        <w:t xml:space="preserve"> </w:t>
      </w:r>
      <w:r w:rsidR="00D906CE" w:rsidRPr="00CF3C36">
        <w:rPr>
          <w:lang w:val="en-GB"/>
        </w:rPr>
        <w:t>pollution intensity</w:t>
      </w:r>
      <w:r w:rsidR="005A17B8" w:rsidRPr="00CF3C36">
        <w:rPr>
          <w:lang w:val="en-GB"/>
        </w:rPr>
        <w:t>.</w:t>
      </w:r>
      <w:r w:rsidR="00F94C53" w:rsidRPr="00CF3C36">
        <w:rPr>
          <w:lang w:val="en-GB"/>
        </w:rPr>
        <w:t xml:space="preserve"> </w:t>
      </w:r>
      <w:r w:rsidR="005A17B8" w:rsidRPr="00CF3C36">
        <w:rPr>
          <w:lang w:val="en-GB"/>
        </w:rPr>
        <w:t>W</w:t>
      </w:r>
      <w:r w:rsidR="00F94C53" w:rsidRPr="00CF3C36">
        <w:rPr>
          <w:lang w:val="en-GB"/>
        </w:rPr>
        <w:t xml:space="preserve">hen the initial KL is higher than the turning point an increase is expected to attract more FDI to sectors with a </w:t>
      </w:r>
      <w:r w:rsidR="00D906CE" w:rsidRPr="00CF3C36">
        <w:rPr>
          <w:lang w:val="en-GB"/>
        </w:rPr>
        <w:t>lower</w:t>
      </w:r>
      <w:r w:rsidR="00F94C53" w:rsidRPr="00CF3C36">
        <w:rPr>
          <w:lang w:val="en-GB"/>
        </w:rPr>
        <w:t xml:space="preserve"> </w:t>
      </w:r>
      <w:r w:rsidR="00D906CE" w:rsidRPr="00CF3C36">
        <w:rPr>
          <w:lang w:val="en-GB"/>
        </w:rPr>
        <w:t>pollution intensity</w:t>
      </w:r>
      <w:r w:rsidR="00F94C53" w:rsidRPr="00CF3C36">
        <w:rPr>
          <w:lang w:val="en-GB"/>
        </w:rPr>
        <w:t>. Finally, the interaction terms between EPI and KL and EPI and KL2 are insignificant suggesting that the expected quadratic interaction between EPI and KL is not found.</w:t>
      </w:r>
      <w:r w:rsidR="00A61187" w:rsidRPr="00CF3C36">
        <w:rPr>
          <w:lang w:val="en-GB"/>
        </w:rPr>
        <w:t xml:space="preserve"> In the robustness checks, no surprising results were found. EPI and EPS</w:t>
      </w:r>
      <w:r w:rsidR="00C278FF" w:rsidRPr="00CF3C36">
        <w:rPr>
          <w:lang w:val="en-GB"/>
        </w:rPr>
        <w:t>I</w:t>
      </w:r>
      <w:r w:rsidR="00A61187" w:rsidRPr="00CF3C36">
        <w:rPr>
          <w:lang w:val="en-GB"/>
        </w:rPr>
        <w:t xml:space="preserve"> remained insignificant, KL and KL2 were significant in most of the models and some control variables were significant in one of the robustness </w:t>
      </w:r>
      <w:r w:rsidR="00A61187" w:rsidRPr="00CF3C36">
        <w:rPr>
          <w:lang w:val="en-GB"/>
        </w:rPr>
        <w:lastRenderedPageBreak/>
        <w:t xml:space="preserve">checks. </w:t>
      </w:r>
      <w:r w:rsidR="00921783" w:rsidRPr="00CF3C36">
        <w:rPr>
          <w:lang w:val="en-GB"/>
        </w:rPr>
        <w:t xml:space="preserve">This suggests that the results are robust to decisions made in the modelling process and to alternative measures of environmental policy stringency and pollution intensity. </w:t>
      </w:r>
    </w:p>
    <w:p w14:paraId="0F54E797" w14:textId="65C82C0A" w:rsidR="002D186D" w:rsidRPr="00CF3C36" w:rsidRDefault="00C86351" w:rsidP="00714B92">
      <w:pPr>
        <w:pStyle w:val="Heading5"/>
        <w:jc w:val="center"/>
        <w:rPr>
          <w:lang w:val="en-GB"/>
        </w:rPr>
      </w:pPr>
      <w:bookmarkStart w:id="30" w:name="_Toc15475667"/>
      <w:r w:rsidRPr="00CF3C36">
        <w:rPr>
          <w:lang w:val="en-GB"/>
        </w:rPr>
        <w:t>Table 4</w:t>
      </w:r>
      <w:r w:rsidR="002D186D" w:rsidRPr="00CF3C36">
        <w:rPr>
          <w:lang w:val="en-GB"/>
        </w:rPr>
        <w:t xml:space="preserve">. Results from </w:t>
      </w:r>
      <w:r w:rsidR="00600EB4" w:rsidRPr="00CF3C36">
        <w:rPr>
          <w:lang w:val="en-GB"/>
        </w:rPr>
        <w:t>M</w:t>
      </w:r>
      <w:r w:rsidR="002D186D" w:rsidRPr="00CF3C36">
        <w:rPr>
          <w:lang w:val="en-GB"/>
        </w:rPr>
        <w:t>odel 1</w:t>
      </w:r>
      <w:r w:rsidR="00600EB4" w:rsidRPr="00CF3C36">
        <w:rPr>
          <w:lang w:val="en-GB"/>
        </w:rPr>
        <w:t>, Model 1.1 &amp; Model 1.2</w:t>
      </w:r>
      <w:bookmarkEnd w:id="30"/>
    </w:p>
    <w:tbl>
      <w:tblPr>
        <w:tblW w:w="5954" w:type="dxa"/>
        <w:jc w:val="center"/>
        <w:tblLayout w:type="fixed"/>
        <w:tblCellMar>
          <w:left w:w="75" w:type="dxa"/>
          <w:right w:w="75" w:type="dxa"/>
        </w:tblCellMar>
        <w:tblLook w:val="0000" w:firstRow="0" w:lastRow="0" w:firstColumn="0" w:lastColumn="0" w:noHBand="0" w:noVBand="0"/>
      </w:tblPr>
      <w:tblGrid>
        <w:gridCol w:w="1559"/>
        <w:gridCol w:w="1843"/>
        <w:gridCol w:w="1276"/>
        <w:gridCol w:w="1276"/>
      </w:tblGrid>
      <w:tr w:rsidR="002D186D" w:rsidRPr="00CF3C36" w14:paraId="44C97263" w14:textId="77777777" w:rsidTr="002D186D">
        <w:trPr>
          <w:jc w:val="center"/>
        </w:trPr>
        <w:tc>
          <w:tcPr>
            <w:tcW w:w="1559" w:type="dxa"/>
            <w:tcBorders>
              <w:top w:val="single" w:sz="6" w:space="0" w:color="auto"/>
              <w:left w:val="nil"/>
              <w:bottom w:val="nil"/>
              <w:right w:val="nil"/>
            </w:tcBorders>
          </w:tcPr>
          <w:p w14:paraId="474551D7"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843" w:type="dxa"/>
            <w:tcBorders>
              <w:top w:val="single" w:sz="6" w:space="0" w:color="auto"/>
              <w:left w:val="nil"/>
              <w:bottom w:val="nil"/>
              <w:right w:val="nil"/>
            </w:tcBorders>
          </w:tcPr>
          <w:p w14:paraId="2C5F4581" w14:textId="29E6497D"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w:t>
            </w:r>
          </w:p>
        </w:tc>
        <w:tc>
          <w:tcPr>
            <w:tcW w:w="1276" w:type="dxa"/>
            <w:tcBorders>
              <w:top w:val="single" w:sz="6" w:space="0" w:color="auto"/>
              <w:left w:val="nil"/>
              <w:bottom w:val="nil"/>
              <w:right w:val="nil"/>
            </w:tcBorders>
          </w:tcPr>
          <w:p w14:paraId="4961719B" w14:textId="2CA1B2D0"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w:t>
            </w:r>
          </w:p>
        </w:tc>
        <w:tc>
          <w:tcPr>
            <w:tcW w:w="1276" w:type="dxa"/>
            <w:tcBorders>
              <w:top w:val="single" w:sz="6" w:space="0" w:color="auto"/>
              <w:left w:val="nil"/>
              <w:bottom w:val="nil"/>
              <w:right w:val="nil"/>
            </w:tcBorders>
          </w:tcPr>
          <w:p w14:paraId="3A50329B" w14:textId="33DB43FD"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(3)</w:t>
            </w:r>
          </w:p>
        </w:tc>
      </w:tr>
      <w:tr w:rsidR="002D186D" w:rsidRPr="00CF3C36" w14:paraId="6E6720F2" w14:textId="77777777" w:rsidTr="002D186D">
        <w:trPr>
          <w:jc w:val="center"/>
        </w:trPr>
        <w:tc>
          <w:tcPr>
            <w:tcW w:w="1559" w:type="dxa"/>
            <w:tcBorders>
              <w:top w:val="nil"/>
              <w:left w:val="nil"/>
              <w:bottom w:val="single" w:sz="6" w:space="0" w:color="auto"/>
              <w:right w:val="nil"/>
            </w:tcBorders>
          </w:tcPr>
          <w:p w14:paraId="1D712DD7"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VARIABLES</w:t>
            </w:r>
          </w:p>
          <w:p w14:paraId="7F3608F1" w14:textId="6B990BF4" w:rsidR="00F35DF0" w:rsidRPr="00CF3C36" w:rsidRDefault="00F35DF0"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Dependent variable</w:t>
            </w:r>
          </w:p>
        </w:tc>
        <w:tc>
          <w:tcPr>
            <w:tcW w:w="1843" w:type="dxa"/>
            <w:tcBorders>
              <w:top w:val="nil"/>
              <w:left w:val="nil"/>
              <w:bottom w:val="single" w:sz="6" w:space="0" w:color="auto"/>
              <w:right w:val="nil"/>
            </w:tcBorders>
          </w:tcPr>
          <w:p w14:paraId="7872756E"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w:t>
            </w:r>
          </w:p>
          <w:p w14:paraId="64734DAC" w14:textId="573CAC99" w:rsidR="002D186D" w:rsidRPr="00CF3C36" w:rsidRDefault="003F01C9"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CO2</w:t>
            </w:r>
            <w:r w:rsidR="00F35DF0" w:rsidRPr="00CF3C36">
              <w:rPr>
                <w:rFonts w:ascii="Times New Roman" w:hAnsi="Times New Roman"/>
                <w:sz w:val="18"/>
                <w:szCs w:val="18"/>
                <w:lang w:val="en-GB"/>
              </w:rPr>
              <w:t>_FDIweigthed</w:t>
            </w:r>
          </w:p>
        </w:tc>
        <w:tc>
          <w:tcPr>
            <w:tcW w:w="1276" w:type="dxa"/>
            <w:tcBorders>
              <w:top w:val="nil"/>
              <w:left w:val="nil"/>
              <w:bottom w:val="single" w:sz="6" w:space="0" w:color="auto"/>
              <w:right w:val="nil"/>
            </w:tcBorders>
          </w:tcPr>
          <w:p w14:paraId="756E27F9"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1.1</w:t>
            </w:r>
          </w:p>
          <w:p w14:paraId="5702029B" w14:textId="64C3D23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 xml:space="preserve">FDI-high </w:t>
            </w:r>
            <w:r w:rsidR="003F01C9" w:rsidRPr="00CF3C36">
              <w:rPr>
                <w:rFonts w:ascii="Times New Roman" w:hAnsi="Times New Roman"/>
                <w:sz w:val="18"/>
                <w:szCs w:val="18"/>
                <w:lang w:val="en-GB"/>
              </w:rPr>
              <w:t>CO2</w:t>
            </w:r>
          </w:p>
        </w:tc>
        <w:tc>
          <w:tcPr>
            <w:tcW w:w="1276" w:type="dxa"/>
            <w:tcBorders>
              <w:top w:val="nil"/>
              <w:left w:val="nil"/>
              <w:bottom w:val="single" w:sz="6" w:space="0" w:color="auto"/>
              <w:right w:val="nil"/>
            </w:tcBorders>
          </w:tcPr>
          <w:p w14:paraId="639D472E"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1.2</w:t>
            </w:r>
          </w:p>
          <w:p w14:paraId="032AD44C" w14:textId="728AB5A1"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 xml:space="preserve">FDI-low </w:t>
            </w:r>
            <w:r w:rsidR="003F01C9" w:rsidRPr="00CF3C36">
              <w:rPr>
                <w:rFonts w:ascii="Times New Roman" w:hAnsi="Times New Roman"/>
                <w:sz w:val="18"/>
                <w:szCs w:val="18"/>
                <w:lang w:val="en-GB"/>
              </w:rPr>
              <w:t>CO2</w:t>
            </w:r>
          </w:p>
        </w:tc>
      </w:tr>
      <w:tr w:rsidR="002D186D" w:rsidRPr="00CF3C36" w14:paraId="46BB749E" w14:textId="77777777" w:rsidTr="002D186D">
        <w:trPr>
          <w:jc w:val="center"/>
        </w:trPr>
        <w:tc>
          <w:tcPr>
            <w:tcW w:w="1559" w:type="dxa"/>
            <w:tcBorders>
              <w:top w:val="nil"/>
              <w:left w:val="nil"/>
              <w:bottom w:val="nil"/>
              <w:right w:val="nil"/>
            </w:tcBorders>
          </w:tcPr>
          <w:p w14:paraId="0567C4F3"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843" w:type="dxa"/>
            <w:tcBorders>
              <w:top w:val="nil"/>
              <w:left w:val="nil"/>
              <w:bottom w:val="nil"/>
              <w:right w:val="nil"/>
            </w:tcBorders>
          </w:tcPr>
          <w:p w14:paraId="29160ABA"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276" w:type="dxa"/>
            <w:tcBorders>
              <w:top w:val="nil"/>
              <w:left w:val="nil"/>
              <w:bottom w:val="nil"/>
              <w:right w:val="nil"/>
            </w:tcBorders>
          </w:tcPr>
          <w:p w14:paraId="78FB5A71" w14:textId="3677B2E0"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276" w:type="dxa"/>
            <w:tcBorders>
              <w:top w:val="nil"/>
              <w:left w:val="nil"/>
              <w:bottom w:val="nil"/>
              <w:right w:val="nil"/>
            </w:tcBorders>
          </w:tcPr>
          <w:p w14:paraId="5DC99BC8"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r>
      <w:tr w:rsidR="002D186D" w:rsidRPr="00CF3C36" w14:paraId="64A67230" w14:textId="77777777" w:rsidTr="002D186D">
        <w:trPr>
          <w:jc w:val="center"/>
        </w:trPr>
        <w:tc>
          <w:tcPr>
            <w:tcW w:w="1559" w:type="dxa"/>
            <w:tcBorders>
              <w:top w:val="nil"/>
              <w:left w:val="nil"/>
              <w:bottom w:val="nil"/>
              <w:right w:val="nil"/>
            </w:tcBorders>
          </w:tcPr>
          <w:p w14:paraId="2075BC06"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EPI</w:t>
            </w:r>
          </w:p>
        </w:tc>
        <w:tc>
          <w:tcPr>
            <w:tcW w:w="1843" w:type="dxa"/>
            <w:tcBorders>
              <w:top w:val="nil"/>
              <w:left w:val="nil"/>
              <w:bottom w:val="nil"/>
              <w:right w:val="nil"/>
            </w:tcBorders>
          </w:tcPr>
          <w:p w14:paraId="7E5BE75C" w14:textId="16FB8D95"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0.0320</w:t>
            </w:r>
          </w:p>
        </w:tc>
        <w:tc>
          <w:tcPr>
            <w:tcW w:w="1276" w:type="dxa"/>
            <w:tcBorders>
              <w:top w:val="nil"/>
              <w:left w:val="nil"/>
              <w:bottom w:val="nil"/>
              <w:right w:val="nil"/>
            </w:tcBorders>
          </w:tcPr>
          <w:p w14:paraId="5FBAF7DD" w14:textId="369F73B8"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0.0495</w:t>
            </w:r>
          </w:p>
        </w:tc>
        <w:tc>
          <w:tcPr>
            <w:tcW w:w="1276" w:type="dxa"/>
            <w:tcBorders>
              <w:top w:val="nil"/>
              <w:left w:val="nil"/>
              <w:bottom w:val="nil"/>
              <w:right w:val="nil"/>
            </w:tcBorders>
          </w:tcPr>
          <w:p w14:paraId="22C3B047" w14:textId="11EC39C0"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0.0221</w:t>
            </w:r>
          </w:p>
        </w:tc>
      </w:tr>
      <w:tr w:rsidR="002D186D" w:rsidRPr="00CF3C36" w14:paraId="6B4E749D" w14:textId="77777777" w:rsidTr="002D186D">
        <w:trPr>
          <w:jc w:val="center"/>
        </w:trPr>
        <w:tc>
          <w:tcPr>
            <w:tcW w:w="1559" w:type="dxa"/>
            <w:tcBorders>
              <w:top w:val="nil"/>
              <w:left w:val="nil"/>
              <w:bottom w:val="nil"/>
              <w:right w:val="nil"/>
            </w:tcBorders>
          </w:tcPr>
          <w:p w14:paraId="607778CC"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843" w:type="dxa"/>
            <w:tcBorders>
              <w:top w:val="nil"/>
              <w:left w:val="nil"/>
              <w:bottom w:val="nil"/>
              <w:right w:val="nil"/>
            </w:tcBorders>
          </w:tcPr>
          <w:p w14:paraId="584EF9F1" w14:textId="4B7342ED"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(0.0351)</w:t>
            </w:r>
          </w:p>
        </w:tc>
        <w:tc>
          <w:tcPr>
            <w:tcW w:w="1276" w:type="dxa"/>
            <w:tcBorders>
              <w:top w:val="nil"/>
              <w:left w:val="nil"/>
              <w:bottom w:val="nil"/>
              <w:right w:val="nil"/>
            </w:tcBorders>
          </w:tcPr>
          <w:p w14:paraId="62621062" w14:textId="1E271A6F"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(0.0304)</w:t>
            </w:r>
          </w:p>
        </w:tc>
        <w:tc>
          <w:tcPr>
            <w:tcW w:w="1276" w:type="dxa"/>
            <w:tcBorders>
              <w:top w:val="nil"/>
              <w:left w:val="nil"/>
              <w:bottom w:val="nil"/>
              <w:right w:val="nil"/>
            </w:tcBorders>
          </w:tcPr>
          <w:p w14:paraId="671B7D7B" w14:textId="2E7027B5"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(0.0213)</w:t>
            </w:r>
          </w:p>
        </w:tc>
      </w:tr>
      <w:tr w:rsidR="002D186D" w:rsidRPr="00CF3C36" w14:paraId="283264DE" w14:textId="77777777" w:rsidTr="002D186D">
        <w:trPr>
          <w:jc w:val="center"/>
        </w:trPr>
        <w:tc>
          <w:tcPr>
            <w:tcW w:w="1559" w:type="dxa"/>
            <w:tcBorders>
              <w:top w:val="nil"/>
              <w:left w:val="nil"/>
              <w:bottom w:val="nil"/>
              <w:right w:val="nil"/>
            </w:tcBorders>
          </w:tcPr>
          <w:p w14:paraId="3BDC9E93" w14:textId="59972FF2"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ln_</w:t>
            </w:r>
            <w:r w:rsidR="003F01C9" w:rsidRPr="00CF3C36">
              <w:rPr>
                <w:rFonts w:ascii="Times New Roman" w:hAnsi="Times New Roman"/>
                <w:sz w:val="18"/>
                <w:szCs w:val="18"/>
                <w:lang w:val="en-GB"/>
              </w:rPr>
              <w:t>CO2</w:t>
            </w:r>
            <w:r w:rsidRPr="00CF3C36">
              <w:rPr>
                <w:rFonts w:ascii="Times New Roman" w:hAnsi="Times New Roman"/>
                <w:sz w:val="18"/>
                <w:szCs w:val="18"/>
                <w:lang w:val="en-GB"/>
              </w:rPr>
              <w:t>g_intensity</w:t>
            </w:r>
          </w:p>
        </w:tc>
        <w:tc>
          <w:tcPr>
            <w:tcW w:w="1843" w:type="dxa"/>
            <w:tcBorders>
              <w:top w:val="nil"/>
              <w:left w:val="nil"/>
              <w:bottom w:val="nil"/>
              <w:right w:val="nil"/>
            </w:tcBorders>
          </w:tcPr>
          <w:p w14:paraId="2A71B4FF" w14:textId="1FDB67F9"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2.083***</w:t>
            </w:r>
          </w:p>
        </w:tc>
        <w:tc>
          <w:tcPr>
            <w:tcW w:w="1276" w:type="dxa"/>
            <w:tcBorders>
              <w:top w:val="nil"/>
              <w:left w:val="nil"/>
              <w:bottom w:val="nil"/>
              <w:right w:val="nil"/>
            </w:tcBorders>
          </w:tcPr>
          <w:p w14:paraId="19BC4AD7" w14:textId="68D76605"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276" w:type="dxa"/>
            <w:tcBorders>
              <w:top w:val="nil"/>
              <w:left w:val="nil"/>
              <w:bottom w:val="nil"/>
              <w:right w:val="nil"/>
            </w:tcBorders>
          </w:tcPr>
          <w:p w14:paraId="678FE0FC" w14:textId="1AF26BEB"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r>
      <w:tr w:rsidR="002D186D" w:rsidRPr="00CF3C36" w14:paraId="0B682B6C" w14:textId="77777777" w:rsidTr="002D186D">
        <w:trPr>
          <w:jc w:val="center"/>
        </w:trPr>
        <w:tc>
          <w:tcPr>
            <w:tcW w:w="1559" w:type="dxa"/>
            <w:tcBorders>
              <w:top w:val="nil"/>
              <w:left w:val="nil"/>
              <w:bottom w:val="nil"/>
              <w:right w:val="nil"/>
            </w:tcBorders>
          </w:tcPr>
          <w:p w14:paraId="3054538B"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843" w:type="dxa"/>
            <w:tcBorders>
              <w:top w:val="nil"/>
              <w:left w:val="nil"/>
              <w:bottom w:val="nil"/>
              <w:right w:val="nil"/>
            </w:tcBorders>
          </w:tcPr>
          <w:p w14:paraId="1D25D852" w14:textId="3F30882F"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(0.745)</w:t>
            </w:r>
          </w:p>
        </w:tc>
        <w:tc>
          <w:tcPr>
            <w:tcW w:w="1276" w:type="dxa"/>
            <w:tcBorders>
              <w:top w:val="nil"/>
              <w:left w:val="nil"/>
              <w:bottom w:val="nil"/>
              <w:right w:val="nil"/>
            </w:tcBorders>
          </w:tcPr>
          <w:p w14:paraId="2E15CC7F" w14:textId="673952AE"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276" w:type="dxa"/>
            <w:tcBorders>
              <w:top w:val="nil"/>
              <w:left w:val="nil"/>
              <w:bottom w:val="nil"/>
              <w:right w:val="nil"/>
            </w:tcBorders>
          </w:tcPr>
          <w:p w14:paraId="1552E52D" w14:textId="1F88374B"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r>
      <w:tr w:rsidR="002D186D" w:rsidRPr="00CF3C36" w14:paraId="3F08B9B1" w14:textId="77777777" w:rsidTr="002D186D">
        <w:trPr>
          <w:jc w:val="center"/>
        </w:trPr>
        <w:tc>
          <w:tcPr>
            <w:tcW w:w="1559" w:type="dxa"/>
            <w:tcBorders>
              <w:top w:val="nil"/>
              <w:left w:val="nil"/>
              <w:bottom w:val="nil"/>
              <w:right w:val="nil"/>
            </w:tcBorders>
          </w:tcPr>
          <w:p w14:paraId="36568289"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ln_rgdpna</w:t>
            </w:r>
          </w:p>
        </w:tc>
        <w:tc>
          <w:tcPr>
            <w:tcW w:w="1843" w:type="dxa"/>
            <w:tcBorders>
              <w:top w:val="nil"/>
              <w:left w:val="nil"/>
              <w:bottom w:val="nil"/>
              <w:right w:val="nil"/>
            </w:tcBorders>
          </w:tcPr>
          <w:p w14:paraId="2668868A" w14:textId="43E54CEA"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0.404</w:t>
            </w:r>
          </w:p>
        </w:tc>
        <w:tc>
          <w:tcPr>
            <w:tcW w:w="1276" w:type="dxa"/>
            <w:tcBorders>
              <w:top w:val="nil"/>
              <w:left w:val="nil"/>
              <w:bottom w:val="nil"/>
              <w:right w:val="nil"/>
            </w:tcBorders>
          </w:tcPr>
          <w:p w14:paraId="2FDA935E" w14:textId="5E9A5C2C"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0.0623</w:t>
            </w:r>
          </w:p>
        </w:tc>
        <w:tc>
          <w:tcPr>
            <w:tcW w:w="1276" w:type="dxa"/>
            <w:tcBorders>
              <w:top w:val="nil"/>
              <w:left w:val="nil"/>
              <w:bottom w:val="nil"/>
              <w:right w:val="nil"/>
            </w:tcBorders>
          </w:tcPr>
          <w:p w14:paraId="6F544F91" w14:textId="69C9A6D8"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0.714</w:t>
            </w:r>
          </w:p>
        </w:tc>
      </w:tr>
      <w:tr w:rsidR="002D186D" w:rsidRPr="00CF3C36" w14:paraId="167FAF36" w14:textId="77777777" w:rsidTr="002D186D">
        <w:trPr>
          <w:jc w:val="center"/>
        </w:trPr>
        <w:tc>
          <w:tcPr>
            <w:tcW w:w="1559" w:type="dxa"/>
            <w:tcBorders>
              <w:top w:val="nil"/>
              <w:left w:val="nil"/>
              <w:bottom w:val="nil"/>
              <w:right w:val="nil"/>
            </w:tcBorders>
          </w:tcPr>
          <w:p w14:paraId="4CC89F08"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843" w:type="dxa"/>
            <w:tcBorders>
              <w:top w:val="nil"/>
              <w:left w:val="nil"/>
              <w:bottom w:val="nil"/>
              <w:right w:val="nil"/>
            </w:tcBorders>
          </w:tcPr>
          <w:p w14:paraId="37DA8325" w14:textId="4EC47EAE"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(0.939)</w:t>
            </w:r>
          </w:p>
        </w:tc>
        <w:tc>
          <w:tcPr>
            <w:tcW w:w="1276" w:type="dxa"/>
            <w:tcBorders>
              <w:top w:val="nil"/>
              <w:left w:val="nil"/>
              <w:bottom w:val="nil"/>
              <w:right w:val="nil"/>
            </w:tcBorders>
          </w:tcPr>
          <w:p w14:paraId="4789C6AE" w14:textId="62CEFC3E"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(0.506)</w:t>
            </w:r>
          </w:p>
        </w:tc>
        <w:tc>
          <w:tcPr>
            <w:tcW w:w="1276" w:type="dxa"/>
            <w:tcBorders>
              <w:top w:val="nil"/>
              <w:left w:val="nil"/>
              <w:bottom w:val="nil"/>
              <w:right w:val="nil"/>
            </w:tcBorders>
          </w:tcPr>
          <w:p w14:paraId="0B97D3B6" w14:textId="781291FE"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(0.481)</w:t>
            </w:r>
          </w:p>
        </w:tc>
      </w:tr>
      <w:tr w:rsidR="002D186D" w:rsidRPr="00CF3C36" w14:paraId="6AC419AF" w14:textId="77777777" w:rsidTr="002D186D">
        <w:trPr>
          <w:jc w:val="center"/>
        </w:trPr>
        <w:tc>
          <w:tcPr>
            <w:tcW w:w="1559" w:type="dxa"/>
            <w:tcBorders>
              <w:top w:val="nil"/>
              <w:left w:val="nil"/>
              <w:bottom w:val="nil"/>
              <w:right w:val="nil"/>
            </w:tcBorders>
          </w:tcPr>
          <w:p w14:paraId="3B716D61"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SE_terX</w:t>
            </w:r>
          </w:p>
        </w:tc>
        <w:tc>
          <w:tcPr>
            <w:tcW w:w="1843" w:type="dxa"/>
            <w:tcBorders>
              <w:top w:val="nil"/>
              <w:left w:val="nil"/>
              <w:bottom w:val="nil"/>
              <w:right w:val="nil"/>
            </w:tcBorders>
          </w:tcPr>
          <w:p w14:paraId="16FABD19" w14:textId="633CB299"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-0.00568</w:t>
            </w:r>
          </w:p>
        </w:tc>
        <w:tc>
          <w:tcPr>
            <w:tcW w:w="1276" w:type="dxa"/>
            <w:tcBorders>
              <w:top w:val="nil"/>
              <w:left w:val="nil"/>
              <w:bottom w:val="nil"/>
              <w:right w:val="nil"/>
            </w:tcBorders>
          </w:tcPr>
          <w:p w14:paraId="097DF603" w14:textId="39AFC4D2"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-0.0176***</w:t>
            </w:r>
          </w:p>
        </w:tc>
        <w:tc>
          <w:tcPr>
            <w:tcW w:w="1276" w:type="dxa"/>
            <w:tcBorders>
              <w:top w:val="nil"/>
              <w:left w:val="nil"/>
              <w:bottom w:val="nil"/>
              <w:right w:val="nil"/>
            </w:tcBorders>
          </w:tcPr>
          <w:p w14:paraId="4053876A" w14:textId="7B77C231"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0.00593</w:t>
            </w:r>
          </w:p>
        </w:tc>
      </w:tr>
      <w:tr w:rsidR="002D186D" w:rsidRPr="00CF3C36" w14:paraId="34907A3F" w14:textId="77777777" w:rsidTr="002D186D">
        <w:trPr>
          <w:jc w:val="center"/>
        </w:trPr>
        <w:tc>
          <w:tcPr>
            <w:tcW w:w="1559" w:type="dxa"/>
            <w:tcBorders>
              <w:top w:val="nil"/>
              <w:left w:val="nil"/>
              <w:bottom w:val="nil"/>
              <w:right w:val="nil"/>
            </w:tcBorders>
          </w:tcPr>
          <w:p w14:paraId="001A5048"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843" w:type="dxa"/>
            <w:tcBorders>
              <w:top w:val="nil"/>
              <w:left w:val="nil"/>
              <w:bottom w:val="nil"/>
              <w:right w:val="nil"/>
            </w:tcBorders>
          </w:tcPr>
          <w:p w14:paraId="0CD969D7" w14:textId="2A9C8C2C"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(0.00850)</w:t>
            </w:r>
          </w:p>
        </w:tc>
        <w:tc>
          <w:tcPr>
            <w:tcW w:w="1276" w:type="dxa"/>
            <w:tcBorders>
              <w:top w:val="nil"/>
              <w:left w:val="nil"/>
              <w:bottom w:val="nil"/>
              <w:right w:val="nil"/>
            </w:tcBorders>
          </w:tcPr>
          <w:p w14:paraId="0C867775" w14:textId="271E6E2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(0.00459)</w:t>
            </w:r>
          </w:p>
        </w:tc>
        <w:tc>
          <w:tcPr>
            <w:tcW w:w="1276" w:type="dxa"/>
            <w:tcBorders>
              <w:top w:val="nil"/>
              <w:left w:val="nil"/>
              <w:bottom w:val="nil"/>
              <w:right w:val="nil"/>
            </w:tcBorders>
          </w:tcPr>
          <w:p w14:paraId="1DA177CF" w14:textId="3C61DAFF"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(0.00687)</w:t>
            </w:r>
          </w:p>
        </w:tc>
      </w:tr>
      <w:tr w:rsidR="002D186D" w:rsidRPr="00CF3C36" w14:paraId="1417F1F8" w14:textId="77777777" w:rsidTr="002D186D">
        <w:trPr>
          <w:jc w:val="center"/>
        </w:trPr>
        <w:tc>
          <w:tcPr>
            <w:tcW w:w="1559" w:type="dxa"/>
            <w:tcBorders>
              <w:top w:val="nil"/>
              <w:left w:val="nil"/>
              <w:bottom w:val="nil"/>
              <w:right w:val="nil"/>
            </w:tcBorders>
          </w:tcPr>
          <w:p w14:paraId="25AE8127"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eodb1</w:t>
            </w:r>
          </w:p>
        </w:tc>
        <w:tc>
          <w:tcPr>
            <w:tcW w:w="1843" w:type="dxa"/>
            <w:tcBorders>
              <w:top w:val="nil"/>
              <w:left w:val="nil"/>
              <w:bottom w:val="nil"/>
              <w:right w:val="nil"/>
            </w:tcBorders>
          </w:tcPr>
          <w:p w14:paraId="15A314E6" w14:textId="52BA3FBC"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-0.0164</w:t>
            </w:r>
          </w:p>
        </w:tc>
        <w:tc>
          <w:tcPr>
            <w:tcW w:w="1276" w:type="dxa"/>
            <w:tcBorders>
              <w:top w:val="nil"/>
              <w:left w:val="nil"/>
              <w:bottom w:val="nil"/>
              <w:right w:val="nil"/>
            </w:tcBorders>
          </w:tcPr>
          <w:p w14:paraId="329D8CD6" w14:textId="55749B0B"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-0.0343</w:t>
            </w:r>
          </w:p>
        </w:tc>
        <w:tc>
          <w:tcPr>
            <w:tcW w:w="1276" w:type="dxa"/>
            <w:tcBorders>
              <w:top w:val="nil"/>
              <w:left w:val="nil"/>
              <w:bottom w:val="nil"/>
              <w:right w:val="nil"/>
            </w:tcBorders>
          </w:tcPr>
          <w:p w14:paraId="6130B526" w14:textId="111B3298"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-0.000308</w:t>
            </w:r>
          </w:p>
        </w:tc>
      </w:tr>
      <w:tr w:rsidR="002D186D" w:rsidRPr="00CF3C36" w14:paraId="71A4E1BA" w14:textId="77777777" w:rsidTr="002D186D">
        <w:trPr>
          <w:jc w:val="center"/>
        </w:trPr>
        <w:tc>
          <w:tcPr>
            <w:tcW w:w="1559" w:type="dxa"/>
            <w:tcBorders>
              <w:top w:val="nil"/>
              <w:left w:val="nil"/>
              <w:bottom w:val="nil"/>
              <w:right w:val="nil"/>
            </w:tcBorders>
          </w:tcPr>
          <w:p w14:paraId="75AA682B"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843" w:type="dxa"/>
            <w:tcBorders>
              <w:top w:val="nil"/>
              <w:left w:val="nil"/>
              <w:bottom w:val="nil"/>
              <w:right w:val="nil"/>
            </w:tcBorders>
          </w:tcPr>
          <w:p w14:paraId="4BBD27EE" w14:textId="4E2C01A3"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(0.0179)</w:t>
            </w:r>
          </w:p>
        </w:tc>
        <w:tc>
          <w:tcPr>
            <w:tcW w:w="1276" w:type="dxa"/>
            <w:tcBorders>
              <w:top w:val="nil"/>
              <w:left w:val="nil"/>
              <w:bottom w:val="nil"/>
              <w:right w:val="nil"/>
            </w:tcBorders>
          </w:tcPr>
          <w:p w14:paraId="256B38DA" w14:textId="756CDCC5"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(0.0184)</w:t>
            </w:r>
          </w:p>
        </w:tc>
        <w:tc>
          <w:tcPr>
            <w:tcW w:w="1276" w:type="dxa"/>
            <w:tcBorders>
              <w:top w:val="nil"/>
              <w:left w:val="nil"/>
              <w:bottom w:val="nil"/>
              <w:right w:val="nil"/>
            </w:tcBorders>
          </w:tcPr>
          <w:p w14:paraId="1D70C728" w14:textId="5B70AF68"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(0.0147)</w:t>
            </w:r>
          </w:p>
        </w:tc>
      </w:tr>
      <w:tr w:rsidR="002D186D" w:rsidRPr="00CF3C36" w14:paraId="44BBE235" w14:textId="77777777" w:rsidTr="002D186D">
        <w:trPr>
          <w:jc w:val="center"/>
        </w:trPr>
        <w:tc>
          <w:tcPr>
            <w:tcW w:w="1559" w:type="dxa"/>
            <w:tcBorders>
              <w:top w:val="nil"/>
              <w:left w:val="nil"/>
              <w:bottom w:val="nil"/>
              <w:right w:val="nil"/>
            </w:tcBorders>
          </w:tcPr>
          <w:p w14:paraId="5D74A0E5"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governance</w:t>
            </w:r>
          </w:p>
        </w:tc>
        <w:tc>
          <w:tcPr>
            <w:tcW w:w="1843" w:type="dxa"/>
            <w:tcBorders>
              <w:top w:val="nil"/>
              <w:left w:val="nil"/>
              <w:bottom w:val="nil"/>
              <w:right w:val="nil"/>
            </w:tcBorders>
          </w:tcPr>
          <w:p w14:paraId="65908F4A" w14:textId="0947AB1A"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-0.118</w:t>
            </w:r>
          </w:p>
        </w:tc>
        <w:tc>
          <w:tcPr>
            <w:tcW w:w="1276" w:type="dxa"/>
            <w:tcBorders>
              <w:top w:val="nil"/>
              <w:left w:val="nil"/>
              <w:bottom w:val="nil"/>
              <w:right w:val="nil"/>
            </w:tcBorders>
          </w:tcPr>
          <w:p w14:paraId="5E4D4E07" w14:textId="6C5E615B"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-0.0766</w:t>
            </w:r>
          </w:p>
        </w:tc>
        <w:tc>
          <w:tcPr>
            <w:tcW w:w="1276" w:type="dxa"/>
            <w:tcBorders>
              <w:top w:val="nil"/>
              <w:left w:val="nil"/>
              <w:bottom w:val="nil"/>
              <w:right w:val="nil"/>
            </w:tcBorders>
          </w:tcPr>
          <w:p w14:paraId="56B73E67" w14:textId="0D061FD9"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0.174</w:t>
            </w:r>
          </w:p>
        </w:tc>
      </w:tr>
      <w:tr w:rsidR="002D186D" w:rsidRPr="00CF3C36" w14:paraId="1E02ABFE" w14:textId="77777777" w:rsidTr="002D186D">
        <w:trPr>
          <w:jc w:val="center"/>
        </w:trPr>
        <w:tc>
          <w:tcPr>
            <w:tcW w:w="1559" w:type="dxa"/>
            <w:tcBorders>
              <w:top w:val="nil"/>
              <w:left w:val="nil"/>
              <w:bottom w:val="nil"/>
              <w:right w:val="nil"/>
            </w:tcBorders>
          </w:tcPr>
          <w:p w14:paraId="76E1D1FC"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843" w:type="dxa"/>
            <w:tcBorders>
              <w:top w:val="nil"/>
              <w:left w:val="nil"/>
              <w:bottom w:val="nil"/>
              <w:right w:val="nil"/>
            </w:tcBorders>
          </w:tcPr>
          <w:p w14:paraId="2C933F17" w14:textId="1D7BB29B"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(0.268)</w:t>
            </w:r>
          </w:p>
        </w:tc>
        <w:tc>
          <w:tcPr>
            <w:tcW w:w="1276" w:type="dxa"/>
            <w:tcBorders>
              <w:top w:val="nil"/>
              <w:left w:val="nil"/>
              <w:bottom w:val="nil"/>
              <w:right w:val="nil"/>
            </w:tcBorders>
          </w:tcPr>
          <w:p w14:paraId="50419C5E" w14:textId="7BC9E08F"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(0.132)</w:t>
            </w:r>
          </w:p>
        </w:tc>
        <w:tc>
          <w:tcPr>
            <w:tcW w:w="1276" w:type="dxa"/>
            <w:tcBorders>
              <w:top w:val="nil"/>
              <w:left w:val="nil"/>
              <w:bottom w:val="nil"/>
              <w:right w:val="nil"/>
            </w:tcBorders>
          </w:tcPr>
          <w:p w14:paraId="0018AAAD" w14:textId="3F006CFF"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(0.148)</w:t>
            </w:r>
          </w:p>
        </w:tc>
      </w:tr>
      <w:tr w:rsidR="002D186D" w:rsidRPr="00CF3C36" w14:paraId="331FC251" w14:textId="77777777" w:rsidTr="002D186D">
        <w:trPr>
          <w:jc w:val="center"/>
        </w:trPr>
        <w:tc>
          <w:tcPr>
            <w:tcW w:w="1559" w:type="dxa"/>
            <w:tcBorders>
              <w:top w:val="nil"/>
              <w:left w:val="nil"/>
              <w:bottom w:val="nil"/>
              <w:right w:val="nil"/>
            </w:tcBorders>
          </w:tcPr>
          <w:p w14:paraId="678CF721"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ln_KL</w:t>
            </w:r>
          </w:p>
        </w:tc>
        <w:tc>
          <w:tcPr>
            <w:tcW w:w="1843" w:type="dxa"/>
            <w:tcBorders>
              <w:top w:val="nil"/>
              <w:left w:val="nil"/>
              <w:bottom w:val="nil"/>
              <w:right w:val="nil"/>
            </w:tcBorders>
          </w:tcPr>
          <w:p w14:paraId="11F15CA2" w14:textId="2D7F939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7.767***</w:t>
            </w:r>
          </w:p>
        </w:tc>
        <w:tc>
          <w:tcPr>
            <w:tcW w:w="1276" w:type="dxa"/>
            <w:tcBorders>
              <w:top w:val="nil"/>
              <w:left w:val="nil"/>
              <w:bottom w:val="nil"/>
              <w:right w:val="nil"/>
            </w:tcBorders>
          </w:tcPr>
          <w:p w14:paraId="25F18E3F" w14:textId="0AB8BB93"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4.676*</w:t>
            </w:r>
          </w:p>
        </w:tc>
        <w:tc>
          <w:tcPr>
            <w:tcW w:w="1276" w:type="dxa"/>
            <w:tcBorders>
              <w:top w:val="nil"/>
              <w:left w:val="nil"/>
              <w:bottom w:val="nil"/>
              <w:right w:val="nil"/>
            </w:tcBorders>
          </w:tcPr>
          <w:p w14:paraId="3EEAD7E2" w14:textId="0E625013"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-2.096</w:t>
            </w:r>
          </w:p>
        </w:tc>
      </w:tr>
      <w:tr w:rsidR="002D186D" w:rsidRPr="00CF3C36" w14:paraId="182E551E" w14:textId="77777777" w:rsidTr="002D186D">
        <w:trPr>
          <w:jc w:val="center"/>
        </w:trPr>
        <w:tc>
          <w:tcPr>
            <w:tcW w:w="1559" w:type="dxa"/>
            <w:tcBorders>
              <w:top w:val="nil"/>
              <w:left w:val="nil"/>
              <w:bottom w:val="nil"/>
              <w:right w:val="nil"/>
            </w:tcBorders>
          </w:tcPr>
          <w:p w14:paraId="646E680D"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843" w:type="dxa"/>
            <w:tcBorders>
              <w:top w:val="nil"/>
              <w:left w:val="nil"/>
              <w:bottom w:val="nil"/>
              <w:right w:val="nil"/>
            </w:tcBorders>
          </w:tcPr>
          <w:p w14:paraId="5F1A414F" w14:textId="124DD2F0"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(2.150)</w:t>
            </w:r>
          </w:p>
        </w:tc>
        <w:tc>
          <w:tcPr>
            <w:tcW w:w="1276" w:type="dxa"/>
            <w:tcBorders>
              <w:top w:val="nil"/>
              <w:left w:val="nil"/>
              <w:bottom w:val="nil"/>
              <w:right w:val="nil"/>
            </w:tcBorders>
          </w:tcPr>
          <w:p w14:paraId="7A9AB7A0" w14:textId="6C009FFC"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(2.126)</w:t>
            </w:r>
          </w:p>
        </w:tc>
        <w:tc>
          <w:tcPr>
            <w:tcW w:w="1276" w:type="dxa"/>
            <w:tcBorders>
              <w:top w:val="nil"/>
              <w:left w:val="nil"/>
              <w:bottom w:val="nil"/>
              <w:right w:val="nil"/>
            </w:tcBorders>
          </w:tcPr>
          <w:p w14:paraId="1C836D76" w14:textId="6CA6AFC8"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(1.871)</w:t>
            </w:r>
          </w:p>
        </w:tc>
      </w:tr>
      <w:tr w:rsidR="002D186D" w:rsidRPr="00CF3C36" w14:paraId="15D01135" w14:textId="77777777" w:rsidTr="002D186D">
        <w:trPr>
          <w:jc w:val="center"/>
        </w:trPr>
        <w:tc>
          <w:tcPr>
            <w:tcW w:w="1559" w:type="dxa"/>
            <w:tcBorders>
              <w:top w:val="nil"/>
              <w:left w:val="nil"/>
              <w:bottom w:val="nil"/>
              <w:right w:val="nil"/>
            </w:tcBorders>
          </w:tcPr>
          <w:p w14:paraId="44841373"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ln_KL_2</w:t>
            </w:r>
          </w:p>
        </w:tc>
        <w:tc>
          <w:tcPr>
            <w:tcW w:w="1843" w:type="dxa"/>
            <w:tcBorders>
              <w:top w:val="nil"/>
              <w:left w:val="nil"/>
              <w:bottom w:val="nil"/>
              <w:right w:val="nil"/>
            </w:tcBorders>
          </w:tcPr>
          <w:p w14:paraId="2B20E9CE" w14:textId="4EA1F4D0"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-0.780***</w:t>
            </w:r>
          </w:p>
        </w:tc>
        <w:tc>
          <w:tcPr>
            <w:tcW w:w="1276" w:type="dxa"/>
            <w:tcBorders>
              <w:top w:val="nil"/>
              <w:left w:val="nil"/>
              <w:bottom w:val="nil"/>
              <w:right w:val="nil"/>
            </w:tcBorders>
          </w:tcPr>
          <w:p w14:paraId="19EAFB6C" w14:textId="6F067F7B"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-0.587**</w:t>
            </w:r>
          </w:p>
        </w:tc>
        <w:tc>
          <w:tcPr>
            <w:tcW w:w="1276" w:type="dxa"/>
            <w:tcBorders>
              <w:top w:val="nil"/>
              <w:left w:val="nil"/>
              <w:bottom w:val="nil"/>
              <w:right w:val="nil"/>
            </w:tcBorders>
          </w:tcPr>
          <w:p w14:paraId="66BC0D23" w14:textId="51B2856A"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0.0895</w:t>
            </w:r>
          </w:p>
        </w:tc>
      </w:tr>
      <w:tr w:rsidR="002D186D" w:rsidRPr="00CF3C36" w14:paraId="47D9B269" w14:textId="77777777" w:rsidTr="002D186D">
        <w:trPr>
          <w:jc w:val="center"/>
        </w:trPr>
        <w:tc>
          <w:tcPr>
            <w:tcW w:w="1559" w:type="dxa"/>
            <w:tcBorders>
              <w:top w:val="nil"/>
              <w:left w:val="nil"/>
              <w:bottom w:val="nil"/>
              <w:right w:val="nil"/>
            </w:tcBorders>
          </w:tcPr>
          <w:p w14:paraId="6A30D998"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843" w:type="dxa"/>
            <w:tcBorders>
              <w:top w:val="nil"/>
              <w:left w:val="nil"/>
              <w:bottom w:val="nil"/>
              <w:right w:val="nil"/>
            </w:tcBorders>
          </w:tcPr>
          <w:p w14:paraId="747CE6D0" w14:textId="3639AF2C"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(0.235)</w:t>
            </w:r>
          </w:p>
        </w:tc>
        <w:tc>
          <w:tcPr>
            <w:tcW w:w="1276" w:type="dxa"/>
            <w:tcBorders>
              <w:top w:val="nil"/>
              <w:left w:val="nil"/>
              <w:bottom w:val="nil"/>
              <w:right w:val="nil"/>
            </w:tcBorders>
          </w:tcPr>
          <w:p w14:paraId="6F189706" w14:textId="6755721D"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(0.194)</w:t>
            </w:r>
          </w:p>
        </w:tc>
        <w:tc>
          <w:tcPr>
            <w:tcW w:w="1276" w:type="dxa"/>
            <w:tcBorders>
              <w:top w:val="nil"/>
              <w:left w:val="nil"/>
              <w:bottom w:val="nil"/>
              <w:right w:val="nil"/>
            </w:tcBorders>
          </w:tcPr>
          <w:p w14:paraId="1D66B638" w14:textId="48B513CA"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(0.172)</w:t>
            </w:r>
          </w:p>
        </w:tc>
      </w:tr>
      <w:tr w:rsidR="002D186D" w:rsidRPr="00CF3C36" w14:paraId="1375C69E" w14:textId="77777777" w:rsidTr="002D186D">
        <w:trPr>
          <w:jc w:val="center"/>
        </w:trPr>
        <w:tc>
          <w:tcPr>
            <w:tcW w:w="1559" w:type="dxa"/>
            <w:tcBorders>
              <w:top w:val="nil"/>
              <w:left w:val="nil"/>
              <w:bottom w:val="nil"/>
              <w:right w:val="nil"/>
            </w:tcBorders>
          </w:tcPr>
          <w:p w14:paraId="059E399E"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EPI_ln_KL_cen</w:t>
            </w:r>
          </w:p>
        </w:tc>
        <w:tc>
          <w:tcPr>
            <w:tcW w:w="1843" w:type="dxa"/>
            <w:tcBorders>
              <w:top w:val="nil"/>
              <w:left w:val="nil"/>
              <w:bottom w:val="nil"/>
              <w:right w:val="nil"/>
            </w:tcBorders>
          </w:tcPr>
          <w:p w14:paraId="4E5F66FC" w14:textId="5E01FC21"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0.211</w:t>
            </w:r>
          </w:p>
        </w:tc>
        <w:tc>
          <w:tcPr>
            <w:tcW w:w="1276" w:type="dxa"/>
            <w:tcBorders>
              <w:top w:val="nil"/>
              <w:left w:val="nil"/>
              <w:bottom w:val="nil"/>
              <w:right w:val="nil"/>
            </w:tcBorders>
          </w:tcPr>
          <w:p w14:paraId="22152337" w14:textId="5407BA0B"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0.136**</w:t>
            </w:r>
          </w:p>
        </w:tc>
        <w:tc>
          <w:tcPr>
            <w:tcW w:w="1276" w:type="dxa"/>
            <w:tcBorders>
              <w:top w:val="nil"/>
              <w:left w:val="nil"/>
              <w:bottom w:val="nil"/>
              <w:right w:val="nil"/>
            </w:tcBorders>
          </w:tcPr>
          <w:p w14:paraId="1FF4AD07" w14:textId="65C515E1"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-0.120</w:t>
            </w:r>
          </w:p>
        </w:tc>
      </w:tr>
      <w:tr w:rsidR="002D186D" w:rsidRPr="00CF3C36" w14:paraId="31178353" w14:textId="77777777" w:rsidTr="002D186D">
        <w:trPr>
          <w:jc w:val="center"/>
        </w:trPr>
        <w:tc>
          <w:tcPr>
            <w:tcW w:w="1559" w:type="dxa"/>
            <w:tcBorders>
              <w:top w:val="nil"/>
              <w:left w:val="nil"/>
              <w:bottom w:val="nil"/>
              <w:right w:val="nil"/>
            </w:tcBorders>
          </w:tcPr>
          <w:p w14:paraId="2851552C"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843" w:type="dxa"/>
            <w:tcBorders>
              <w:top w:val="nil"/>
              <w:left w:val="nil"/>
              <w:bottom w:val="nil"/>
              <w:right w:val="nil"/>
            </w:tcBorders>
          </w:tcPr>
          <w:p w14:paraId="112FC492" w14:textId="0D327354"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(0.144)</w:t>
            </w:r>
          </w:p>
        </w:tc>
        <w:tc>
          <w:tcPr>
            <w:tcW w:w="1276" w:type="dxa"/>
            <w:tcBorders>
              <w:top w:val="nil"/>
              <w:left w:val="nil"/>
              <w:bottom w:val="nil"/>
              <w:right w:val="nil"/>
            </w:tcBorders>
          </w:tcPr>
          <w:p w14:paraId="533D2E2F" w14:textId="47792D55"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(0.0559)</w:t>
            </w:r>
          </w:p>
        </w:tc>
        <w:tc>
          <w:tcPr>
            <w:tcW w:w="1276" w:type="dxa"/>
            <w:tcBorders>
              <w:top w:val="nil"/>
              <w:left w:val="nil"/>
              <w:bottom w:val="nil"/>
              <w:right w:val="nil"/>
            </w:tcBorders>
          </w:tcPr>
          <w:p w14:paraId="6D219990" w14:textId="54E54F59"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(0.120)</w:t>
            </w:r>
          </w:p>
        </w:tc>
      </w:tr>
      <w:tr w:rsidR="002D186D" w:rsidRPr="00CF3C36" w14:paraId="7E2A116D" w14:textId="77777777" w:rsidTr="002D186D">
        <w:trPr>
          <w:jc w:val="center"/>
        </w:trPr>
        <w:tc>
          <w:tcPr>
            <w:tcW w:w="1559" w:type="dxa"/>
            <w:tcBorders>
              <w:top w:val="nil"/>
              <w:left w:val="nil"/>
              <w:bottom w:val="nil"/>
              <w:right w:val="nil"/>
            </w:tcBorders>
          </w:tcPr>
          <w:p w14:paraId="6E15C650"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EPI_ln_KL_2_cen</w:t>
            </w:r>
          </w:p>
        </w:tc>
        <w:tc>
          <w:tcPr>
            <w:tcW w:w="1843" w:type="dxa"/>
            <w:tcBorders>
              <w:top w:val="nil"/>
              <w:left w:val="nil"/>
              <w:bottom w:val="nil"/>
              <w:right w:val="nil"/>
            </w:tcBorders>
          </w:tcPr>
          <w:p w14:paraId="1869EFC8" w14:textId="637F2239"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-0.0210</w:t>
            </w:r>
          </w:p>
        </w:tc>
        <w:tc>
          <w:tcPr>
            <w:tcW w:w="1276" w:type="dxa"/>
            <w:tcBorders>
              <w:top w:val="nil"/>
              <w:left w:val="nil"/>
              <w:bottom w:val="nil"/>
              <w:right w:val="nil"/>
            </w:tcBorders>
          </w:tcPr>
          <w:p w14:paraId="5465EFFC" w14:textId="0ECD00F4"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-0.0132**</w:t>
            </w:r>
          </w:p>
        </w:tc>
        <w:tc>
          <w:tcPr>
            <w:tcW w:w="1276" w:type="dxa"/>
            <w:tcBorders>
              <w:top w:val="nil"/>
              <w:left w:val="nil"/>
              <w:bottom w:val="nil"/>
              <w:right w:val="nil"/>
            </w:tcBorders>
          </w:tcPr>
          <w:p w14:paraId="65B47960" w14:textId="7C21F7C6"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0.0155</w:t>
            </w:r>
          </w:p>
        </w:tc>
      </w:tr>
      <w:tr w:rsidR="002D186D" w:rsidRPr="00CF3C36" w14:paraId="0A8CC7B0" w14:textId="77777777" w:rsidTr="002D186D">
        <w:trPr>
          <w:jc w:val="center"/>
        </w:trPr>
        <w:tc>
          <w:tcPr>
            <w:tcW w:w="1559" w:type="dxa"/>
            <w:tcBorders>
              <w:top w:val="nil"/>
              <w:left w:val="nil"/>
              <w:bottom w:val="nil"/>
              <w:right w:val="nil"/>
            </w:tcBorders>
          </w:tcPr>
          <w:p w14:paraId="2EEB8473"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843" w:type="dxa"/>
            <w:tcBorders>
              <w:top w:val="nil"/>
              <w:left w:val="nil"/>
              <w:bottom w:val="nil"/>
              <w:right w:val="nil"/>
            </w:tcBorders>
          </w:tcPr>
          <w:p w14:paraId="01AB822A" w14:textId="1F50D434"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(0.0164)</w:t>
            </w:r>
          </w:p>
        </w:tc>
        <w:tc>
          <w:tcPr>
            <w:tcW w:w="1276" w:type="dxa"/>
            <w:tcBorders>
              <w:top w:val="nil"/>
              <w:left w:val="nil"/>
              <w:bottom w:val="nil"/>
              <w:right w:val="nil"/>
            </w:tcBorders>
          </w:tcPr>
          <w:p w14:paraId="1C450160" w14:textId="69AA59C5"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(0.00523)</w:t>
            </w:r>
          </w:p>
        </w:tc>
        <w:tc>
          <w:tcPr>
            <w:tcW w:w="1276" w:type="dxa"/>
            <w:tcBorders>
              <w:top w:val="nil"/>
              <w:left w:val="nil"/>
              <w:bottom w:val="nil"/>
              <w:right w:val="nil"/>
            </w:tcBorders>
          </w:tcPr>
          <w:p w14:paraId="1E52924C" w14:textId="3E2B5D18"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(0.0123)</w:t>
            </w:r>
          </w:p>
        </w:tc>
      </w:tr>
      <w:tr w:rsidR="002D186D" w:rsidRPr="00CF3C36" w14:paraId="67898B56" w14:textId="77777777" w:rsidTr="002D186D">
        <w:trPr>
          <w:jc w:val="center"/>
        </w:trPr>
        <w:tc>
          <w:tcPr>
            <w:tcW w:w="1559" w:type="dxa"/>
            <w:tcBorders>
              <w:top w:val="nil"/>
              <w:left w:val="nil"/>
              <w:bottom w:val="nil"/>
              <w:right w:val="nil"/>
            </w:tcBorders>
          </w:tcPr>
          <w:p w14:paraId="55D56BD3"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Constant</w:t>
            </w:r>
          </w:p>
        </w:tc>
        <w:tc>
          <w:tcPr>
            <w:tcW w:w="1843" w:type="dxa"/>
            <w:tcBorders>
              <w:top w:val="nil"/>
              <w:left w:val="nil"/>
              <w:bottom w:val="nil"/>
              <w:right w:val="nil"/>
            </w:tcBorders>
          </w:tcPr>
          <w:p w14:paraId="2F32984D" w14:textId="7AE98D2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-27.90*</w:t>
            </w:r>
          </w:p>
        </w:tc>
        <w:tc>
          <w:tcPr>
            <w:tcW w:w="1276" w:type="dxa"/>
            <w:tcBorders>
              <w:top w:val="nil"/>
              <w:left w:val="nil"/>
              <w:bottom w:val="nil"/>
              <w:right w:val="nil"/>
            </w:tcBorders>
          </w:tcPr>
          <w:p w14:paraId="77966307" w14:textId="4742BF32"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0.0902</w:t>
            </w:r>
          </w:p>
        </w:tc>
        <w:tc>
          <w:tcPr>
            <w:tcW w:w="1276" w:type="dxa"/>
            <w:tcBorders>
              <w:top w:val="nil"/>
              <w:left w:val="nil"/>
              <w:bottom w:val="nil"/>
              <w:right w:val="nil"/>
            </w:tcBorders>
          </w:tcPr>
          <w:p w14:paraId="5F61FA87" w14:textId="209F266E"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5.023</w:t>
            </w:r>
          </w:p>
        </w:tc>
      </w:tr>
      <w:tr w:rsidR="002D186D" w:rsidRPr="00CF3C36" w14:paraId="63567ACB" w14:textId="77777777" w:rsidTr="002D186D">
        <w:trPr>
          <w:jc w:val="center"/>
        </w:trPr>
        <w:tc>
          <w:tcPr>
            <w:tcW w:w="1559" w:type="dxa"/>
            <w:tcBorders>
              <w:top w:val="nil"/>
              <w:left w:val="nil"/>
              <w:bottom w:val="nil"/>
              <w:right w:val="nil"/>
            </w:tcBorders>
          </w:tcPr>
          <w:p w14:paraId="22B342FA"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843" w:type="dxa"/>
            <w:tcBorders>
              <w:top w:val="nil"/>
              <w:left w:val="nil"/>
              <w:bottom w:val="nil"/>
              <w:right w:val="nil"/>
            </w:tcBorders>
          </w:tcPr>
          <w:p w14:paraId="5FEB0BEB" w14:textId="6CD90F32"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(16.09)</w:t>
            </w:r>
          </w:p>
        </w:tc>
        <w:tc>
          <w:tcPr>
            <w:tcW w:w="1276" w:type="dxa"/>
            <w:tcBorders>
              <w:top w:val="nil"/>
              <w:left w:val="nil"/>
              <w:bottom w:val="nil"/>
              <w:right w:val="nil"/>
            </w:tcBorders>
          </w:tcPr>
          <w:p w14:paraId="521D3767" w14:textId="66ADB8D4"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(6.697)</w:t>
            </w:r>
          </w:p>
        </w:tc>
        <w:tc>
          <w:tcPr>
            <w:tcW w:w="1276" w:type="dxa"/>
            <w:tcBorders>
              <w:top w:val="nil"/>
              <w:left w:val="nil"/>
              <w:bottom w:val="nil"/>
              <w:right w:val="nil"/>
            </w:tcBorders>
          </w:tcPr>
          <w:p w14:paraId="45E3484E" w14:textId="14921318"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(6.114)</w:t>
            </w:r>
          </w:p>
        </w:tc>
      </w:tr>
      <w:tr w:rsidR="002D186D" w:rsidRPr="00CF3C36" w14:paraId="7F444CDE" w14:textId="77777777" w:rsidTr="002D186D">
        <w:trPr>
          <w:jc w:val="center"/>
        </w:trPr>
        <w:tc>
          <w:tcPr>
            <w:tcW w:w="1559" w:type="dxa"/>
            <w:tcBorders>
              <w:top w:val="nil"/>
              <w:left w:val="nil"/>
              <w:bottom w:val="nil"/>
              <w:right w:val="nil"/>
            </w:tcBorders>
          </w:tcPr>
          <w:p w14:paraId="07B1AED1"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843" w:type="dxa"/>
            <w:tcBorders>
              <w:top w:val="nil"/>
              <w:left w:val="nil"/>
              <w:bottom w:val="nil"/>
              <w:right w:val="nil"/>
            </w:tcBorders>
          </w:tcPr>
          <w:p w14:paraId="2B7F04FD"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276" w:type="dxa"/>
            <w:tcBorders>
              <w:top w:val="nil"/>
              <w:left w:val="nil"/>
              <w:bottom w:val="nil"/>
              <w:right w:val="nil"/>
            </w:tcBorders>
          </w:tcPr>
          <w:p w14:paraId="468C3F13" w14:textId="57351BF9"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c>
          <w:tcPr>
            <w:tcW w:w="1276" w:type="dxa"/>
            <w:tcBorders>
              <w:top w:val="nil"/>
              <w:left w:val="nil"/>
              <w:bottom w:val="nil"/>
              <w:right w:val="nil"/>
            </w:tcBorders>
          </w:tcPr>
          <w:p w14:paraId="0D5C89C2"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p>
        </w:tc>
      </w:tr>
      <w:tr w:rsidR="002D186D" w:rsidRPr="00CF3C36" w14:paraId="422C3FBD" w14:textId="77777777" w:rsidTr="002D186D">
        <w:trPr>
          <w:jc w:val="center"/>
        </w:trPr>
        <w:tc>
          <w:tcPr>
            <w:tcW w:w="1559" w:type="dxa"/>
            <w:tcBorders>
              <w:top w:val="nil"/>
              <w:left w:val="nil"/>
              <w:bottom w:val="nil"/>
              <w:right w:val="nil"/>
            </w:tcBorders>
          </w:tcPr>
          <w:p w14:paraId="7A45EF15"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Observations</w:t>
            </w:r>
          </w:p>
        </w:tc>
        <w:tc>
          <w:tcPr>
            <w:tcW w:w="1843" w:type="dxa"/>
            <w:tcBorders>
              <w:top w:val="nil"/>
              <w:left w:val="nil"/>
              <w:bottom w:val="nil"/>
              <w:right w:val="nil"/>
            </w:tcBorders>
          </w:tcPr>
          <w:p w14:paraId="692FEC7D" w14:textId="5E28DF15"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c>
          <w:tcPr>
            <w:tcW w:w="1276" w:type="dxa"/>
            <w:tcBorders>
              <w:top w:val="nil"/>
              <w:left w:val="nil"/>
              <w:bottom w:val="nil"/>
              <w:right w:val="nil"/>
            </w:tcBorders>
          </w:tcPr>
          <w:p w14:paraId="67F2045E" w14:textId="31988AC9"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c>
          <w:tcPr>
            <w:tcW w:w="1276" w:type="dxa"/>
            <w:tcBorders>
              <w:top w:val="nil"/>
              <w:left w:val="nil"/>
              <w:bottom w:val="nil"/>
              <w:right w:val="nil"/>
            </w:tcBorders>
          </w:tcPr>
          <w:p w14:paraId="4A9E8136" w14:textId="42F33DFC"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r>
      <w:tr w:rsidR="002D186D" w:rsidRPr="00CF3C36" w14:paraId="66224E0F" w14:textId="77777777" w:rsidTr="002D186D">
        <w:trPr>
          <w:jc w:val="center"/>
        </w:trPr>
        <w:tc>
          <w:tcPr>
            <w:tcW w:w="1559" w:type="dxa"/>
            <w:tcBorders>
              <w:top w:val="nil"/>
              <w:left w:val="nil"/>
              <w:bottom w:val="nil"/>
              <w:right w:val="nil"/>
            </w:tcBorders>
          </w:tcPr>
          <w:p w14:paraId="36961831"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R-squared</w:t>
            </w:r>
          </w:p>
        </w:tc>
        <w:tc>
          <w:tcPr>
            <w:tcW w:w="1843" w:type="dxa"/>
            <w:tcBorders>
              <w:top w:val="nil"/>
              <w:left w:val="nil"/>
              <w:bottom w:val="nil"/>
              <w:right w:val="nil"/>
            </w:tcBorders>
          </w:tcPr>
          <w:p w14:paraId="32CEA74F" w14:textId="61031473"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0.174</w:t>
            </w:r>
          </w:p>
        </w:tc>
        <w:tc>
          <w:tcPr>
            <w:tcW w:w="1276" w:type="dxa"/>
            <w:tcBorders>
              <w:top w:val="nil"/>
              <w:left w:val="nil"/>
              <w:bottom w:val="nil"/>
              <w:right w:val="nil"/>
            </w:tcBorders>
          </w:tcPr>
          <w:p w14:paraId="372AE42C" w14:textId="1BD6B151" w:rsidR="002D186D" w:rsidRPr="00CF3C36" w:rsidRDefault="00EC549C"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0.078</w:t>
            </w:r>
          </w:p>
        </w:tc>
        <w:tc>
          <w:tcPr>
            <w:tcW w:w="1276" w:type="dxa"/>
            <w:tcBorders>
              <w:top w:val="nil"/>
              <w:left w:val="nil"/>
              <w:bottom w:val="nil"/>
              <w:right w:val="nil"/>
            </w:tcBorders>
          </w:tcPr>
          <w:p w14:paraId="038033B2" w14:textId="089DC43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0.059</w:t>
            </w:r>
          </w:p>
        </w:tc>
      </w:tr>
      <w:tr w:rsidR="002D186D" w:rsidRPr="00CF3C36" w14:paraId="6E481EB1" w14:textId="77777777" w:rsidTr="002D186D">
        <w:trPr>
          <w:jc w:val="center"/>
        </w:trPr>
        <w:tc>
          <w:tcPr>
            <w:tcW w:w="1559" w:type="dxa"/>
            <w:tcBorders>
              <w:top w:val="nil"/>
              <w:left w:val="nil"/>
              <w:bottom w:val="nil"/>
              <w:right w:val="nil"/>
            </w:tcBorders>
          </w:tcPr>
          <w:p w14:paraId="472C6B4D" w14:textId="704E346D" w:rsidR="002D186D" w:rsidRPr="00CF3C36" w:rsidRDefault="007D7E42"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Method</w:t>
            </w:r>
          </w:p>
        </w:tc>
        <w:tc>
          <w:tcPr>
            <w:tcW w:w="1843" w:type="dxa"/>
            <w:tcBorders>
              <w:top w:val="nil"/>
              <w:left w:val="nil"/>
              <w:bottom w:val="nil"/>
              <w:right w:val="nil"/>
            </w:tcBorders>
          </w:tcPr>
          <w:p w14:paraId="0E1D36FA" w14:textId="1CD5419F"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xtreg</w:t>
            </w:r>
          </w:p>
        </w:tc>
        <w:tc>
          <w:tcPr>
            <w:tcW w:w="1276" w:type="dxa"/>
            <w:tcBorders>
              <w:top w:val="nil"/>
              <w:left w:val="nil"/>
              <w:bottom w:val="nil"/>
              <w:right w:val="nil"/>
            </w:tcBorders>
          </w:tcPr>
          <w:p w14:paraId="11D2CBAC" w14:textId="6BBF786C"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xtscc</w:t>
            </w:r>
          </w:p>
        </w:tc>
        <w:tc>
          <w:tcPr>
            <w:tcW w:w="1276" w:type="dxa"/>
            <w:tcBorders>
              <w:top w:val="nil"/>
              <w:left w:val="nil"/>
              <w:bottom w:val="nil"/>
              <w:right w:val="nil"/>
            </w:tcBorders>
          </w:tcPr>
          <w:p w14:paraId="5EDC3776" w14:textId="425A5D75"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xtreg</w:t>
            </w:r>
          </w:p>
        </w:tc>
      </w:tr>
      <w:tr w:rsidR="002D186D" w:rsidRPr="00CF3C36" w14:paraId="6992F3DE" w14:textId="77777777" w:rsidTr="002D186D">
        <w:tblPrEx>
          <w:tblBorders>
            <w:bottom w:val="single" w:sz="6" w:space="0" w:color="auto"/>
          </w:tblBorders>
        </w:tblPrEx>
        <w:trPr>
          <w:jc w:val="center"/>
        </w:trPr>
        <w:tc>
          <w:tcPr>
            <w:tcW w:w="1559" w:type="dxa"/>
            <w:tcBorders>
              <w:top w:val="nil"/>
              <w:left w:val="nil"/>
              <w:bottom w:val="single" w:sz="6" w:space="0" w:color="auto"/>
              <w:right w:val="nil"/>
            </w:tcBorders>
          </w:tcPr>
          <w:p w14:paraId="4D198458"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Number of cou1</w:t>
            </w:r>
          </w:p>
        </w:tc>
        <w:tc>
          <w:tcPr>
            <w:tcW w:w="1843" w:type="dxa"/>
            <w:tcBorders>
              <w:top w:val="nil"/>
              <w:left w:val="nil"/>
              <w:bottom w:val="single" w:sz="6" w:space="0" w:color="auto"/>
              <w:right w:val="nil"/>
            </w:tcBorders>
          </w:tcPr>
          <w:p w14:paraId="2AEB18A3" w14:textId="4E34683A"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1276" w:type="dxa"/>
            <w:tcBorders>
              <w:top w:val="nil"/>
              <w:left w:val="nil"/>
              <w:bottom w:val="single" w:sz="6" w:space="0" w:color="auto"/>
              <w:right w:val="nil"/>
            </w:tcBorders>
          </w:tcPr>
          <w:p w14:paraId="66F6F736" w14:textId="5FD894BD"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1276" w:type="dxa"/>
            <w:tcBorders>
              <w:top w:val="nil"/>
              <w:left w:val="nil"/>
              <w:bottom w:val="single" w:sz="6" w:space="0" w:color="auto"/>
              <w:right w:val="nil"/>
            </w:tcBorders>
          </w:tcPr>
          <w:p w14:paraId="2B76CB41" w14:textId="68CEA55C"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r>
    </w:tbl>
    <w:p w14:paraId="45A26F27" w14:textId="77777777" w:rsidR="002D186D" w:rsidRPr="00CF3C36" w:rsidRDefault="002D186D" w:rsidP="00600EB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Robust standard errors in parentheses</w:t>
      </w:r>
    </w:p>
    <w:p w14:paraId="10DE9A19" w14:textId="04E597DE" w:rsidR="00864C4C" w:rsidRPr="00CF3C36" w:rsidRDefault="002D186D" w:rsidP="00864C4C">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 p&lt;0.01, ** p&lt;0.05, * p&lt;0.1</w:t>
      </w:r>
    </w:p>
    <w:p w14:paraId="54A8671C" w14:textId="77777777" w:rsidR="00864C4C" w:rsidRPr="00CF3C36" w:rsidRDefault="00864C4C" w:rsidP="00864C4C">
      <w:pPr>
        <w:widowControl w:val="0"/>
        <w:autoSpaceDE w:val="0"/>
        <w:autoSpaceDN w:val="0"/>
        <w:adjustRightInd w:val="0"/>
        <w:spacing w:after="0" w:line="240" w:lineRule="auto"/>
        <w:jc w:val="center"/>
        <w:rPr>
          <w:rFonts w:ascii="Times New Roman" w:hAnsi="Times New Roman"/>
          <w:sz w:val="18"/>
          <w:szCs w:val="18"/>
          <w:lang w:val="en-GB"/>
        </w:rPr>
      </w:pPr>
    </w:p>
    <w:p w14:paraId="24EA1546" w14:textId="74873657" w:rsidR="008116F8" w:rsidRPr="00CF3C36" w:rsidRDefault="008116F8" w:rsidP="008116F8">
      <w:pPr>
        <w:spacing w:after="0" w:line="360" w:lineRule="auto"/>
        <w:ind w:firstLine="708"/>
        <w:jc w:val="both"/>
        <w:rPr>
          <w:lang w:val="en-GB"/>
        </w:rPr>
      </w:pPr>
      <w:r w:rsidRPr="00CF3C36">
        <w:rPr>
          <w:lang w:val="en-GB"/>
        </w:rPr>
        <w:t>The second hypothesis (1.1) is concerning FDI to sector</w:t>
      </w:r>
      <w:r w:rsidR="00C278FF" w:rsidRPr="00CF3C36">
        <w:rPr>
          <w:lang w:val="en-GB"/>
        </w:rPr>
        <w:t>s</w:t>
      </w:r>
      <w:r w:rsidRPr="00CF3C36">
        <w:rPr>
          <w:lang w:val="en-GB"/>
        </w:rPr>
        <w:t xml:space="preserve"> with a high </w:t>
      </w:r>
      <w:r w:rsidR="00634305" w:rsidRPr="00CF3C36">
        <w:rPr>
          <w:lang w:val="en-GB"/>
        </w:rPr>
        <w:t>CO</w:t>
      </w:r>
      <w:r w:rsidR="00634305" w:rsidRPr="00CF3C36">
        <w:rPr>
          <w:vertAlign w:val="subscript"/>
          <w:lang w:val="en-GB"/>
        </w:rPr>
        <w:t>2</w:t>
      </w:r>
      <w:r w:rsidR="005A17B8" w:rsidRPr="00CF3C36">
        <w:rPr>
          <w:lang w:val="en-GB"/>
        </w:rPr>
        <w:t xml:space="preserve"> </w:t>
      </w:r>
      <w:r w:rsidRPr="00CF3C36">
        <w:rPr>
          <w:lang w:val="en-GB"/>
        </w:rPr>
        <w:t>intensity:</w:t>
      </w:r>
    </w:p>
    <w:p w14:paraId="4C30E682" w14:textId="68069C6D" w:rsidR="008116F8" w:rsidRPr="00CF3C36" w:rsidRDefault="008116F8" w:rsidP="008116F8">
      <w:pPr>
        <w:spacing w:after="0" w:line="360" w:lineRule="auto"/>
        <w:jc w:val="center"/>
        <w:rPr>
          <w:i/>
          <w:lang w:val="en-GB"/>
        </w:rPr>
      </w:pPr>
      <w:r w:rsidRPr="00CF3C36">
        <w:rPr>
          <w:i/>
          <w:lang w:val="en-GB"/>
        </w:rPr>
        <w:t>“An increase in a country’s EPS will result in a decrease of FDI to sectors that have</w:t>
      </w:r>
      <w:r w:rsidR="00494A4B" w:rsidRPr="00CF3C36">
        <w:rPr>
          <w:i/>
          <w:lang w:val="en-GB"/>
        </w:rPr>
        <w:t xml:space="preserve"> a</w:t>
      </w:r>
      <w:r w:rsidRPr="00CF3C36">
        <w:rPr>
          <w:i/>
          <w:lang w:val="en-GB"/>
        </w:rPr>
        <w:t xml:space="preserve"> </w:t>
      </w:r>
      <w:r w:rsidR="00494A4B" w:rsidRPr="00CF3C36">
        <w:rPr>
          <w:i/>
          <w:lang w:val="en-GB"/>
        </w:rPr>
        <w:t>high</w:t>
      </w:r>
      <w:r w:rsidRPr="00CF3C36">
        <w:rPr>
          <w:i/>
          <w:lang w:val="en-GB"/>
        </w:rPr>
        <w:t xml:space="preserve"> pollution intensity.”</w:t>
      </w:r>
    </w:p>
    <w:p w14:paraId="29C64BF2" w14:textId="3287DA9C" w:rsidR="002D2D25" w:rsidRPr="00CF3C36" w:rsidRDefault="00612ABF" w:rsidP="009D58A4">
      <w:pPr>
        <w:spacing w:after="0" w:line="360" w:lineRule="auto"/>
        <w:jc w:val="both"/>
        <w:rPr>
          <w:lang w:val="en-GB"/>
        </w:rPr>
      </w:pPr>
      <w:r w:rsidRPr="00CF3C36">
        <w:rPr>
          <w:lang w:val="en-GB"/>
        </w:rPr>
        <w:t xml:space="preserve">This hypothesis is tested </w:t>
      </w:r>
      <w:r w:rsidR="000F7FD0" w:rsidRPr="00CF3C36">
        <w:rPr>
          <w:lang w:val="en-GB"/>
        </w:rPr>
        <w:t>using M</w:t>
      </w:r>
      <w:r w:rsidR="00EB72BF" w:rsidRPr="00CF3C36">
        <w:rPr>
          <w:lang w:val="en-GB"/>
        </w:rPr>
        <w:t>odel 1.1, column 2 of Table 4</w:t>
      </w:r>
      <w:r w:rsidRPr="00CF3C36">
        <w:rPr>
          <w:lang w:val="en-GB"/>
        </w:rPr>
        <w:t xml:space="preserve"> shows the resul</w:t>
      </w:r>
      <w:r w:rsidR="0004353C" w:rsidRPr="00CF3C36">
        <w:rPr>
          <w:lang w:val="en-GB"/>
        </w:rPr>
        <w:t xml:space="preserve">ts of </w:t>
      </w:r>
      <w:r w:rsidR="008116F8" w:rsidRPr="00CF3C36">
        <w:rPr>
          <w:lang w:val="en-GB"/>
        </w:rPr>
        <w:t>this model</w:t>
      </w:r>
      <w:r w:rsidR="0004353C" w:rsidRPr="00CF3C36">
        <w:rPr>
          <w:lang w:val="en-GB"/>
        </w:rPr>
        <w:t>.</w:t>
      </w:r>
      <w:r w:rsidRPr="00CF3C36">
        <w:rPr>
          <w:lang w:val="en-GB"/>
        </w:rPr>
        <w:t xml:space="preserve"> </w:t>
      </w:r>
      <w:r w:rsidR="002067F1" w:rsidRPr="00CF3C36">
        <w:rPr>
          <w:lang w:val="en-GB"/>
        </w:rPr>
        <w:t xml:space="preserve">The dependent variable in this model is the amount of FDI flowing to sectors with a pollution intensity that is above the mean value of that country. </w:t>
      </w:r>
      <w:r w:rsidR="006867A3" w:rsidRPr="00CF3C36">
        <w:rPr>
          <w:lang w:val="en-GB"/>
        </w:rPr>
        <w:t xml:space="preserve">The effect of EPI on the total FDI to sectors with a high </w:t>
      </w:r>
      <w:r w:rsidR="0064114A" w:rsidRPr="00CF3C36">
        <w:rPr>
          <w:lang w:val="en-GB"/>
        </w:rPr>
        <w:t>CO</w:t>
      </w:r>
      <w:r w:rsidR="0064114A" w:rsidRPr="00CF3C36">
        <w:rPr>
          <w:vertAlign w:val="subscript"/>
          <w:lang w:val="en-GB"/>
        </w:rPr>
        <w:t>2</w:t>
      </w:r>
      <w:r w:rsidR="005A17B8" w:rsidRPr="00CF3C36">
        <w:rPr>
          <w:lang w:val="en-GB"/>
        </w:rPr>
        <w:t xml:space="preserve"> </w:t>
      </w:r>
      <w:r w:rsidR="006867A3" w:rsidRPr="00CF3C36">
        <w:rPr>
          <w:lang w:val="en-GB"/>
        </w:rPr>
        <w:t>intensity does not have a significant coefficient, t</w:t>
      </w:r>
      <w:r w:rsidR="0043401A" w:rsidRPr="00CF3C36">
        <w:rPr>
          <w:lang w:val="en-GB"/>
        </w:rPr>
        <w:t xml:space="preserve">hus the hypothesis </w:t>
      </w:r>
      <w:r w:rsidR="006867A3" w:rsidRPr="00CF3C36">
        <w:rPr>
          <w:lang w:val="en-GB"/>
        </w:rPr>
        <w:t>has to be rejected.</w:t>
      </w:r>
      <w:r w:rsidR="0043401A" w:rsidRPr="00CF3C36">
        <w:rPr>
          <w:lang w:val="en-GB"/>
        </w:rPr>
        <w:t xml:space="preserve"> </w:t>
      </w:r>
      <w:r w:rsidR="00131FE3" w:rsidRPr="00CF3C36">
        <w:rPr>
          <w:lang w:val="en-GB"/>
        </w:rPr>
        <w:t xml:space="preserve">As control variables are concerned, </w:t>
      </w:r>
      <w:r w:rsidR="003F0BBF" w:rsidRPr="00CF3C36">
        <w:rPr>
          <w:lang w:val="en-GB"/>
        </w:rPr>
        <w:t xml:space="preserve">SE-terX </w:t>
      </w:r>
      <w:r w:rsidR="00131FE3" w:rsidRPr="00CF3C36">
        <w:rPr>
          <w:lang w:val="en-GB"/>
        </w:rPr>
        <w:t>is significant at a 1% level with a negative coefficient</w:t>
      </w:r>
      <w:r w:rsidR="003F0BBF" w:rsidRPr="00CF3C36">
        <w:rPr>
          <w:lang w:val="en-GB"/>
        </w:rPr>
        <w:t xml:space="preserve">. </w:t>
      </w:r>
      <w:r w:rsidR="00131FE3" w:rsidRPr="00CF3C36">
        <w:rPr>
          <w:lang w:val="en-GB"/>
        </w:rPr>
        <w:t xml:space="preserve">This suggests that as the </w:t>
      </w:r>
      <w:r w:rsidR="003F0BBF" w:rsidRPr="00CF3C36">
        <w:rPr>
          <w:lang w:val="en-GB"/>
        </w:rPr>
        <w:t>human capital</w:t>
      </w:r>
      <w:r w:rsidR="00131FE3" w:rsidRPr="00CF3C36">
        <w:rPr>
          <w:lang w:val="en-GB"/>
        </w:rPr>
        <w:t xml:space="preserve"> of a country grows, FDI flows less to sectors with </w:t>
      </w:r>
      <w:r w:rsidR="0064114A" w:rsidRPr="00CF3C36">
        <w:rPr>
          <w:lang w:val="en-GB"/>
        </w:rPr>
        <w:t>a pollution intensity above the mean value</w:t>
      </w:r>
      <w:r w:rsidR="003F0BBF" w:rsidRPr="00CF3C36">
        <w:rPr>
          <w:lang w:val="en-GB"/>
        </w:rPr>
        <w:t>.</w:t>
      </w:r>
      <w:r w:rsidR="00A0193C" w:rsidRPr="00CF3C36">
        <w:rPr>
          <w:lang w:val="en-GB"/>
        </w:rPr>
        <w:t xml:space="preserve"> KL and KL2 again shows significant results at a 10% and 5% level, respectively, </w:t>
      </w:r>
      <w:r w:rsidR="00131FE3" w:rsidRPr="00CF3C36">
        <w:rPr>
          <w:lang w:val="en-GB"/>
        </w:rPr>
        <w:t>suggesting a quadratic effect of KL on the inflow of FDI to sectors with a high pollution intensity. Based on the coefficients of the variables this effect</w:t>
      </w:r>
      <w:r w:rsidR="00A0193C" w:rsidRPr="00CF3C36">
        <w:rPr>
          <w:lang w:val="en-GB"/>
        </w:rPr>
        <w:t xml:space="preserve"> again</w:t>
      </w:r>
      <w:r w:rsidR="00131FE3" w:rsidRPr="00CF3C36">
        <w:rPr>
          <w:lang w:val="en-GB"/>
        </w:rPr>
        <w:t xml:space="preserve"> is a</w:t>
      </w:r>
      <w:r w:rsidR="00A0193C" w:rsidRPr="00CF3C36">
        <w:rPr>
          <w:lang w:val="en-GB"/>
        </w:rPr>
        <w:t>n inverted</w:t>
      </w:r>
      <w:r w:rsidR="00131FE3" w:rsidRPr="00CF3C36">
        <w:rPr>
          <w:lang w:val="en-GB"/>
        </w:rPr>
        <w:t xml:space="preserve"> U-shaped one. The turning point in this U-shape, according to the coefficients is at </w:t>
      </w:r>
      <w:r w:rsidR="00A0193C" w:rsidRPr="00CF3C36">
        <w:rPr>
          <w:lang w:val="en-GB"/>
        </w:rPr>
        <w:t>-4.676/(2*-0.587)=3.983</w:t>
      </w:r>
      <w:r w:rsidR="00131FE3" w:rsidRPr="00CF3C36">
        <w:rPr>
          <w:lang w:val="en-GB"/>
        </w:rPr>
        <w:t xml:space="preserve">. This is a </w:t>
      </w:r>
      <w:r w:rsidR="00A0193C" w:rsidRPr="00CF3C36">
        <w:rPr>
          <w:lang w:val="en-GB"/>
        </w:rPr>
        <w:t>rather low</w:t>
      </w:r>
      <w:r w:rsidR="00131FE3" w:rsidRPr="00CF3C36">
        <w:rPr>
          <w:lang w:val="en-GB"/>
        </w:rPr>
        <w:t xml:space="preserve"> KL, as only </w:t>
      </w:r>
      <w:r w:rsidR="00A0193C" w:rsidRPr="00CF3C36">
        <w:rPr>
          <w:lang w:val="en-GB"/>
        </w:rPr>
        <w:t>17</w:t>
      </w:r>
      <w:r w:rsidR="00131FE3" w:rsidRPr="00CF3C36">
        <w:rPr>
          <w:lang w:val="en-GB"/>
        </w:rPr>
        <w:t xml:space="preserve">% of the cases in the database have a </w:t>
      </w:r>
      <w:r w:rsidR="00A0193C" w:rsidRPr="00CF3C36">
        <w:rPr>
          <w:lang w:val="en-GB"/>
        </w:rPr>
        <w:t>lower</w:t>
      </w:r>
      <w:r w:rsidR="00131FE3" w:rsidRPr="00CF3C36">
        <w:rPr>
          <w:lang w:val="en-GB"/>
        </w:rPr>
        <w:t xml:space="preserve"> KL. When the </w:t>
      </w:r>
      <w:r w:rsidR="00A0193C" w:rsidRPr="00CF3C36">
        <w:rPr>
          <w:lang w:val="en-GB"/>
        </w:rPr>
        <w:t xml:space="preserve">initial </w:t>
      </w:r>
      <w:r w:rsidR="00131FE3" w:rsidRPr="00CF3C36">
        <w:rPr>
          <w:lang w:val="en-GB"/>
        </w:rPr>
        <w:t xml:space="preserve">KL is </w:t>
      </w:r>
      <w:r w:rsidR="00A0193C" w:rsidRPr="00CF3C36">
        <w:rPr>
          <w:lang w:val="en-GB"/>
        </w:rPr>
        <w:t>be</w:t>
      </w:r>
      <w:r w:rsidR="00131FE3" w:rsidRPr="00CF3C36">
        <w:rPr>
          <w:lang w:val="en-GB"/>
        </w:rPr>
        <w:t xml:space="preserve">low </w:t>
      </w:r>
      <w:r w:rsidR="00A0193C" w:rsidRPr="00CF3C36">
        <w:rPr>
          <w:lang w:val="en-GB"/>
        </w:rPr>
        <w:t xml:space="preserve">this turning point and </w:t>
      </w:r>
      <w:r w:rsidR="00A0193C" w:rsidRPr="00CF3C36">
        <w:rPr>
          <w:lang w:val="en-GB"/>
        </w:rPr>
        <w:lastRenderedPageBreak/>
        <w:t>increases this will in</w:t>
      </w:r>
      <w:r w:rsidR="00131FE3" w:rsidRPr="00CF3C36">
        <w:rPr>
          <w:lang w:val="en-GB"/>
        </w:rPr>
        <w:t xml:space="preserve">crease the inflow of FDI to sectors with a </w:t>
      </w:r>
      <w:r w:rsidR="00C9731C" w:rsidRPr="00CF3C36">
        <w:rPr>
          <w:lang w:val="en-GB"/>
        </w:rPr>
        <w:t>high pollution intensity until the</w:t>
      </w:r>
      <w:r w:rsidR="00131FE3" w:rsidRPr="00CF3C36">
        <w:rPr>
          <w:lang w:val="en-GB"/>
        </w:rPr>
        <w:t xml:space="preserve"> turning point </w:t>
      </w:r>
      <w:r w:rsidR="00C9731C" w:rsidRPr="00CF3C36">
        <w:rPr>
          <w:lang w:val="en-GB"/>
        </w:rPr>
        <w:t xml:space="preserve">from </w:t>
      </w:r>
      <w:r w:rsidR="00131FE3" w:rsidRPr="00CF3C36">
        <w:rPr>
          <w:lang w:val="en-GB"/>
        </w:rPr>
        <w:t xml:space="preserve">where an increase in KL will have the opposite effect. </w:t>
      </w:r>
      <w:r w:rsidR="006E4BE9" w:rsidRPr="00CF3C36">
        <w:rPr>
          <w:lang w:val="en-GB"/>
        </w:rPr>
        <w:t xml:space="preserve">The interaction terms between EPI and KL and EPI and KL2 also both have a significant coefficient in Model 1.1. </w:t>
      </w:r>
      <w:r w:rsidR="009D58A4" w:rsidRPr="00CF3C36">
        <w:rPr>
          <w:lang w:val="en-GB"/>
        </w:rPr>
        <w:t xml:space="preserve">This suggests that the effect of EPI on the inflow of FDI to sectors with a high pollution intensity increases with KL up until a turning point is reach. After this point the effect of EPI on the inflow of FDI to sectors with a high pollution intensity decreases </w:t>
      </w:r>
      <w:r w:rsidR="00B909E8" w:rsidRPr="00CF3C36">
        <w:rPr>
          <w:lang w:val="en-GB"/>
        </w:rPr>
        <w:t>as</w:t>
      </w:r>
      <w:r w:rsidR="009D58A4" w:rsidRPr="00CF3C36">
        <w:rPr>
          <w:lang w:val="en-GB"/>
        </w:rPr>
        <w:t xml:space="preserve"> KL</w:t>
      </w:r>
      <w:r w:rsidR="00B909E8" w:rsidRPr="00CF3C36">
        <w:rPr>
          <w:lang w:val="en-GB"/>
        </w:rPr>
        <w:t xml:space="preserve"> increases</w:t>
      </w:r>
      <w:r w:rsidR="00A55203" w:rsidRPr="00CF3C36">
        <w:rPr>
          <w:lang w:val="en-GB"/>
        </w:rPr>
        <w:t>.</w:t>
      </w:r>
    </w:p>
    <w:p w14:paraId="187ABDB8" w14:textId="272F59DB" w:rsidR="00191522" w:rsidRPr="00CF3C36" w:rsidRDefault="00191522" w:rsidP="009D58A4">
      <w:pPr>
        <w:spacing w:after="0" w:line="360" w:lineRule="auto"/>
        <w:jc w:val="both"/>
        <w:rPr>
          <w:vertAlign w:val="subscript"/>
          <w:lang w:val="en-GB"/>
        </w:rPr>
      </w:pPr>
      <w:r w:rsidRPr="00CF3C36">
        <w:rPr>
          <w:lang w:val="en-GB"/>
        </w:rPr>
        <w:tab/>
        <w:t xml:space="preserve">Some changes occur in the robustness checks for Model 1.1. EPI remains </w:t>
      </w:r>
      <w:r w:rsidR="00766F90" w:rsidRPr="00CF3C36">
        <w:rPr>
          <w:lang w:val="en-GB"/>
        </w:rPr>
        <w:t>in</w:t>
      </w:r>
      <w:r w:rsidRPr="00CF3C36">
        <w:rPr>
          <w:lang w:val="en-GB"/>
        </w:rPr>
        <w:t xml:space="preserve">significant in almost all models, but does have positive significant coefficient when </w:t>
      </w:r>
      <w:r w:rsidR="003F01C9" w:rsidRPr="00CF3C36">
        <w:rPr>
          <w:lang w:val="en-GB"/>
        </w:rPr>
        <w:t>CO</w:t>
      </w:r>
      <w:r w:rsidR="003F01C9" w:rsidRPr="00CF3C36">
        <w:rPr>
          <w:vertAlign w:val="subscript"/>
          <w:lang w:val="en-GB"/>
        </w:rPr>
        <w:t xml:space="preserve">2 </w:t>
      </w:r>
      <w:r w:rsidRPr="00CF3C36">
        <w:rPr>
          <w:lang w:val="en-GB"/>
        </w:rPr>
        <w:t xml:space="preserve">emissions from electricity and heat consumption is used to measure pollution intensity in the dependent variable. </w:t>
      </w:r>
      <w:r w:rsidR="005F518F" w:rsidRPr="00CF3C36">
        <w:rPr>
          <w:lang w:val="en-GB"/>
        </w:rPr>
        <w:t xml:space="preserve">The positive sign of the coefficient is opposite to the expectation, indicating that an increase in EPI will increase the FDI to sectors which emit more </w:t>
      </w:r>
      <w:r w:rsidR="003F01C9" w:rsidRPr="00CF3C36">
        <w:rPr>
          <w:lang w:val="en-GB"/>
        </w:rPr>
        <w:t>CO</w:t>
      </w:r>
      <w:r w:rsidR="003F01C9" w:rsidRPr="00CF3C36">
        <w:rPr>
          <w:vertAlign w:val="subscript"/>
          <w:lang w:val="en-GB"/>
        </w:rPr>
        <w:t xml:space="preserve">2 </w:t>
      </w:r>
      <w:r w:rsidR="005F518F" w:rsidRPr="00CF3C36">
        <w:rPr>
          <w:lang w:val="en-GB"/>
        </w:rPr>
        <w:t xml:space="preserve">per value added via the consumption of electricity and heat than the mean value in the economy. </w:t>
      </w:r>
      <w:r w:rsidR="00C40614" w:rsidRPr="00CF3C36">
        <w:rPr>
          <w:lang w:val="en-GB"/>
        </w:rPr>
        <w:t>The effect of human capital remains highly significant throughout</w:t>
      </w:r>
      <w:r w:rsidR="00EB72BF" w:rsidRPr="00CF3C36">
        <w:rPr>
          <w:lang w:val="en-GB"/>
        </w:rPr>
        <w:t xml:space="preserve"> the robustness tests.</w:t>
      </w:r>
      <w:r w:rsidR="00C40614" w:rsidRPr="00CF3C36">
        <w:rPr>
          <w:lang w:val="en-GB"/>
        </w:rPr>
        <w:t xml:space="preserve"> </w:t>
      </w:r>
      <w:r w:rsidR="003845BE" w:rsidRPr="00CF3C36">
        <w:rPr>
          <w:lang w:val="en-GB"/>
        </w:rPr>
        <w:t>KL and KL2 lose their significance in two of the robustness test, namely the one where only the years in which EPI is measured directly are taken into account and the one that uses EPS</w:t>
      </w:r>
      <w:r w:rsidR="002D0C71" w:rsidRPr="00CF3C36">
        <w:rPr>
          <w:lang w:val="en-GB"/>
        </w:rPr>
        <w:t>I</w:t>
      </w:r>
      <w:r w:rsidR="003845BE" w:rsidRPr="00CF3C36">
        <w:rPr>
          <w:lang w:val="en-GB"/>
        </w:rPr>
        <w:t xml:space="preserve"> as independent variable. The interaction terms lose their significance in three of the tests. So for both the quadratic relation as the interaction term, some caution has to be exercised when interpreting the results. </w:t>
      </w:r>
    </w:p>
    <w:p w14:paraId="4C31DA58" w14:textId="16B90B64" w:rsidR="000B64A4" w:rsidRPr="00CF3C36" w:rsidRDefault="000B64A4" w:rsidP="000B64A4">
      <w:pPr>
        <w:spacing w:after="0" w:line="360" w:lineRule="auto"/>
        <w:ind w:firstLine="708"/>
        <w:jc w:val="both"/>
        <w:rPr>
          <w:lang w:val="en-GB"/>
        </w:rPr>
      </w:pPr>
      <w:r w:rsidRPr="00CF3C36">
        <w:rPr>
          <w:lang w:val="en-GB"/>
        </w:rPr>
        <w:t>The third hypothesis (1.2) is concerning FDI to sector</w:t>
      </w:r>
      <w:r w:rsidR="00634305" w:rsidRPr="00CF3C36">
        <w:rPr>
          <w:lang w:val="en-GB"/>
        </w:rPr>
        <w:t>s</w:t>
      </w:r>
      <w:r w:rsidRPr="00CF3C36">
        <w:rPr>
          <w:lang w:val="en-GB"/>
        </w:rPr>
        <w:t xml:space="preserve"> with a low </w:t>
      </w:r>
      <w:r w:rsidR="00634305" w:rsidRPr="00CF3C36">
        <w:rPr>
          <w:lang w:val="en-GB"/>
        </w:rPr>
        <w:t>CO</w:t>
      </w:r>
      <w:r w:rsidR="00634305" w:rsidRPr="00CF3C36">
        <w:rPr>
          <w:vertAlign w:val="subscript"/>
          <w:lang w:val="en-GB"/>
        </w:rPr>
        <w:t>2</w:t>
      </w:r>
      <w:r w:rsidR="005A17B8" w:rsidRPr="00CF3C36">
        <w:rPr>
          <w:lang w:val="en-GB"/>
        </w:rPr>
        <w:t xml:space="preserve"> </w:t>
      </w:r>
      <w:r w:rsidRPr="00CF3C36">
        <w:rPr>
          <w:lang w:val="en-GB"/>
        </w:rPr>
        <w:t xml:space="preserve">intensity: </w:t>
      </w:r>
    </w:p>
    <w:p w14:paraId="064632B5" w14:textId="5FEC845C" w:rsidR="000B64A4" w:rsidRPr="00CF3C36" w:rsidRDefault="000B64A4" w:rsidP="002067F1">
      <w:pPr>
        <w:spacing w:after="0" w:line="360" w:lineRule="auto"/>
        <w:ind w:firstLine="708"/>
        <w:jc w:val="center"/>
        <w:rPr>
          <w:lang w:val="en-GB"/>
        </w:rPr>
      </w:pPr>
      <w:r w:rsidRPr="00CF3C36">
        <w:rPr>
          <w:i/>
          <w:lang w:val="en-GB"/>
        </w:rPr>
        <w:t xml:space="preserve">“An increase in a country’s EPS will result in an increase of FDI to sectors that have a </w:t>
      </w:r>
      <w:r w:rsidR="00494A4B" w:rsidRPr="00CF3C36">
        <w:rPr>
          <w:i/>
          <w:lang w:val="en-GB"/>
        </w:rPr>
        <w:t xml:space="preserve">low </w:t>
      </w:r>
      <w:r w:rsidRPr="00CF3C36">
        <w:rPr>
          <w:i/>
          <w:lang w:val="en-GB"/>
        </w:rPr>
        <w:t>pollution intensity</w:t>
      </w:r>
      <w:r w:rsidRPr="00CF3C36">
        <w:rPr>
          <w:lang w:val="en-GB"/>
        </w:rPr>
        <w:t>.”</w:t>
      </w:r>
    </w:p>
    <w:p w14:paraId="0C715680" w14:textId="7F5B5111" w:rsidR="00AF6DA8" w:rsidRPr="00CF3C36" w:rsidRDefault="0064706D" w:rsidP="00D27492">
      <w:pPr>
        <w:spacing w:after="0" w:line="360" w:lineRule="auto"/>
        <w:jc w:val="both"/>
        <w:rPr>
          <w:lang w:val="en-GB"/>
        </w:rPr>
      </w:pPr>
      <w:r w:rsidRPr="00CF3C36">
        <w:rPr>
          <w:lang w:val="en-GB"/>
        </w:rPr>
        <w:t xml:space="preserve">This hypothesis is tested using </w:t>
      </w:r>
      <w:r w:rsidR="000F7FD0" w:rsidRPr="00CF3C36">
        <w:rPr>
          <w:lang w:val="en-GB"/>
        </w:rPr>
        <w:t>M</w:t>
      </w:r>
      <w:r w:rsidR="002067F1" w:rsidRPr="00CF3C36">
        <w:rPr>
          <w:lang w:val="en-GB"/>
        </w:rPr>
        <w:t>odel 1.2</w:t>
      </w:r>
      <w:r w:rsidR="004C354C" w:rsidRPr="00CF3C36">
        <w:rPr>
          <w:lang w:val="en-GB"/>
        </w:rPr>
        <w:t>,</w:t>
      </w:r>
      <w:r w:rsidR="002067F1" w:rsidRPr="00CF3C36">
        <w:rPr>
          <w:lang w:val="en-GB"/>
        </w:rPr>
        <w:t xml:space="preserve"> the results </w:t>
      </w:r>
      <w:r w:rsidR="00AB371F" w:rsidRPr="00CF3C36">
        <w:rPr>
          <w:lang w:val="en-GB"/>
        </w:rPr>
        <w:t>are shown in column 3 of Table 4</w:t>
      </w:r>
      <w:r w:rsidRPr="00CF3C36">
        <w:rPr>
          <w:lang w:val="en-GB"/>
        </w:rPr>
        <w:t xml:space="preserve">. </w:t>
      </w:r>
      <w:r w:rsidR="00C20162" w:rsidRPr="00CF3C36">
        <w:rPr>
          <w:lang w:val="en-GB"/>
        </w:rPr>
        <w:t>The dependent variable in this model is the amount o</w:t>
      </w:r>
      <w:r w:rsidR="00F60F08" w:rsidRPr="00CF3C36">
        <w:rPr>
          <w:lang w:val="en-GB"/>
        </w:rPr>
        <w:t>f FDI flowing to sectors with a</w:t>
      </w:r>
      <w:r w:rsidR="00C20162" w:rsidRPr="00CF3C36">
        <w:rPr>
          <w:lang w:val="en-GB"/>
        </w:rPr>
        <w:t xml:space="preserve"> pollution intensity which is below </w:t>
      </w:r>
      <w:r w:rsidR="002067F1" w:rsidRPr="00CF3C36">
        <w:rPr>
          <w:lang w:val="en-GB"/>
        </w:rPr>
        <w:t>the mean value of that country.</w:t>
      </w:r>
      <w:r w:rsidR="00C20162" w:rsidRPr="00CF3C36">
        <w:rPr>
          <w:lang w:val="en-GB"/>
        </w:rPr>
        <w:t xml:space="preserve"> </w:t>
      </w:r>
      <w:r w:rsidR="00A01BD9" w:rsidRPr="00CF3C36">
        <w:rPr>
          <w:lang w:val="en-GB"/>
        </w:rPr>
        <w:t xml:space="preserve">In this model none of the variables have a significant effect on the dependent variable. Thus also this hypothesis has to be rejected, as no evidence of the proposed effect has been found. </w:t>
      </w:r>
      <w:r w:rsidR="00ED6526" w:rsidRPr="00CF3C36">
        <w:rPr>
          <w:lang w:val="en-GB"/>
        </w:rPr>
        <w:t>In the robustness checks for this model, most checks did not bring surprising results. The check in which the observations with missing values were not included, did bring a surprising result. In this check</w:t>
      </w:r>
      <w:r w:rsidR="00DB2B74" w:rsidRPr="00CF3C36">
        <w:rPr>
          <w:lang w:val="en-GB"/>
        </w:rPr>
        <w:t>,</w:t>
      </w:r>
      <w:r w:rsidR="00ED6526" w:rsidRPr="00CF3C36">
        <w:rPr>
          <w:lang w:val="en-GB"/>
        </w:rPr>
        <w:t xml:space="preserve"> EPI and the interaction terms became significant. The coefficient of EPI is positive as expected by the hypothesis. The coefficients of the interaction term indicate a U-shaped quadratic interaction between KL and EPI, which is the opposite </w:t>
      </w:r>
      <w:r w:rsidR="00CF3C36" w:rsidRPr="00CF3C36">
        <w:rPr>
          <w:lang w:val="en-GB"/>
        </w:rPr>
        <w:t>of</w:t>
      </w:r>
      <w:r w:rsidR="00ED6526" w:rsidRPr="00CF3C36">
        <w:rPr>
          <w:lang w:val="en-GB"/>
        </w:rPr>
        <w:t xml:space="preserve"> what was expected. </w:t>
      </w:r>
    </w:p>
    <w:p w14:paraId="232E2C40" w14:textId="7231E38E" w:rsidR="000319F8" w:rsidRPr="00CF3C36" w:rsidRDefault="007D7E42" w:rsidP="00E1597B">
      <w:pPr>
        <w:spacing w:after="0" w:line="360" w:lineRule="auto"/>
        <w:ind w:firstLine="708"/>
        <w:jc w:val="both"/>
        <w:rPr>
          <w:rStyle w:val="Heading2Char"/>
          <w:rFonts w:asciiTheme="minorHAnsi" w:eastAsiaTheme="minorHAnsi" w:hAnsiTheme="minorHAnsi" w:cstheme="minorBidi"/>
          <w:color w:val="auto"/>
          <w:sz w:val="22"/>
          <w:szCs w:val="22"/>
          <w:lang w:val="en-GB"/>
        </w:rPr>
      </w:pPr>
      <w:r w:rsidRPr="00CF3C36">
        <w:rPr>
          <w:lang w:val="en-GB"/>
        </w:rPr>
        <w:tab/>
        <w:t xml:space="preserve">Finally it is noteworthy that the R-squared of the three models is not very high. They are 0.174, 0.0780 and 0.059. These low values indicate that a small portion of the variation in the dependent variable is explained by the model. In social science however, low values of r-squared are generally expected, because relationships are often very complex. The </w:t>
      </w:r>
      <w:r w:rsidR="00AB371F" w:rsidRPr="00CF3C36">
        <w:rPr>
          <w:lang w:val="en-GB"/>
        </w:rPr>
        <w:t>R</w:t>
      </w:r>
      <w:r w:rsidRPr="00CF3C36">
        <w:rPr>
          <w:lang w:val="en-GB"/>
        </w:rPr>
        <w:t xml:space="preserve">-squared in cross-sectional data is also expected to be lower than in time-series data due to heterogeneity among countries. The </w:t>
      </w:r>
      <w:r w:rsidRPr="00CF3C36">
        <w:rPr>
          <w:lang w:val="en-GB"/>
        </w:rPr>
        <w:lastRenderedPageBreak/>
        <w:t>same is true for panel data, especially panel data is which the cross sectional part is dominant over the time pa</w:t>
      </w:r>
      <w:r w:rsidR="00E1597B" w:rsidRPr="00CF3C36">
        <w:rPr>
          <w:lang w:val="en-GB"/>
        </w:rPr>
        <w:t>rt, as is the case in our data.</w:t>
      </w:r>
    </w:p>
    <w:p w14:paraId="4159780A" w14:textId="0920FE09" w:rsidR="000319F8" w:rsidRPr="00CF3C36" w:rsidRDefault="000319F8" w:rsidP="00D27492">
      <w:pPr>
        <w:pStyle w:val="Heading2"/>
        <w:spacing w:before="0"/>
        <w:rPr>
          <w:rStyle w:val="Heading2Char"/>
          <w:lang w:val="en-GB"/>
        </w:rPr>
      </w:pPr>
      <w:bookmarkStart w:id="31" w:name="_Toc15480015"/>
      <w:r w:rsidRPr="00CF3C36">
        <w:rPr>
          <w:rStyle w:val="Heading2Char"/>
          <w:lang w:val="en-GB"/>
        </w:rPr>
        <w:t xml:space="preserve">4.2 </w:t>
      </w:r>
      <w:r w:rsidR="00AB371F" w:rsidRPr="00CF3C36">
        <w:rPr>
          <w:rStyle w:val="Heading2Char"/>
          <w:lang w:val="en-GB"/>
        </w:rPr>
        <w:t xml:space="preserve">EPI and FDI in the energy </w:t>
      </w:r>
      <w:r w:rsidRPr="00CF3C36">
        <w:rPr>
          <w:rStyle w:val="Heading2Char"/>
          <w:lang w:val="en-GB"/>
        </w:rPr>
        <w:t>sector</w:t>
      </w:r>
      <w:bookmarkEnd w:id="31"/>
    </w:p>
    <w:p w14:paraId="61EE272C" w14:textId="6DA783BB" w:rsidR="003371E2" w:rsidRPr="00CF3C36" w:rsidRDefault="00B37105" w:rsidP="003371E2">
      <w:pPr>
        <w:spacing w:after="0" w:line="360" w:lineRule="auto"/>
        <w:jc w:val="both"/>
        <w:rPr>
          <w:lang w:val="en-GB"/>
        </w:rPr>
      </w:pPr>
      <w:r w:rsidRPr="00CF3C36">
        <w:rPr>
          <w:lang w:val="en-GB"/>
        </w:rPr>
        <w:t>This section will take a closer lo</w:t>
      </w:r>
      <w:r w:rsidR="00210FEB" w:rsidRPr="00CF3C36">
        <w:rPr>
          <w:lang w:val="en-GB"/>
        </w:rPr>
        <w:t>ok at the results found in the e</w:t>
      </w:r>
      <w:r w:rsidRPr="00CF3C36">
        <w:rPr>
          <w:lang w:val="en-GB"/>
        </w:rPr>
        <w:t>nergy sector. T</w:t>
      </w:r>
      <w:r w:rsidR="00210FEB" w:rsidRPr="00CF3C36">
        <w:rPr>
          <w:lang w:val="en-GB"/>
        </w:rPr>
        <w:t>he focus is on the effect of EPI</w:t>
      </w:r>
      <w:r w:rsidRPr="00CF3C36">
        <w:rPr>
          <w:lang w:val="en-GB"/>
        </w:rPr>
        <w:t xml:space="preserve"> on the composit</w:t>
      </w:r>
      <w:r w:rsidR="003371E2" w:rsidRPr="00CF3C36">
        <w:rPr>
          <w:lang w:val="en-GB"/>
        </w:rPr>
        <w:t>ion of FDI in the energy sector</w:t>
      </w:r>
      <w:r w:rsidRPr="00CF3C36">
        <w:rPr>
          <w:lang w:val="en-GB"/>
        </w:rPr>
        <w:t>.</w:t>
      </w:r>
      <w:r w:rsidR="003371E2" w:rsidRPr="00CF3C36">
        <w:rPr>
          <w:lang w:val="en-GB"/>
        </w:rPr>
        <w:t xml:space="preserve"> The energy sector is used in this hypothesis due to its interesting role in the transition to a more sustainable society and due to data availability. The energy sector is particularly suited for this purpose, because there is a clear distinction between green and brown energy. The data from fDi markets </w:t>
      </w:r>
      <w:r w:rsidR="00DB2B74" w:rsidRPr="00CF3C36">
        <w:rPr>
          <w:lang w:val="en-GB"/>
        </w:rPr>
        <w:t xml:space="preserve">also </w:t>
      </w:r>
      <w:r w:rsidR="003371E2" w:rsidRPr="00CF3C36">
        <w:rPr>
          <w:lang w:val="en-GB"/>
        </w:rPr>
        <w:t>separates investment in either green or brown energy</w:t>
      </w:r>
      <w:r w:rsidR="00DB2B74" w:rsidRPr="00CF3C36">
        <w:rPr>
          <w:lang w:val="en-GB"/>
        </w:rPr>
        <w:t>.</w:t>
      </w:r>
    </w:p>
    <w:p w14:paraId="21362C93" w14:textId="74F36904" w:rsidR="000319F8" w:rsidRPr="00CF3C36" w:rsidRDefault="003371E2" w:rsidP="003371E2">
      <w:pPr>
        <w:spacing w:after="0" w:line="360" w:lineRule="auto"/>
        <w:ind w:firstLine="708"/>
        <w:jc w:val="both"/>
        <w:rPr>
          <w:lang w:val="en-GB"/>
        </w:rPr>
      </w:pPr>
      <w:r w:rsidRPr="00CF3C36">
        <w:rPr>
          <w:lang w:val="en-GB"/>
        </w:rPr>
        <w:t>Three different models are constructed in order to analyse FDI in the energy sector. The results can be found in Table</w:t>
      </w:r>
      <w:r w:rsidR="00B37105" w:rsidRPr="00CF3C36">
        <w:rPr>
          <w:lang w:val="en-GB"/>
        </w:rPr>
        <w:t xml:space="preserve"> </w:t>
      </w:r>
      <w:r w:rsidR="00336BC9" w:rsidRPr="00CF3C36">
        <w:rPr>
          <w:lang w:val="en-GB"/>
        </w:rPr>
        <w:t>5</w:t>
      </w:r>
      <w:r w:rsidRPr="00CF3C36">
        <w:rPr>
          <w:lang w:val="en-GB"/>
        </w:rPr>
        <w:t xml:space="preserve">. </w:t>
      </w:r>
      <w:r w:rsidR="00B37105" w:rsidRPr="00CF3C36">
        <w:rPr>
          <w:lang w:val="en-GB"/>
        </w:rPr>
        <w:t>The first hypothesis posed on the topic is:</w:t>
      </w:r>
    </w:p>
    <w:p w14:paraId="02F643D7" w14:textId="68A9B674" w:rsidR="000319F8" w:rsidRPr="00CF3C36" w:rsidRDefault="00B37105" w:rsidP="00B37105">
      <w:pPr>
        <w:spacing w:after="0" w:line="360" w:lineRule="auto"/>
        <w:jc w:val="center"/>
        <w:rPr>
          <w:i/>
          <w:lang w:val="en-GB"/>
        </w:rPr>
      </w:pPr>
      <w:r w:rsidRPr="00CF3C36">
        <w:rPr>
          <w:i/>
          <w:lang w:val="en-GB"/>
        </w:rPr>
        <w:t>“</w:t>
      </w:r>
      <w:r w:rsidR="000319F8" w:rsidRPr="00CF3C36">
        <w:rPr>
          <w:i/>
          <w:lang w:val="en-GB"/>
        </w:rPr>
        <w:t xml:space="preserve">An increase in a country’s EPS will </w:t>
      </w:r>
      <w:r w:rsidR="00B91425" w:rsidRPr="00CF3C36">
        <w:rPr>
          <w:i/>
          <w:lang w:val="en-GB"/>
        </w:rPr>
        <w:t>increase</w:t>
      </w:r>
      <w:r w:rsidR="000319F8" w:rsidRPr="00CF3C36">
        <w:rPr>
          <w:i/>
          <w:lang w:val="en-GB"/>
        </w:rPr>
        <w:t xml:space="preserve"> the FDI in </w:t>
      </w:r>
      <w:r w:rsidR="00B91425" w:rsidRPr="00CF3C36">
        <w:rPr>
          <w:i/>
          <w:lang w:val="en-GB"/>
        </w:rPr>
        <w:t>renewable energy</w:t>
      </w:r>
      <w:r w:rsidR="000319F8" w:rsidRPr="00CF3C36">
        <w:rPr>
          <w:i/>
          <w:lang w:val="en-GB"/>
        </w:rPr>
        <w:t xml:space="preserve"> relative to the FDI in </w:t>
      </w:r>
      <w:r w:rsidR="00B91425" w:rsidRPr="00CF3C36">
        <w:rPr>
          <w:i/>
          <w:lang w:val="en-GB"/>
        </w:rPr>
        <w:t>fossil fuels</w:t>
      </w:r>
      <w:r w:rsidR="000319F8" w:rsidRPr="00CF3C36">
        <w:rPr>
          <w:i/>
          <w:lang w:val="en-GB"/>
        </w:rPr>
        <w:t>.</w:t>
      </w:r>
      <w:r w:rsidRPr="00CF3C36">
        <w:rPr>
          <w:i/>
          <w:lang w:val="en-GB"/>
        </w:rPr>
        <w:t>”</w:t>
      </w:r>
    </w:p>
    <w:p w14:paraId="5B7B6120" w14:textId="0061DFA3" w:rsidR="00A01BD9" w:rsidRPr="00CF3C36" w:rsidRDefault="00BB174D" w:rsidP="00A85DC3">
      <w:pPr>
        <w:spacing w:after="0" w:line="360" w:lineRule="auto"/>
        <w:ind w:firstLine="708"/>
        <w:jc w:val="both"/>
        <w:rPr>
          <w:lang w:val="en-GB"/>
        </w:rPr>
      </w:pPr>
      <w:r w:rsidRPr="00CF3C36">
        <w:rPr>
          <w:lang w:val="en-GB"/>
        </w:rPr>
        <w:t>The dependent varia</w:t>
      </w:r>
      <w:r w:rsidR="003371E2" w:rsidRPr="00CF3C36">
        <w:rPr>
          <w:lang w:val="en-GB"/>
        </w:rPr>
        <w:t>ble to analyse this hypothesis</w:t>
      </w:r>
      <w:r w:rsidRPr="00CF3C36">
        <w:rPr>
          <w:lang w:val="en-GB"/>
        </w:rPr>
        <w:t xml:space="preserve"> is the </w:t>
      </w:r>
      <w:r w:rsidR="003371E2" w:rsidRPr="00CF3C36">
        <w:rPr>
          <w:lang w:val="en-GB"/>
        </w:rPr>
        <w:t>ratio between FDI to green energy and FDI to brown energy</w:t>
      </w:r>
      <w:r w:rsidRPr="00CF3C36">
        <w:rPr>
          <w:lang w:val="en-GB"/>
        </w:rPr>
        <w:t>.</w:t>
      </w:r>
      <w:r w:rsidR="0061535F" w:rsidRPr="00CF3C36">
        <w:rPr>
          <w:lang w:val="en-GB"/>
        </w:rPr>
        <w:t xml:space="preserve"> </w:t>
      </w:r>
      <w:r w:rsidR="00844AB4" w:rsidRPr="00CF3C36">
        <w:rPr>
          <w:lang w:val="en-GB"/>
        </w:rPr>
        <w:t>The diagnostics tests concerni</w:t>
      </w:r>
      <w:r w:rsidR="00336BC9" w:rsidRPr="00CF3C36">
        <w:rPr>
          <w:lang w:val="en-GB"/>
        </w:rPr>
        <w:t>ng cross-sectional dependence w</w:t>
      </w:r>
      <w:r w:rsidR="00844AB4" w:rsidRPr="00CF3C36">
        <w:rPr>
          <w:lang w:val="en-GB"/>
        </w:rPr>
        <w:t xml:space="preserve">ere unable to be performed, because the panel in this model is too unbalanced. </w:t>
      </w:r>
      <w:r w:rsidR="00F90E3A" w:rsidRPr="00CF3C36">
        <w:rPr>
          <w:lang w:val="en-GB"/>
        </w:rPr>
        <w:t>Therefore both the results with the xtscc, fe method (robust to cross-sectional dependence, but asks for ca</w:t>
      </w:r>
      <w:r w:rsidR="00210FEB" w:rsidRPr="00CF3C36">
        <w:rPr>
          <w:lang w:val="en-GB"/>
        </w:rPr>
        <w:t>u</w:t>
      </w:r>
      <w:r w:rsidR="00F90E3A" w:rsidRPr="00CF3C36">
        <w:rPr>
          <w:lang w:val="en-GB"/>
        </w:rPr>
        <w:t>tion when T is small) and the xtreg, fe vce (cluster cou1) method (not robust to cross-sectional dependence) are reported.</w:t>
      </w:r>
      <w:r w:rsidR="00210FEB" w:rsidRPr="00CF3C36">
        <w:rPr>
          <w:lang w:val="en-GB"/>
        </w:rPr>
        <w:t xml:space="preserve"> Both models report the same coefficient, as expected as only different standard errors are constructed by the different methods. The different standard errors also do not change the significance levels of any of the variables. </w:t>
      </w:r>
      <w:r w:rsidR="00F90E3A" w:rsidRPr="00CF3C36">
        <w:rPr>
          <w:lang w:val="en-GB"/>
        </w:rPr>
        <w:t xml:space="preserve"> </w:t>
      </w:r>
      <w:r w:rsidR="00D73655" w:rsidRPr="00CF3C36">
        <w:rPr>
          <w:lang w:val="en-GB"/>
        </w:rPr>
        <w:t xml:space="preserve">The effect of EPI is insignificant, thus the hypothesis has to be rejected based on this analysis. </w:t>
      </w:r>
      <w:r w:rsidR="00345ABF" w:rsidRPr="00CF3C36">
        <w:rPr>
          <w:lang w:val="en-GB"/>
        </w:rPr>
        <w:t xml:space="preserve">The only significant variable is GDP, which had a positive coefficient and is significant at the 1% level. </w:t>
      </w:r>
      <w:r w:rsidR="00A22CD6" w:rsidRPr="00CF3C36">
        <w:rPr>
          <w:lang w:val="en-GB"/>
        </w:rPr>
        <w:t xml:space="preserve">This indicates that as GDP increases relatively more FDI will flow to green energy than to brown energy. </w:t>
      </w:r>
    </w:p>
    <w:p w14:paraId="657B8380" w14:textId="32C7AAFA" w:rsidR="00EF4CF8" w:rsidRPr="00CF3C36" w:rsidRDefault="008D1F1E" w:rsidP="009F5CEF">
      <w:pPr>
        <w:spacing w:after="0" w:line="360" w:lineRule="auto"/>
        <w:ind w:firstLine="708"/>
        <w:jc w:val="both"/>
        <w:rPr>
          <w:lang w:val="en-GB"/>
        </w:rPr>
      </w:pPr>
      <w:r w:rsidRPr="00CF3C36">
        <w:rPr>
          <w:lang w:val="en-GB"/>
        </w:rPr>
        <w:t xml:space="preserve">The robustness checks for Model 2 showed that the coefficient of GDP lost its significance in two of the tests. </w:t>
      </w:r>
      <w:r w:rsidR="003976AE" w:rsidRPr="00CF3C36">
        <w:rPr>
          <w:lang w:val="en-GB"/>
        </w:rPr>
        <w:t>Human capital became a significant variable when</w:t>
      </w:r>
      <w:r w:rsidR="00585F66" w:rsidRPr="00CF3C36">
        <w:rPr>
          <w:lang w:val="en-GB"/>
        </w:rPr>
        <w:t xml:space="preserve"> all</w:t>
      </w:r>
      <w:r w:rsidR="003976AE" w:rsidRPr="00CF3C36">
        <w:rPr>
          <w:lang w:val="en-GB"/>
        </w:rPr>
        <w:t xml:space="preserve"> observations with missing</w:t>
      </w:r>
      <w:r w:rsidR="00585F66" w:rsidRPr="00CF3C36">
        <w:rPr>
          <w:lang w:val="en-GB"/>
        </w:rPr>
        <w:t>s</w:t>
      </w:r>
      <w:r w:rsidR="003976AE" w:rsidRPr="00CF3C36">
        <w:rPr>
          <w:lang w:val="en-GB"/>
        </w:rPr>
        <w:t xml:space="preserve"> were deleted.</w:t>
      </w:r>
      <w:r w:rsidR="00776DF1" w:rsidRPr="00CF3C36">
        <w:rPr>
          <w:lang w:val="en-GB"/>
        </w:rPr>
        <w:t xml:space="preserve"> </w:t>
      </w:r>
      <w:r w:rsidR="001667FB" w:rsidRPr="00CF3C36">
        <w:rPr>
          <w:lang w:val="en-GB"/>
        </w:rPr>
        <w:t xml:space="preserve">Furthermore no surprising results were found. </w:t>
      </w:r>
    </w:p>
    <w:p w14:paraId="0890D69F" w14:textId="77777777" w:rsidR="009F5CEF" w:rsidRPr="00CF3C36" w:rsidRDefault="009F5CEF" w:rsidP="009F5CEF">
      <w:pPr>
        <w:spacing w:after="0" w:line="360" w:lineRule="auto"/>
        <w:ind w:firstLine="708"/>
        <w:jc w:val="both"/>
        <w:rPr>
          <w:lang w:val="en-GB"/>
        </w:rPr>
      </w:pPr>
      <w:r w:rsidRPr="00CF3C36">
        <w:rPr>
          <w:lang w:val="en-GB"/>
        </w:rPr>
        <w:t xml:space="preserve">The second and third hypotheses focus on the total FDI in brown and green energy respectively. The second hypothesis is: </w:t>
      </w:r>
    </w:p>
    <w:p w14:paraId="37865785" w14:textId="77777777" w:rsidR="009F5CEF" w:rsidRPr="00CF3C36" w:rsidRDefault="009F5CEF" w:rsidP="009F5CEF">
      <w:pPr>
        <w:spacing w:after="0" w:line="360" w:lineRule="auto"/>
        <w:jc w:val="center"/>
        <w:rPr>
          <w:i/>
          <w:lang w:val="en-GB"/>
        </w:rPr>
      </w:pPr>
      <w:r w:rsidRPr="00CF3C36">
        <w:rPr>
          <w:i/>
          <w:lang w:val="en-GB"/>
        </w:rPr>
        <w:t>“An increase in a country’s EPS will decrease the FDI in fossil fuels.”</w:t>
      </w:r>
    </w:p>
    <w:p w14:paraId="30F70373" w14:textId="3F57B0CE" w:rsidR="009F5CEF" w:rsidRPr="00CF3C36" w:rsidRDefault="009F5CEF" w:rsidP="009F5CEF">
      <w:pPr>
        <w:spacing w:after="0" w:line="360" w:lineRule="auto"/>
        <w:jc w:val="both"/>
        <w:rPr>
          <w:lang w:val="en-GB"/>
        </w:rPr>
      </w:pPr>
      <w:r w:rsidRPr="00CF3C36">
        <w:rPr>
          <w:lang w:val="en-GB"/>
        </w:rPr>
        <w:t xml:space="preserve">For this analysis the dependent variable is the total amount of FDI into brown energy. The results of the analysis </w:t>
      </w:r>
      <w:r w:rsidR="00336BC9" w:rsidRPr="00CF3C36">
        <w:rPr>
          <w:lang w:val="en-GB"/>
        </w:rPr>
        <w:t>are found in column 3 of Table 5</w:t>
      </w:r>
      <w:r w:rsidRPr="00CF3C36">
        <w:rPr>
          <w:lang w:val="en-GB"/>
        </w:rPr>
        <w:t>. EPI does not have a significant effect on the total FDI into brown energy. The hypothesis therefore has to be rejected. Again GDP has a significant coefficient at the 1% level. The coefficient is negative which is consistent with the positive coefficient in Model 2. No surprising results were found in the robustness tests.</w:t>
      </w:r>
    </w:p>
    <w:p w14:paraId="20A3D3B4" w14:textId="598B0893" w:rsidR="00600EB4" w:rsidRPr="00CF3C36" w:rsidRDefault="00C86351" w:rsidP="00714B92">
      <w:pPr>
        <w:pStyle w:val="Heading5"/>
        <w:jc w:val="center"/>
        <w:rPr>
          <w:lang w:val="en-GB"/>
        </w:rPr>
      </w:pPr>
      <w:bookmarkStart w:id="32" w:name="_Toc15475668"/>
      <w:r w:rsidRPr="00CF3C36">
        <w:rPr>
          <w:lang w:val="en-GB"/>
        </w:rPr>
        <w:lastRenderedPageBreak/>
        <w:t>Table 5</w:t>
      </w:r>
      <w:r w:rsidR="00600EB4" w:rsidRPr="00CF3C36">
        <w:rPr>
          <w:lang w:val="en-GB"/>
        </w:rPr>
        <w:t xml:space="preserve">. Results from </w:t>
      </w:r>
      <w:r w:rsidR="00DE368E" w:rsidRPr="00CF3C36">
        <w:rPr>
          <w:lang w:val="en-GB"/>
        </w:rPr>
        <w:t>Model 2, Model 2.1 &amp; Model 2.2</w:t>
      </w:r>
      <w:bookmarkEnd w:id="32"/>
    </w:p>
    <w:p w14:paraId="7D269481" w14:textId="77777777" w:rsidR="00864944" w:rsidRPr="00CF3C36" w:rsidRDefault="00864944" w:rsidP="00864944">
      <w:pPr>
        <w:widowControl w:val="0"/>
        <w:autoSpaceDE w:val="0"/>
        <w:autoSpaceDN w:val="0"/>
        <w:adjustRightInd w:val="0"/>
        <w:spacing w:after="0" w:line="240" w:lineRule="auto"/>
        <w:jc w:val="center"/>
        <w:rPr>
          <w:rFonts w:ascii="Times New Roman" w:hAnsi="Times New Roman" w:cs="Times New Roman"/>
          <w:sz w:val="18"/>
          <w:szCs w:val="18"/>
          <w:lang w:val="en-GB"/>
        </w:rPr>
      </w:pPr>
    </w:p>
    <w:tbl>
      <w:tblPr>
        <w:tblW w:w="0" w:type="auto"/>
        <w:jc w:val="center"/>
        <w:tblLayout w:type="fixed"/>
        <w:tblCellMar>
          <w:left w:w="75" w:type="dxa"/>
          <w:right w:w="75" w:type="dxa"/>
        </w:tblCellMar>
        <w:tblLook w:val="0000" w:firstRow="0" w:lastRow="0" w:firstColumn="0" w:lastColumn="0" w:noHBand="0" w:noVBand="0"/>
      </w:tblPr>
      <w:tblGrid>
        <w:gridCol w:w="1559"/>
        <w:gridCol w:w="992"/>
        <w:gridCol w:w="992"/>
        <w:gridCol w:w="992"/>
        <w:gridCol w:w="992"/>
      </w:tblGrid>
      <w:tr w:rsidR="00864944" w:rsidRPr="00CF3C36" w14:paraId="23DBB115" w14:textId="4BD20F8B" w:rsidTr="00415E7F">
        <w:trPr>
          <w:jc w:val="center"/>
        </w:trPr>
        <w:tc>
          <w:tcPr>
            <w:tcW w:w="1559" w:type="dxa"/>
            <w:tcBorders>
              <w:top w:val="single" w:sz="6" w:space="0" w:color="auto"/>
              <w:left w:val="nil"/>
              <w:bottom w:val="nil"/>
              <w:right w:val="nil"/>
            </w:tcBorders>
          </w:tcPr>
          <w:p w14:paraId="4C1C255A" w14:textId="77777777" w:rsidR="00864944" w:rsidRPr="00CF3C36" w:rsidRDefault="00864944" w:rsidP="00864944">
            <w:pPr>
              <w:widowControl w:val="0"/>
              <w:autoSpaceDE w:val="0"/>
              <w:autoSpaceDN w:val="0"/>
              <w:adjustRightInd w:val="0"/>
              <w:spacing w:after="0" w:line="240" w:lineRule="auto"/>
              <w:rPr>
                <w:rFonts w:ascii="Times New Roman" w:hAnsi="Times New Roman" w:cs="Times New Roman"/>
                <w:sz w:val="18"/>
                <w:szCs w:val="18"/>
                <w:lang w:val="en-GB"/>
              </w:rPr>
            </w:pPr>
          </w:p>
        </w:tc>
        <w:tc>
          <w:tcPr>
            <w:tcW w:w="992" w:type="dxa"/>
            <w:tcBorders>
              <w:top w:val="single" w:sz="6" w:space="0" w:color="auto"/>
              <w:left w:val="nil"/>
              <w:bottom w:val="nil"/>
              <w:right w:val="nil"/>
            </w:tcBorders>
          </w:tcPr>
          <w:p w14:paraId="290E478D" w14:textId="7E917BF0" w:rsidR="00864944" w:rsidRPr="00CF3C36" w:rsidRDefault="00864944" w:rsidP="0086494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w:t>
            </w:r>
          </w:p>
        </w:tc>
        <w:tc>
          <w:tcPr>
            <w:tcW w:w="992" w:type="dxa"/>
            <w:tcBorders>
              <w:top w:val="single" w:sz="6" w:space="0" w:color="auto"/>
              <w:left w:val="nil"/>
              <w:bottom w:val="nil"/>
              <w:right w:val="nil"/>
            </w:tcBorders>
          </w:tcPr>
          <w:p w14:paraId="62D4382C" w14:textId="27D28870" w:rsidR="00864944" w:rsidRPr="00CF3C36" w:rsidRDefault="00864944" w:rsidP="0086494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w:t>
            </w:r>
          </w:p>
        </w:tc>
        <w:tc>
          <w:tcPr>
            <w:tcW w:w="992" w:type="dxa"/>
            <w:tcBorders>
              <w:top w:val="single" w:sz="6" w:space="0" w:color="auto"/>
              <w:left w:val="nil"/>
              <w:bottom w:val="nil"/>
              <w:right w:val="nil"/>
            </w:tcBorders>
          </w:tcPr>
          <w:p w14:paraId="69A043D0" w14:textId="329F2C30" w:rsidR="00864944" w:rsidRPr="00CF3C36" w:rsidRDefault="00864944" w:rsidP="0086494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w:t>
            </w:r>
          </w:p>
        </w:tc>
        <w:tc>
          <w:tcPr>
            <w:tcW w:w="992" w:type="dxa"/>
            <w:tcBorders>
              <w:top w:val="single" w:sz="6" w:space="0" w:color="auto"/>
              <w:left w:val="nil"/>
              <w:bottom w:val="nil"/>
              <w:right w:val="nil"/>
            </w:tcBorders>
          </w:tcPr>
          <w:p w14:paraId="3A0F93F4" w14:textId="1BB2C100" w:rsidR="00864944" w:rsidRPr="00CF3C36" w:rsidRDefault="00864944" w:rsidP="0086494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w:t>
            </w:r>
          </w:p>
        </w:tc>
      </w:tr>
      <w:tr w:rsidR="001302E2" w:rsidRPr="00CF3C36" w14:paraId="4CD4F5B0" w14:textId="77777777" w:rsidTr="00415E7F">
        <w:trPr>
          <w:jc w:val="center"/>
        </w:trPr>
        <w:tc>
          <w:tcPr>
            <w:tcW w:w="1559" w:type="dxa"/>
            <w:tcBorders>
              <w:top w:val="single" w:sz="6" w:space="0" w:color="auto"/>
              <w:left w:val="nil"/>
              <w:bottom w:val="nil"/>
              <w:right w:val="nil"/>
            </w:tcBorders>
          </w:tcPr>
          <w:p w14:paraId="73A84DEC" w14:textId="53FCFDED" w:rsidR="001302E2" w:rsidRPr="00CF3C36" w:rsidRDefault="001302E2" w:rsidP="001302E2">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VARIABLES</w:t>
            </w:r>
          </w:p>
        </w:tc>
        <w:tc>
          <w:tcPr>
            <w:tcW w:w="992" w:type="dxa"/>
            <w:tcBorders>
              <w:top w:val="single" w:sz="6" w:space="0" w:color="auto"/>
              <w:left w:val="nil"/>
              <w:bottom w:val="nil"/>
              <w:right w:val="nil"/>
            </w:tcBorders>
          </w:tcPr>
          <w:p w14:paraId="1AC23DB0" w14:textId="2BA65686" w:rsidR="001302E2" w:rsidRPr="00CF3C36" w:rsidRDefault="001302E2" w:rsidP="001302E2">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w:t>
            </w:r>
          </w:p>
        </w:tc>
        <w:tc>
          <w:tcPr>
            <w:tcW w:w="992" w:type="dxa"/>
            <w:tcBorders>
              <w:top w:val="single" w:sz="6" w:space="0" w:color="auto"/>
              <w:left w:val="nil"/>
              <w:bottom w:val="nil"/>
              <w:right w:val="nil"/>
            </w:tcBorders>
          </w:tcPr>
          <w:p w14:paraId="28C55298" w14:textId="27521BF6" w:rsidR="001302E2" w:rsidRPr="00CF3C36" w:rsidRDefault="001302E2" w:rsidP="001302E2">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w:t>
            </w:r>
          </w:p>
        </w:tc>
        <w:tc>
          <w:tcPr>
            <w:tcW w:w="992" w:type="dxa"/>
            <w:tcBorders>
              <w:top w:val="single" w:sz="6" w:space="0" w:color="auto"/>
              <w:left w:val="nil"/>
              <w:bottom w:val="nil"/>
              <w:right w:val="nil"/>
            </w:tcBorders>
          </w:tcPr>
          <w:p w14:paraId="34FE59E6" w14:textId="14077893" w:rsidR="001302E2" w:rsidRPr="00CF3C36" w:rsidRDefault="001302E2" w:rsidP="001302E2">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2.1</w:t>
            </w:r>
          </w:p>
        </w:tc>
        <w:tc>
          <w:tcPr>
            <w:tcW w:w="992" w:type="dxa"/>
            <w:tcBorders>
              <w:top w:val="single" w:sz="6" w:space="0" w:color="auto"/>
              <w:left w:val="nil"/>
              <w:bottom w:val="nil"/>
              <w:right w:val="nil"/>
            </w:tcBorders>
          </w:tcPr>
          <w:p w14:paraId="1CCBADBD" w14:textId="7DA94876" w:rsidR="001302E2" w:rsidRPr="00CF3C36" w:rsidRDefault="001302E2" w:rsidP="001302E2">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2.2</w:t>
            </w:r>
          </w:p>
        </w:tc>
      </w:tr>
      <w:tr w:rsidR="001302E2" w:rsidRPr="00CF3C36" w14:paraId="10575CF8" w14:textId="47526D93" w:rsidTr="00415E7F">
        <w:trPr>
          <w:jc w:val="center"/>
        </w:trPr>
        <w:tc>
          <w:tcPr>
            <w:tcW w:w="1559" w:type="dxa"/>
            <w:tcBorders>
              <w:top w:val="nil"/>
              <w:left w:val="nil"/>
              <w:bottom w:val="single" w:sz="6" w:space="0" w:color="auto"/>
              <w:right w:val="nil"/>
            </w:tcBorders>
          </w:tcPr>
          <w:p w14:paraId="3E2549B2" w14:textId="624DC562" w:rsidR="001302E2" w:rsidRPr="00CF3C36" w:rsidRDefault="001302E2" w:rsidP="001302E2">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Dependent variable</w:t>
            </w:r>
          </w:p>
        </w:tc>
        <w:tc>
          <w:tcPr>
            <w:tcW w:w="992" w:type="dxa"/>
            <w:tcBorders>
              <w:top w:val="nil"/>
              <w:left w:val="nil"/>
              <w:bottom w:val="single" w:sz="6" w:space="0" w:color="auto"/>
              <w:right w:val="nil"/>
            </w:tcBorders>
          </w:tcPr>
          <w:p w14:paraId="1BF13A54" w14:textId="2352B630" w:rsidR="001302E2" w:rsidRPr="00CF3C36" w:rsidRDefault="001302E2" w:rsidP="001302E2">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ln_ratio</w:t>
            </w:r>
          </w:p>
        </w:tc>
        <w:tc>
          <w:tcPr>
            <w:tcW w:w="992" w:type="dxa"/>
            <w:tcBorders>
              <w:top w:val="nil"/>
              <w:left w:val="nil"/>
              <w:bottom w:val="single" w:sz="6" w:space="0" w:color="auto"/>
              <w:right w:val="nil"/>
            </w:tcBorders>
          </w:tcPr>
          <w:p w14:paraId="62CF2BC1" w14:textId="2708E2F5" w:rsidR="001302E2" w:rsidRPr="00CF3C36" w:rsidRDefault="001302E2" w:rsidP="001302E2">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ln_ratio</w:t>
            </w:r>
          </w:p>
        </w:tc>
        <w:tc>
          <w:tcPr>
            <w:tcW w:w="992" w:type="dxa"/>
            <w:tcBorders>
              <w:top w:val="nil"/>
              <w:left w:val="nil"/>
              <w:bottom w:val="single" w:sz="6" w:space="0" w:color="auto"/>
              <w:right w:val="nil"/>
            </w:tcBorders>
          </w:tcPr>
          <w:p w14:paraId="455C50F4" w14:textId="1AF7A3A7" w:rsidR="001302E2" w:rsidRPr="00CF3C36" w:rsidRDefault="001302E2" w:rsidP="001302E2">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FDI_brown</w:t>
            </w:r>
          </w:p>
        </w:tc>
        <w:tc>
          <w:tcPr>
            <w:tcW w:w="992" w:type="dxa"/>
            <w:tcBorders>
              <w:top w:val="nil"/>
              <w:left w:val="nil"/>
              <w:bottom w:val="single" w:sz="6" w:space="0" w:color="auto"/>
              <w:right w:val="nil"/>
            </w:tcBorders>
          </w:tcPr>
          <w:p w14:paraId="150EA7AB" w14:textId="294DFE8F" w:rsidR="001302E2" w:rsidRPr="00CF3C36" w:rsidRDefault="001302E2" w:rsidP="001302E2">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FDI_green</w:t>
            </w:r>
          </w:p>
        </w:tc>
      </w:tr>
      <w:tr w:rsidR="001302E2" w:rsidRPr="00CF3C36" w14:paraId="5781E0D2" w14:textId="50361B42" w:rsidTr="00415E7F">
        <w:trPr>
          <w:jc w:val="center"/>
        </w:trPr>
        <w:tc>
          <w:tcPr>
            <w:tcW w:w="1559" w:type="dxa"/>
            <w:tcBorders>
              <w:top w:val="nil"/>
              <w:left w:val="nil"/>
              <w:bottom w:val="nil"/>
              <w:right w:val="nil"/>
            </w:tcBorders>
          </w:tcPr>
          <w:p w14:paraId="02964F45" w14:textId="77777777" w:rsidR="001302E2" w:rsidRPr="00CF3C36" w:rsidRDefault="001302E2" w:rsidP="001302E2">
            <w:pPr>
              <w:widowControl w:val="0"/>
              <w:autoSpaceDE w:val="0"/>
              <w:autoSpaceDN w:val="0"/>
              <w:adjustRightInd w:val="0"/>
              <w:spacing w:after="0" w:line="240" w:lineRule="auto"/>
              <w:rPr>
                <w:rFonts w:ascii="Times New Roman" w:hAnsi="Times New Roman" w:cs="Times New Roman"/>
                <w:sz w:val="18"/>
                <w:szCs w:val="18"/>
                <w:lang w:val="en-GB"/>
              </w:rPr>
            </w:pPr>
          </w:p>
        </w:tc>
        <w:tc>
          <w:tcPr>
            <w:tcW w:w="992" w:type="dxa"/>
            <w:tcBorders>
              <w:top w:val="nil"/>
              <w:left w:val="nil"/>
              <w:bottom w:val="nil"/>
              <w:right w:val="nil"/>
            </w:tcBorders>
          </w:tcPr>
          <w:p w14:paraId="17CE117F" w14:textId="77777777" w:rsidR="001302E2" w:rsidRPr="00CF3C36" w:rsidRDefault="001302E2" w:rsidP="001302E2">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493D4ABB" w14:textId="77777777" w:rsidR="001302E2" w:rsidRPr="00CF3C36" w:rsidRDefault="001302E2" w:rsidP="001302E2">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1E902FE7" w14:textId="77777777" w:rsidR="001302E2" w:rsidRPr="00CF3C36" w:rsidRDefault="001302E2" w:rsidP="001302E2">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1CAF4AEE" w14:textId="77777777" w:rsidR="001302E2" w:rsidRPr="00CF3C36" w:rsidRDefault="001302E2" w:rsidP="001302E2">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C71A98" w:rsidRPr="00CF3C36" w14:paraId="0EDA2C31" w14:textId="62F86A54" w:rsidTr="00415E7F">
        <w:trPr>
          <w:jc w:val="center"/>
        </w:trPr>
        <w:tc>
          <w:tcPr>
            <w:tcW w:w="1559" w:type="dxa"/>
            <w:tcBorders>
              <w:top w:val="nil"/>
              <w:left w:val="nil"/>
              <w:bottom w:val="nil"/>
              <w:right w:val="nil"/>
            </w:tcBorders>
          </w:tcPr>
          <w:p w14:paraId="2C9AAE29"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w:t>
            </w:r>
          </w:p>
        </w:tc>
        <w:tc>
          <w:tcPr>
            <w:tcW w:w="992" w:type="dxa"/>
            <w:tcBorders>
              <w:top w:val="nil"/>
              <w:left w:val="nil"/>
              <w:bottom w:val="nil"/>
              <w:right w:val="nil"/>
            </w:tcBorders>
          </w:tcPr>
          <w:p w14:paraId="13827549"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0.177</w:t>
            </w:r>
          </w:p>
        </w:tc>
        <w:tc>
          <w:tcPr>
            <w:tcW w:w="992" w:type="dxa"/>
            <w:tcBorders>
              <w:top w:val="nil"/>
              <w:left w:val="nil"/>
              <w:bottom w:val="nil"/>
              <w:right w:val="nil"/>
            </w:tcBorders>
          </w:tcPr>
          <w:p w14:paraId="7E9714DA" w14:textId="5EC129EE"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0.177</w:t>
            </w:r>
          </w:p>
        </w:tc>
        <w:tc>
          <w:tcPr>
            <w:tcW w:w="992" w:type="dxa"/>
            <w:tcBorders>
              <w:top w:val="nil"/>
              <w:left w:val="nil"/>
              <w:bottom w:val="nil"/>
              <w:right w:val="nil"/>
            </w:tcBorders>
          </w:tcPr>
          <w:p w14:paraId="03ECB75C" w14:textId="5AD187C0"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0.0106</w:t>
            </w:r>
          </w:p>
        </w:tc>
        <w:tc>
          <w:tcPr>
            <w:tcW w:w="992" w:type="dxa"/>
            <w:tcBorders>
              <w:top w:val="nil"/>
              <w:left w:val="nil"/>
              <w:bottom w:val="nil"/>
              <w:right w:val="nil"/>
            </w:tcBorders>
          </w:tcPr>
          <w:p w14:paraId="50E49410" w14:textId="58539B82"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0.0809*</w:t>
            </w:r>
          </w:p>
        </w:tc>
      </w:tr>
      <w:tr w:rsidR="00C71A98" w:rsidRPr="00CF3C36" w14:paraId="34F05D63" w14:textId="707842DA" w:rsidTr="00415E7F">
        <w:trPr>
          <w:jc w:val="center"/>
        </w:trPr>
        <w:tc>
          <w:tcPr>
            <w:tcW w:w="1559" w:type="dxa"/>
            <w:tcBorders>
              <w:top w:val="nil"/>
              <w:left w:val="nil"/>
              <w:bottom w:val="nil"/>
              <w:right w:val="nil"/>
            </w:tcBorders>
          </w:tcPr>
          <w:p w14:paraId="62DE0FE4"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p>
        </w:tc>
        <w:tc>
          <w:tcPr>
            <w:tcW w:w="992" w:type="dxa"/>
            <w:tcBorders>
              <w:top w:val="nil"/>
              <w:left w:val="nil"/>
              <w:bottom w:val="nil"/>
              <w:right w:val="nil"/>
            </w:tcBorders>
          </w:tcPr>
          <w:p w14:paraId="5FA0BFF1"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(0.128)</w:t>
            </w:r>
          </w:p>
        </w:tc>
        <w:tc>
          <w:tcPr>
            <w:tcW w:w="992" w:type="dxa"/>
            <w:tcBorders>
              <w:top w:val="nil"/>
              <w:left w:val="nil"/>
              <w:bottom w:val="nil"/>
              <w:right w:val="nil"/>
            </w:tcBorders>
          </w:tcPr>
          <w:p w14:paraId="1B4A1B75" w14:textId="3372736B"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(0.107)</w:t>
            </w:r>
          </w:p>
        </w:tc>
        <w:tc>
          <w:tcPr>
            <w:tcW w:w="992" w:type="dxa"/>
            <w:tcBorders>
              <w:top w:val="nil"/>
              <w:left w:val="nil"/>
              <w:bottom w:val="nil"/>
              <w:right w:val="nil"/>
            </w:tcBorders>
          </w:tcPr>
          <w:p w14:paraId="44BB2251" w14:textId="3351BC46"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(0.0258)</w:t>
            </w:r>
          </w:p>
        </w:tc>
        <w:tc>
          <w:tcPr>
            <w:tcW w:w="992" w:type="dxa"/>
            <w:tcBorders>
              <w:top w:val="nil"/>
              <w:left w:val="nil"/>
              <w:bottom w:val="nil"/>
              <w:right w:val="nil"/>
            </w:tcBorders>
          </w:tcPr>
          <w:p w14:paraId="650DA098" w14:textId="1A81C1BD"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(0.0414)</w:t>
            </w:r>
          </w:p>
        </w:tc>
      </w:tr>
      <w:tr w:rsidR="00C71A98" w:rsidRPr="00CF3C36" w14:paraId="394CB903" w14:textId="12F0FD35" w:rsidTr="00415E7F">
        <w:trPr>
          <w:jc w:val="center"/>
        </w:trPr>
        <w:tc>
          <w:tcPr>
            <w:tcW w:w="1559" w:type="dxa"/>
            <w:tcBorders>
              <w:top w:val="nil"/>
              <w:left w:val="nil"/>
              <w:bottom w:val="nil"/>
              <w:right w:val="nil"/>
            </w:tcBorders>
          </w:tcPr>
          <w:p w14:paraId="043B7AD5"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ln_rgdpna</w:t>
            </w:r>
          </w:p>
        </w:tc>
        <w:tc>
          <w:tcPr>
            <w:tcW w:w="992" w:type="dxa"/>
            <w:tcBorders>
              <w:top w:val="nil"/>
              <w:left w:val="nil"/>
              <w:bottom w:val="nil"/>
              <w:right w:val="nil"/>
            </w:tcBorders>
          </w:tcPr>
          <w:p w14:paraId="4E053846"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6.736***</w:t>
            </w:r>
          </w:p>
        </w:tc>
        <w:tc>
          <w:tcPr>
            <w:tcW w:w="992" w:type="dxa"/>
            <w:tcBorders>
              <w:top w:val="nil"/>
              <w:left w:val="nil"/>
              <w:bottom w:val="nil"/>
              <w:right w:val="nil"/>
            </w:tcBorders>
          </w:tcPr>
          <w:p w14:paraId="3DAE8715" w14:textId="48C28F2F"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6.736***</w:t>
            </w:r>
          </w:p>
        </w:tc>
        <w:tc>
          <w:tcPr>
            <w:tcW w:w="992" w:type="dxa"/>
            <w:tcBorders>
              <w:top w:val="nil"/>
              <w:left w:val="nil"/>
              <w:bottom w:val="nil"/>
              <w:right w:val="nil"/>
            </w:tcBorders>
          </w:tcPr>
          <w:p w14:paraId="23832724" w14:textId="61B09601"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-2.846***</w:t>
            </w:r>
          </w:p>
        </w:tc>
        <w:tc>
          <w:tcPr>
            <w:tcW w:w="992" w:type="dxa"/>
            <w:tcBorders>
              <w:top w:val="nil"/>
              <w:left w:val="nil"/>
              <w:bottom w:val="nil"/>
              <w:right w:val="nil"/>
            </w:tcBorders>
          </w:tcPr>
          <w:p w14:paraId="0BFD7CFB" w14:textId="7EF23EA2"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1.397</w:t>
            </w:r>
          </w:p>
        </w:tc>
      </w:tr>
      <w:tr w:rsidR="00C71A98" w:rsidRPr="00CF3C36" w14:paraId="581D4801" w14:textId="102DE308" w:rsidTr="00415E7F">
        <w:trPr>
          <w:jc w:val="center"/>
        </w:trPr>
        <w:tc>
          <w:tcPr>
            <w:tcW w:w="1559" w:type="dxa"/>
            <w:tcBorders>
              <w:top w:val="nil"/>
              <w:left w:val="nil"/>
              <w:bottom w:val="nil"/>
              <w:right w:val="nil"/>
            </w:tcBorders>
          </w:tcPr>
          <w:p w14:paraId="4F6281EE"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p>
        </w:tc>
        <w:tc>
          <w:tcPr>
            <w:tcW w:w="992" w:type="dxa"/>
            <w:tcBorders>
              <w:top w:val="nil"/>
              <w:left w:val="nil"/>
              <w:bottom w:val="nil"/>
              <w:right w:val="nil"/>
            </w:tcBorders>
          </w:tcPr>
          <w:p w14:paraId="1EA9187D"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(2.153)</w:t>
            </w:r>
          </w:p>
        </w:tc>
        <w:tc>
          <w:tcPr>
            <w:tcW w:w="992" w:type="dxa"/>
            <w:tcBorders>
              <w:top w:val="nil"/>
              <w:left w:val="nil"/>
              <w:bottom w:val="nil"/>
              <w:right w:val="nil"/>
            </w:tcBorders>
          </w:tcPr>
          <w:p w14:paraId="5227BBFF" w14:textId="6AFBEA91"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(1.304)</w:t>
            </w:r>
          </w:p>
        </w:tc>
        <w:tc>
          <w:tcPr>
            <w:tcW w:w="992" w:type="dxa"/>
            <w:tcBorders>
              <w:top w:val="nil"/>
              <w:left w:val="nil"/>
              <w:bottom w:val="nil"/>
              <w:right w:val="nil"/>
            </w:tcBorders>
          </w:tcPr>
          <w:p w14:paraId="70EC5A87" w14:textId="4E7796A1"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(0.409)</w:t>
            </w:r>
          </w:p>
        </w:tc>
        <w:tc>
          <w:tcPr>
            <w:tcW w:w="992" w:type="dxa"/>
            <w:tcBorders>
              <w:top w:val="nil"/>
              <w:left w:val="nil"/>
              <w:bottom w:val="nil"/>
              <w:right w:val="nil"/>
            </w:tcBorders>
          </w:tcPr>
          <w:p w14:paraId="07D6C5F3" w14:textId="2E59B7ED"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(0.942)</w:t>
            </w:r>
          </w:p>
        </w:tc>
      </w:tr>
      <w:tr w:rsidR="00C71A98" w:rsidRPr="00CF3C36" w14:paraId="4BE5C6BB" w14:textId="6F3DFD8A" w:rsidTr="00415E7F">
        <w:trPr>
          <w:jc w:val="center"/>
        </w:trPr>
        <w:tc>
          <w:tcPr>
            <w:tcW w:w="1559" w:type="dxa"/>
            <w:tcBorders>
              <w:top w:val="nil"/>
              <w:left w:val="nil"/>
              <w:bottom w:val="nil"/>
              <w:right w:val="nil"/>
            </w:tcBorders>
          </w:tcPr>
          <w:p w14:paraId="76602AF9"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SE_terX</w:t>
            </w:r>
          </w:p>
        </w:tc>
        <w:tc>
          <w:tcPr>
            <w:tcW w:w="992" w:type="dxa"/>
            <w:tcBorders>
              <w:top w:val="nil"/>
              <w:left w:val="nil"/>
              <w:bottom w:val="nil"/>
              <w:right w:val="nil"/>
            </w:tcBorders>
          </w:tcPr>
          <w:p w14:paraId="7F85D267"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0.0336</w:t>
            </w:r>
          </w:p>
        </w:tc>
        <w:tc>
          <w:tcPr>
            <w:tcW w:w="992" w:type="dxa"/>
            <w:tcBorders>
              <w:top w:val="nil"/>
              <w:left w:val="nil"/>
              <w:bottom w:val="nil"/>
              <w:right w:val="nil"/>
            </w:tcBorders>
          </w:tcPr>
          <w:p w14:paraId="6C35BE06" w14:textId="5D62BD7A"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0.0336</w:t>
            </w:r>
          </w:p>
        </w:tc>
        <w:tc>
          <w:tcPr>
            <w:tcW w:w="992" w:type="dxa"/>
            <w:tcBorders>
              <w:top w:val="nil"/>
              <w:left w:val="nil"/>
              <w:bottom w:val="nil"/>
              <w:right w:val="nil"/>
            </w:tcBorders>
          </w:tcPr>
          <w:p w14:paraId="329EDF41" w14:textId="5CDA786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-0.0294**</w:t>
            </w:r>
          </w:p>
        </w:tc>
        <w:tc>
          <w:tcPr>
            <w:tcW w:w="992" w:type="dxa"/>
            <w:tcBorders>
              <w:top w:val="nil"/>
              <w:left w:val="nil"/>
              <w:bottom w:val="nil"/>
              <w:right w:val="nil"/>
            </w:tcBorders>
          </w:tcPr>
          <w:p w14:paraId="76F10456" w14:textId="42F1C84E"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0.0145</w:t>
            </w:r>
          </w:p>
        </w:tc>
      </w:tr>
      <w:tr w:rsidR="00C71A98" w:rsidRPr="00CF3C36" w14:paraId="561B1BEB" w14:textId="5495F04D" w:rsidTr="00415E7F">
        <w:trPr>
          <w:jc w:val="center"/>
        </w:trPr>
        <w:tc>
          <w:tcPr>
            <w:tcW w:w="1559" w:type="dxa"/>
            <w:tcBorders>
              <w:top w:val="nil"/>
              <w:left w:val="nil"/>
              <w:bottom w:val="nil"/>
              <w:right w:val="nil"/>
            </w:tcBorders>
          </w:tcPr>
          <w:p w14:paraId="4905E3F3"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p>
        </w:tc>
        <w:tc>
          <w:tcPr>
            <w:tcW w:w="992" w:type="dxa"/>
            <w:tcBorders>
              <w:top w:val="nil"/>
              <w:left w:val="nil"/>
              <w:bottom w:val="nil"/>
              <w:right w:val="nil"/>
            </w:tcBorders>
          </w:tcPr>
          <w:p w14:paraId="42E7EA7A"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(0.0290)</w:t>
            </w:r>
          </w:p>
        </w:tc>
        <w:tc>
          <w:tcPr>
            <w:tcW w:w="992" w:type="dxa"/>
            <w:tcBorders>
              <w:top w:val="nil"/>
              <w:left w:val="nil"/>
              <w:bottom w:val="nil"/>
              <w:right w:val="nil"/>
            </w:tcBorders>
          </w:tcPr>
          <w:p w14:paraId="63E4076F" w14:textId="300BD474"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(0.0223)</w:t>
            </w:r>
          </w:p>
        </w:tc>
        <w:tc>
          <w:tcPr>
            <w:tcW w:w="992" w:type="dxa"/>
            <w:tcBorders>
              <w:top w:val="nil"/>
              <w:left w:val="nil"/>
              <w:bottom w:val="nil"/>
              <w:right w:val="nil"/>
            </w:tcBorders>
          </w:tcPr>
          <w:p w14:paraId="3822BA0B" w14:textId="4449E00F"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(0.00980)</w:t>
            </w:r>
          </w:p>
        </w:tc>
        <w:tc>
          <w:tcPr>
            <w:tcW w:w="992" w:type="dxa"/>
            <w:tcBorders>
              <w:top w:val="nil"/>
              <w:left w:val="nil"/>
              <w:bottom w:val="nil"/>
              <w:right w:val="nil"/>
            </w:tcBorders>
          </w:tcPr>
          <w:p w14:paraId="18E6537E" w14:textId="509E1D92"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(0.0158)</w:t>
            </w:r>
          </w:p>
        </w:tc>
      </w:tr>
      <w:tr w:rsidR="00C71A98" w:rsidRPr="00CF3C36" w14:paraId="0CF55C74" w14:textId="3F6C6FAC" w:rsidTr="00415E7F">
        <w:trPr>
          <w:jc w:val="center"/>
        </w:trPr>
        <w:tc>
          <w:tcPr>
            <w:tcW w:w="1559" w:type="dxa"/>
            <w:tcBorders>
              <w:top w:val="nil"/>
              <w:left w:val="nil"/>
              <w:bottom w:val="nil"/>
              <w:right w:val="nil"/>
            </w:tcBorders>
          </w:tcPr>
          <w:p w14:paraId="690AD8CA"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eodb1</w:t>
            </w:r>
          </w:p>
        </w:tc>
        <w:tc>
          <w:tcPr>
            <w:tcW w:w="992" w:type="dxa"/>
            <w:tcBorders>
              <w:top w:val="nil"/>
              <w:left w:val="nil"/>
              <w:bottom w:val="nil"/>
              <w:right w:val="nil"/>
            </w:tcBorders>
          </w:tcPr>
          <w:p w14:paraId="2F167E3B"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0.00984</w:t>
            </w:r>
          </w:p>
        </w:tc>
        <w:tc>
          <w:tcPr>
            <w:tcW w:w="992" w:type="dxa"/>
            <w:tcBorders>
              <w:top w:val="nil"/>
              <w:left w:val="nil"/>
              <w:bottom w:val="nil"/>
              <w:right w:val="nil"/>
            </w:tcBorders>
          </w:tcPr>
          <w:p w14:paraId="588D6397" w14:textId="50E2258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0.00984</w:t>
            </w:r>
          </w:p>
        </w:tc>
        <w:tc>
          <w:tcPr>
            <w:tcW w:w="992" w:type="dxa"/>
            <w:tcBorders>
              <w:top w:val="nil"/>
              <w:left w:val="nil"/>
              <w:bottom w:val="nil"/>
              <w:right w:val="nil"/>
            </w:tcBorders>
          </w:tcPr>
          <w:p w14:paraId="141A6252" w14:textId="612574B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-0.0398</w:t>
            </w:r>
          </w:p>
        </w:tc>
        <w:tc>
          <w:tcPr>
            <w:tcW w:w="992" w:type="dxa"/>
            <w:tcBorders>
              <w:top w:val="nil"/>
              <w:left w:val="nil"/>
              <w:bottom w:val="nil"/>
              <w:right w:val="nil"/>
            </w:tcBorders>
          </w:tcPr>
          <w:p w14:paraId="2E0A6F8C" w14:textId="5CE13D95"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-0.0273</w:t>
            </w:r>
          </w:p>
        </w:tc>
      </w:tr>
      <w:tr w:rsidR="00C71A98" w:rsidRPr="00CF3C36" w14:paraId="107A7BD4" w14:textId="5E706EE7" w:rsidTr="00415E7F">
        <w:trPr>
          <w:jc w:val="center"/>
        </w:trPr>
        <w:tc>
          <w:tcPr>
            <w:tcW w:w="1559" w:type="dxa"/>
            <w:tcBorders>
              <w:top w:val="nil"/>
              <w:left w:val="nil"/>
              <w:bottom w:val="nil"/>
              <w:right w:val="nil"/>
            </w:tcBorders>
          </w:tcPr>
          <w:p w14:paraId="3BE87867"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p>
        </w:tc>
        <w:tc>
          <w:tcPr>
            <w:tcW w:w="992" w:type="dxa"/>
            <w:tcBorders>
              <w:top w:val="nil"/>
              <w:left w:val="nil"/>
              <w:bottom w:val="nil"/>
              <w:right w:val="nil"/>
            </w:tcBorders>
          </w:tcPr>
          <w:p w14:paraId="0AF5BDAE"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(0.0609)</w:t>
            </w:r>
          </w:p>
        </w:tc>
        <w:tc>
          <w:tcPr>
            <w:tcW w:w="992" w:type="dxa"/>
            <w:tcBorders>
              <w:top w:val="nil"/>
              <w:left w:val="nil"/>
              <w:bottom w:val="nil"/>
              <w:right w:val="nil"/>
            </w:tcBorders>
          </w:tcPr>
          <w:p w14:paraId="001E3867" w14:textId="0EC69F83"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(0.0381)</w:t>
            </w:r>
          </w:p>
        </w:tc>
        <w:tc>
          <w:tcPr>
            <w:tcW w:w="992" w:type="dxa"/>
            <w:tcBorders>
              <w:top w:val="nil"/>
              <w:left w:val="nil"/>
              <w:bottom w:val="nil"/>
              <w:right w:val="nil"/>
            </w:tcBorders>
          </w:tcPr>
          <w:p w14:paraId="0B64EAE3" w14:textId="74FB8571"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(0.0334)</w:t>
            </w:r>
          </w:p>
        </w:tc>
        <w:tc>
          <w:tcPr>
            <w:tcW w:w="992" w:type="dxa"/>
            <w:tcBorders>
              <w:top w:val="nil"/>
              <w:left w:val="nil"/>
              <w:bottom w:val="nil"/>
              <w:right w:val="nil"/>
            </w:tcBorders>
          </w:tcPr>
          <w:p w14:paraId="26BA7374" w14:textId="48046B46"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(0.0217)</w:t>
            </w:r>
          </w:p>
        </w:tc>
      </w:tr>
      <w:tr w:rsidR="00C71A98" w:rsidRPr="00CF3C36" w14:paraId="0E5A3E83" w14:textId="40C51AB1" w:rsidTr="00415E7F">
        <w:trPr>
          <w:jc w:val="center"/>
        </w:trPr>
        <w:tc>
          <w:tcPr>
            <w:tcW w:w="1559" w:type="dxa"/>
            <w:tcBorders>
              <w:top w:val="nil"/>
              <w:left w:val="nil"/>
              <w:bottom w:val="nil"/>
              <w:right w:val="nil"/>
            </w:tcBorders>
          </w:tcPr>
          <w:p w14:paraId="45ED3B29"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governance</w:t>
            </w:r>
          </w:p>
        </w:tc>
        <w:tc>
          <w:tcPr>
            <w:tcW w:w="992" w:type="dxa"/>
            <w:tcBorders>
              <w:top w:val="nil"/>
              <w:left w:val="nil"/>
              <w:bottom w:val="nil"/>
              <w:right w:val="nil"/>
            </w:tcBorders>
          </w:tcPr>
          <w:p w14:paraId="549FB7C7"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-0.513</w:t>
            </w:r>
          </w:p>
        </w:tc>
        <w:tc>
          <w:tcPr>
            <w:tcW w:w="992" w:type="dxa"/>
            <w:tcBorders>
              <w:top w:val="nil"/>
              <w:left w:val="nil"/>
              <w:bottom w:val="nil"/>
              <w:right w:val="nil"/>
            </w:tcBorders>
          </w:tcPr>
          <w:p w14:paraId="4F96DF99" w14:textId="74E2148B"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-0.513</w:t>
            </w:r>
          </w:p>
        </w:tc>
        <w:tc>
          <w:tcPr>
            <w:tcW w:w="992" w:type="dxa"/>
            <w:tcBorders>
              <w:top w:val="nil"/>
              <w:left w:val="nil"/>
              <w:bottom w:val="nil"/>
              <w:right w:val="nil"/>
            </w:tcBorders>
          </w:tcPr>
          <w:p w14:paraId="712C1CEC" w14:textId="703B2EA4"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-0.00111</w:t>
            </w:r>
          </w:p>
        </w:tc>
        <w:tc>
          <w:tcPr>
            <w:tcW w:w="992" w:type="dxa"/>
            <w:tcBorders>
              <w:top w:val="nil"/>
              <w:left w:val="nil"/>
              <w:bottom w:val="nil"/>
              <w:right w:val="nil"/>
            </w:tcBorders>
          </w:tcPr>
          <w:p w14:paraId="4913C437" w14:textId="6C9436B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-0.238</w:t>
            </w:r>
          </w:p>
        </w:tc>
      </w:tr>
      <w:tr w:rsidR="00C71A98" w:rsidRPr="00CF3C36" w14:paraId="6FCC21BA" w14:textId="1545E43F" w:rsidTr="00415E7F">
        <w:trPr>
          <w:jc w:val="center"/>
        </w:trPr>
        <w:tc>
          <w:tcPr>
            <w:tcW w:w="1559" w:type="dxa"/>
            <w:tcBorders>
              <w:top w:val="nil"/>
              <w:left w:val="nil"/>
              <w:bottom w:val="nil"/>
              <w:right w:val="nil"/>
            </w:tcBorders>
          </w:tcPr>
          <w:p w14:paraId="371CECAD"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p>
        </w:tc>
        <w:tc>
          <w:tcPr>
            <w:tcW w:w="992" w:type="dxa"/>
            <w:tcBorders>
              <w:top w:val="nil"/>
              <w:left w:val="nil"/>
              <w:bottom w:val="nil"/>
              <w:right w:val="nil"/>
            </w:tcBorders>
          </w:tcPr>
          <w:p w14:paraId="5783A134"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(0.495)</w:t>
            </w:r>
          </w:p>
        </w:tc>
        <w:tc>
          <w:tcPr>
            <w:tcW w:w="992" w:type="dxa"/>
            <w:tcBorders>
              <w:top w:val="nil"/>
              <w:left w:val="nil"/>
              <w:bottom w:val="nil"/>
              <w:right w:val="nil"/>
            </w:tcBorders>
          </w:tcPr>
          <w:p w14:paraId="0959706B" w14:textId="203AFBEE"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(0.346)</w:t>
            </w:r>
          </w:p>
        </w:tc>
        <w:tc>
          <w:tcPr>
            <w:tcW w:w="992" w:type="dxa"/>
            <w:tcBorders>
              <w:top w:val="nil"/>
              <w:left w:val="nil"/>
              <w:bottom w:val="nil"/>
              <w:right w:val="nil"/>
            </w:tcBorders>
          </w:tcPr>
          <w:p w14:paraId="77074EBA" w14:textId="29794DAE"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(0.309)</w:t>
            </w:r>
          </w:p>
        </w:tc>
        <w:tc>
          <w:tcPr>
            <w:tcW w:w="992" w:type="dxa"/>
            <w:tcBorders>
              <w:top w:val="nil"/>
              <w:left w:val="nil"/>
              <w:bottom w:val="nil"/>
              <w:right w:val="nil"/>
            </w:tcBorders>
          </w:tcPr>
          <w:p w14:paraId="492A956F" w14:textId="0D0405F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(0.136)</w:t>
            </w:r>
          </w:p>
        </w:tc>
      </w:tr>
      <w:tr w:rsidR="00C71A98" w:rsidRPr="00CF3C36" w14:paraId="50C77F7D" w14:textId="240E00D5" w:rsidTr="00415E7F">
        <w:trPr>
          <w:jc w:val="center"/>
        </w:trPr>
        <w:tc>
          <w:tcPr>
            <w:tcW w:w="1559" w:type="dxa"/>
            <w:tcBorders>
              <w:top w:val="nil"/>
              <w:left w:val="nil"/>
              <w:bottom w:val="nil"/>
              <w:right w:val="nil"/>
            </w:tcBorders>
          </w:tcPr>
          <w:p w14:paraId="0536D49C"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ln_KL</w:t>
            </w:r>
          </w:p>
        </w:tc>
        <w:tc>
          <w:tcPr>
            <w:tcW w:w="992" w:type="dxa"/>
            <w:tcBorders>
              <w:top w:val="nil"/>
              <w:left w:val="nil"/>
              <w:bottom w:val="nil"/>
              <w:right w:val="nil"/>
            </w:tcBorders>
          </w:tcPr>
          <w:p w14:paraId="6564380F"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-5.055</w:t>
            </w:r>
          </w:p>
        </w:tc>
        <w:tc>
          <w:tcPr>
            <w:tcW w:w="992" w:type="dxa"/>
            <w:tcBorders>
              <w:top w:val="nil"/>
              <w:left w:val="nil"/>
              <w:bottom w:val="nil"/>
              <w:right w:val="nil"/>
            </w:tcBorders>
          </w:tcPr>
          <w:p w14:paraId="25365CB5" w14:textId="11DF8E70"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-5.055</w:t>
            </w:r>
          </w:p>
        </w:tc>
        <w:tc>
          <w:tcPr>
            <w:tcW w:w="992" w:type="dxa"/>
            <w:tcBorders>
              <w:top w:val="nil"/>
              <w:left w:val="nil"/>
              <w:bottom w:val="nil"/>
              <w:right w:val="nil"/>
            </w:tcBorders>
          </w:tcPr>
          <w:p w14:paraId="12BAFDEC" w14:textId="2DA5C8AE"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2.049</w:t>
            </w:r>
          </w:p>
        </w:tc>
        <w:tc>
          <w:tcPr>
            <w:tcW w:w="992" w:type="dxa"/>
            <w:tcBorders>
              <w:top w:val="nil"/>
              <w:left w:val="nil"/>
              <w:bottom w:val="nil"/>
              <w:right w:val="nil"/>
            </w:tcBorders>
          </w:tcPr>
          <w:p w14:paraId="614B1551" w14:textId="6E659564"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1.296</w:t>
            </w:r>
          </w:p>
        </w:tc>
      </w:tr>
      <w:tr w:rsidR="00C71A98" w:rsidRPr="00CF3C36" w14:paraId="4D61CC52" w14:textId="3F78E1DC" w:rsidTr="00415E7F">
        <w:trPr>
          <w:jc w:val="center"/>
        </w:trPr>
        <w:tc>
          <w:tcPr>
            <w:tcW w:w="1559" w:type="dxa"/>
            <w:tcBorders>
              <w:top w:val="nil"/>
              <w:left w:val="nil"/>
              <w:bottom w:val="nil"/>
              <w:right w:val="nil"/>
            </w:tcBorders>
          </w:tcPr>
          <w:p w14:paraId="1072AD17"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p>
        </w:tc>
        <w:tc>
          <w:tcPr>
            <w:tcW w:w="992" w:type="dxa"/>
            <w:tcBorders>
              <w:top w:val="nil"/>
              <w:left w:val="nil"/>
              <w:bottom w:val="nil"/>
              <w:right w:val="nil"/>
            </w:tcBorders>
          </w:tcPr>
          <w:p w14:paraId="012D9961"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(3.353)</w:t>
            </w:r>
          </w:p>
        </w:tc>
        <w:tc>
          <w:tcPr>
            <w:tcW w:w="992" w:type="dxa"/>
            <w:tcBorders>
              <w:top w:val="nil"/>
              <w:left w:val="nil"/>
              <w:bottom w:val="nil"/>
              <w:right w:val="nil"/>
            </w:tcBorders>
          </w:tcPr>
          <w:p w14:paraId="62620A9C" w14:textId="48682246"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(4.133)</w:t>
            </w:r>
          </w:p>
        </w:tc>
        <w:tc>
          <w:tcPr>
            <w:tcW w:w="992" w:type="dxa"/>
            <w:tcBorders>
              <w:top w:val="nil"/>
              <w:left w:val="nil"/>
              <w:bottom w:val="nil"/>
              <w:right w:val="nil"/>
            </w:tcBorders>
          </w:tcPr>
          <w:p w14:paraId="240F2B41" w14:textId="4C10851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(1.528)</w:t>
            </w:r>
          </w:p>
        </w:tc>
        <w:tc>
          <w:tcPr>
            <w:tcW w:w="992" w:type="dxa"/>
            <w:tcBorders>
              <w:top w:val="nil"/>
              <w:left w:val="nil"/>
              <w:bottom w:val="nil"/>
              <w:right w:val="nil"/>
            </w:tcBorders>
          </w:tcPr>
          <w:p w14:paraId="2A9CEC4C" w14:textId="4A21142A"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(1.990)</w:t>
            </w:r>
          </w:p>
        </w:tc>
      </w:tr>
      <w:tr w:rsidR="00C71A98" w:rsidRPr="00CF3C36" w14:paraId="56B09076" w14:textId="3A144970" w:rsidTr="00415E7F">
        <w:trPr>
          <w:jc w:val="center"/>
        </w:trPr>
        <w:tc>
          <w:tcPr>
            <w:tcW w:w="1559" w:type="dxa"/>
            <w:tcBorders>
              <w:top w:val="nil"/>
              <w:left w:val="nil"/>
              <w:bottom w:val="nil"/>
              <w:right w:val="nil"/>
            </w:tcBorders>
          </w:tcPr>
          <w:p w14:paraId="3BE83477"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ln_KL_2</w:t>
            </w:r>
          </w:p>
        </w:tc>
        <w:tc>
          <w:tcPr>
            <w:tcW w:w="992" w:type="dxa"/>
            <w:tcBorders>
              <w:top w:val="nil"/>
              <w:left w:val="nil"/>
              <w:bottom w:val="nil"/>
              <w:right w:val="nil"/>
            </w:tcBorders>
          </w:tcPr>
          <w:p w14:paraId="35E61496"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0.325</w:t>
            </w:r>
          </w:p>
        </w:tc>
        <w:tc>
          <w:tcPr>
            <w:tcW w:w="992" w:type="dxa"/>
            <w:tcBorders>
              <w:top w:val="nil"/>
              <w:left w:val="nil"/>
              <w:bottom w:val="nil"/>
              <w:right w:val="nil"/>
            </w:tcBorders>
          </w:tcPr>
          <w:p w14:paraId="6F35B444" w14:textId="5DF7AB20"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0.325</w:t>
            </w:r>
          </w:p>
        </w:tc>
        <w:tc>
          <w:tcPr>
            <w:tcW w:w="992" w:type="dxa"/>
            <w:tcBorders>
              <w:top w:val="nil"/>
              <w:left w:val="nil"/>
              <w:bottom w:val="nil"/>
              <w:right w:val="nil"/>
            </w:tcBorders>
          </w:tcPr>
          <w:p w14:paraId="627C27CC" w14:textId="30CEA0F1"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-0.407**</w:t>
            </w:r>
          </w:p>
        </w:tc>
        <w:tc>
          <w:tcPr>
            <w:tcW w:w="992" w:type="dxa"/>
            <w:tcBorders>
              <w:top w:val="nil"/>
              <w:left w:val="nil"/>
              <w:bottom w:val="nil"/>
              <w:right w:val="nil"/>
            </w:tcBorders>
          </w:tcPr>
          <w:p w14:paraId="6B832F74" w14:textId="720F6C64"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-0.440</w:t>
            </w:r>
          </w:p>
        </w:tc>
      </w:tr>
      <w:tr w:rsidR="00C71A98" w:rsidRPr="00CF3C36" w14:paraId="3615091C" w14:textId="6250BF6B" w:rsidTr="00415E7F">
        <w:trPr>
          <w:jc w:val="center"/>
        </w:trPr>
        <w:tc>
          <w:tcPr>
            <w:tcW w:w="1559" w:type="dxa"/>
            <w:tcBorders>
              <w:top w:val="nil"/>
              <w:left w:val="nil"/>
              <w:bottom w:val="nil"/>
              <w:right w:val="nil"/>
            </w:tcBorders>
          </w:tcPr>
          <w:p w14:paraId="4EA2F421"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p>
        </w:tc>
        <w:tc>
          <w:tcPr>
            <w:tcW w:w="992" w:type="dxa"/>
            <w:tcBorders>
              <w:top w:val="nil"/>
              <w:left w:val="nil"/>
              <w:bottom w:val="nil"/>
              <w:right w:val="nil"/>
            </w:tcBorders>
          </w:tcPr>
          <w:p w14:paraId="7380FA73"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(0.405)</w:t>
            </w:r>
          </w:p>
        </w:tc>
        <w:tc>
          <w:tcPr>
            <w:tcW w:w="992" w:type="dxa"/>
            <w:tcBorders>
              <w:top w:val="nil"/>
              <w:left w:val="nil"/>
              <w:bottom w:val="nil"/>
              <w:right w:val="nil"/>
            </w:tcBorders>
          </w:tcPr>
          <w:p w14:paraId="25F8838C" w14:textId="016CC059"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(0.470)</w:t>
            </w:r>
          </w:p>
        </w:tc>
        <w:tc>
          <w:tcPr>
            <w:tcW w:w="992" w:type="dxa"/>
            <w:tcBorders>
              <w:top w:val="nil"/>
              <w:left w:val="nil"/>
              <w:bottom w:val="nil"/>
              <w:right w:val="nil"/>
            </w:tcBorders>
          </w:tcPr>
          <w:p w14:paraId="028EA966" w14:textId="02011260"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(0.131)</w:t>
            </w:r>
          </w:p>
        </w:tc>
        <w:tc>
          <w:tcPr>
            <w:tcW w:w="992" w:type="dxa"/>
            <w:tcBorders>
              <w:top w:val="nil"/>
              <w:left w:val="nil"/>
              <w:bottom w:val="nil"/>
              <w:right w:val="nil"/>
            </w:tcBorders>
          </w:tcPr>
          <w:p w14:paraId="48C4EC5C" w14:textId="54BE3010"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(0.251)</w:t>
            </w:r>
          </w:p>
        </w:tc>
      </w:tr>
      <w:tr w:rsidR="00C71A98" w:rsidRPr="00CF3C36" w14:paraId="5CE05844" w14:textId="0D6A4AFE" w:rsidTr="00415E7F">
        <w:trPr>
          <w:jc w:val="center"/>
        </w:trPr>
        <w:tc>
          <w:tcPr>
            <w:tcW w:w="1559" w:type="dxa"/>
            <w:tcBorders>
              <w:top w:val="nil"/>
              <w:left w:val="nil"/>
              <w:bottom w:val="nil"/>
              <w:right w:val="nil"/>
            </w:tcBorders>
          </w:tcPr>
          <w:p w14:paraId="600B5069"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EPI_ln_KL_cen</w:t>
            </w:r>
          </w:p>
        </w:tc>
        <w:tc>
          <w:tcPr>
            <w:tcW w:w="992" w:type="dxa"/>
            <w:tcBorders>
              <w:top w:val="nil"/>
              <w:left w:val="nil"/>
              <w:bottom w:val="nil"/>
              <w:right w:val="nil"/>
            </w:tcBorders>
          </w:tcPr>
          <w:p w14:paraId="60A9604D"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-0.517</w:t>
            </w:r>
          </w:p>
        </w:tc>
        <w:tc>
          <w:tcPr>
            <w:tcW w:w="992" w:type="dxa"/>
            <w:tcBorders>
              <w:top w:val="nil"/>
              <w:left w:val="nil"/>
              <w:bottom w:val="nil"/>
              <w:right w:val="nil"/>
            </w:tcBorders>
          </w:tcPr>
          <w:p w14:paraId="7D1F38FA" w14:textId="441BC204"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-0.517</w:t>
            </w:r>
          </w:p>
        </w:tc>
        <w:tc>
          <w:tcPr>
            <w:tcW w:w="992" w:type="dxa"/>
            <w:tcBorders>
              <w:top w:val="nil"/>
              <w:left w:val="nil"/>
              <w:bottom w:val="nil"/>
              <w:right w:val="nil"/>
            </w:tcBorders>
          </w:tcPr>
          <w:p w14:paraId="08DA204E" w14:textId="7E2A91A9"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0.217</w:t>
            </w:r>
          </w:p>
        </w:tc>
        <w:tc>
          <w:tcPr>
            <w:tcW w:w="992" w:type="dxa"/>
            <w:tcBorders>
              <w:top w:val="nil"/>
              <w:left w:val="nil"/>
              <w:bottom w:val="nil"/>
              <w:right w:val="nil"/>
            </w:tcBorders>
          </w:tcPr>
          <w:p w14:paraId="7F6DCEEA" w14:textId="1F46B9D8"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-0.105</w:t>
            </w:r>
          </w:p>
        </w:tc>
      </w:tr>
      <w:tr w:rsidR="00C71A98" w:rsidRPr="00CF3C36" w14:paraId="4EADF90B" w14:textId="3B9174B5" w:rsidTr="00415E7F">
        <w:trPr>
          <w:jc w:val="center"/>
        </w:trPr>
        <w:tc>
          <w:tcPr>
            <w:tcW w:w="1559" w:type="dxa"/>
            <w:tcBorders>
              <w:top w:val="nil"/>
              <w:left w:val="nil"/>
              <w:bottom w:val="nil"/>
              <w:right w:val="nil"/>
            </w:tcBorders>
          </w:tcPr>
          <w:p w14:paraId="25A710EE"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p>
        </w:tc>
        <w:tc>
          <w:tcPr>
            <w:tcW w:w="992" w:type="dxa"/>
            <w:tcBorders>
              <w:top w:val="nil"/>
              <w:left w:val="nil"/>
              <w:bottom w:val="nil"/>
              <w:right w:val="nil"/>
            </w:tcBorders>
          </w:tcPr>
          <w:p w14:paraId="70FA5579"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(0.432)</w:t>
            </w:r>
          </w:p>
        </w:tc>
        <w:tc>
          <w:tcPr>
            <w:tcW w:w="992" w:type="dxa"/>
            <w:tcBorders>
              <w:top w:val="nil"/>
              <w:left w:val="nil"/>
              <w:bottom w:val="nil"/>
              <w:right w:val="nil"/>
            </w:tcBorders>
          </w:tcPr>
          <w:p w14:paraId="0D521AA3" w14:textId="77EEE952"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(0.468)</w:t>
            </w:r>
          </w:p>
        </w:tc>
        <w:tc>
          <w:tcPr>
            <w:tcW w:w="992" w:type="dxa"/>
            <w:tcBorders>
              <w:top w:val="nil"/>
              <w:left w:val="nil"/>
              <w:bottom w:val="nil"/>
              <w:right w:val="nil"/>
            </w:tcBorders>
          </w:tcPr>
          <w:p w14:paraId="7163144A" w14:textId="422307B8"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(0.129)</w:t>
            </w:r>
          </w:p>
        </w:tc>
        <w:tc>
          <w:tcPr>
            <w:tcW w:w="992" w:type="dxa"/>
            <w:tcBorders>
              <w:top w:val="nil"/>
              <w:left w:val="nil"/>
              <w:bottom w:val="nil"/>
              <w:right w:val="nil"/>
            </w:tcBorders>
          </w:tcPr>
          <w:p w14:paraId="6F85E71E" w14:textId="775459C0"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(0.209)</w:t>
            </w:r>
          </w:p>
        </w:tc>
      </w:tr>
      <w:tr w:rsidR="00C71A98" w:rsidRPr="00CF3C36" w14:paraId="664B70C8" w14:textId="1C93B517" w:rsidTr="00415E7F">
        <w:trPr>
          <w:jc w:val="center"/>
        </w:trPr>
        <w:tc>
          <w:tcPr>
            <w:tcW w:w="1559" w:type="dxa"/>
            <w:tcBorders>
              <w:top w:val="nil"/>
              <w:left w:val="nil"/>
              <w:bottom w:val="nil"/>
              <w:right w:val="nil"/>
            </w:tcBorders>
          </w:tcPr>
          <w:p w14:paraId="0337FF08"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EPI_ln_KL_2_cen</w:t>
            </w:r>
          </w:p>
        </w:tc>
        <w:tc>
          <w:tcPr>
            <w:tcW w:w="992" w:type="dxa"/>
            <w:tcBorders>
              <w:top w:val="nil"/>
              <w:left w:val="nil"/>
              <w:bottom w:val="nil"/>
              <w:right w:val="nil"/>
            </w:tcBorders>
          </w:tcPr>
          <w:p w14:paraId="05F01467"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0.0572</w:t>
            </w:r>
          </w:p>
        </w:tc>
        <w:tc>
          <w:tcPr>
            <w:tcW w:w="992" w:type="dxa"/>
            <w:tcBorders>
              <w:top w:val="nil"/>
              <w:left w:val="nil"/>
              <w:bottom w:val="nil"/>
              <w:right w:val="nil"/>
            </w:tcBorders>
          </w:tcPr>
          <w:p w14:paraId="70F2DA27" w14:textId="2379DA3D"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0.0572</w:t>
            </w:r>
          </w:p>
        </w:tc>
        <w:tc>
          <w:tcPr>
            <w:tcW w:w="992" w:type="dxa"/>
            <w:tcBorders>
              <w:top w:val="nil"/>
              <w:left w:val="nil"/>
              <w:bottom w:val="nil"/>
              <w:right w:val="nil"/>
            </w:tcBorders>
          </w:tcPr>
          <w:p w14:paraId="1BA730C0" w14:textId="54EBEA0B"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-0.0270</w:t>
            </w:r>
          </w:p>
        </w:tc>
        <w:tc>
          <w:tcPr>
            <w:tcW w:w="992" w:type="dxa"/>
            <w:tcBorders>
              <w:top w:val="nil"/>
              <w:left w:val="nil"/>
              <w:bottom w:val="nil"/>
              <w:right w:val="nil"/>
            </w:tcBorders>
          </w:tcPr>
          <w:p w14:paraId="49DA0878" w14:textId="7A04031F"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0.0150</w:t>
            </w:r>
          </w:p>
        </w:tc>
      </w:tr>
      <w:tr w:rsidR="00C71A98" w:rsidRPr="00CF3C36" w14:paraId="451E9A3C" w14:textId="5F2A93A4" w:rsidTr="00415E7F">
        <w:trPr>
          <w:jc w:val="center"/>
        </w:trPr>
        <w:tc>
          <w:tcPr>
            <w:tcW w:w="1559" w:type="dxa"/>
            <w:tcBorders>
              <w:top w:val="nil"/>
              <w:left w:val="nil"/>
              <w:bottom w:val="nil"/>
              <w:right w:val="nil"/>
            </w:tcBorders>
          </w:tcPr>
          <w:p w14:paraId="77329FCA"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p>
        </w:tc>
        <w:tc>
          <w:tcPr>
            <w:tcW w:w="992" w:type="dxa"/>
            <w:tcBorders>
              <w:top w:val="nil"/>
              <w:left w:val="nil"/>
              <w:bottom w:val="nil"/>
              <w:right w:val="nil"/>
            </w:tcBorders>
          </w:tcPr>
          <w:p w14:paraId="4EA90481"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(0.0499)</w:t>
            </w:r>
          </w:p>
        </w:tc>
        <w:tc>
          <w:tcPr>
            <w:tcW w:w="992" w:type="dxa"/>
            <w:tcBorders>
              <w:top w:val="nil"/>
              <w:left w:val="nil"/>
              <w:bottom w:val="nil"/>
              <w:right w:val="nil"/>
            </w:tcBorders>
          </w:tcPr>
          <w:p w14:paraId="5D12CB4A" w14:textId="14B61BEC"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(0.0512)</w:t>
            </w:r>
          </w:p>
        </w:tc>
        <w:tc>
          <w:tcPr>
            <w:tcW w:w="992" w:type="dxa"/>
            <w:tcBorders>
              <w:top w:val="nil"/>
              <w:left w:val="nil"/>
              <w:bottom w:val="nil"/>
              <w:right w:val="nil"/>
            </w:tcBorders>
          </w:tcPr>
          <w:p w14:paraId="1594D5F6" w14:textId="797E9DC8"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(0.0152)</w:t>
            </w:r>
          </w:p>
        </w:tc>
        <w:tc>
          <w:tcPr>
            <w:tcW w:w="992" w:type="dxa"/>
            <w:tcBorders>
              <w:top w:val="nil"/>
              <w:left w:val="nil"/>
              <w:bottom w:val="nil"/>
              <w:right w:val="nil"/>
            </w:tcBorders>
          </w:tcPr>
          <w:p w14:paraId="7842F7BF" w14:textId="06F8BD84"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(0.0236)</w:t>
            </w:r>
          </w:p>
        </w:tc>
      </w:tr>
      <w:tr w:rsidR="00C71A98" w:rsidRPr="00CF3C36" w14:paraId="61CA5FD7" w14:textId="5CF9DA76" w:rsidTr="00415E7F">
        <w:trPr>
          <w:jc w:val="center"/>
        </w:trPr>
        <w:tc>
          <w:tcPr>
            <w:tcW w:w="1559" w:type="dxa"/>
            <w:tcBorders>
              <w:top w:val="nil"/>
              <w:left w:val="nil"/>
              <w:bottom w:val="nil"/>
              <w:right w:val="nil"/>
            </w:tcBorders>
          </w:tcPr>
          <w:p w14:paraId="420FD3AD"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Constant</w:t>
            </w:r>
          </w:p>
        </w:tc>
        <w:tc>
          <w:tcPr>
            <w:tcW w:w="992" w:type="dxa"/>
            <w:tcBorders>
              <w:top w:val="nil"/>
              <w:left w:val="nil"/>
              <w:bottom w:val="nil"/>
              <w:right w:val="nil"/>
            </w:tcBorders>
          </w:tcPr>
          <w:p w14:paraId="090A0E11"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-76.95***</w:t>
            </w:r>
          </w:p>
        </w:tc>
        <w:tc>
          <w:tcPr>
            <w:tcW w:w="992" w:type="dxa"/>
            <w:tcBorders>
              <w:top w:val="nil"/>
              <w:left w:val="nil"/>
              <w:bottom w:val="nil"/>
              <w:right w:val="nil"/>
            </w:tcBorders>
          </w:tcPr>
          <w:p w14:paraId="6A09B325" w14:textId="2959E455"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-76.95***</w:t>
            </w:r>
          </w:p>
        </w:tc>
        <w:tc>
          <w:tcPr>
            <w:tcW w:w="992" w:type="dxa"/>
            <w:tcBorders>
              <w:top w:val="nil"/>
              <w:left w:val="nil"/>
              <w:bottom w:val="nil"/>
              <w:right w:val="nil"/>
            </w:tcBorders>
          </w:tcPr>
          <w:p w14:paraId="19485380" w14:textId="0977F02E"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42.60***</w:t>
            </w:r>
          </w:p>
        </w:tc>
        <w:tc>
          <w:tcPr>
            <w:tcW w:w="992" w:type="dxa"/>
            <w:tcBorders>
              <w:top w:val="nil"/>
              <w:left w:val="nil"/>
              <w:bottom w:val="nil"/>
              <w:right w:val="nil"/>
            </w:tcBorders>
          </w:tcPr>
          <w:p w14:paraId="4D15E13D" w14:textId="0F8B312C"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-10.96</w:t>
            </w:r>
          </w:p>
        </w:tc>
      </w:tr>
      <w:tr w:rsidR="00C71A98" w:rsidRPr="00CF3C36" w14:paraId="1B44EF29" w14:textId="19AA4223" w:rsidTr="00415E7F">
        <w:trPr>
          <w:jc w:val="center"/>
        </w:trPr>
        <w:tc>
          <w:tcPr>
            <w:tcW w:w="1559" w:type="dxa"/>
            <w:tcBorders>
              <w:top w:val="nil"/>
              <w:left w:val="nil"/>
              <w:bottom w:val="nil"/>
              <w:right w:val="nil"/>
            </w:tcBorders>
          </w:tcPr>
          <w:p w14:paraId="2BCBA7C1"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p>
        </w:tc>
        <w:tc>
          <w:tcPr>
            <w:tcW w:w="992" w:type="dxa"/>
            <w:tcBorders>
              <w:top w:val="nil"/>
              <w:left w:val="nil"/>
              <w:bottom w:val="nil"/>
              <w:right w:val="nil"/>
            </w:tcBorders>
          </w:tcPr>
          <w:p w14:paraId="3112048A"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(25.20)</w:t>
            </w:r>
          </w:p>
        </w:tc>
        <w:tc>
          <w:tcPr>
            <w:tcW w:w="992" w:type="dxa"/>
            <w:tcBorders>
              <w:top w:val="nil"/>
              <w:left w:val="nil"/>
              <w:bottom w:val="nil"/>
              <w:right w:val="nil"/>
            </w:tcBorders>
          </w:tcPr>
          <w:p w14:paraId="23F3330C" w14:textId="7899622C"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(19.36)</w:t>
            </w:r>
          </w:p>
        </w:tc>
        <w:tc>
          <w:tcPr>
            <w:tcW w:w="992" w:type="dxa"/>
            <w:tcBorders>
              <w:top w:val="nil"/>
              <w:left w:val="nil"/>
              <w:bottom w:val="nil"/>
              <w:right w:val="nil"/>
            </w:tcBorders>
          </w:tcPr>
          <w:p w14:paraId="5F87961C" w14:textId="5945C530"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(7.721)</w:t>
            </w:r>
          </w:p>
        </w:tc>
        <w:tc>
          <w:tcPr>
            <w:tcW w:w="992" w:type="dxa"/>
            <w:tcBorders>
              <w:top w:val="nil"/>
              <w:left w:val="nil"/>
              <w:bottom w:val="nil"/>
              <w:right w:val="nil"/>
            </w:tcBorders>
          </w:tcPr>
          <w:p w14:paraId="443387B6" w14:textId="69EA0BA5"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(12.67)</w:t>
            </w:r>
          </w:p>
        </w:tc>
      </w:tr>
      <w:tr w:rsidR="00C71A98" w:rsidRPr="00CF3C36" w14:paraId="438AD4AB" w14:textId="316E6B2A" w:rsidTr="00415E7F">
        <w:trPr>
          <w:jc w:val="center"/>
        </w:trPr>
        <w:tc>
          <w:tcPr>
            <w:tcW w:w="1559" w:type="dxa"/>
            <w:tcBorders>
              <w:top w:val="nil"/>
              <w:left w:val="nil"/>
              <w:bottom w:val="nil"/>
              <w:right w:val="nil"/>
            </w:tcBorders>
          </w:tcPr>
          <w:p w14:paraId="3E97C73E"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p>
        </w:tc>
        <w:tc>
          <w:tcPr>
            <w:tcW w:w="992" w:type="dxa"/>
            <w:tcBorders>
              <w:top w:val="nil"/>
              <w:left w:val="nil"/>
              <w:bottom w:val="nil"/>
              <w:right w:val="nil"/>
            </w:tcBorders>
          </w:tcPr>
          <w:p w14:paraId="1A622DFC"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69F93082"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7DA6A1D8"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3EF759BC"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C71A98" w:rsidRPr="00CF3C36" w14:paraId="7A724FA9" w14:textId="709057A2" w:rsidTr="00415E7F">
        <w:trPr>
          <w:jc w:val="center"/>
        </w:trPr>
        <w:tc>
          <w:tcPr>
            <w:tcW w:w="1559" w:type="dxa"/>
            <w:tcBorders>
              <w:top w:val="nil"/>
              <w:left w:val="nil"/>
              <w:bottom w:val="nil"/>
              <w:right w:val="nil"/>
            </w:tcBorders>
          </w:tcPr>
          <w:p w14:paraId="400D7FD5"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Observations</w:t>
            </w:r>
          </w:p>
        </w:tc>
        <w:tc>
          <w:tcPr>
            <w:tcW w:w="992" w:type="dxa"/>
            <w:tcBorders>
              <w:top w:val="nil"/>
              <w:left w:val="nil"/>
              <w:bottom w:val="nil"/>
              <w:right w:val="nil"/>
            </w:tcBorders>
          </w:tcPr>
          <w:p w14:paraId="6150F921"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502</w:t>
            </w:r>
          </w:p>
        </w:tc>
        <w:tc>
          <w:tcPr>
            <w:tcW w:w="992" w:type="dxa"/>
            <w:tcBorders>
              <w:top w:val="nil"/>
              <w:left w:val="nil"/>
              <w:bottom w:val="nil"/>
              <w:right w:val="nil"/>
            </w:tcBorders>
          </w:tcPr>
          <w:p w14:paraId="40DEBF33" w14:textId="2F583543"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502</w:t>
            </w:r>
          </w:p>
        </w:tc>
        <w:tc>
          <w:tcPr>
            <w:tcW w:w="992" w:type="dxa"/>
            <w:tcBorders>
              <w:top w:val="nil"/>
              <w:left w:val="nil"/>
              <w:bottom w:val="nil"/>
              <w:right w:val="nil"/>
            </w:tcBorders>
          </w:tcPr>
          <w:p w14:paraId="01BD2D71" w14:textId="64AAB048"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664</w:t>
            </w:r>
          </w:p>
        </w:tc>
        <w:tc>
          <w:tcPr>
            <w:tcW w:w="992" w:type="dxa"/>
            <w:tcBorders>
              <w:top w:val="nil"/>
              <w:left w:val="nil"/>
              <w:bottom w:val="nil"/>
              <w:right w:val="nil"/>
            </w:tcBorders>
          </w:tcPr>
          <w:p w14:paraId="034B84F4" w14:textId="52CDAEA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664</w:t>
            </w:r>
          </w:p>
        </w:tc>
      </w:tr>
      <w:tr w:rsidR="00C71A98" w:rsidRPr="00CF3C36" w14:paraId="642625B8" w14:textId="58D01A8F" w:rsidTr="00415E7F">
        <w:trPr>
          <w:jc w:val="center"/>
        </w:trPr>
        <w:tc>
          <w:tcPr>
            <w:tcW w:w="1559" w:type="dxa"/>
            <w:tcBorders>
              <w:top w:val="nil"/>
              <w:left w:val="nil"/>
              <w:bottom w:val="nil"/>
              <w:right w:val="nil"/>
            </w:tcBorders>
          </w:tcPr>
          <w:p w14:paraId="0E66FD16"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R-squared</w:t>
            </w:r>
          </w:p>
        </w:tc>
        <w:tc>
          <w:tcPr>
            <w:tcW w:w="992" w:type="dxa"/>
            <w:tcBorders>
              <w:top w:val="nil"/>
              <w:left w:val="nil"/>
              <w:bottom w:val="nil"/>
              <w:right w:val="nil"/>
            </w:tcBorders>
          </w:tcPr>
          <w:p w14:paraId="1370A993" w14:textId="576E6CA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0.048</w:t>
            </w:r>
            <w:r w:rsidR="002E513C" w:rsidRPr="00CF3C36">
              <w:rPr>
                <w:rFonts w:ascii="Times New Roman" w:hAnsi="Times New Roman" w:cs="Times New Roman"/>
                <w:sz w:val="18"/>
                <w:szCs w:val="18"/>
                <w:lang w:val="en-GB"/>
              </w:rPr>
              <w:t>0</w:t>
            </w:r>
          </w:p>
        </w:tc>
        <w:tc>
          <w:tcPr>
            <w:tcW w:w="992" w:type="dxa"/>
            <w:tcBorders>
              <w:top w:val="nil"/>
              <w:left w:val="nil"/>
              <w:bottom w:val="nil"/>
              <w:right w:val="nil"/>
            </w:tcBorders>
          </w:tcPr>
          <w:p w14:paraId="5F194577" w14:textId="58D865A3" w:rsidR="00C71A98" w:rsidRPr="00CF3C36" w:rsidRDefault="002E513C"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0.0480</w:t>
            </w:r>
          </w:p>
        </w:tc>
        <w:tc>
          <w:tcPr>
            <w:tcW w:w="992" w:type="dxa"/>
            <w:tcBorders>
              <w:top w:val="nil"/>
              <w:left w:val="nil"/>
              <w:bottom w:val="nil"/>
              <w:right w:val="nil"/>
            </w:tcBorders>
          </w:tcPr>
          <w:p w14:paraId="779525FD" w14:textId="03399EF0"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0.0804</w:t>
            </w:r>
          </w:p>
        </w:tc>
        <w:tc>
          <w:tcPr>
            <w:tcW w:w="992" w:type="dxa"/>
            <w:tcBorders>
              <w:top w:val="nil"/>
              <w:left w:val="nil"/>
              <w:bottom w:val="nil"/>
              <w:right w:val="nil"/>
            </w:tcBorders>
          </w:tcPr>
          <w:p w14:paraId="1C8BE292" w14:textId="37B22438"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0.0245</w:t>
            </w:r>
          </w:p>
        </w:tc>
      </w:tr>
      <w:tr w:rsidR="00C71A98" w:rsidRPr="00CF3C36" w14:paraId="55748D07" w14:textId="53013D92" w:rsidTr="00415E7F">
        <w:tblPrEx>
          <w:tblBorders>
            <w:bottom w:val="single" w:sz="6" w:space="0" w:color="auto"/>
          </w:tblBorders>
        </w:tblPrEx>
        <w:trPr>
          <w:jc w:val="center"/>
        </w:trPr>
        <w:tc>
          <w:tcPr>
            <w:tcW w:w="1559" w:type="dxa"/>
            <w:tcBorders>
              <w:top w:val="nil"/>
              <w:left w:val="nil"/>
              <w:bottom w:val="nil"/>
              <w:right w:val="nil"/>
            </w:tcBorders>
          </w:tcPr>
          <w:p w14:paraId="26820253" w14:textId="77777777"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Number of cou1</w:t>
            </w:r>
          </w:p>
        </w:tc>
        <w:tc>
          <w:tcPr>
            <w:tcW w:w="992" w:type="dxa"/>
            <w:tcBorders>
              <w:top w:val="nil"/>
              <w:left w:val="nil"/>
              <w:bottom w:val="nil"/>
              <w:right w:val="nil"/>
            </w:tcBorders>
          </w:tcPr>
          <w:p w14:paraId="2D2DE9F1" w14:textId="77777777"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71</w:t>
            </w:r>
          </w:p>
        </w:tc>
        <w:tc>
          <w:tcPr>
            <w:tcW w:w="992" w:type="dxa"/>
            <w:tcBorders>
              <w:top w:val="nil"/>
              <w:left w:val="nil"/>
              <w:bottom w:val="nil"/>
              <w:right w:val="nil"/>
            </w:tcBorders>
          </w:tcPr>
          <w:p w14:paraId="53FC816C" w14:textId="2CE6364F" w:rsidR="00C71A98" w:rsidRPr="00CF3C36" w:rsidRDefault="002E513C"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71</w:t>
            </w:r>
          </w:p>
        </w:tc>
        <w:tc>
          <w:tcPr>
            <w:tcW w:w="992" w:type="dxa"/>
            <w:tcBorders>
              <w:top w:val="nil"/>
              <w:left w:val="nil"/>
              <w:bottom w:val="nil"/>
              <w:right w:val="nil"/>
            </w:tcBorders>
          </w:tcPr>
          <w:p w14:paraId="2413B79A" w14:textId="54931C6D"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74</w:t>
            </w:r>
          </w:p>
        </w:tc>
        <w:tc>
          <w:tcPr>
            <w:tcW w:w="992" w:type="dxa"/>
            <w:tcBorders>
              <w:top w:val="nil"/>
              <w:left w:val="nil"/>
              <w:bottom w:val="nil"/>
              <w:right w:val="nil"/>
            </w:tcBorders>
          </w:tcPr>
          <w:p w14:paraId="675F15B8" w14:textId="4824533B"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74</w:t>
            </w:r>
          </w:p>
        </w:tc>
      </w:tr>
      <w:tr w:rsidR="00C71A98" w:rsidRPr="00CF3C36" w14:paraId="10B6A6EA" w14:textId="77777777" w:rsidTr="00415E7F">
        <w:tblPrEx>
          <w:tblBorders>
            <w:bottom w:val="single" w:sz="6" w:space="0" w:color="auto"/>
          </w:tblBorders>
        </w:tblPrEx>
        <w:trPr>
          <w:jc w:val="center"/>
        </w:trPr>
        <w:tc>
          <w:tcPr>
            <w:tcW w:w="1559" w:type="dxa"/>
            <w:tcBorders>
              <w:top w:val="nil"/>
              <w:left w:val="nil"/>
              <w:bottom w:val="single" w:sz="6" w:space="0" w:color="auto"/>
              <w:right w:val="nil"/>
            </w:tcBorders>
          </w:tcPr>
          <w:p w14:paraId="45C74D0F" w14:textId="4A2E1FBF" w:rsidR="00C71A98" w:rsidRPr="00CF3C36" w:rsidRDefault="00C71A98" w:rsidP="00C71A98">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Method</w:t>
            </w:r>
          </w:p>
        </w:tc>
        <w:tc>
          <w:tcPr>
            <w:tcW w:w="992" w:type="dxa"/>
            <w:tcBorders>
              <w:top w:val="nil"/>
              <w:left w:val="nil"/>
              <w:bottom w:val="single" w:sz="6" w:space="0" w:color="auto"/>
              <w:right w:val="nil"/>
            </w:tcBorders>
          </w:tcPr>
          <w:p w14:paraId="09E40F98" w14:textId="6684B9D3"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xtreg</w:t>
            </w:r>
          </w:p>
        </w:tc>
        <w:tc>
          <w:tcPr>
            <w:tcW w:w="992" w:type="dxa"/>
            <w:tcBorders>
              <w:top w:val="nil"/>
              <w:left w:val="nil"/>
              <w:bottom w:val="single" w:sz="6" w:space="0" w:color="auto"/>
              <w:right w:val="nil"/>
            </w:tcBorders>
          </w:tcPr>
          <w:p w14:paraId="5FF7527F" w14:textId="74C03DA4"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xtscc</w:t>
            </w:r>
          </w:p>
        </w:tc>
        <w:tc>
          <w:tcPr>
            <w:tcW w:w="992" w:type="dxa"/>
            <w:tcBorders>
              <w:top w:val="nil"/>
              <w:left w:val="nil"/>
              <w:bottom w:val="single" w:sz="6" w:space="0" w:color="auto"/>
              <w:right w:val="nil"/>
            </w:tcBorders>
          </w:tcPr>
          <w:p w14:paraId="32920B85" w14:textId="1F6F070E"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xtscc</w:t>
            </w:r>
          </w:p>
        </w:tc>
        <w:tc>
          <w:tcPr>
            <w:tcW w:w="992" w:type="dxa"/>
            <w:tcBorders>
              <w:top w:val="nil"/>
              <w:left w:val="nil"/>
              <w:bottom w:val="single" w:sz="6" w:space="0" w:color="auto"/>
              <w:right w:val="nil"/>
            </w:tcBorders>
          </w:tcPr>
          <w:p w14:paraId="03599DF8" w14:textId="33A2E130" w:rsidR="00C71A98" w:rsidRPr="00CF3C36" w:rsidRDefault="00C71A98" w:rsidP="00C71A9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xtscc</w:t>
            </w:r>
          </w:p>
        </w:tc>
      </w:tr>
    </w:tbl>
    <w:p w14:paraId="0977DBE8" w14:textId="0232361B" w:rsidR="00A01BD9" w:rsidRPr="00CF3C36" w:rsidRDefault="00864944" w:rsidP="00533202">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 p&lt;0.01, ** p&lt;0.05, * p&lt;0.1</w:t>
      </w:r>
    </w:p>
    <w:p w14:paraId="5B524FDF" w14:textId="77777777" w:rsidR="00533202" w:rsidRPr="00CF3C36" w:rsidRDefault="00533202" w:rsidP="00533202">
      <w:pPr>
        <w:widowControl w:val="0"/>
        <w:autoSpaceDE w:val="0"/>
        <w:autoSpaceDN w:val="0"/>
        <w:adjustRightInd w:val="0"/>
        <w:spacing w:after="0" w:line="240" w:lineRule="auto"/>
        <w:jc w:val="center"/>
        <w:rPr>
          <w:rFonts w:ascii="Times New Roman" w:hAnsi="Times New Roman" w:cs="Times New Roman"/>
          <w:sz w:val="18"/>
          <w:szCs w:val="18"/>
          <w:lang w:val="en-GB"/>
        </w:rPr>
      </w:pPr>
    </w:p>
    <w:p w14:paraId="4359F41A" w14:textId="46379C22" w:rsidR="00A85DC3" w:rsidRPr="00CF3C36" w:rsidRDefault="00533202" w:rsidP="009D5700">
      <w:pPr>
        <w:spacing w:after="0" w:line="360" w:lineRule="auto"/>
        <w:jc w:val="both"/>
        <w:rPr>
          <w:lang w:val="en-GB"/>
        </w:rPr>
      </w:pPr>
      <w:r w:rsidRPr="00CF3C36">
        <w:rPr>
          <w:lang w:val="en-GB"/>
        </w:rPr>
        <w:tab/>
      </w:r>
      <w:r w:rsidR="009D5700" w:rsidRPr="00CF3C36">
        <w:rPr>
          <w:lang w:val="en-GB"/>
        </w:rPr>
        <w:t>The third hypothesis is:</w:t>
      </w:r>
    </w:p>
    <w:p w14:paraId="1198F179" w14:textId="7B81DC23" w:rsidR="009D5700" w:rsidRPr="00CF3C36" w:rsidRDefault="009D5700" w:rsidP="009D5700">
      <w:pPr>
        <w:spacing w:after="0" w:line="360" w:lineRule="auto"/>
        <w:jc w:val="center"/>
        <w:rPr>
          <w:i/>
          <w:lang w:val="en-GB"/>
        </w:rPr>
      </w:pPr>
      <w:r w:rsidRPr="00CF3C36">
        <w:rPr>
          <w:i/>
          <w:lang w:val="en-GB"/>
        </w:rPr>
        <w:t>“An increase in a country’s EPS will increase the FDI in renewable energy.”</w:t>
      </w:r>
    </w:p>
    <w:p w14:paraId="3FE71F74" w14:textId="2E2773AB" w:rsidR="009D5700" w:rsidRPr="00CF3C36" w:rsidRDefault="00336BC9" w:rsidP="009D5700">
      <w:pPr>
        <w:spacing w:after="0" w:line="360" w:lineRule="auto"/>
        <w:jc w:val="both"/>
        <w:rPr>
          <w:lang w:val="en-GB"/>
        </w:rPr>
      </w:pPr>
      <w:r w:rsidRPr="00CF3C36">
        <w:rPr>
          <w:lang w:val="en-GB"/>
        </w:rPr>
        <w:t>For this analysis the dependent variable is the total amount of FDI into green energy and here</w:t>
      </w:r>
      <w:r w:rsidR="009D5700" w:rsidRPr="00CF3C36">
        <w:rPr>
          <w:lang w:val="en-GB"/>
        </w:rPr>
        <w:t xml:space="preserve"> the coefficient for EPI is positive and significant at a 10% level.</w:t>
      </w:r>
      <w:r w:rsidRPr="00CF3C36">
        <w:rPr>
          <w:lang w:val="en-GB"/>
        </w:rPr>
        <w:t xml:space="preserve"> As can be seen in column 4 of Table 5.</w:t>
      </w:r>
      <w:r w:rsidR="009D5700" w:rsidRPr="00CF3C36">
        <w:rPr>
          <w:lang w:val="en-GB"/>
        </w:rPr>
        <w:t xml:space="preserve"> The positive coefficient is as expected, indicating that more stringent or more strictly enforced environmental regulation does attract investment from firms with high environmental capabilities. </w:t>
      </w:r>
      <w:r w:rsidR="00F34DC6" w:rsidRPr="00CF3C36">
        <w:rPr>
          <w:lang w:val="en-GB"/>
        </w:rPr>
        <w:t>Therefore H</w:t>
      </w:r>
      <w:r w:rsidR="004E57BB" w:rsidRPr="00CF3C36">
        <w:rPr>
          <w:lang w:val="en-GB"/>
        </w:rPr>
        <w:t>ypothesis 2.2 can be accepted, based on this analysis. However, because the si</w:t>
      </w:r>
      <w:r w:rsidR="00F93A6C" w:rsidRPr="00CF3C36">
        <w:rPr>
          <w:lang w:val="en-GB"/>
        </w:rPr>
        <w:t>gnificance level is only 10% the result is not very strong</w:t>
      </w:r>
      <w:r w:rsidR="004E57BB" w:rsidRPr="00CF3C36">
        <w:rPr>
          <w:lang w:val="en-GB"/>
        </w:rPr>
        <w:t xml:space="preserve">. </w:t>
      </w:r>
      <w:r w:rsidR="00AA491E" w:rsidRPr="00CF3C36">
        <w:rPr>
          <w:lang w:val="en-GB"/>
        </w:rPr>
        <w:t xml:space="preserve">Besides EPI, no variable has a significant coefficient. </w:t>
      </w:r>
      <w:r w:rsidR="00165DD7" w:rsidRPr="00CF3C36">
        <w:rPr>
          <w:lang w:val="en-GB"/>
        </w:rPr>
        <w:t>In all the robustness tests EPI is insignificant, when EPS</w:t>
      </w:r>
      <w:r w:rsidR="002D0C71" w:rsidRPr="00CF3C36">
        <w:rPr>
          <w:lang w:val="en-GB"/>
        </w:rPr>
        <w:t>I</w:t>
      </w:r>
      <w:r w:rsidR="00165DD7" w:rsidRPr="00CF3C36">
        <w:rPr>
          <w:lang w:val="en-GB"/>
        </w:rPr>
        <w:t xml:space="preserve"> is used as independent variable it is significant. </w:t>
      </w:r>
      <w:r w:rsidR="006170C2" w:rsidRPr="00CF3C36">
        <w:rPr>
          <w:lang w:val="en-GB"/>
        </w:rPr>
        <w:t>T</w:t>
      </w:r>
      <w:r w:rsidR="00CA187B" w:rsidRPr="00CF3C36">
        <w:rPr>
          <w:lang w:val="en-GB"/>
        </w:rPr>
        <w:t xml:space="preserve">herefore the effect of EPI </w:t>
      </w:r>
      <w:r w:rsidR="006170C2" w:rsidRPr="00CF3C36">
        <w:rPr>
          <w:lang w:val="en-GB"/>
        </w:rPr>
        <w:t xml:space="preserve">found in this model cannot be </w:t>
      </w:r>
      <w:r w:rsidR="003E25F2" w:rsidRPr="00CF3C36">
        <w:rPr>
          <w:lang w:val="en-GB"/>
        </w:rPr>
        <w:t>judged to be</w:t>
      </w:r>
      <w:r w:rsidR="006170C2" w:rsidRPr="00CF3C36">
        <w:rPr>
          <w:lang w:val="en-GB"/>
        </w:rPr>
        <w:t xml:space="preserve"> </w:t>
      </w:r>
      <w:r w:rsidR="00376CF2" w:rsidRPr="00CF3C36">
        <w:rPr>
          <w:lang w:val="en-GB"/>
        </w:rPr>
        <w:t xml:space="preserve">very </w:t>
      </w:r>
      <w:r w:rsidR="006170C2" w:rsidRPr="00CF3C36">
        <w:rPr>
          <w:lang w:val="en-GB"/>
        </w:rPr>
        <w:t xml:space="preserve">robust. </w:t>
      </w:r>
    </w:p>
    <w:p w14:paraId="74E55B16" w14:textId="22F8AEA1" w:rsidR="00950667" w:rsidRPr="00CF3C36" w:rsidRDefault="0012173B" w:rsidP="00C471D2">
      <w:pPr>
        <w:spacing w:after="0" w:line="360" w:lineRule="auto"/>
        <w:jc w:val="both"/>
        <w:rPr>
          <w:lang w:val="en-GB"/>
        </w:rPr>
      </w:pPr>
      <w:r w:rsidRPr="00CF3C36">
        <w:rPr>
          <w:lang w:val="en-GB"/>
        </w:rPr>
        <w:tab/>
        <w:t xml:space="preserve">The R-squared of all the models again is rather low, as they are all below 0.1. </w:t>
      </w:r>
      <w:r w:rsidR="002E44D3" w:rsidRPr="00CF3C36">
        <w:rPr>
          <w:lang w:val="en-GB"/>
        </w:rPr>
        <w:t xml:space="preserve">As in the previous analysis, however, these low values of R-squared are not seen as a problem in social sciences, especially when using panel data. </w:t>
      </w:r>
    </w:p>
    <w:p w14:paraId="39501521" w14:textId="4FE69AFE" w:rsidR="00793D47" w:rsidRPr="00CF3C36" w:rsidRDefault="00793D47" w:rsidP="00C471D2">
      <w:pPr>
        <w:spacing w:after="0" w:line="360" w:lineRule="auto"/>
        <w:jc w:val="both"/>
        <w:rPr>
          <w:lang w:val="en-GB"/>
        </w:rPr>
      </w:pPr>
      <w:r w:rsidRPr="00CF3C36">
        <w:rPr>
          <w:lang w:val="en-GB"/>
        </w:rPr>
        <w:tab/>
        <w:t xml:space="preserve">In an attempt to also contribute to the debate on the general effect of EPS on the attraction of FDI, all models have also been used to estimate the total inflow of FDI into the country or into the energy sector. </w:t>
      </w:r>
      <w:r w:rsidR="007D75B7" w:rsidRPr="00CF3C36">
        <w:rPr>
          <w:lang w:val="en-GB"/>
        </w:rPr>
        <w:t>However, no significant coefficients of EPI were found in these analyses.</w:t>
      </w:r>
    </w:p>
    <w:p w14:paraId="7586857C" w14:textId="0C57083F" w:rsidR="00F81CB6" w:rsidRPr="00CF3C36" w:rsidRDefault="00C471D2" w:rsidP="00303B6D">
      <w:pPr>
        <w:pStyle w:val="Heading1"/>
        <w:rPr>
          <w:lang w:val="en-GB"/>
        </w:rPr>
      </w:pPr>
      <w:r w:rsidRPr="00CF3C36">
        <w:rPr>
          <w:lang w:val="en-GB"/>
        </w:rPr>
        <w:br w:type="page"/>
      </w:r>
      <w:bookmarkStart w:id="33" w:name="_Toc15480016"/>
      <w:r w:rsidR="0051739C" w:rsidRPr="00CF3C36">
        <w:rPr>
          <w:lang w:val="en-GB"/>
        </w:rPr>
        <w:lastRenderedPageBreak/>
        <w:t>5.</w:t>
      </w:r>
      <w:r w:rsidR="00303B6D" w:rsidRPr="00CF3C36">
        <w:rPr>
          <w:lang w:val="en-GB"/>
        </w:rPr>
        <w:t xml:space="preserve"> Discussion and Conclusion</w:t>
      </w:r>
      <w:bookmarkEnd w:id="33"/>
    </w:p>
    <w:p w14:paraId="31D8DF4D" w14:textId="1C34F9D8" w:rsidR="00F443F3" w:rsidRPr="00CF3C36" w:rsidRDefault="00585F66" w:rsidP="00585F66">
      <w:pPr>
        <w:spacing w:after="0" w:line="360" w:lineRule="auto"/>
        <w:jc w:val="both"/>
        <w:rPr>
          <w:lang w:val="en-GB"/>
        </w:rPr>
      </w:pPr>
      <w:r w:rsidRPr="00CF3C36">
        <w:rPr>
          <w:lang w:val="en-GB"/>
        </w:rPr>
        <w:t>T</w:t>
      </w:r>
      <w:r w:rsidR="00F443F3" w:rsidRPr="00CF3C36">
        <w:rPr>
          <w:lang w:val="en-GB"/>
        </w:rPr>
        <w:t>he present study was conducted to gain more insight in the relation between environmental policy and the environmental impact of multinationals. Based on an extensive literature review multiple hypotheses where constructed which predicted certain effect</w:t>
      </w:r>
      <w:r w:rsidR="00244E86" w:rsidRPr="00CF3C36">
        <w:rPr>
          <w:lang w:val="en-GB"/>
        </w:rPr>
        <w:t>s</w:t>
      </w:r>
      <w:r w:rsidR="00F443F3" w:rsidRPr="00CF3C36">
        <w:rPr>
          <w:lang w:val="en-GB"/>
        </w:rPr>
        <w:t xml:space="preserve"> of an increasing stringency of environmental policy on the environmental impact of multinationals. </w:t>
      </w:r>
      <w:r w:rsidR="009E2851" w:rsidRPr="00CF3C36">
        <w:rPr>
          <w:lang w:val="en-GB"/>
        </w:rPr>
        <w:t>Most of the models used lead to a rejection of the hypothesis it was meant to test. Still some significant results were found and the overall concl</w:t>
      </w:r>
      <w:r w:rsidR="00ED7C14" w:rsidRPr="00CF3C36">
        <w:rPr>
          <w:lang w:val="en-GB"/>
        </w:rPr>
        <w:t>usions fro</w:t>
      </w:r>
      <w:r w:rsidR="009E2851" w:rsidRPr="00CF3C36">
        <w:rPr>
          <w:lang w:val="en-GB"/>
        </w:rPr>
        <w:t xml:space="preserve">m these results will be discussed here.  </w:t>
      </w:r>
    </w:p>
    <w:p w14:paraId="28CA39EE" w14:textId="6D477A41" w:rsidR="003D4DDA" w:rsidRPr="00CF3C36" w:rsidRDefault="00131FE3" w:rsidP="0088498A">
      <w:pPr>
        <w:spacing w:after="0" w:line="360" w:lineRule="auto"/>
        <w:ind w:firstLine="708"/>
        <w:jc w:val="both"/>
        <w:rPr>
          <w:lang w:val="en-GB"/>
        </w:rPr>
      </w:pPr>
      <w:r w:rsidRPr="00CF3C36">
        <w:rPr>
          <w:lang w:val="en-GB"/>
        </w:rPr>
        <w:t>In the first hypothesis</w:t>
      </w:r>
      <w:r w:rsidR="0088498A" w:rsidRPr="00CF3C36">
        <w:rPr>
          <w:lang w:val="en-GB"/>
        </w:rPr>
        <w:t>,</w:t>
      </w:r>
      <w:r w:rsidRPr="00CF3C36">
        <w:rPr>
          <w:lang w:val="en-GB"/>
        </w:rPr>
        <w:t xml:space="preserve"> </w:t>
      </w:r>
      <w:r w:rsidR="000F7FD0" w:rsidRPr="00CF3C36">
        <w:rPr>
          <w:lang w:val="en-GB"/>
        </w:rPr>
        <w:t>M</w:t>
      </w:r>
      <w:r w:rsidRPr="00CF3C36">
        <w:rPr>
          <w:lang w:val="en-GB"/>
        </w:rPr>
        <w:t>odel 1 did not fi</w:t>
      </w:r>
      <w:r w:rsidR="003D4DDA" w:rsidRPr="00CF3C36">
        <w:rPr>
          <w:lang w:val="en-GB"/>
        </w:rPr>
        <w:t>nd significant results for EP</w:t>
      </w:r>
      <w:r w:rsidRPr="00CF3C36">
        <w:rPr>
          <w:lang w:val="en-GB"/>
        </w:rPr>
        <w:t>I.</w:t>
      </w:r>
      <w:r w:rsidR="003D4DDA" w:rsidRPr="00CF3C36">
        <w:rPr>
          <w:lang w:val="en-GB"/>
        </w:rPr>
        <w:t xml:space="preserve"> Hypotheses 1.1 and 1.2, which we</w:t>
      </w:r>
      <w:r w:rsidR="00F1573C" w:rsidRPr="00CF3C36">
        <w:rPr>
          <w:lang w:val="en-GB"/>
        </w:rPr>
        <w:t>re essentially subdivisions of H</w:t>
      </w:r>
      <w:r w:rsidR="003D4DDA" w:rsidRPr="00CF3C36">
        <w:rPr>
          <w:lang w:val="en-GB"/>
        </w:rPr>
        <w:t>ypothesis 1, also did not find significant coefficients for EPI.</w:t>
      </w:r>
      <w:r w:rsidR="000D0C9D" w:rsidRPr="00CF3C36">
        <w:rPr>
          <w:lang w:val="en-GB"/>
        </w:rPr>
        <w:t xml:space="preserve"> </w:t>
      </w:r>
      <w:r w:rsidR="009948D5" w:rsidRPr="00CF3C36">
        <w:rPr>
          <w:lang w:val="en-GB"/>
        </w:rPr>
        <w:t xml:space="preserve">These hypotheses were based on the idea that more stringent or more strictly enforced environmental regulations </w:t>
      </w:r>
      <w:r w:rsidR="00DE59EA" w:rsidRPr="00CF3C36">
        <w:rPr>
          <w:lang w:val="en-GB"/>
        </w:rPr>
        <w:t>will repel pollution intensive firms and attract firms with high environmental capabilities. As the hypotheses are rejected this idea cannot be confirmed in this analysis.</w:t>
      </w:r>
      <w:r w:rsidR="0002344D" w:rsidRPr="00CF3C36">
        <w:rPr>
          <w:lang w:val="en-GB"/>
        </w:rPr>
        <w:t xml:space="preserve"> Then the question arises </w:t>
      </w:r>
      <w:r w:rsidR="005A12A3" w:rsidRPr="00CF3C36">
        <w:rPr>
          <w:lang w:val="en-GB"/>
        </w:rPr>
        <w:t>what causes the expected</w:t>
      </w:r>
      <w:r w:rsidR="0002344D" w:rsidRPr="00CF3C36">
        <w:rPr>
          <w:lang w:val="en-GB"/>
        </w:rPr>
        <w:t xml:space="preserve"> results </w:t>
      </w:r>
      <w:r w:rsidR="005A12A3" w:rsidRPr="00CF3C36">
        <w:rPr>
          <w:lang w:val="en-GB"/>
        </w:rPr>
        <w:t>to</w:t>
      </w:r>
      <w:r w:rsidR="0002344D" w:rsidRPr="00CF3C36">
        <w:rPr>
          <w:lang w:val="en-GB"/>
        </w:rPr>
        <w:t xml:space="preserve"> be lacking. The most obvious explanation might be that factors other than environmental policy, have a much stronger effect on the investment decisions of multinational </w:t>
      </w:r>
      <w:r w:rsidR="005233D3" w:rsidRPr="00CF3C36">
        <w:rPr>
          <w:lang w:val="en-GB"/>
        </w:rPr>
        <w:t>enterprises</w:t>
      </w:r>
      <w:r w:rsidR="0002344D" w:rsidRPr="00CF3C36">
        <w:rPr>
          <w:lang w:val="en-GB"/>
        </w:rPr>
        <w:t xml:space="preserve">. </w:t>
      </w:r>
      <w:r w:rsidR="00BD0CFF" w:rsidRPr="00CF3C36">
        <w:rPr>
          <w:lang w:val="en-GB"/>
        </w:rPr>
        <w:t xml:space="preserve">Based on a literature review, Dechezleprêtre &amp; Sato (2017) came to the same conclusion. </w:t>
      </w:r>
      <w:r w:rsidR="00682680" w:rsidRPr="00CF3C36">
        <w:rPr>
          <w:lang w:val="en-GB"/>
        </w:rPr>
        <w:t>They stated that stringent environmental regulations are associated with a small, but significant, cost burden on firms. However, they state that this impact is very small compared to other factor</w:t>
      </w:r>
      <w:r w:rsidR="00E61ECE" w:rsidRPr="00CF3C36">
        <w:rPr>
          <w:lang w:val="en-GB"/>
        </w:rPr>
        <w:t>s</w:t>
      </w:r>
      <w:r w:rsidR="00682680" w:rsidRPr="00CF3C36">
        <w:rPr>
          <w:lang w:val="en-GB"/>
        </w:rPr>
        <w:t xml:space="preserve"> determining trade and investment location choices. Other more determining factors are transport costs, proximity to demand, local workers, raw material availability, sunk capital costs and agglomeration.</w:t>
      </w:r>
      <w:r w:rsidR="00410303" w:rsidRPr="00CF3C36">
        <w:rPr>
          <w:lang w:val="en-GB"/>
        </w:rPr>
        <w:t xml:space="preserve"> Zugravu-Soilita (2017) has made a similar argument, stating that factor endowment motives usually offset motives based on pollution policy. </w:t>
      </w:r>
      <w:r w:rsidR="00874967" w:rsidRPr="00CF3C36">
        <w:rPr>
          <w:lang w:val="en-GB"/>
        </w:rPr>
        <w:t xml:space="preserve">The significant results of human capital and the capital-labour ratio in some models confirm these arguments. </w:t>
      </w:r>
      <w:r w:rsidR="00C06C73" w:rsidRPr="00CF3C36">
        <w:rPr>
          <w:lang w:val="en-GB"/>
        </w:rPr>
        <w:t xml:space="preserve">This lack of a significant effect of EPI on the pollution intensity </w:t>
      </w:r>
      <w:r w:rsidR="00E61ECE" w:rsidRPr="00CF3C36">
        <w:rPr>
          <w:lang w:val="en-GB"/>
        </w:rPr>
        <w:t xml:space="preserve">of FDI </w:t>
      </w:r>
      <w:r w:rsidR="00C06C73" w:rsidRPr="00CF3C36">
        <w:rPr>
          <w:lang w:val="en-GB"/>
        </w:rPr>
        <w:t>via changes in the sectoral composition does not mean that environmental po</w:t>
      </w:r>
      <w:r w:rsidR="004556F8" w:rsidRPr="00CF3C36">
        <w:rPr>
          <w:lang w:val="en-GB"/>
        </w:rPr>
        <w:t xml:space="preserve">licy has no effect at all. Moreover, if EPI does not </w:t>
      </w:r>
      <w:r w:rsidR="00E61ECE" w:rsidRPr="00CF3C36">
        <w:rPr>
          <w:lang w:val="en-GB"/>
        </w:rPr>
        <w:t xml:space="preserve">significantly </w:t>
      </w:r>
      <w:r w:rsidR="004556F8" w:rsidRPr="00CF3C36">
        <w:rPr>
          <w:lang w:val="en-GB"/>
        </w:rPr>
        <w:t xml:space="preserve">influence the investment decisions of multinationals, this can also be interpreted as an incentive to increase the stringency and/or enforcement of environmental regulation. Because </w:t>
      </w:r>
      <w:r w:rsidR="00E61ECE" w:rsidRPr="00CF3C36">
        <w:rPr>
          <w:lang w:val="en-GB"/>
        </w:rPr>
        <w:t>MNE’s</w:t>
      </w:r>
      <w:r w:rsidR="004556F8" w:rsidRPr="00CF3C36">
        <w:rPr>
          <w:lang w:val="en-GB"/>
        </w:rPr>
        <w:t xml:space="preserve"> that do not leave after an increase in EPS or </w:t>
      </w:r>
      <w:r w:rsidR="00E61ECE" w:rsidRPr="00CF3C36">
        <w:rPr>
          <w:lang w:val="en-GB"/>
        </w:rPr>
        <w:t>MNE’s</w:t>
      </w:r>
      <w:r w:rsidR="004556F8" w:rsidRPr="00CF3C36">
        <w:rPr>
          <w:lang w:val="en-GB"/>
        </w:rPr>
        <w:t xml:space="preserve"> that are not deterred </w:t>
      </w:r>
      <w:r w:rsidR="00E61ECE" w:rsidRPr="00CF3C36">
        <w:rPr>
          <w:lang w:val="en-GB"/>
        </w:rPr>
        <w:t>from</w:t>
      </w:r>
      <w:r w:rsidR="004556F8" w:rsidRPr="00CF3C36">
        <w:rPr>
          <w:lang w:val="en-GB"/>
        </w:rPr>
        <w:t xml:space="preserve"> invest</w:t>
      </w:r>
      <w:r w:rsidR="00391A14" w:rsidRPr="00CF3C36">
        <w:rPr>
          <w:lang w:val="en-GB"/>
        </w:rPr>
        <w:t>ment</w:t>
      </w:r>
      <w:r w:rsidR="004556F8" w:rsidRPr="00CF3C36">
        <w:rPr>
          <w:lang w:val="en-GB"/>
        </w:rPr>
        <w:t xml:space="preserve"> due to an increase in EPS, have to abide by the more stringent regulations. Therefore their environmental footprint is expected to decrease. </w:t>
      </w:r>
      <w:r w:rsidR="00D1380F" w:rsidRPr="00CF3C36">
        <w:rPr>
          <w:lang w:val="en-GB"/>
        </w:rPr>
        <w:t>Of course</w:t>
      </w:r>
      <w:r w:rsidR="008F4451" w:rsidRPr="00CF3C36">
        <w:rPr>
          <w:lang w:val="en-GB"/>
        </w:rPr>
        <w:t>,</w:t>
      </w:r>
      <w:r w:rsidR="00D1380F" w:rsidRPr="00CF3C36">
        <w:rPr>
          <w:lang w:val="en-GB"/>
        </w:rPr>
        <w:t xml:space="preserve"> the actual reduction of the environmental footprint then depends on the specific regulations and the enforcement of </w:t>
      </w:r>
      <w:r w:rsidR="008F4451" w:rsidRPr="00CF3C36">
        <w:rPr>
          <w:lang w:val="en-GB"/>
        </w:rPr>
        <w:t>those regulations</w:t>
      </w:r>
      <w:r w:rsidR="00D1380F" w:rsidRPr="00CF3C36">
        <w:rPr>
          <w:lang w:val="en-GB"/>
        </w:rPr>
        <w:t xml:space="preserve">. </w:t>
      </w:r>
    </w:p>
    <w:p w14:paraId="6A6932C9" w14:textId="3EE0FE82" w:rsidR="00822AE7" w:rsidRPr="00CF3C36" w:rsidRDefault="00E61ECE" w:rsidP="00585F66">
      <w:pPr>
        <w:spacing w:after="0" w:line="360" w:lineRule="auto"/>
        <w:ind w:firstLine="708"/>
        <w:jc w:val="both"/>
        <w:rPr>
          <w:lang w:val="en-GB"/>
        </w:rPr>
      </w:pPr>
      <w:r w:rsidRPr="00CF3C36">
        <w:rPr>
          <w:lang w:val="en-GB"/>
        </w:rPr>
        <w:t>For H</w:t>
      </w:r>
      <w:r w:rsidR="0088498A" w:rsidRPr="00CF3C36">
        <w:rPr>
          <w:lang w:val="en-GB"/>
        </w:rPr>
        <w:t>ypothesis 2 also no significant results were found, indicating that also within the energy sector EPI does not influence the type of firms that are attracted.</w:t>
      </w:r>
      <w:r w:rsidR="003D6BF0" w:rsidRPr="00CF3C36">
        <w:rPr>
          <w:lang w:val="en-GB"/>
        </w:rPr>
        <w:t xml:space="preserve"> Although it is found that an increase in EPI increases the investment in green energy. </w:t>
      </w:r>
      <w:r w:rsidR="00306587" w:rsidRPr="00CF3C36">
        <w:rPr>
          <w:lang w:val="en-GB"/>
        </w:rPr>
        <w:t xml:space="preserve">This results </w:t>
      </w:r>
      <w:r w:rsidR="00006081" w:rsidRPr="00CF3C36">
        <w:rPr>
          <w:lang w:val="en-GB"/>
        </w:rPr>
        <w:t>is</w:t>
      </w:r>
      <w:r w:rsidR="00306587" w:rsidRPr="00CF3C36">
        <w:rPr>
          <w:lang w:val="en-GB"/>
        </w:rPr>
        <w:t xml:space="preserve"> rather weak and the fact that no significan</w:t>
      </w:r>
      <w:r w:rsidR="00006081" w:rsidRPr="00CF3C36">
        <w:rPr>
          <w:lang w:val="en-GB"/>
        </w:rPr>
        <w:t>t result is found in the Model 2</w:t>
      </w:r>
      <w:r w:rsidR="00306587" w:rsidRPr="00CF3C36">
        <w:rPr>
          <w:lang w:val="en-GB"/>
        </w:rPr>
        <w:t xml:space="preserve"> that uses the ratio between FDI in green energy and FDI in brown energy as a dependent variable indicates that the increase in EPI does not necessarily decrease </w:t>
      </w:r>
      <w:r w:rsidR="00306587" w:rsidRPr="00CF3C36">
        <w:rPr>
          <w:lang w:val="en-GB"/>
        </w:rPr>
        <w:lastRenderedPageBreak/>
        <w:t xml:space="preserve">the environmental footprint of the energy sector as a whole. </w:t>
      </w:r>
      <w:r w:rsidR="00BA0983" w:rsidRPr="00CF3C36">
        <w:rPr>
          <w:lang w:val="en-GB"/>
        </w:rPr>
        <w:t xml:space="preserve">The lack of results in the energy sector </w:t>
      </w:r>
      <w:r w:rsidR="00790FF0" w:rsidRPr="00CF3C36">
        <w:rPr>
          <w:lang w:val="en-GB"/>
        </w:rPr>
        <w:t xml:space="preserve">might also be influenced by the high political interest in the energy sector. </w:t>
      </w:r>
      <w:r w:rsidR="0041343E" w:rsidRPr="00CF3C36">
        <w:rPr>
          <w:lang w:val="en-GB"/>
        </w:rPr>
        <w:t xml:space="preserve">When the OECD presented their data on relative investments in fossil fuels versus renewable energy, a representative of a member country mentioned that foreign investments in the energy sector are sometimes restricted. The reason for this restriction is the particular importance that mainly fossil fuels still have for the self-sufficiency of many countries. </w:t>
      </w:r>
      <w:r w:rsidR="0099016E" w:rsidRPr="00CF3C36">
        <w:rPr>
          <w:lang w:val="en-GB"/>
        </w:rPr>
        <w:t>Therefore this might influence the results found in the energy sector.</w:t>
      </w:r>
    </w:p>
    <w:p w14:paraId="2C6A5293" w14:textId="12A2F759" w:rsidR="009E1E01" w:rsidRPr="00CF3C36" w:rsidRDefault="00F1069C" w:rsidP="00585F66">
      <w:pPr>
        <w:spacing w:after="0" w:line="360" w:lineRule="auto"/>
        <w:ind w:firstLine="708"/>
        <w:jc w:val="both"/>
        <w:rPr>
          <w:lang w:val="en-GB"/>
        </w:rPr>
      </w:pPr>
      <w:r w:rsidRPr="00CF3C36">
        <w:rPr>
          <w:lang w:val="en-GB"/>
        </w:rPr>
        <w:t xml:space="preserve">A limitation of the current research is that the pollution intensity of FDI in the first three models and the environmental capabilities of FDI in the other models are not measured directly. To estimate the pollution intensity of FDI in the first three models, the assumption is made that the pollution intensity of a foreign firms is the same as the average pollution intensity of the sector it operates in. </w:t>
      </w:r>
      <w:r w:rsidR="00885C31" w:rsidRPr="00CF3C36">
        <w:rPr>
          <w:lang w:val="en-GB"/>
        </w:rPr>
        <w:t xml:space="preserve">If this pollution intensity could be directly measured on a firm level, this would increase the validity of the research. In the last three models it is assumed that firms investing in renewable energy have higher environmental capabilities than firms investing in fossil fuels. </w:t>
      </w:r>
      <w:r w:rsidR="00006081" w:rsidRPr="00CF3C36">
        <w:rPr>
          <w:lang w:val="en-GB"/>
        </w:rPr>
        <w:t>This is a fair assumption, h</w:t>
      </w:r>
      <w:r w:rsidR="00885C31" w:rsidRPr="00CF3C36">
        <w:rPr>
          <w:lang w:val="en-GB"/>
        </w:rPr>
        <w:t>owever, also between the firms investing fossil fuels or the firms investing in renewable energy there most likely are differences in environmental capabilities. Therefore again, if this were to be measures directly on a firm level the validity of the results would increase.</w:t>
      </w:r>
    </w:p>
    <w:p w14:paraId="10F7D6CB" w14:textId="37D6FDF5" w:rsidR="00B77818" w:rsidRPr="00CF3C36" w:rsidRDefault="00B77818" w:rsidP="00585F66">
      <w:pPr>
        <w:spacing w:after="0" w:line="360" w:lineRule="auto"/>
        <w:ind w:firstLine="708"/>
        <w:jc w:val="both"/>
        <w:rPr>
          <w:lang w:val="en-GB"/>
        </w:rPr>
      </w:pPr>
      <w:r w:rsidRPr="00CF3C36">
        <w:rPr>
          <w:lang w:val="en-GB"/>
        </w:rPr>
        <w:t>Furthermore, the theoretical model used in this thesis identified that as more clean MNE’s invest in a country they may push for more stringent environmental regulation. They would do so because they have a cost disadvantage compared to the domest</w:t>
      </w:r>
      <w:r w:rsidR="00267A05" w:rsidRPr="00CF3C36">
        <w:rPr>
          <w:lang w:val="en-GB"/>
        </w:rPr>
        <w:t xml:space="preserve">ic firms when they uphold higher environmental standards than the national environmental regulations require. From this relationship some endogeneity problems may arise which are not taken into account in this thesis. </w:t>
      </w:r>
    </w:p>
    <w:p w14:paraId="1E2A880D" w14:textId="10DD4A2D" w:rsidR="00F1069C" w:rsidRPr="00CF3C36" w:rsidRDefault="009E1E01" w:rsidP="00585F66">
      <w:pPr>
        <w:spacing w:after="0" w:line="360" w:lineRule="auto"/>
        <w:ind w:firstLine="708"/>
        <w:jc w:val="both"/>
        <w:rPr>
          <w:lang w:val="en-GB"/>
        </w:rPr>
      </w:pPr>
      <w:r w:rsidRPr="00CF3C36">
        <w:rPr>
          <w:lang w:val="en-GB"/>
        </w:rPr>
        <w:t xml:space="preserve">Another limitation involves data availability, overall the limited availability of EPI over time causes the analyses to incorporate a relatively short </w:t>
      </w:r>
      <w:r w:rsidR="005A1897" w:rsidRPr="00CF3C36">
        <w:rPr>
          <w:lang w:val="en-GB"/>
        </w:rPr>
        <w:t>time span</w:t>
      </w:r>
      <w:r w:rsidRPr="00CF3C36">
        <w:rPr>
          <w:lang w:val="en-GB"/>
        </w:rPr>
        <w:t>.</w:t>
      </w:r>
      <w:r w:rsidR="005A1897" w:rsidRPr="00CF3C36">
        <w:rPr>
          <w:lang w:val="en-GB"/>
        </w:rPr>
        <w:t xml:space="preserve"> If the data were available over a longer period</w:t>
      </w:r>
      <w:r w:rsidR="00093687" w:rsidRPr="00CF3C36">
        <w:rPr>
          <w:lang w:val="en-GB"/>
        </w:rPr>
        <w:t xml:space="preserve"> more variation in EPI could have been observed, which might have led to more convincing </w:t>
      </w:r>
      <w:r w:rsidRPr="00CF3C36">
        <w:rPr>
          <w:lang w:val="en-GB"/>
        </w:rPr>
        <w:t xml:space="preserve"> </w:t>
      </w:r>
      <w:r w:rsidR="00093687" w:rsidRPr="00CF3C36">
        <w:rPr>
          <w:lang w:val="en-GB"/>
        </w:rPr>
        <w:t>results.</w:t>
      </w:r>
      <w:r w:rsidR="0076090C" w:rsidRPr="00CF3C36">
        <w:rPr>
          <w:lang w:val="en-GB"/>
        </w:rPr>
        <w:t xml:space="preserve"> Furthermore the data of EPI is only available every other year, in order to utilize the available data of the dependent variables the EPI was computed for the missing year by taking the average value of the two adjacent years. This metho</w:t>
      </w:r>
      <w:r w:rsidR="009C1FDC" w:rsidRPr="00CF3C36">
        <w:rPr>
          <w:lang w:val="en-GB"/>
        </w:rPr>
        <w:t>d</w:t>
      </w:r>
      <w:r w:rsidR="0076090C" w:rsidRPr="00CF3C36">
        <w:rPr>
          <w:lang w:val="en-GB"/>
        </w:rPr>
        <w:t xml:space="preserve"> causes halve of the observations of EPI</w:t>
      </w:r>
      <w:r w:rsidR="005A3613" w:rsidRPr="00CF3C36">
        <w:rPr>
          <w:lang w:val="en-GB"/>
        </w:rPr>
        <w:t xml:space="preserve"> to be constructed</w:t>
      </w:r>
      <w:r w:rsidR="009C1FDC" w:rsidRPr="00CF3C36">
        <w:rPr>
          <w:lang w:val="en-GB"/>
        </w:rPr>
        <w:t xml:space="preserve"> in this manner. </w:t>
      </w:r>
      <w:r w:rsidR="00251E9D" w:rsidRPr="00CF3C36">
        <w:rPr>
          <w:lang w:val="en-GB"/>
        </w:rPr>
        <w:t xml:space="preserve">Also the missing values in some of the control variables can been seen as a limitation, although they have been dealt with in an appropriate manner. </w:t>
      </w:r>
    </w:p>
    <w:p w14:paraId="697EF224" w14:textId="6D372E1A" w:rsidR="0088498A" w:rsidRPr="00CF3C36" w:rsidRDefault="00F1069C" w:rsidP="00585F66">
      <w:pPr>
        <w:spacing w:after="0" w:line="360" w:lineRule="auto"/>
        <w:ind w:firstLine="708"/>
        <w:jc w:val="both"/>
        <w:rPr>
          <w:lang w:val="en-GB"/>
        </w:rPr>
      </w:pPr>
      <w:r w:rsidRPr="00CF3C36">
        <w:rPr>
          <w:lang w:val="en-GB"/>
        </w:rPr>
        <w:t>There are multiple ways in which future research can complement this research. The analyses of the first three hypotheses</w:t>
      </w:r>
      <w:r w:rsidR="002F262C" w:rsidRPr="00CF3C36">
        <w:rPr>
          <w:lang w:val="en-GB"/>
        </w:rPr>
        <w:t xml:space="preserve"> only focusses </w:t>
      </w:r>
      <w:r w:rsidR="00473717" w:rsidRPr="00CF3C36">
        <w:rPr>
          <w:lang w:val="en-GB"/>
        </w:rPr>
        <w:t>on CO</w:t>
      </w:r>
      <w:r w:rsidR="00473717" w:rsidRPr="00CF3C36">
        <w:rPr>
          <w:vertAlign w:val="subscript"/>
          <w:lang w:val="en-GB"/>
        </w:rPr>
        <w:t>2</w:t>
      </w:r>
      <w:r w:rsidR="00473717" w:rsidRPr="00CF3C36">
        <w:rPr>
          <w:lang w:val="en-GB"/>
        </w:rPr>
        <w:t xml:space="preserve"> emissions, while environmental regulation can concern all types of pollution.</w:t>
      </w:r>
      <w:r w:rsidR="00EC7E62" w:rsidRPr="00CF3C36">
        <w:rPr>
          <w:lang w:val="en-GB"/>
        </w:rPr>
        <w:t xml:space="preserve"> </w:t>
      </w:r>
      <w:r w:rsidR="0040424B" w:rsidRPr="00CF3C36">
        <w:rPr>
          <w:lang w:val="en-GB"/>
        </w:rPr>
        <w:t>Therefore future research could try to analyse the effect of EPI on other global pollutants or on different types of local pollution, such as air pollution, water pollution or even land degradation</w:t>
      </w:r>
      <w:r w:rsidR="00C7669E" w:rsidRPr="00CF3C36">
        <w:rPr>
          <w:lang w:val="en-GB"/>
        </w:rPr>
        <w:t xml:space="preserve"> or loss of biodiversity</w:t>
      </w:r>
      <w:r w:rsidR="00705B3B" w:rsidRPr="00CF3C36">
        <w:rPr>
          <w:lang w:val="en-GB"/>
        </w:rPr>
        <w:t xml:space="preserve">. </w:t>
      </w:r>
      <w:r w:rsidR="00412FDB" w:rsidRPr="00CF3C36">
        <w:rPr>
          <w:lang w:val="en-GB"/>
        </w:rPr>
        <w:t xml:space="preserve">Also research of a more qualitative nature could complement this research, as it would be possible to analyse the specific environmental regulations in a country </w:t>
      </w:r>
      <w:r w:rsidR="00412FDB" w:rsidRPr="00CF3C36">
        <w:rPr>
          <w:lang w:val="en-GB"/>
        </w:rPr>
        <w:lastRenderedPageBreak/>
        <w:t>and the effect is has on the investment decisions of specific firms.</w:t>
      </w:r>
      <w:r w:rsidR="00BB2CB6" w:rsidRPr="00CF3C36">
        <w:rPr>
          <w:lang w:val="en-GB"/>
        </w:rPr>
        <w:t xml:space="preserve"> This would give a deeper understanding of the effects of concrete regulations and could help to gain an understanding of how to design the most effective environmental regulations. </w:t>
      </w:r>
      <w:r w:rsidR="00BA06DC" w:rsidRPr="00CF3C36">
        <w:rPr>
          <w:lang w:val="en-GB"/>
        </w:rPr>
        <w:t>Another interesting complementation to th</w:t>
      </w:r>
      <w:r w:rsidR="00A64656" w:rsidRPr="00CF3C36">
        <w:rPr>
          <w:lang w:val="en-GB"/>
        </w:rPr>
        <w:t>is research could be to analyse</w:t>
      </w:r>
      <w:r w:rsidR="00BA06DC" w:rsidRPr="00CF3C36">
        <w:rPr>
          <w:lang w:val="en-GB"/>
        </w:rPr>
        <w:t xml:space="preserve"> the effect of EPI on the different types of FDI that were discussed in the literature review. In this analysis only greenfield FDI is taken into account, so a comparison between the effect of EPI on greenfield and brownfield FDI would be interesting. Furthermore if FDI could be subdivided into the different motives that drive the investment, it would </w:t>
      </w:r>
      <w:r w:rsidR="00A64656" w:rsidRPr="00CF3C36">
        <w:rPr>
          <w:lang w:val="en-GB"/>
        </w:rPr>
        <w:t xml:space="preserve">for example </w:t>
      </w:r>
      <w:r w:rsidR="00BA06DC" w:rsidRPr="00CF3C36">
        <w:rPr>
          <w:lang w:val="en-GB"/>
        </w:rPr>
        <w:t>be possible t</w:t>
      </w:r>
      <w:r w:rsidR="00A64656" w:rsidRPr="00CF3C36">
        <w:rPr>
          <w:lang w:val="en-GB"/>
        </w:rPr>
        <w:t>o see if EPI affects</w:t>
      </w:r>
      <w:r w:rsidR="00BA06DC" w:rsidRPr="00CF3C36">
        <w:rPr>
          <w:lang w:val="en-GB"/>
        </w:rPr>
        <w:t xml:space="preserve"> market-seeking FDI differently from efficiency-seeking FDI. </w:t>
      </w:r>
    </w:p>
    <w:p w14:paraId="17B6131A" w14:textId="77777777" w:rsidR="00BA0983" w:rsidRPr="00CF3C36" w:rsidRDefault="00BA0983" w:rsidP="00585F66">
      <w:pPr>
        <w:spacing w:after="0" w:line="360" w:lineRule="auto"/>
        <w:ind w:firstLine="708"/>
        <w:jc w:val="both"/>
        <w:rPr>
          <w:lang w:val="en-GB"/>
        </w:rPr>
      </w:pPr>
    </w:p>
    <w:p w14:paraId="0E8626E0" w14:textId="1DE83491" w:rsidR="00CA0CE8" w:rsidRPr="00CF3C36" w:rsidRDefault="00F80423" w:rsidP="00BA6AFA">
      <w:pPr>
        <w:spacing w:line="360" w:lineRule="auto"/>
        <w:jc w:val="both"/>
        <w:rPr>
          <w:lang w:val="en-GB"/>
        </w:rPr>
      </w:pPr>
      <w:r w:rsidRPr="00CF3C36">
        <w:rPr>
          <w:lang w:val="en-GB"/>
        </w:rPr>
        <w:br w:type="page"/>
      </w:r>
    </w:p>
    <w:p w14:paraId="2DA37AD0" w14:textId="277D07D3" w:rsidR="002033D6" w:rsidRPr="00CF3C36" w:rsidRDefault="00E06FFA" w:rsidP="007D2FB8">
      <w:pPr>
        <w:pStyle w:val="Heading1"/>
        <w:jc w:val="both"/>
        <w:rPr>
          <w:lang w:val="en-GB"/>
        </w:rPr>
      </w:pPr>
      <w:bookmarkStart w:id="34" w:name="_Toc15480017"/>
      <w:r w:rsidRPr="00CF3C36">
        <w:rPr>
          <w:lang w:val="en-GB"/>
        </w:rPr>
        <w:lastRenderedPageBreak/>
        <w:t xml:space="preserve">6. </w:t>
      </w:r>
      <w:r w:rsidR="002033D6" w:rsidRPr="00CF3C36">
        <w:rPr>
          <w:lang w:val="en-GB"/>
        </w:rPr>
        <w:t>Bibliography</w:t>
      </w:r>
      <w:bookmarkEnd w:id="34"/>
    </w:p>
    <w:p w14:paraId="0C4DFE3C" w14:textId="777066D7" w:rsidR="003378E5" w:rsidRPr="00CF3C36" w:rsidRDefault="003378E5" w:rsidP="003378E5">
      <w:pPr>
        <w:rPr>
          <w:lang w:val="en-GB"/>
        </w:rPr>
      </w:pPr>
      <w:r w:rsidRPr="00CF3C36">
        <w:rPr>
          <w:lang w:val="en-GB"/>
        </w:rPr>
        <w:t xml:space="preserve">Alfaro, L., Chanda, A., Kalemli-Ozcan, S., &amp; Sayek, S. (2004). FDI and economic growth: the role of local financial markets. </w:t>
      </w:r>
      <w:r w:rsidRPr="00CF3C36">
        <w:rPr>
          <w:i/>
          <w:lang w:val="en-GB"/>
        </w:rPr>
        <w:t>Journal of International Economics</w:t>
      </w:r>
      <w:r w:rsidRPr="00CF3C36">
        <w:rPr>
          <w:lang w:val="en-GB"/>
        </w:rPr>
        <w:t xml:space="preserve">, </w:t>
      </w:r>
      <w:r w:rsidRPr="00CF3C36">
        <w:rPr>
          <w:i/>
          <w:lang w:val="en-GB"/>
        </w:rPr>
        <w:t>64</w:t>
      </w:r>
      <w:r w:rsidRPr="00CF3C36">
        <w:rPr>
          <w:lang w:val="en-GB"/>
        </w:rPr>
        <w:t>(1), 89–112.</w:t>
      </w:r>
    </w:p>
    <w:p w14:paraId="2E2641BD" w14:textId="412FAFB4" w:rsidR="005219E4" w:rsidRPr="00CF3C36" w:rsidRDefault="005219E4" w:rsidP="003378E5">
      <w:pPr>
        <w:rPr>
          <w:lang w:val="en-GB"/>
        </w:rPr>
      </w:pPr>
      <w:r w:rsidRPr="00CF3C36">
        <w:rPr>
          <w:lang w:val="en-GB"/>
        </w:rPr>
        <w:t xml:space="preserve">Allison, P. D. (2009). </w:t>
      </w:r>
      <w:r w:rsidRPr="00CF3C36">
        <w:rPr>
          <w:i/>
          <w:lang w:val="en-GB"/>
        </w:rPr>
        <w:t>Fixed effects regression models</w:t>
      </w:r>
      <w:r w:rsidRPr="00CF3C36">
        <w:rPr>
          <w:lang w:val="en-GB"/>
        </w:rPr>
        <w:t xml:space="preserve"> (Vol. 160). SAGE publications.</w:t>
      </w:r>
    </w:p>
    <w:p w14:paraId="186EF954" w14:textId="40232167" w:rsidR="00633ED8" w:rsidRPr="00CF3C36" w:rsidRDefault="00633ED8" w:rsidP="003378E5">
      <w:pPr>
        <w:rPr>
          <w:lang w:val="en-GB"/>
        </w:rPr>
      </w:pPr>
      <w:r w:rsidRPr="00CF3C36">
        <w:rPr>
          <w:lang w:val="en-GB"/>
        </w:rPr>
        <w:t xml:space="preserve">Baker, W. E., &amp; Sinkula, J. M. (2005). Environmental marketing strategy and firm performance: effects on new product performance and market share. </w:t>
      </w:r>
      <w:r w:rsidRPr="00CF3C36">
        <w:rPr>
          <w:i/>
          <w:lang w:val="en-GB"/>
        </w:rPr>
        <w:t>Journal of the academy of marketing science, 33(4),</w:t>
      </w:r>
      <w:r w:rsidRPr="00CF3C36">
        <w:rPr>
          <w:lang w:val="en-GB"/>
        </w:rPr>
        <w:t xml:space="preserve"> 461-475.</w:t>
      </w:r>
    </w:p>
    <w:p w14:paraId="6C0672D2" w14:textId="27694536" w:rsidR="003378E5" w:rsidRPr="00CF3C36" w:rsidRDefault="003378E5" w:rsidP="003378E5">
      <w:pPr>
        <w:rPr>
          <w:lang w:val="en-GB"/>
        </w:rPr>
      </w:pPr>
      <w:r w:rsidRPr="00CF3C36">
        <w:rPr>
          <w:lang w:val="en-GB"/>
        </w:rPr>
        <w:t xml:space="preserve">Balasubramanyam, V. N., Salisu, M., &amp; Sapsford, D. (1996). Foreign direct investment and growth in EP and IS countries. </w:t>
      </w:r>
      <w:r w:rsidRPr="00CF3C36">
        <w:rPr>
          <w:i/>
          <w:lang w:val="en-GB"/>
        </w:rPr>
        <w:t>The Economic Journal</w:t>
      </w:r>
      <w:r w:rsidRPr="00CF3C36">
        <w:rPr>
          <w:lang w:val="en-GB"/>
        </w:rPr>
        <w:t>,</w:t>
      </w:r>
      <w:r w:rsidRPr="00CF3C36">
        <w:rPr>
          <w:i/>
          <w:lang w:val="en-GB"/>
        </w:rPr>
        <w:t xml:space="preserve"> 106</w:t>
      </w:r>
      <w:r w:rsidRPr="00CF3C36">
        <w:rPr>
          <w:lang w:val="en-GB"/>
        </w:rPr>
        <w:t>(434), 92–105.</w:t>
      </w:r>
    </w:p>
    <w:p w14:paraId="20F181FB" w14:textId="7869C375" w:rsidR="00971D54" w:rsidRPr="00CF3C36" w:rsidRDefault="00971D54" w:rsidP="003378E5">
      <w:pPr>
        <w:rPr>
          <w:lang w:val="en-GB"/>
        </w:rPr>
      </w:pPr>
      <w:r w:rsidRPr="00CF3C36">
        <w:rPr>
          <w:lang w:val="en-GB"/>
        </w:rPr>
        <w:t>Barney, J. (1991). Firm resources and sustained competitive advantage</w:t>
      </w:r>
      <w:r w:rsidRPr="00CF3C36">
        <w:rPr>
          <w:i/>
          <w:lang w:val="en-GB"/>
        </w:rPr>
        <w:t>. Journal of management, 17(1)</w:t>
      </w:r>
      <w:r w:rsidRPr="00CF3C36">
        <w:rPr>
          <w:lang w:val="en-GB"/>
        </w:rPr>
        <w:t>, 99-120.</w:t>
      </w:r>
    </w:p>
    <w:p w14:paraId="4E6FD527" w14:textId="77777777" w:rsidR="003378E5" w:rsidRPr="00CF3C36" w:rsidRDefault="003378E5" w:rsidP="003378E5">
      <w:pPr>
        <w:rPr>
          <w:lang w:val="en-GB"/>
        </w:rPr>
      </w:pPr>
      <w:r w:rsidRPr="00CF3C36">
        <w:rPr>
          <w:lang w:val="en-GB"/>
        </w:rPr>
        <w:t xml:space="preserve">Beladi, H., Chao, C. C., &amp; Frasca, R. (1999). Foreign investment and environmental regulations in LDCs. </w:t>
      </w:r>
      <w:r w:rsidRPr="00CF3C36">
        <w:rPr>
          <w:i/>
          <w:lang w:val="en-GB"/>
        </w:rPr>
        <w:t>Resource and Energy Economics, 21</w:t>
      </w:r>
      <w:r w:rsidRPr="00CF3C36">
        <w:rPr>
          <w:lang w:val="en-GB"/>
        </w:rPr>
        <w:t>(2), 191-199.</w:t>
      </w:r>
    </w:p>
    <w:p w14:paraId="3351248B" w14:textId="77777777" w:rsidR="003378E5" w:rsidRPr="00CF3C36" w:rsidRDefault="003378E5" w:rsidP="003378E5">
      <w:pPr>
        <w:rPr>
          <w:lang w:val="en-GB"/>
        </w:rPr>
      </w:pPr>
      <w:r w:rsidRPr="00CF3C36">
        <w:rPr>
          <w:lang w:val="en-GB"/>
        </w:rPr>
        <w:t xml:space="preserve">Bengoa, M., &amp; Sanchez-Robles, B. (2003). Foreign direct investment, economic freedom and growth: new evidence from Latin America. </w:t>
      </w:r>
      <w:r w:rsidRPr="00CF3C36">
        <w:rPr>
          <w:i/>
          <w:lang w:val="en-GB"/>
        </w:rPr>
        <w:t>European journal of political economy, 19</w:t>
      </w:r>
      <w:r w:rsidRPr="00CF3C36">
        <w:rPr>
          <w:lang w:val="en-GB"/>
        </w:rPr>
        <w:t>(3), 529–545.</w:t>
      </w:r>
    </w:p>
    <w:p w14:paraId="4AF3A723" w14:textId="785F5D2B" w:rsidR="003378E5" w:rsidRPr="00CF3C36" w:rsidRDefault="003378E5" w:rsidP="003378E5">
      <w:pPr>
        <w:rPr>
          <w:lang w:val="en-GB"/>
        </w:rPr>
      </w:pPr>
      <w:r w:rsidRPr="00CF3C36">
        <w:rPr>
          <w:lang w:val="en-GB"/>
        </w:rPr>
        <w:t xml:space="preserve">Birdsall, N., &amp; Wheeler, D. (1993). Trade policy and industrial pollution in Latin America: where are the pollution havens? </w:t>
      </w:r>
      <w:r w:rsidRPr="00CF3C36">
        <w:rPr>
          <w:i/>
          <w:lang w:val="en-GB"/>
        </w:rPr>
        <w:t>The Journal of Environment &amp; Development, 2</w:t>
      </w:r>
      <w:r w:rsidRPr="00CF3C36">
        <w:rPr>
          <w:lang w:val="en-GB"/>
        </w:rPr>
        <w:t>(1), 137-149.</w:t>
      </w:r>
    </w:p>
    <w:p w14:paraId="7D86368D" w14:textId="7F04B6E7" w:rsidR="00DE5047" w:rsidRPr="00CF3C36" w:rsidRDefault="00DE5047" w:rsidP="003378E5">
      <w:pPr>
        <w:rPr>
          <w:lang w:val="en-GB"/>
        </w:rPr>
      </w:pPr>
      <w:r w:rsidRPr="00CF3C36">
        <w:rPr>
          <w:lang w:val="en-GB"/>
        </w:rPr>
        <w:t xml:space="preserve">Blanke, J., &amp; Chiesa, T. (2013, May). The travel &amp; tourism competitiveness report 2013. </w:t>
      </w:r>
      <w:r w:rsidRPr="00CF3C36">
        <w:rPr>
          <w:i/>
          <w:lang w:val="en-GB"/>
        </w:rPr>
        <w:t>The World Economic Forum.</w:t>
      </w:r>
    </w:p>
    <w:p w14:paraId="005FBDDD" w14:textId="77777777" w:rsidR="003378E5" w:rsidRPr="00CF3C36" w:rsidRDefault="003378E5" w:rsidP="003378E5">
      <w:pPr>
        <w:rPr>
          <w:lang w:val="en-GB"/>
        </w:rPr>
      </w:pPr>
      <w:r w:rsidRPr="00CF3C36">
        <w:rPr>
          <w:lang w:val="en-GB"/>
        </w:rPr>
        <w:t xml:space="preserve">Blomstrom, M., Lipsey, R. E., &amp; Zejan, M. (1994). What explains developing country growth? In W. J. Baumol (Ed.), </w:t>
      </w:r>
      <w:r w:rsidRPr="00CF3C36">
        <w:rPr>
          <w:i/>
          <w:lang w:val="en-GB"/>
        </w:rPr>
        <w:t xml:space="preserve">Convergence of Productivity: Cross-National Studies and Historical Evidence (9th ed.). </w:t>
      </w:r>
      <w:r w:rsidRPr="00CF3C36">
        <w:rPr>
          <w:lang w:val="en-GB"/>
        </w:rPr>
        <w:t>New York: Oxford University Press, Incorporated.</w:t>
      </w:r>
    </w:p>
    <w:p w14:paraId="74037A15" w14:textId="6ECB3691" w:rsidR="003378E5" w:rsidRPr="00CF3C36" w:rsidRDefault="003378E5" w:rsidP="003378E5">
      <w:pPr>
        <w:rPr>
          <w:lang w:val="en-GB"/>
        </w:rPr>
      </w:pPr>
      <w:r w:rsidRPr="00CF3C36">
        <w:rPr>
          <w:lang w:val="en-GB"/>
        </w:rPr>
        <w:t xml:space="preserve">Borensztein, E., De Gregorio, J., &amp; Lee, J.-W. (1998). How does foreign direct investment affect economic growth? </w:t>
      </w:r>
      <w:r w:rsidRPr="00CF3C36">
        <w:rPr>
          <w:i/>
          <w:iCs/>
          <w:lang w:val="en-GB"/>
        </w:rPr>
        <w:t>Journal of International Economics</w:t>
      </w:r>
      <w:r w:rsidRPr="00CF3C36">
        <w:rPr>
          <w:i/>
          <w:lang w:val="en-GB"/>
        </w:rPr>
        <w:t xml:space="preserve">, </w:t>
      </w:r>
      <w:r w:rsidRPr="00CF3C36">
        <w:rPr>
          <w:i/>
          <w:iCs/>
          <w:lang w:val="en-GB"/>
        </w:rPr>
        <w:t>45</w:t>
      </w:r>
      <w:r w:rsidRPr="00CF3C36">
        <w:rPr>
          <w:lang w:val="en-GB"/>
        </w:rPr>
        <w:t>(1), 115–135.</w:t>
      </w:r>
    </w:p>
    <w:p w14:paraId="04F95C67" w14:textId="09615988" w:rsidR="00A66198" w:rsidRPr="00CF3C36" w:rsidRDefault="00A66198" w:rsidP="003378E5">
      <w:pPr>
        <w:rPr>
          <w:lang w:val="en-GB"/>
        </w:rPr>
      </w:pPr>
      <w:r w:rsidRPr="00CF3C36">
        <w:rPr>
          <w:lang w:val="en-GB"/>
        </w:rPr>
        <w:t xml:space="preserve">Botta, E. and T. Kozluk (2014), "Measuring Environmental Policy Stringency in OECD Countries: A Composite Index Approach", </w:t>
      </w:r>
      <w:r w:rsidRPr="00CF3C36">
        <w:rPr>
          <w:i/>
          <w:lang w:val="en-GB"/>
        </w:rPr>
        <w:t>OECD Economics Department Working Papers</w:t>
      </w:r>
      <w:r w:rsidRPr="00CF3C36">
        <w:rPr>
          <w:lang w:val="en-GB"/>
        </w:rPr>
        <w:t>, No. 1177, OECD Publishing.</w:t>
      </w:r>
    </w:p>
    <w:p w14:paraId="446F7DAD" w14:textId="1C6AC1B6" w:rsidR="003378E5" w:rsidRPr="00CF3C36" w:rsidRDefault="003378E5" w:rsidP="003378E5">
      <w:pPr>
        <w:rPr>
          <w:lang w:val="en-GB"/>
        </w:rPr>
      </w:pPr>
      <w:r w:rsidRPr="00CF3C36">
        <w:rPr>
          <w:lang w:val="en-GB"/>
        </w:rPr>
        <w:t xml:space="preserve">Brown, P. (2003) Coca-Cola in India accused of leaving farms parched and land poisoned. </w:t>
      </w:r>
      <w:r w:rsidRPr="00CF3C36">
        <w:rPr>
          <w:i/>
          <w:lang w:val="en-GB"/>
        </w:rPr>
        <w:t>The Guardian</w:t>
      </w:r>
      <w:r w:rsidRPr="00CF3C36">
        <w:rPr>
          <w:lang w:val="en-GB"/>
        </w:rPr>
        <w:t xml:space="preserve">. Accessed on 25-03-2019 via: </w:t>
      </w:r>
      <w:hyperlink r:id="rId15" w:history="1">
        <w:r w:rsidRPr="00CF3C36">
          <w:rPr>
            <w:rStyle w:val="Hyperlink"/>
            <w:lang w:val="en-GB"/>
          </w:rPr>
          <w:t>https://www.theguardian.com/environment/2003/jul/25/water.india</w:t>
        </w:r>
      </w:hyperlink>
      <w:r w:rsidRPr="00CF3C36">
        <w:rPr>
          <w:lang w:val="en-GB"/>
        </w:rPr>
        <w:t xml:space="preserve">. </w:t>
      </w:r>
    </w:p>
    <w:p w14:paraId="469629B3" w14:textId="2DBB81B6" w:rsidR="009405DE" w:rsidRPr="00CF3C36" w:rsidRDefault="009405DE" w:rsidP="003378E5">
      <w:pPr>
        <w:rPr>
          <w:lang w:val="en-GB"/>
        </w:rPr>
      </w:pPr>
      <w:r w:rsidRPr="00CF3C36">
        <w:rPr>
          <w:lang w:val="en-GB"/>
        </w:rPr>
        <w:t xml:space="preserve">Bu, M., &amp; Wagner, M. (2016). Racing to the bottom and racing to the top: The crucial role of firm characteristics in foreign direct investment choices. </w:t>
      </w:r>
      <w:r w:rsidRPr="00CF3C36">
        <w:rPr>
          <w:i/>
          <w:lang w:val="en-GB"/>
        </w:rPr>
        <w:t>Journal of International Business Studies, 47(9),</w:t>
      </w:r>
      <w:r w:rsidRPr="00CF3C36">
        <w:rPr>
          <w:lang w:val="en-GB"/>
        </w:rPr>
        <w:t xml:space="preserve"> 1032-1057.</w:t>
      </w:r>
    </w:p>
    <w:p w14:paraId="0D6BE894" w14:textId="194F978C" w:rsidR="00FE43A4" w:rsidRPr="00CF3C36" w:rsidRDefault="00FE43A4" w:rsidP="003378E5">
      <w:pPr>
        <w:rPr>
          <w:lang w:val="en-GB"/>
        </w:rPr>
      </w:pPr>
      <w:r w:rsidRPr="00CF3C36">
        <w:rPr>
          <w:lang w:val="en-GB"/>
        </w:rPr>
        <w:t xml:space="preserve">Candau, F., &amp; Dienesch, E. (2017). Pollution haven and corruption paradise. </w:t>
      </w:r>
      <w:r w:rsidRPr="00CF3C36">
        <w:rPr>
          <w:i/>
          <w:lang w:val="en-GB"/>
        </w:rPr>
        <w:t xml:space="preserve">Journal of Environmental Economics and Management, 85, </w:t>
      </w:r>
      <w:r w:rsidRPr="00CF3C36">
        <w:rPr>
          <w:lang w:val="en-GB"/>
        </w:rPr>
        <w:t>171-192.</w:t>
      </w:r>
    </w:p>
    <w:p w14:paraId="678AFF7D" w14:textId="3FA17ECE" w:rsidR="00FE5F77" w:rsidRPr="00CF3C36" w:rsidRDefault="00FE5F77" w:rsidP="003378E5">
      <w:pPr>
        <w:rPr>
          <w:lang w:val="en-GB"/>
        </w:rPr>
      </w:pPr>
      <w:r w:rsidRPr="00CF3C36">
        <w:rPr>
          <w:lang w:val="en-GB"/>
        </w:rPr>
        <w:t xml:space="preserve">Christmann, P. (2004). Multinational companies and the natural environment: Determinants of global environmental policy. </w:t>
      </w:r>
      <w:r w:rsidRPr="00CF3C36">
        <w:rPr>
          <w:i/>
          <w:lang w:val="en-GB"/>
        </w:rPr>
        <w:t>Academy of Management Journal, 47(5),</w:t>
      </w:r>
      <w:r w:rsidRPr="00CF3C36">
        <w:rPr>
          <w:lang w:val="en-GB"/>
        </w:rPr>
        <w:t xml:space="preserve"> 747-760.</w:t>
      </w:r>
    </w:p>
    <w:p w14:paraId="04353C6E" w14:textId="77777777" w:rsidR="003378E5" w:rsidRPr="00CF3C36" w:rsidRDefault="003378E5" w:rsidP="003378E5">
      <w:pPr>
        <w:rPr>
          <w:lang w:val="en-GB"/>
        </w:rPr>
      </w:pPr>
      <w:r w:rsidRPr="00CF3C36">
        <w:rPr>
          <w:lang w:val="en-GB"/>
        </w:rPr>
        <w:lastRenderedPageBreak/>
        <w:t>Clarke, T., &amp; Boersma, M. (2017). The governance of global value chains: Unresolved human rights, environmental and ethical dilemmas in the apple supply chain</w:t>
      </w:r>
      <w:r w:rsidRPr="00CF3C36">
        <w:rPr>
          <w:i/>
          <w:lang w:val="en-GB"/>
        </w:rPr>
        <w:t>. Journal of Business Ethics, 143</w:t>
      </w:r>
      <w:r w:rsidRPr="00CF3C36">
        <w:rPr>
          <w:lang w:val="en-GB"/>
        </w:rPr>
        <w:t>(1), 111-131.</w:t>
      </w:r>
    </w:p>
    <w:p w14:paraId="7D02C6C0" w14:textId="793D55DB" w:rsidR="00B4579B" w:rsidRPr="00CF3C36" w:rsidRDefault="00B4579B" w:rsidP="003378E5">
      <w:pPr>
        <w:rPr>
          <w:lang w:val="en-GB"/>
        </w:rPr>
      </w:pPr>
      <w:r w:rsidRPr="00CF3C36">
        <w:rPr>
          <w:lang w:val="en-GB"/>
        </w:rPr>
        <w:t xml:space="preserve">Cole, M. A., &amp; Elliott, R. J. (2003). Do environmental regulations influence trade patterns? Testing old and new trade theories. </w:t>
      </w:r>
      <w:r w:rsidRPr="00CF3C36">
        <w:rPr>
          <w:i/>
          <w:lang w:val="en-GB"/>
        </w:rPr>
        <w:t>World Economy, 26</w:t>
      </w:r>
      <w:r w:rsidRPr="00CF3C36">
        <w:rPr>
          <w:lang w:val="en-GB"/>
        </w:rPr>
        <w:t>(8), 1163-1186.</w:t>
      </w:r>
    </w:p>
    <w:p w14:paraId="41139BD5" w14:textId="4EA9632A" w:rsidR="00FE43A4" w:rsidRPr="00CF3C36" w:rsidRDefault="00FE43A4" w:rsidP="003378E5">
      <w:pPr>
        <w:rPr>
          <w:lang w:val="en-GB"/>
        </w:rPr>
      </w:pPr>
      <w:r w:rsidRPr="00CF3C36">
        <w:rPr>
          <w:lang w:val="en-GB"/>
        </w:rPr>
        <w:t xml:space="preserve">Cole, M. A., Elliott, R. J., &amp; Fredriksson, P. G. (2006). Endogenous pollution havens: Does FDI influence environmental regulations? </w:t>
      </w:r>
      <w:r w:rsidRPr="00CF3C36">
        <w:rPr>
          <w:i/>
          <w:lang w:val="en-GB"/>
        </w:rPr>
        <w:t>Scandinavian Journal of Economics, 108(1)</w:t>
      </w:r>
      <w:r w:rsidRPr="00CF3C36">
        <w:rPr>
          <w:lang w:val="en-GB"/>
        </w:rPr>
        <w:t>, 157-178.</w:t>
      </w:r>
    </w:p>
    <w:p w14:paraId="095BEEA1" w14:textId="4ABD2170" w:rsidR="003378E5" w:rsidRPr="00CF3C36" w:rsidRDefault="003378E5" w:rsidP="003378E5">
      <w:pPr>
        <w:rPr>
          <w:lang w:val="en-GB"/>
        </w:rPr>
      </w:pPr>
      <w:r w:rsidRPr="00CF3C36">
        <w:rPr>
          <w:lang w:val="en-GB"/>
        </w:rPr>
        <w:t xml:space="preserve">Cole, M. A., Elliott, R. J., &amp; Zhang, L. (2017). Foreign direct investment and the environment. </w:t>
      </w:r>
      <w:r w:rsidRPr="00CF3C36">
        <w:rPr>
          <w:i/>
          <w:lang w:val="en-GB"/>
        </w:rPr>
        <w:t>Annual Review of Environment and Resources, 42</w:t>
      </w:r>
      <w:r w:rsidRPr="00CF3C36">
        <w:rPr>
          <w:lang w:val="en-GB"/>
        </w:rPr>
        <w:t>, 465-487.</w:t>
      </w:r>
    </w:p>
    <w:p w14:paraId="54B8A585" w14:textId="5FA185E0" w:rsidR="001E0B1F" w:rsidRPr="00CF3C36" w:rsidRDefault="001E0B1F" w:rsidP="003378E5">
      <w:pPr>
        <w:rPr>
          <w:lang w:val="en-GB"/>
        </w:rPr>
      </w:pPr>
      <w:r w:rsidRPr="00CF3C36">
        <w:rPr>
          <w:lang w:val="en-GB"/>
        </w:rPr>
        <w:t xml:space="preserve">Corcoran, A., &amp; Gillanders, R. (2015). Foreign direct investment and the ease of doing business. </w:t>
      </w:r>
      <w:r w:rsidRPr="00CF3C36">
        <w:rPr>
          <w:i/>
          <w:lang w:val="en-GB"/>
        </w:rPr>
        <w:t>Review of World Economics, 151(1),</w:t>
      </w:r>
      <w:r w:rsidRPr="00CF3C36">
        <w:rPr>
          <w:lang w:val="en-GB"/>
        </w:rPr>
        <w:t xml:space="preserve"> 103-126.</w:t>
      </w:r>
    </w:p>
    <w:p w14:paraId="3CAA2F8A" w14:textId="4ECB39A9" w:rsidR="00B4579B" w:rsidRPr="00CF3C36" w:rsidRDefault="00B4579B" w:rsidP="003378E5">
      <w:pPr>
        <w:rPr>
          <w:lang w:val="en-GB"/>
        </w:rPr>
      </w:pPr>
      <w:r w:rsidRPr="00CF3C36">
        <w:rPr>
          <w:lang w:val="en-GB"/>
        </w:rPr>
        <w:t xml:space="preserve">Damania, R., Fredriksson, P. G., &amp; List, J. A. (2003). Trade liberalization, corruption, and environmental policy formation: theory and evidence. </w:t>
      </w:r>
      <w:r w:rsidRPr="00CF3C36">
        <w:rPr>
          <w:i/>
          <w:lang w:val="en-GB"/>
        </w:rPr>
        <w:t>Journal of environmental economics and management, 46</w:t>
      </w:r>
      <w:r w:rsidRPr="00CF3C36">
        <w:rPr>
          <w:lang w:val="en-GB"/>
        </w:rPr>
        <w:t>(3), 490-512.</w:t>
      </w:r>
    </w:p>
    <w:p w14:paraId="4CBCC0A9" w14:textId="505EA759" w:rsidR="00663DAE" w:rsidRPr="00CF3C36" w:rsidRDefault="00663DAE" w:rsidP="003378E5">
      <w:pPr>
        <w:rPr>
          <w:lang w:val="en-GB"/>
        </w:rPr>
      </w:pPr>
      <w:r w:rsidRPr="00CF3C36">
        <w:rPr>
          <w:lang w:val="en-GB"/>
        </w:rPr>
        <w:t xml:space="preserve">Dasgupta, S., Wheeler, D., Mody, A., &amp; Roy, S. (1999). </w:t>
      </w:r>
      <w:r w:rsidRPr="00CF3C36">
        <w:rPr>
          <w:i/>
          <w:lang w:val="en-GB"/>
        </w:rPr>
        <w:t>Environmental regulation and development: A cross-country empirical analysis</w:t>
      </w:r>
      <w:r w:rsidRPr="00CF3C36">
        <w:rPr>
          <w:lang w:val="en-GB"/>
        </w:rPr>
        <w:t>. The World Bank.</w:t>
      </w:r>
    </w:p>
    <w:p w14:paraId="5A46DE04" w14:textId="17FBC144" w:rsidR="00E948D1" w:rsidRPr="00CF3C36" w:rsidRDefault="00E948D1" w:rsidP="003378E5">
      <w:pPr>
        <w:rPr>
          <w:lang w:val="en-GB"/>
        </w:rPr>
      </w:pPr>
      <w:r w:rsidRPr="00CF3C36">
        <w:rPr>
          <w:lang w:val="en-GB"/>
        </w:rPr>
        <w:t xml:space="preserve">De Hoyos, R. E., &amp; Sarafidis, V. (2006). Testing for cross-sectional dependence in panel-data models. </w:t>
      </w:r>
      <w:r w:rsidRPr="00CF3C36">
        <w:rPr>
          <w:i/>
          <w:lang w:val="en-GB"/>
        </w:rPr>
        <w:t>The stata journal, 6(4),</w:t>
      </w:r>
      <w:r w:rsidRPr="00CF3C36">
        <w:rPr>
          <w:lang w:val="en-GB"/>
        </w:rPr>
        <w:t xml:space="preserve"> 482-496.</w:t>
      </w:r>
    </w:p>
    <w:p w14:paraId="30321F27" w14:textId="50D42F08" w:rsidR="00AF79D1" w:rsidRPr="00CF3C36" w:rsidRDefault="00AF79D1" w:rsidP="003378E5">
      <w:pPr>
        <w:rPr>
          <w:lang w:val="en-GB"/>
        </w:rPr>
      </w:pPr>
      <w:r w:rsidRPr="00CF3C36">
        <w:rPr>
          <w:lang w:val="en-GB"/>
        </w:rPr>
        <w:t xml:space="preserve">Dechezleprêtre, A., &amp; Sato, M. (2017). The impacts of environmental regulations on competitiveness. </w:t>
      </w:r>
      <w:r w:rsidRPr="00CF3C36">
        <w:rPr>
          <w:i/>
          <w:lang w:val="en-GB"/>
        </w:rPr>
        <w:t>Review of Environmental Economics and Policy, 11(2),</w:t>
      </w:r>
      <w:r w:rsidRPr="00CF3C36">
        <w:rPr>
          <w:lang w:val="en-GB"/>
        </w:rPr>
        <w:t xml:space="preserve"> 183-206.</w:t>
      </w:r>
    </w:p>
    <w:p w14:paraId="26DE3F7A" w14:textId="0C9DF219" w:rsidR="003378E5" w:rsidRPr="00CF3C36" w:rsidRDefault="003378E5" w:rsidP="003378E5">
      <w:pPr>
        <w:rPr>
          <w:lang w:val="en-GB"/>
        </w:rPr>
      </w:pPr>
      <w:r w:rsidRPr="00CF3C36">
        <w:rPr>
          <w:lang w:val="en-GB"/>
        </w:rPr>
        <w:t>Dinda, S. (2004). Environmental Kuznets curve hypothesis: a survey</w:t>
      </w:r>
      <w:r w:rsidRPr="00CF3C36">
        <w:rPr>
          <w:i/>
          <w:lang w:val="en-GB"/>
        </w:rPr>
        <w:t>. Ecological economics, 49</w:t>
      </w:r>
      <w:r w:rsidRPr="00CF3C36">
        <w:rPr>
          <w:lang w:val="en-GB"/>
        </w:rPr>
        <w:t>(4), 431- 455.</w:t>
      </w:r>
    </w:p>
    <w:p w14:paraId="225D7284" w14:textId="3D72A2F3" w:rsidR="00DF1E0E" w:rsidRPr="00CF3C36" w:rsidRDefault="00DF1E0E" w:rsidP="003378E5">
      <w:pPr>
        <w:rPr>
          <w:lang w:val="en-GB"/>
        </w:rPr>
      </w:pPr>
      <w:r w:rsidRPr="00CF3C36">
        <w:rPr>
          <w:lang w:val="en-GB"/>
        </w:rPr>
        <w:t xml:space="preserve">Drukker, D. M. (2003). Testing for serial correlation in linear panel-data models. </w:t>
      </w:r>
      <w:r w:rsidRPr="00CF3C36">
        <w:rPr>
          <w:i/>
          <w:lang w:val="en-GB"/>
        </w:rPr>
        <w:t>The stata journal, 3(2),</w:t>
      </w:r>
      <w:r w:rsidRPr="00CF3C36">
        <w:rPr>
          <w:lang w:val="en-GB"/>
        </w:rPr>
        <w:t xml:space="preserve"> 168-177.</w:t>
      </w:r>
    </w:p>
    <w:p w14:paraId="3735EC82" w14:textId="77777777" w:rsidR="003378E5" w:rsidRPr="00CF3C36" w:rsidRDefault="003378E5" w:rsidP="003378E5">
      <w:pPr>
        <w:rPr>
          <w:color w:val="222222"/>
          <w:shd w:val="clear" w:color="auto" w:fill="FFFFFF"/>
          <w:lang w:val="en-GB"/>
        </w:rPr>
      </w:pPr>
      <w:r w:rsidRPr="00CF3C36">
        <w:rPr>
          <w:color w:val="222222"/>
          <w:shd w:val="clear" w:color="auto" w:fill="FFFFFF"/>
          <w:lang w:val="en-GB"/>
        </w:rPr>
        <w:t>Dunning, J. H., &amp; Lundan, S. M. (2008). </w:t>
      </w:r>
      <w:r w:rsidRPr="00CF3C36">
        <w:rPr>
          <w:i/>
          <w:iCs/>
          <w:color w:val="222222"/>
          <w:shd w:val="clear" w:color="auto" w:fill="FFFFFF"/>
          <w:lang w:val="en-GB"/>
        </w:rPr>
        <w:t>Multinational enterprises and the global economy</w:t>
      </w:r>
      <w:r w:rsidRPr="00CF3C36">
        <w:rPr>
          <w:color w:val="222222"/>
          <w:shd w:val="clear" w:color="auto" w:fill="FFFFFF"/>
          <w:lang w:val="en-GB"/>
        </w:rPr>
        <w:t>. Edward Elgar Publishing.</w:t>
      </w:r>
    </w:p>
    <w:p w14:paraId="2ABF121E" w14:textId="77777777" w:rsidR="003378E5" w:rsidRPr="00CF3C36" w:rsidRDefault="003378E5" w:rsidP="003378E5">
      <w:pPr>
        <w:rPr>
          <w:color w:val="222222"/>
          <w:shd w:val="clear" w:color="auto" w:fill="FFFFFF"/>
          <w:lang w:val="en-GB"/>
        </w:rPr>
      </w:pPr>
      <w:r w:rsidRPr="00CF3C36">
        <w:rPr>
          <w:color w:val="222222"/>
          <w:shd w:val="clear" w:color="auto" w:fill="FFFFFF"/>
          <w:lang w:val="en-GB"/>
        </w:rPr>
        <w:t xml:space="preserve">Durham, J. B. (2004). Absorptive capacity and the effects of foreign direct investment and equity foreign portfolio investment on economic growth. </w:t>
      </w:r>
      <w:r w:rsidRPr="00CF3C36">
        <w:rPr>
          <w:i/>
          <w:color w:val="222222"/>
          <w:shd w:val="clear" w:color="auto" w:fill="FFFFFF"/>
          <w:lang w:val="en-GB"/>
        </w:rPr>
        <w:t>European economic review, 48</w:t>
      </w:r>
      <w:r w:rsidRPr="00CF3C36">
        <w:rPr>
          <w:color w:val="222222"/>
          <w:shd w:val="clear" w:color="auto" w:fill="FFFFFF"/>
          <w:lang w:val="en-GB"/>
        </w:rPr>
        <w:t>(2), 285–306.</w:t>
      </w:r>
    </w:p>
    <w:p w14:paraId="7F26C909" w14:textId="6982E8A1" w:rsidR="003378E5" w:rsidRPr="00CF3C36" w:rsidRDefault="003378E5" w:rsidP="003378E5">
      <w:pPr>
        <w:rPr>
          <w:color w:val="222222"/>
          <w:shd w:val="clear" w:color="auto" w:fill="FFFFFF"/>
          <w:lang w:val="en-GB"/>
        </w:rPr>
      </w:pPr>
      <w:r w:rsidRPr="00CF3C36">
        <w:rPr>
          <w:color w:val="222222"/>
          <w:shd w:val="clear" w:color="auto" w:fill="FFFFFF"/>
          <w:lang w:val="en-GB"/>
        </w:rPr>
        <w:t>Eskeland G</w:t>
      </w:r>
      <w:r w:rsidR="00F52E56" w:rsidRPr="00CF3C36">
        <w:rPr>
          <w:color w:val="222222"/>
          <w:shd w:val="clear" w:color="auto" w:fill="FFFFFF"/>
          <w:lang w:val="en-GB"/>
        </w:rPr>
        <w:t>.</w:t>
      </w:r>
      <w:r w:rsidRPr="00CF3C36">
        <w:rPr>
          <w:color w:val="222222"/>
          <w:shd w:val="clear" w:color="auto" w:fill="FFFFFF"/>
          <w:lang w:val="en-GB"/>
        </w:rPr>
        <w:t>S</w:t>
      </w:r>
      <w:r w:rsidR="00F52E56" w:rsidRPr="00CF3C36">
        <w:rPr>
          <w:color w:val="222222"/>
          <w:shd w:val="clear" w:color="auto" w:fill="FFFFFF"/>
          <w:lang w:val="en-GB"/>
        </w:rPr>
        <w:t>. &amp;</w:t>
      </w:r>
      <w:r w:rsidRPr="00CF3C36">
        <w:rPr>
          <w:color w:val="222222"/>
          <w:shd w:val="clear" w:color="auto" w:fill="FFFFFF"/>
          <w:lang w:val="en-GB"/>
        </w:rPr>
        <w:t xml:space="preserve"> Harrison A</w:t>
      </w:r>
      <w:r w:rsidR="00F52E56" w:rsidRPr="00CF3C36">
        <w:rPr>
          <w:color w:val="222222"/>
          <w:shd w:val="clear" w:color="auto" w:fill="FFFFFF"/>
          <w:lang w:val="en-GB"/>
        </w:rPr>
        <w:t>.</w:t>
      </w:r>
      <w:r w:rsidRPr="00CF3C36">
        <w:rPr>
          <w:color w:val="222222"/>
          <w:shd w:val="clear" w:color="auto" w:fill="FFFFFF"/>
          <w:lang w:val="en-GB"/>
        </w:rPr>
        <w:t>E. (2003). Moving to greener pastures? Multinationals and the pollution haven hypothesis</w:t>
      </w:r>
      <w:r w:rsidRPr="00CF3C36">
        <w:rPr>
          <w:i/>
          <w:color w:val="222222"/>
          <w:shd w:val="clear" w:color="auto" w:fill="FFFFFF"/>
          <w:lang w:val="en-GB"/>
        </w:rPr>
        <w:t>. Journal of Development Economics 70,</w:t>
      </w:r>
      <w:r w:rsidRPr="00CF3C36">
        <w:rPr>
          <w:color w:val="222222"/>
          <w:shd w:val="clear" w:color="auto" w:fill="FFFFFF"/>
          <w:lang w:val="en-GB"/>
        </w:rPr>
        <w:t xml:space="preserve"> 1–23.</w:t>
      </w:r>
    </w:p>
    <w:p w14:paraId="12A99CD7" w14:textId="05C848C6" w:rsidR="004E6C47" w:rsidRPr="00CF3C36" w:rsidRDefault="004E6C47" w:rsidP="003378E5">
      <w:pPr>
        <w:rPr>
          <w:color w:val="222222"/>
          <w:shd w:val="clear" w:color="auto" w:fill="FFFFFF"/>
          <w:lang w:val="en-GB"/>
        </w:rPr>
      </w:pPr>
      <w:r w:rsidRPr="00CF3C36">
        <w:rPr>
          <w:color w:val="222222"/>
          <w:shd w:val="clear" w:color="auto" w:fill="FFFFFF"/>
          <w:lang w:val="en-GB"/>
        </w:rPr>
        <w:t xml:space="preserve">Feenstra, R. C., Inklaar, R., &amp; Timmer, M. P. (2015). The next generation of the Penn World Table. </w:t>
      </w:r>
      <w:r w:rsidRPr="00CF3C36">
        <w:rPr>
          <w:i/>
          <w:color w:val="222222"/>
          <w:shd w:val="clear" w:color="auto" w:fill="FFFFFF"/>
          <w:lang w:val="en-GB"/>
        </w:rPr>
        <w:t>American economic review, 105(10)</w:t>
      </w:r>
      <w:r w:rsidRPr="00CF3C36">
        <w:rPr>
          <w:color w:val="222222"/>
          <w:shd w:val="clear" w:color="auto" w:fill="FFFFFF"/>
          <w:lang w:val="en-GB"/>
        </w:rPr>
        <w:t>, 3150-82.</w:t>
      </w:r>
    </w:p>
    <w:p w14:paraId="5DFCFC57" w14:textId="5243EB60" w:rsidR="007F27D0" w:rsidRPr="00CF3C36" w:rsidRDefault="007F27D0" w:rsidP="003378E5">
      <w:pPr>
        <w:rPr>
          <w:color w:val="222222"/>
          <w:shd w:val="clear" w:color="auto" w:fill="FFFFFF"/>
          <w:lang w:val="en-GB"/>
        </w:rPr>
      </w:pPr>
      <w:r w:rsidRPr="00CF3C36">
        <w:rPr>
          <w:color w:val="222222"/>
          <w:shd w:val="clear" w:color="auto" w:fill="FFFFFF"/>
          <w:lang w:val="en-GB"/>
        </w:rPr>
        <w:t xml:space="preserve">Financial Times (2019). </w:t>
      </w:r>
      <w:r w:rsidRPr="00CF3C36">
        <w:rPr>
          <w:i/>
          <w:color w:val="222222"/>
          <w:shd w:val="clear" w:color="auto" w:fill="FFFFFF"/>
          <w:lang w:val="en-GB"/>
        </w:rPr>
        <w:t>fDi Markets Database.</w:t>
      </w:r>
      <w:r w:rsidRPr="00CF3C36">
        <w:rPr>
          <w:color w:val="222222"/>
          <w:shd w:val="clear" w:color="auto" w:fill="FFFFFF"/>
          <w:lang w:val="en-GB"/>
        </w:rPr>
        <w:t xml:space="preserve"> </w:t>
      </w:r>
      <w:hyperlink r:id="rId16" w:history="1">
        <w:r w:rsidRPr="00CF3C36">
          <w:rPr>
            <w:rStyle w:val="Hyperlink"/>
            <w:lang w:val="en-GB"/>
          </w:rPr>
          <w:t>https://www.fdimarkets.com/</w:t>
        </w:r>
      </w:hyperlink>
    </w:p>
    <w:p w14:paraId="5D56850D" w14:textId="5F84C9B8" w:rsidR="00663DAE" w:rsidRPr="00CF3C36" w:rsidRDefault="00663DAE" w:rsidP="003378E5">
      <w:pPr>
        <w:rPr>
          <w:color w:val="222222"/>
          <w:shd w:val="clear" w:color="auto" w:fill="FFFFFF"/>
          <w:lang w:val="en-GB"/>
        </w:rPr>
      </w:pPr>
      <w:r w:rsidRPr="00CF3C36">
        <w:rPr>
          <w:color w:val="222222"/>
          <w:shd w:val="clear" w:color="auto" w:fill="FFFFFF"/>
          <w:lang w:val="en-GB"/>
        </w:rPr>
        <w:t xml:space="preserve">Fredriksson, P. G., &amp; Millimet, D. L. (2004). Electoral rules and environmental policy. </w:t>
      </w:r>
      <w:r w:rsidRPr="00CF3C36">
        <w:rPr>
          <w:i/>
          <w:color w:val="222222"/>
          <w:shd w:val="clear" w:color="auto" w:fill="FFFFFF"/>
          <w:lang w:val="en-GB"/>
        </w:rPr>
        <w:t>Economics letters, 84</w:t>
      </w:r>
      <w:r w:rsidRPr="00CF3C36">
        <w:rPr>
          <w:color w:val="222222"/>
          <w:shd w:val="clear" w:color="auto" w:fill="FFFFFF"/>
          <w:lang w:val="en-GB"/>
        </w:rPr>
        <w:t>(2), 237-244.</w:t>
      </w:r>
    </w:p>
    <w:p w14:paraId="043B7F06" w14:textId="6C22A260" w:rsidR="00E07461" w:rsidRPr="00CF3C36" w:rsidRDefault="00E07461" w:rsidP="003378E5">
      <w:pPr>
        <w:rPr>
          <w:color w:val="222222"/>
          <w:shd w:val="clear" w:color="auto" w:fill="FFFFFF"/>
          <w:lang w:val="en-GB"/>
        </w:rPr>
      </w:pPr>
      <w:r w:rsidRPr="00CF3C36">
        <w:rPr>
          <w:color w:val="222222"/>
          <w:shd w:val="clear" w:color="auto" w:fill="FFFFFF"/>
          <w:lang w:val="en-GB"/>
        </w:rPr>
        <w:t>Grant, R. M. (1991). The resource-based theory of competitive advantage: implications for strategy formulation</w:t>
      </w:r>
      <w:r w:rsidRPr="00CF3C36">
        <w:rPr>
          <w:i/>
          <w:color w:val="222222"/>
          <w:shd w:val="clear" w:color="auto" w:fill="FFFFFF"/>
          <w:lang w:val="en-GB"/>
        </w:rPr>
        <w:t>. California management review, 33(3)</w:t>
      </w:r>
      <w:r w:rsidRPr="00CF3C36">
        <w:rPr>
          <w:color w:val="222222"/>
          <w:shd w:val="clear" w:color="auto" w:fill="FFFFFF"/>
          <w:lang w:val="en-GB"/>
        </w:rPr>
        <w:t>, 114-135.</w:t>
      </w:r>
    </w:p>
    <w:p w14:paraId="5BE11195" w14:textId="2461FADB" w:rsidR="00CE164D" w:rsidRPr="00CF3C36" w:rsidRDefault="00CE164D" w:rsidP="003378E5">
      <w:pPr>
        <w:rPr>
          <w:color w:val="222222"/>
          <w:shd w:val="clear" w:color="auto" w:fill="FFFFFF"/>
          <w:lang w:val="en-GB"/>
        </w:rPr>
      </w:pPr>
      <w:r w:rsidRPr="00CF3C36">
        <w:rPr>
          <w:color w:val="222222"/>
          <w:shd w:val="clear" w:color="auto" w:fill="FFFFFF"/>
          <w:lang w:val="en-GB"/>
        </w:rPr>
        <w:lastRenderedPageBreak/>
        <w:t xml:space="preserve">Grossman, G. M. (1995). Pollution and growth: what do we know. </w:t>
      </w:r>
      <w:r w:rsidRPr="00CF3C36">
        <w:rPr>
          <w:i/>
          <w:color w:val="222222"/>
          <w:shd w:val="clear" w:color="auto" w:fill="FFFFFF"/>
          <w:lang w:val="en-GB"/>
        </w:rPr>
        <w:t>The economics of sustainable development</w:t>
      </w:r>
      <w:r w:rsidRPr="00CF3C36">
        <w:rPr>
          <w:color w:val="222222"/>
          <w:shd w:val="clear" w:color="auto" w:fill="FFFFFF"/>
          <w:lang w:val="en-GB"/>
        </w:rPr>
        <w:t>, 19, 41.</w:t>
      </w:r>
    </w:p>
    <w:p w14:paraId="0DFB4AB2" w14:textId="77777777" w:rsidR="003378E5" w:rsidRPr="00CF3C36" w:rsidRDefault="003378E5" w:rsidP="003378E5">
      <w:pPr>
        <w:rPr>
          <w:color w:val="222222"/>
          <w:shd w:val="clear" w:color="auto" w:fill="FFFFFF"/>
          <w:lang w:val="en-GB"/>
        </w:rPr>
      </w:pPr>
      <w:r w:rsidRPr="00CF3C36">
        <w:rPr>
          <w:color w:val="222222"/>
          <w:shd w:val="clear" w:color="auto" w:fill="FFFFFF"/>
          <w:lang w:val="en-GB"/>
        </w:rPr>
        <w:t xml:space="preserve">Grossman, G. M., &amp; Krueger, A. B. (1995). Economic growth and the environment. </w:t>
      </w:r>
      <w:r w:rsidRPr="00CF3C36">
        <w:rPr>
          <w:i/>
          <w:color w:val="222222"/>
          <w:shd w:val="clear" w:color="auto" w:fill="FFFFFF"/>
          <w:lang w:val="en-GB"/>
        </w:rPr>
        <w:t>Quarterly Journal of Economics, 110</w:t>
      </w:r>
      <w:r w:rsidRPr="00CF3C36">
        <w:rPr>
          <w:color w:val="222222"/>
          <w:shd w:val="clear" w:color="auto" w:fill="FFFFFF"/>
          <w:lang w:val="en-GB"/>
        </w:rPr>
        <w:t>, 353–377.</w:t>
      </w:r>
    </w:p>
    <w:p w14:paraId="7847BC00" w14:textId="57BB2087" w:rsidR="00663DAE" w:rsidRPr="00CF3C36" w:rsidRDefault="00663DAE" w:rsidP="003378E5">
      <w:pPr>
        <w:rPr>
          <w:color w:val="222222"/>
          <w:shd w:val="clear" w:color="auto" w:fill="FFFFFF"/>
          <w:lang w:val="en-GB"/>
        </w:rPr>
      </w:pPr>
      <w:r w:rsidRPr="00CF3C36">
        <w:rPr>
          <w:color w:val="222222"/>
          <w:shd w:val="clear" w:color="auto" w:fill="FFFFFF"/>
          <w:lang w:val="en-GB"/>
        </w:rPr>
        <w:t xml:space="preserve">Harris, M. N., Konya, L., &amp; Matyas, L. (2002). Modelling the impact of environmental regulations on bilateral trade flows: OECD, 1990–1996. </w:t>
      </w:r>
      <w:r w:rsidRPr="00CF3C36">
        <w:rPr>
          <w:i/>
          <w:color w:val="222222"/>
          <w:shd w:val="clear" w:color="auto" w:fill="FFFFFF"/>
          <w:lang w:val="en-GB"/>
        </w:rPr>
        <w:t>World Economy, 25</w:t>
      </w:r>
      <w:r w:rsidRPr="00CF3C36">
        <w:rPr>
          <w:color w:val="222222"/>
          <w:shd w:val="clear" w:color="auto" w:fill="FFFFFF"/>
          <w:lang w:val="en-GB"/>
        </w:rPr>
        <w:t>(3), 387-405.</w:t>
      </w:r>
    </w:p>
    <w:p w14:paraId="2EE0E175" w14:textId="73D532E0" w:rsidR="00B4579B" w:rsidRPr="00CF3C36" w:rsidRDefault="00B4579B" w:rsidP="003378E5">
      <w:pPr>
        <w:rPr>
          <w:color w:val="222222"/>
          <w:shd w:val="clear" w:color="auto" w:fill="FFFFFF"/>
          <w:lang w:val="en-GB"/>
        </w:rPr>
      </w:pPr>
      <w:r w:rsidRPr="00CF3C36">
        <w:rPr>
          <w:color w:val="222222"/>
          <w:shd w:val="clear" w:color="auto" w:fill="FFFFFF"/>
          <w:lang w:val="en-GB"/>
        </w:rPr>
        <w:t xml:space="preserve">Hilton, F. H., &amp; Levinson, A. (1998). Factoring the environmental Kuznets curve: evidence from automotive lead emissions. </w:t>
      </w:r>
      <w:r w:rsidRPr="00CF3C36">
        <w:rPr>
          <w:i/>
          <w:color w:val="222222"/>
          <w:shd w:val="clear" w:color="auto" w:fill="FFFFFF"/>
          <w:lang w:val="en-GB"/>
        </w:rPr>
        <w:t>Journal of Environmental Economics and Management, 35</w:t>
      </w:r>
      <w:r w:rsidRPr="00CF3C36">
        <w:rPr>
          <w:color w:val="222222"/>
          <w:shd w:val="clear" w:color="auto" w:fill="FFFFFF"/>
          <w:lang w:val="en-GB"/>
        </w:rPr>
        <w:t>(2), 126-141.</w:t>
      </w:r>
    </w:p>
    <w:p w14:paraId="550DB2E2" w14:textId="21A6A478" w:rsidR="00A86F78" w:rsidRPr="00CF3C36" w:rsidRDefault="00A86F78" w:rsidP="003378E5">
      <w:pPr>
        <w:rPr>
          <w:color w:val="222222"/>
          <w:shd w:val="clear" w:color="auto" w:fill="FFFFFF"/>
          <w:lang w:val="en-GB"/>
        </w:rPr>
      </w:pPr>
      <w:r w:rsidRPr="00CF3C36">
        <w:rPr>
          <w:color w:val="222222"/>
          <w:shd w:val="clear" w:color="auto" w:fill="FFFFFF"/>
          <w:lang w:val="en-GB"/>
        </w:rPr>
        <w:t xml:space="preserve">Hoechle, D. (2007). Robust standard errors for panel regressions with cross-sectional dependence. </w:t>
      </w:r>
      <w:r w:rsidRPr="00CF3C36">
        <w:rPr>
          <w:i/>
          <w:color w:val="222222"/>
          <w:shd w:val="clear" w:color="auto" w:fill="FFFFFF"/>
          <w:lang w:val="en-GB"/>
        </w:rPr>
        <w:t>The stata journal, 7(3),</w:t>
      </w:r>
      <w:r w:rsidRPr="00CF3C36">
        <w:rPr>
          <w:color w:val="222222"/>
          <w:shd w:val="clear" w:color="auto" w:fill="FFFFFF"/>
          <w:lang w:val="en-GB"/>
        </w:rPr>
        <w:t xml:space="preserve"> 281-312.</w:t>
      </w:r>
    </w:p>
    <w:p w14:paraId="7C6D3BD8" w14:textId="2A814D9C" w:rsidR="003378E5" w:rsidRPr="00CF3C36" w:rsidRDefault="003378E5" w:rsidP="003378E5">
      <w:pPr>
        <w:rPr>
          <w:color w:val="222222"/>
          <w:shd w:val="clear" w:color="auto" w:fill="FFFFFF"/>
          <w:lang w:val="en-GB"/>
        </w:rPr>
      </w:pPr>
      <w:r w:rsidRPr="00CF3C36">
        <w:rPr>
          <w:color w:val="222222"/>
          <w:shd w:val="clear" w:color="auto" w:fill="FFFFFF"/>
          <w:lang w:val="en-GB"/>
        </w:rPr>
        <w:t xml:space="preserve">Hoffmann, R., Lee, C. G., Ramasamy, B., &amp; Yeung, M. (2005). FDI and pollution: a granger causality test using panel data. </w:t>
      </w:r>
      <w:r w:rsidRPr="00CF3C36">
        <w:rPr>
          <w:i/>
          <w:color w:val="222222"/>
          <w:shd w:val="clear" w:color="auto" w:fill="FFFFFF"/>
          <w:lang w:val="en-GB"/>
        </w:rPr>
        <w:t>Journal of International Development: The Journal of the Development Studies Association, 17</w:t>
      </w:r>
      <w:r w:rsidRPr="00CF3C36">
        <w:rPr>
          <w:color w:val="222222"/>
          <w:shd w:val="clear" w:color="auto" w:fill="FFFFFF"/>
          <w:lang w:val="en-GB"/>
        </w:rPr>
        <w:t>(3), 311-317.</w:t>
      </w:r>
    </w:p>
    <w:p w14:paraId="3D8B2E0B" w14:textId="4B969540" w:rsidR="00C4575E" w:rsidRPr="00CF3C36" w:rsidRDefault="00C4575E" w:rsidP="003378E5">
      <w:pPr>
        <w:rPr>
          <w:color w:val="222222"/>
          <w:shd w:val="clear" w:color="auto" w:fill="FFFFFF"/>
          <w:lang w:val="en-GB"/>
        </w:rPr>
      </w:pPr>
      <w:r w:rsidRPr="00CF3C36">
        <w:rPr>
          <w:color w:val="222222"/>
          <w:shd w:val="clear" w:color="auto" w:fill="FFFFFF"/>
          <w:lang w:val="en-GB"/>
        </w:rPr>
        <w:t xml:space="preserve">Hsiao, C. (2014). </w:t>
      </w:r>
      <w:r w:rsidRPr="00CF3C36">
        <w:rPr>
          <w:i/>
          <w:color w:val="222222"/>
          <w:shd w:val="clear" w:color="auto" w:fill="FFFFFF"/>
          <w:lang w:val="en-GB"/>
        </w:rPr>
        <w:t>Analysis of panel data</w:t>
      </w:r>
      <w:r w:rsidRPr="00CF3C36">
        <w:rPr>
          <w:color w:val="222222"/>
          <w:shd w:val="clear" w:color="auto" w:fill="FFFFFF"/>
          <w:lang w:val="en-GB"/>
        </w:rPr>
        <w:t xml:space="preserve"> (No. 54). Cambridge university press.</w:t>
      </w:r>
    </w:p>
    <w:p w14:paraId="059DBB9E" w14:textId="491DFBA2" w:rsidR="00976BF7" w:rsidRPr="00CF3C36" w:rsidRDefault="00976BF7" w:rsidP="003378E5">
      <w:pPr>
        <w:rPr>
          <w:color w:val="222222"/>
          <w:shd w:val="clear" w:color="auto" w:fill="FFFFFF"/>
          <w:lang w:val="en-GB"/>
        </w:rPr>
      </w:pPr>
      <w:r w:rsidRPr="00CF3C36">
        <w:rPr>
          <w:color w:val="222222"/>
          <w:shd w:val="clear" w:color="auto" w:fill="FFFFFF"/>
          <w:lang w:val="en-GB"/>
        </w:rPr>
        <w:t xml:space="preserve">Iamsiraroj, S., &amp; Ulubaşoğlu, M. A. (2015). Foreign direct investment and economic growth: A real relationship or wishful thinking?. </w:t>
      </w:r>
      <w:r w:rsidRPr="00CF3C36">
        <w:rPr>
          <w:i/>
          <w:color w:val="222222"/>
          <w:shd w:val="clear" w:color="auto" w:fill="FFFFFF"/>
          <w:lang w:val="en-GB"/>
        </w:rPr>
        <w:t>Economic Modelling, 51</w:t>
      </w:r>
      <w:r w:rsidRPr="00CF3C36">
        <w:rPr>
          <w:color w:val="222222"/>
          <w:shd w:val="clear" w:color="auto" w:fill="FFFFFF"/>
          <w:lang w:val="en-GB"/>
        </w:rPr>
        <w:t>, 200-213.</w:t>
      </w:r>
    </w:p>
    <w:p w14:paraId="1E4B5A2F" w14:textId="409ADEA3" w:rsidR="00664DFE" w:rsidRPr="00CF3C36" w:rsidRDefault="00A704F0" w:rsidP="003378E5">
      <w:pPr>
        <w:rPr>
          <w:i/>
          <w:color w:val="222222"/>
          <w:shd w:val="clear" w:color="auto" w:fill="FFFFFF"/>
          <w:lang w:val="en-GB"/>
        </w:rPr>
      </w:pPr>
      <w:r w:rsidRPr="00CF3C36">
        <w:rPr>
          <w:color w:val="222222"/>
          <w:shd w:val="clear" w:color="auto" w:fill="FFFFFF"/>
          <w:lang w:val="en-GB"/>
        </w:rPr>
        <w:t>IEA</w:t>
      </w:r>
      <w:r w:rsidR="00664DFE" w:rsidRPr="00CF3C36">
        <w:rPr>
          <w:color w:val="222222"/>
          <w:shd w:val="clear" w:color="auto" w:fill="FFFFFF"/>
          <w:lang w:val="en-GB"/>
        </w:rPr>
        <w:t xml:space="preserve"> (2018). </w:t>
      </w:r>
      <w:r w:rsidR="00664DFE" w:rsidRPr="00CF3C36">
        <w:rPr>
          <w:i/>
          <w:color w:val="222222"/>
          <w:shd w:val="clear" w:color="auto" w:fill="FFFFFF"/>
          <w:lang w:val="en-GB"/>
        </w:rPr>
        <w:t>World Energy Statistics 2018, OECD Publishing, Paris.</w:t>
      </w:r>
    </w:p>
    <w:p w14:paraId="0F33507A" w14:textId="77777777" w:rsidR="003378E5" w:rsidRPr="00CF3C36" w:rsidRDefault="003378E5" w:rsidP="003378E5">
      <w:pPr>
        <w:rPr>
          <w:color w:val="222222"/>
          <w:shd w:val="clear" w:color="auto" w:fill="FFFFFF"/>
          <w:lang w:val="en-GB"/>
        </w:rPr>
      </w:pPr>
      <w:r w:rsidRPr="00CF3C36">
        <w:rPr>
          <w:color w:val="222222"/>
          <w:shd w:val="clear" w:color="auto" w:fill="FFFFFF"/>
          <w:lang w:val="en-GB"/>
        </w:rPr>
        <w:t xml:space="preserve">Jensen V. (1996), “The pollution haven hypothesis and the industrial flight hypothesis: some perspectives on theory and empirics”, </w:t>
      </w:r>
      <w:r w:rsidRPr="00CF3C36">
        <w:rPr>
          <w:i/>
          <w:color w:val="222222"/>
          <w:shd w:val="clear" w:color="auto" w:fill="FFFFFF"/>
          <w:lang w:val="en-GB"/>
        </w:rPr>
        <w:t xml:space="preserve">Working paper 1996.5. </w:t>
      </w:r>
      <w:r w:rsidRPr="00CF3C36">
        <w:rPr>
          <w:color w:val="222222"/>
          <w:shd w:val="clear" w:color="auto" w:fill="FFFFFF"/>
          <w:lang w:val="en-GB"/>
        </w:rPr>
        <w:t>Centre for Development and the Environment, University of Oslo.</w:t>
      </w:r>
    </w:p>
    <w:p w14:paraId="62E98FDE" w14:textId="0717F6B6" w:rsidR="00663DAE" w:rsidRPr="00CF3C36" w:rsidRDefault="00663DAE" w:rsidP="003378E5">
      <w:pPr>
        <w:rPr>
          <w:color w:val="222222"/>
          <w:shd w:val="clear" w:color="auto" w:fill="FFFFFF"/>
          <w:lang w:val="en-GB"/>
        </w:rPr>
      </w:pPr>
      <w:r w:rsidRPr="00CF3C36">
        <w:rPr>
          <w:color w:val="222222"/>
          <w:shd w:val="clear" w:color="auto" w:fill="FFFFFF"/>
          <w:lang w:val="en-GB"/>
        </w:rPr>
        <w:t xml:space="preserve">Kellenberg, D. K. (2009). An empirical investigation of the pollution haven effect with strategic environment and trade policy. </w:t>
      </w:r>
      <w:r w:rsidRPr="00CF3C36">
        <w:rPr>
          <w:i/>
          <w:color w:val="222222"/>
          <w:shd w:val="clear" w:color="auto" w:fill="FFFFFF"/>
          <w:lang w:val="en-GB"/>
        </w:rPr>
        <w:t>Journal of international economics, 78</w:t>
      </w:r>
      <w:r w:rsidRPr="00CF3C36">
        <w:rPr>
          <w:color w:val="222222"/>
          <w:shd w:val="clear" w:color="auto" w:fill="FFFFFF"/>
          <w:lang w:val="en-GB"/>
        </w:rPr>
        <w:t>(2), 242-255.</w:t>
      </w:r>
    </w:p>
    <w:p w14:paraId="3D604DA1" w14:textId="6983CE2F" w:rsidR="00F52E56" w:rsidRPr="00CF3C36" w:rsidRDefault="00F52E56" w:rsidP="003378E5">
      <w:pPr>
        <w:rPr>
          <w:color w:val="222222"/>
          <w:shd w:val="clear" w:color="auto" w:fill="FFFFFF"/>
          <w:lang w:val="en-GB"/>
        </w:rPr>
      </w:pPr>
      <w:r w:rsidRPr="00CF3C36">
        <w:rPr>
          <w:color w:val="222222"/>
          <w:shd w:val="clear" w:color="auto" w:fill="FFFFFF"/>
          <w:lang w:val="en-GB"/>
        </w:rPr>
        <w:t xml:space="preserve">Keller, W., &amp; Levinson, A. (2002). Pollution abatement costs and foreign direct investment inflows to US states. </w:t>
      </w:r>
      <w:r w:rsidRPr="00CF3C36">
        <w:rPr>
          <w:i/>
          <w:color w:val="222222"/>
          <w:shd w:val="clear" w:color="auto" w:fill="FFFFFF"/>
          <w:lang w:val="en-GB"/>
        </w:rPr>
        <w:t>Review of Economics and Statistics, 84(4),</w:t>
      </w:r>
      <w:r w:rsidRPr="00CF3C36">
        <w:rPr>
          <w:color w:val="222222"/>
          <w:shd w:val="clear" w:color="auto" w:fill="FFFFFF"/>
          <w:lang w:val="en-GB"/>
        </w:rPr>
        <w:t xml:space="preserve"> 691-703.</w:t>
      </w:r>
    </w:p>
    <w:p w14:paraId="3EA31503" w14:textId="65E64D87" w:rsidR="003378E5" w:rsidRPr="00CF3C36" w:rsidRDefault="003378E5" w:rsidP="003378E5">
      <w:pPr>
        <w:rPr>
          <w:color w:val="222222"/>
          <w:shd w:val="clear" w:color="auto" w:fill="FFFFFF"/>
          <w:lang w:val="en-GB"/>
        </w:rPr>
      </w:pPr>
      <w:r w:rsidRPr="00CF3C36">
        <w:rPr>
          <w:color w:val="222222"/>
          <w:shd w:val="clear" w:color="auto" w:fill="FFFFFF"/>
          <w:lang w:val="en-GB"/>
        </w:rPr>
        <w:t>Letchumanan</w:t>
      </w:r>
      <w:r w:rsidR="009903CA" w:rsidRPr="00CF3C36">
        <w:rPr>
          <w:color w:val="222222"/>
          <w:shd w:val="clear" w:color="auto" w:fill="FFFFFF"/>
          <w:lang w:val="en-GB"/>
        </w:rPr>
        <w:t>,</w:t>
      </w:r>
      <w:r w:rsidRPr="00CF3C36">
        <w:rPr>
          <w:color w:val="222222"/>
          <w:shd w:val="clear" w:color="auto" w:fill="FFFFFF"/>
          <w:lang w:val="en-GB"/>
        </w:rPr>
        <w:t xml:space="preserve"> R</w:t>
      </w:r>
      <w:r w:rsidR="009903CA" w:rsidRPr="00CF3C36">
        <w:rPr>
          <w:color w:val="222222"/>
          <w:shd w:val="clear" w:color="auto" w:fill="FFFFFF"/>
          <w:lang w:val="en-GB"/>
        </w:rPr>
        <w:t>. &amp;</w:t>
      </w:r>
      <w:r w:rsidRPr="00CF3C36">
        <w:rPr>
          <w:color w:val="222222"/>
          <w:shd w:val="clear" w:color="auto" w:fill="FFFFFF"/>
          <w:lang w:val="en-GB"/>
        </w:rPr>
        <w:t xml:space="preserve"> Kodama</w:t>
      </w:r>
      <w:r w:rsidR="009903CA" w:rsidRPr="00CF3C36">
        <w:rPr>
          <w:color w:val="222222"/>
          <w:shd w:val="clear" w:color="auto" w:fill="FFFFFF"/>
          <w:lang w:val="en-GB"/>
        </w:rPr>
        <w:t>,</w:t>
      </w:r>
      <w:r w:rsidRPr="00CF3C36">
        <w:rPr>
          <w:color w:val="222222"/>
          <w:shd w:val="clear" w:color="auto" w:fill="FFFFFF"/>
          <w:lang w:val="en-GB"/>
        </w:rPr>
        <w:t xml:space="preserve"> F. (2000). Reconciling the conflict between the ‘pollution-haven’ hypothesis and an emerging trajectory of international technology transfer. </w:t>
      </w:r>
      <w:r w:rsidRPr="00CF3C36">
        <w:rPr>
          <w:i/>
          <w:color w:val="222222"/>
          <w:shd w:val="clear" w:color="auto" w:fill="FFFFFF"/>
          <w:lang w:val="en-GB"/>
        </w:rPr>
        <w:t>Research Policy 29</w:t>
      </w:r>
      <w:r w:rsidRPr="00CF3C36">
        <w:rPr>
          <w:color w:val="222222"/>
          <w:shd w:val="clear" w:color="auto" w:fill="FFFFFF"/>
          <w:lang w:val="en-GB"/>
        </w:rPr>
        <w:t>, 59–79.</w:t>
      </w:r>
    </w:p>
    <w:p w14:paraId="1169F2E1" w14:textId="1E7406DE" w:rsidR="003378E5" w:rsidRPr="00CF3C36" w:rsidRDefault="003378E5" w:rsidP="003378E5">
      <w:pPr>
        <w:rPr>
          <w:lang w:val="en-GB"/>
        </w:rPr>
      </w:pPr>
      <w:r w:rsidRPr="00CF3C36">
        <w:rPr>
          <w:lang w:val="en-GB"/>
        </w:rPr>
        <w:t>Li, X., &amp; Liu, X. (2005). Foreign direct investment and economic growth: an increasingly endogenous relationship</w:t>
      </w:r>
      <w:r w:rsidRPr="00CF3C36">
        <w:rPr>
          <w:i/>
          <w:lang w:val="en-GB"/>
        </w:rPr>
        <w:t>. World development, 33</w:t>
      </w:r>
      <w:r w:rsidRPr="00CF3C36">
        <w:rPr>
          <w:lang w:val="en-GB"/>
        </w:rPr>
        <w:t>(3), 393–407.</w:t>
      </w:r>
    </w:p>
    <w:p w14:paraId="643824EC" w14:textId="4D7E4A38" w:rsidR="00B0166E" w:rsidRPr="00CF3C36" w:rsidRDefault="00B0166E" w:rsidP="003378E5">
      <w:pPr>
        <w:rPr>
          <w:lang w:val="en-GB"/>
        </w:rPr>
      </w:pPr>
      <w:r w:rsidRPr="00CF3C36">
        <w:rPr>
          <w:lang w:val="en-GB"/>
        </w:rPr>
        <w:t xml:space="preserve">Madsen, P. M. (2009). Does corporate investment drive a “race to the bottom” in environmental protection? A reexamination of the effect of environmental regulation on investment. </w:t>
      </w:r>
      <w:r w:rsidRPr="00CF3C36">
        <w:rPr>
          <w:i/>
          <w:lang w:val="en-GB"/>
        </w:rPr>
        <w:t>Academy of Management Journal, 52(6),</w:t>
      </w:r>
      <w:r w:rsidRPr="00CF3C36">
        <w:rPr>
          <w:lang w:val="en-GB"/>
        </w:rPr>
        <w:t xml:space="preserve"> 1297-1318.</w:t>
      </w:r>
    </w:p>
    <w:p w14:paraId="28974C99" w14:textId="77777777" w:rsidR="000F335D" w:rsidRPr="00CF3C36" w:rsidRDefault="000F335D" w:rsidP="003378E5">
      <w:pPr>
        <w:rPr>
          <w:i/>
          <w:lang w:val="en-GB"/>
        </w:rPr>
      </w:pPr>
      <w:r w:rsidRPr="00CF3C36">
        <w:rPr>
          <w:lang w:val="en-GB"/>
        </w:rPr>
        <w:t xml:space="preserve">Manik, J. A. &amp; Yardley, J., (2013). Building collapse in Bangladesh leaves scores dead. </w:t>
      </w:r>
      <w:r w:rsidRPr="00CF3C36">
        <w:rPr>
          <w:i/>
          <w:lang w:val="en-GB"/>
        </w:rPr>
        <w:t>The New York Times, 24.</w:t>
      </w:r>
    </w:p>
    <w:p w14:paraId="4F625F86" w14:textId="31F316DC" w:rsidR="0049671E" w:rsidRPr="00CF3C36" w:rsidRDefault="0049671E" w:rsidP="003378E5">
      <w:pPr>
        <w:rPr>
          <w:lang w:val="en-GB"/>
        </w:rPr>
      </w:pPr>
      <w:r w:rsidRPr="00CF3C36">
        <w:rPr>
          <w:lang w:val="en-GB"/>
        </w:rPr>
        <w:t>Makiela, K., &amp; Ouattara, B. (2018). Foreign direct investment and economic growth: Exploring the transmission channels</w:t>
      </w:r>
      <w:r w:rsidRPr="00CF3C36">
        <w:rPr>
          <w:i/>
          <w:lang w:val="en-GB"/>
        </w:rPr>
        <w:t>. Economic Modelling, 72</w:t>
      </w:r>
      <w:r w:rsidRPr="00CF3C36">
        <w:rPr>
          <w:lang w:val="en-GB"/>
        </w:rPr>
        <w:t>, 296-305.</w:t>
      </w:r>
    </w:p>
    <w:p w14:paraId="6E777FE0" w14:textId="2636A45C" w:rsidR="00663DAE" w:rsidRPr="00CF3C36" w:rsidRDefault="00663DAE" w:rsidP="003378E5">
      <w:pPr>
        <w:rPr>
          <w:lang w:val="en-GB"/>
        </w:rPr>
      </w:pPr>
      <w:r w:rsidRPr="00CF3C36">
        <w:rPr>
          <w:lang w:val="en-GB"/>
        </w:rPr>
        <w:t xml:space="preserve">Mulatu, A., Gerlagh, R., Rigby, D., &amp; Wossink, A. (2010). Environmental regulation and industry location in Europe. </w:t>
      </w:r>
      <w:r w:rsidRPr="00CF3C36">
        <w:rPr>
          <w:i/>
          <w:lang w:val="en-GB"/>
        </w:rPr>
        <w:t>Environmental and Resource Economics, 45</w:t>
      </w:r>
      <w:r w:rsidRPr="00CF3C36">
        <w:rPr>
          <w:lang w:val="en-GB"/>
        </w:rPr>
        <w:t>(4), 459-479.</w:t>
      </w:r>
    </w:p>
    <w:p w14:paraId="55C0D0BC" w14:textId="6EFAF847" w:rsidR="006240EF" w:rsidRPr="00CF3C36" w:rsidRDefault="006240EF" w:rsidP="003378E5">
      <w:pPr>
        <w:rPr>
          <w:lang w:val="en-GB"/>
        </w:rPr>
      </w:pPr>
      <w:r w:rsidRPr="00CF3C36">
        <w:rPr>
          <w:lang w:val="en-GB"/>
        </w:rPr>
        <w:lastRenderedPageBreak/>
        <w:t xml:space="preserve">Navaretti, G. B., Venables, A. J. (2004). </w:t>
      </w:r>
      <w:r w:rsidRPr="00CF3C36">
        <w:rPr>
          <w:i/>
          <w:lang w:val="en-GB"/>
        </w:rPr>
        <w:t>Multinational firms in the world economy.</w:t>
      </w:r>
      <w:r w:rsidRPr="00CF3C36">
        <w:rPr>
          <w:lang w:val="en-GB"/>
        </w:rPr>
        <w:t xml:space="preserve"> Princeton University Press.</w:t>
      </w:r>
    </w:p>
    <w:p w14:paraId="0BF77EA2" w14:textId="767B1F5B" w:rsidR="003378E5" w:rsidRPr="00CF3C36" w:rsidRDefault="003378E5" w:rsidP="003378E5">
      <w:pPr>
        <w:rPr>
          <w:lang w:val="en-GB"/>
        </w:rPr>
      </w:pPr>
      <w:r w:rsidRPr="00CF3C36">
        <w:rPr>
          <w:lang w:val="en-GB"/>
        </w:rPr>
        <w:t xml:space="preserve">Nicoletti, G., Golub, S., &amp; Hajkova, D. (2003, November). The influence of policies on Foreign Direct Investment. In </w:t>
      </w:r>
      <w:r w:rsidRPr="00CF3C36">
        <w:rPr>
          <w:i/>
          <w:lang w:val="en-GB"/>
        </w:rPr>
        <w:t>Experts’ meeting on FDI in Developing Asia</w:t>
      </w:r>
      <w:r w:rsidRPr="00CF3C36">
        <w:rPr>
          <w:lang w:val="en-GB"/>
        </w:rPr>
        <w:t>, 26-27 November, 2003, Paris.</w:t>
      </w:r>
    </w:p>
    <w:p w14:paraId="6C6ECCDC" w14:textId="50708E09" w:rsidR="002E5282" w:rsidRPr="00CF3C36" w:rsidRDefault="002E5282" w:rsidP="003378E5">
      <w:pPr>
        <w:rPr>
          <w:lang w:val="en-GB"/>
        </w:rPr>
      </w:pPr>
      <w:r w:rsidRPr="00CF3C36">
        <w:rPr>
          <w:lang w:val="en-GB"/>
        </w:rPr>
        <w:t xml:space="preserve">O’brien, R. M. (2007). A caution regarding rules of thumb for variance inflation factors. </w:t>
      </w:r>
      <w:r w:rsidRPr="00CF3C36">
        <w:rPr>
          <w:i/>
          <w:lang w:val="en-GB"/>
        </w:rPr>
        <w:t>Quality &amp; quantity, 41(5)</w:t>
      </w:r>
      <w:r w:rsidRPr="00CF3C36">
        <w:rPr>
          <w:lang w:val="en-GB"/>
        </w:rPr>
        <w:t>, 673-690.</w:t>
      </w:r>
    </w:p>
    <w:p w14:paraId="2911904D" w14:textId="535B06FB" w:rsidR="002A0D75" w:rsidRPr="00CF3C36" w:rsidRDefault="002A0D75" w:rsidP="003378E5">
      <w:pPr>
        <w:rPr>
          <w:lang w:val="en-GB"/>
        </w:rPr>
      </w:pPr>
      <w:r w:rsidRPr="00CF3C36">
        <w:rPr>
          <w:lang w:val="en-GB"/>
        </w:rPr>
        <w:t>OECD. (2002</w:t>
      </w:r>
      <w:r w:rsidRPr="00CF3C36">
        <w:rPr>
          <w:i/>
          <w:lang w:val="en-GB"/>
        </w:rPr>
        <w:t>). Foreign direct investment for development: Maximising benefits, minimising costs.</w:t>
      </w:r>
      <w:r w:rsidRPr="00CF3C36">
        <w:rPr>
          <w:lang w:val="en-GB"/>
        </w:rPr>
        <w:t xml:space="preserve"> Organisation for Economic Co-operation and Development.</w:t>
      </w:r>
    </w:p>
    <w:p w14:paraId="30C1D65C" w14:textId="77777777" w:rsidR="003378E5" w:rsidRPr="00CF3C36" w:rsidRDefault="003378E5" w:rsidP="003378E5">
      <w:pPr>
        <w:rPr>
          <w:i/>
          <w:lang w:val="en-GB"/>
        </w:rPr>
      </w:pPr>
      <w:r w:rsidRPr="00CF3C36">
        <w:rPr>
          <w:lang w:val="en-GB"/>
        </w:rPr>
        <w:t xml:space="preserve">OECD (2008). </w:t>
      </w:r>
      <w:r w:rsidRPr="00CF3C36">
        <w:rPr>
          <w:i/>
          <w:lang w:val="en-GB"/>
        </w:rPr>
        <w:t>OECD Benchmark Definition of Foreign Direct Investment (fourth edition).</w:t>
      </w:r>
    </w:p>
    <w:p w14:paraId="1749422B" w14:textId="77777777" w:rsidR="003378E5" w:rsidRPr="00CF3C36" w:rsidRDefault="003378E5" w:rsidP="003378E5">
      <w:pPr>
        <w:rPr>
          <w:rStyle w:val="Hyperlink"/>
          <w:lang w:val="en-GB"/>
        </w:rPr>
      </w:pPr>
      <w:r w:rsidRPr="00CF3C36">
        <w:rPr>
          <w:lang w:val="en-GB"/>
        </w:rPr>
        <w:t xml:space="preserve">OECD (2015). </w:t>
      </w:r>
      <w:r w:rsidRPr="00CF3C36">
        <w:rPr>
          <w:i/>
          <w:lang w:val="en-GB"/>
        </w:rPr>
        <w:t>Policy Framework for Investment.</w:t>
      </w:r>
      <w:r w:rsidRPr="00CF3C36">
        <w:rPr>
          <w:lang w:val="en-GB"/>
        </w:rPr>
        <w:t xml:space="preserve"> OECD Publishing, </w:t>
      </w:r>
      <w:hyperlink r:id="rId17" w:history="1">
        <w:r w:rsidRPr="00CF3C36">
          <w:rPr>
            <w:rStyle w:val="Hyperlink"/>
            <w:lang w:val="en-GB"/>
          </w:rPr>
          <w:t>https://www.oecd-ilibrary.org/finance-and-investment/policy-framework-for-investment-2015-edition_9789264208667-en</w:t>
        </w:r>
      </w:hyperlink>
    </w:p>
    <w:p w14:paraId="707C2EAE" w14:textId="77777777" w:rsidR="003378E5" w:rsidRPr="00CF3C36" w:rsidRDefault="003378E5" w:rsidP="003378E5">
      <w:pPr>
        <w:rPr>
          <w:lang w:val="en-GB"/>
        </w:rPr>
      </w:pPr>
      <w:r w:rsidRPr="00CF3C36">
        <w:rPr>
          <w:lang w:val="en-GB"/>
        </w:rPr>
        <w:t xml:space="preserve">OECD. (2016). </w:t>
      </w:r>
      <w:r w:rsidRPr="00CF3C36">
        <w:rPr>
          <w:i/>
          <w:lang w:val="en-GB"/>
        </w:rPr>
        <w:t>Better Policies for 2030: An OECD Action Plan on the Sustainable Development Goals.</w:t>
      </w:r>
      <w:r w:rsidRPr="00CF3C36">
        <w:rPr>
          <w:lang w:val="en-GB"/>
        </w:rPr>
        <w:t xml:space="preserve"> OECD Publishing, Paris, </w:t>
      </w:r>
      <w:r w:rsidRPr="00CF3C36">
        <w:rPr>
          <w:lang w:val="en-GB"/>
        </w:rPr>
        <w:tab/>
      </w:r>
      <w:hyperlink r:id="rId18" w:history="1">
        <w:r w:rsidRPr="00CF3C36">
          <w:rPr>
            <w:rStyle w:val="Hyperlink"/>
            <w:lang w:val="en-GB"/>
          </w:rPr>
          <w:t>https://www.oecd.org/dac/OECD-action-plan-on-the-sustainable-development-goals-2016.pdf</w:t>
        </w:r>
      </w:hyperlink>
      <w:r w:rsidRPr="00CF3C36">
        <w:rPr>
          <w:lang w:val="en-GB"/>
        </w:rPr>
        <w:t xml:space="preserve"> </w:t>
      </w:r>
    </w:p>
    <w:p w14:paraId="6D0891A3" w14:textId="77777777" w:rsidR="003378E5" w:rsidRPr="00CF3C36" w:rsidRDefault="003378E5" w:rsidP="003378E5">
      <w:pPr>
        <w:rPr>
          <w:lang w:val="en-GB"/>
        </w:rPr>
      </w:pPr>
      <w:r w:rsidRPr="00CF3C36">
        <w:rPr>
          <w:lang w:val="en-GB"/>
        </w:rPr>
        <w:t xml:space="preserve">OECD (2019a). </w:t>
      </w:r>
      <w:r w:rsidRPr="00CF3C36">
        <w:rPr>
          <w:i/>
          <w:lang w:val="en-GB"/>
        </w:rPr>
        <w:t>FDI Qualities Toolkit: Investment for sustainable growth: Progress report III</w:t>
      </w:r>
      <w:r w:rsidRPr="00CF3C36">
        <w:rPr>
          <w:lang w:val="en-GB"/>
        </w:rPr>
        <w:t>, March 2019, OECD.</w:t>
      </w:r>
    </w:p>
    <w:p w14:paraId="7CC8182A" w14:textId="34CBCD2C" w:rsidR="003378E5" w:rsidRPr="00CF3C36" w:rsidRDefault="003378E5" w:rsidP="003378E5">
      <w:pPr>
        <w:rPr>
          <w:lang w:val="en-GB"/>
        </w:rPr>
      </w:pPr>
      <w:r w:rsidRPr="00CF3C36">
        <w:rPr>
          <w:lang w:val="en-GB"/>
        </w:rPr>
        <w:t xml:space="preserve">OECD (2019b). OECD Investment Policy Reviews. Accessed on 06-03-2019 via:  </w:t>
      </w:r>
      <w:hyperlink r:id="rId19" w:history="1">
        <w:r w:rsidRPr="00CF3C36">
          <w:rPr>
            <w:rStyle w:val="Hyperlink"/>
            <w:lang w:val="en-GB"/>
          </w:rPr>
          <w:t>http://www.oecd.org/investment/countryreviews.htm</w:t>
        </w:r>
      </w:hyperlink>
      <w:r w:rsidRPr="00CF3C36">
        <w:rPr>
          <w:lang w:val="en-GB"/>
        </w:rPr>
        <w:t xml:space="preserve"> </w:t>
      </w:r>
    </w:p>
    <w:p w14:paraId="098AD865" w14:textId="2C36574B" w:rsidR="008A412C" w:rsidRPr="00CF3C36" w:rsidRDefault="008A412C" w:rsidP="003378E5">
      <w:pPr>
        <w:rPr>
          <w:lang w:val="en-GB"/>
        </w:rPr>
      </w:pPr>
      <w:r w:rsidRPr="00CF3C36">
        <w:rPr>
          <w:lang w:val="en-GB"/>
        </w:rPr>
        <w:t xml:space="preserve">OECD (2019c). STAN database. </w:t>
      </w:r>
      <w:hyperlink r:id="rId20" w:history="1">
        <w:r w:rsidR="00AD1490" w:rsidRPr="00CF3C36">
          <w:rPr>
            <w:rStyle w:val="Hyperlink"/>
            <w:rFonts w:ascii="Arial" w:hAnsi="Arial"/>
            <w:sz w:val="20"/>
            <w:lang w:val="en-GB"/>
          </w:rPr>
          <w:t>www.oecd.org/sti/stan</w:t>
        </w:r>
      </w:hyperlink>
    </w:p>
    <w:p w14:paraId="23541080" w14:textId="20E87A2B" w:rsidR="003378E5" w:rsidRPr="00CF3C36" w:rsidRDefault="003378E5" w:rsidP="003378E5">
      <w:pPr>
        <w:rPr>
          <w:lang w:val="en-GB"/>
        </w:rPr>
      </w:pPr>
      <w:r w:rsidRPr="00CF3C36">
        <w:rPr>
          <w:lang w:val="en-GB"/>
        </w:rPr>
        <w:t>Panayotou, T. (1993)</w:t>
      </w:r>
      <w:r w:rsidRPr="00CF3C36">
        <w:rPr>
          <w:i/>
          <w:lang w:val="en-GB"/>
        </w:rPr>
        <w:t>. Empirical tests and policy analysis of environmental degradation at different stages of economic development</w:t>
      </w:r>
      <w:r w:rsidRPr="00CF3C36">
        <w:rPr>
          <w:lang w:val="en-GB"/>
        </w:rPr>
        <w:t>, ILO, Technology and Employment Programme, Geneva.</w:t>
      </w:r>
      <w:r w:rsidRPr="00CF3C36">
        <w:rPr>
          <w:lang w:val="en-GB"/>
        </w:rPr>
        <w:tab/>
      </w:r>
    </w:p>
    <w:p w14:paraId="11A3771A" w14:textId="69BEF61C" w:rsidR="005E5146" w:rsidRPr="00CF3C36" w:rsidRDefault="005E5146" w:rsidP="003378E5">
      <w:pPr>
        <w:rPr>
          <w:lang w:val="en-GB"/>
        </w:rPr>
      </w:pPr>
      <w:r w:rsidRPr="00CF3C36">
        <w:rPr>
          <w:lang w:val="en-GB"/>
        </w:rPr>
        <w:t xml:space="preserve">Poelhekke, S., &amp; Van der Ploeg, F. (2015). Green havens and pollution havens. </w:t>
      </w:r>
      <w:r w:rsidRPr="00CF3C36">
        <w:rPr>
          <w:i/>
          <w:lang w:val="en-GB"/>
        </w:rPr>
        <w:t>The World Economy, 38(7)</w:t>
      </w:r>
      <w:r w:rsidRPr="00CF3C36">
        <w:rPr>
          <w:lang w:val="en-GB"/>
        </w:rPr>
        <w:t>, 1159-1178.</w:t>
      </w:r>
    </w:p>
    <w:p w14:paraId="5DF48BBA" w14:textId="22E4C955" w:rsidR="00344A31" w:rsidRPr="00CF3C36" w:rsidRDefault="00344A31" w:rsidP="003378E5">
      <w:pPr>
        <w:rPr>
          <w:lang w:val="en-GB"/>
        </w:rPr>
      </w:pPr>
      <w:r w:rsidRPr="00CF3C36">
        <w:rPr>
          <w:lang w:val="en-GB"/>
        </w:rPr>
        <w:t xml:space="preserve">Rivera, J., &amp; Oh, C. H. (2013). Environmental regulations and multinational corporations' foreign market entry investments. </w:t>
      </w:r>
      <w:r w:rsidRPr="00CF3C36">
        <w:rPr>
          <w:i/>
          <w:lang w:val="en-GB"/>
        </w:rPr>
        <w:t>Policy Studies Journal, 41</w:t>
      </w:r>
      <w:r w:rsidRPr="00CF3C36">
        <w:rPr>
          <w:lang w:val="en-GB"/>
        </w:rPr>
        <w:t>(2), 243-272.</w:t>
      </w:r>
    </w:p>
    <w:p w14:paraId="6B09C11C" w14:textId="77777777" w:rsidR="003378E5" w:rsidRPr="00CF3C36" w:rsidRDefault="003378E5" w:rsidP="003378E5">
      <w:pPr>
        <w:rPr>
          <w:lang w:val="en-GB"/>
        </w:rPr>
      </w:pPr>
      <w:r w:rsidRPr="00CF3C36">
        <w:rPr>
          <w:lang w:val="en-GB"/>
        </w:rPr>
        <w:t>Sauvant, K. P., &amp; Mann, H. (2017). Towards an indicative list of FDI sustainability characteristics. Geneva: ICTSD and WEF.</w:t>
      </w:r>
    </w:p>
    <w:p w14:paraId="70423B5E" w14:textId="3D928554" w:rsidR="003378E5" w:rsidRPr="00CF3C36" w:rsidRDefault="003378E5" w:rsidP="003378E5">
      <w:pPr>
        <w:rPr>
          <w:lang w:val="en-GB"/>
        </w:rPr>
      </w:pPr>
      <w:r w:rsidRPr="00CF3C36">
        <w:rPr>
          <w:lang w:val="en-GB"/>
        </w:rPr>
        <w:t xml:space="preserve">Shafik, N., &amp; Bandyopadhyay, S. (1992). Economic growth and environmental quality: Time-series and cross-country evidence, </w:t>
      </w:r>
      <w:r w:rsidRPr="00CF3C36">
        <w:rPr>
          <w:i/>
          <w:lang w:val="en-GB"/>
        </w:rPr>
        <w:t>World Bank Policy Research Working Paper,</w:t>
      </w:r>
      <w:r w:rsidRPr="00CF3C36">
        <w:rPr>
          <w:lang w:val="en-GB"/>
        </w:rPr>
        <w:t xml:space="preserve"> WPS 904.</w:t>
      </w:r>
    </w:p>
    <w:p w14:paraId="3911C028" w14:textId="7B0E644E" w:rsidR="00110890" w:rsidRPr="00CF3C36" w:rsidRDefault="00110890" w:rsidP="003378E5">
      <w:pPr>
        <w:rPr>
          <w:lang w:val="en-GB"/>
        </w:rPr>
      </w:pPr>
      <w:r w:rsidRPr="00CF3C36">
        <w:rPr>
          <w:lang w:val="en-GB"/>
        </w:rPr>
        <w:t xml:space="preserve">Šlaus, I., &amp; Jacobs, G. (2011). Human capital and sustainability. </w:t>
      </w:r>
      <w:r w:rsidRPr="00CF3C36">
        <w:rPr>
          <w:i/>
          <w:lang w:val="en-GB"/>
        </w:rPr>
        <w:t>Sustainability</w:t>
      </w:r>
      <w:r w:rsidRPr="00CF3C36">
        <w:rPr>
          <w:lang w:val="en-GB"/>
        </w:rPr>
        <w:t>, 3(1), 97-154.</w:t>
      </w:r>
    </w:p>
    <w:p w14:paraId="37EC6A14" w14:textId="77777777" w:rsidR="003378E5" w:rsidRPr="00CF3C36" w:rsidRDefault="003378E5" w:rsidP="003378E5">
      <w:pPr>
        <w:rPr>
          <w:i/>
          <w:lang w:val="en-GB"/>
        </w:rPr>
      </w:pPr>
      <w:r w:rsidRPr="00CF3C36">
        <w:rPr>
          <w:lang w:val="en-GB"/>
        </w:rPr>
        <w:t xml:space="preserve">Smarzynska BK, Wei SJ. (2001). Pollution havens and foreign direct investment: dirty secret or popular myth? </w:t>
      </w:r>
      <w:r w:rsidRPr="00CF3C36">
        <w:rPr>
          <w:i/>
          <w:lang w:val="en-GB"/>
        </w:rPr>
        <w:t>NBER Working Paper 8465.</w:t>
      </w:r>
    </w:p>
    <w:p w14:paraId="03AE4E85" w14:textId="77777777" w:rsidR="003378E5" w:rsidRPr="00CF3C36" w:rsidRDefault="003378E5" w:rsidP="003378E5">
      <w:pPr>
        <w:rPr>
          <w:lang w:val="en-GB"/>
        </w:rPr>
      </w:pPr>
      <w:r w:rsidRPr="00CF3C36">
        <w:rPr>
          <w:lang w:val="en-GB"/>
        </w:rPr>
        <w:t xml:space="preserve">Smeets, R. A. L. M. (2009). </w:t>
      </w:r>
      <w:r w:rsidRPr="00CF3C36">
        <w:rPr>
          <w:i/>
          <w:lang w:val="en-GB"/>
        </w:rPr>
        <w:t>Multinational Heterogenity and Knowledge Diffusion</w:t>
      </w:r>
      <w:r w:rsidRPr="00CF3C36">
        <w:rPr>
          <w:lang w:val="en-GB"/>
        </w:rPr>
        <w:t xml:space="preserve"> (Doctoral dissertation, Nijmegen: RU Radboud Universiteit Nijmegen).</w:t>
      </w:r>
    </w:p>
    <w:p w14:paraId="51070235" w14:textId="77777777" w:rsidR="003378E5" w:rsidRPr="00CF3C36" w:rsidRDefault="003378E5" w:rsidP="003378E5">
      <w:pPr>
        <w:rPr>
          <w:lang w:val="en-GB"/>
        </w:rPr>
      </w:pPr>
      <w:r w:rsidRPr="00CF3C36">
        <w:rPr>
          <w:lang w:val="en-GB"/>
        </w:rPr>
        <w:t xml:space="preserve">Solomon, E. M. (2011). Foreign Direct Investment, Host Country Factors and Economic Growth. </w:t>
      </w:r>
      <w:r w:rsidRPr="00CF3C36">
        <w:rPr>
          <w:i/>
          <w:lang w:val="en-GB"/>
        </w:rPr>
        <w:t>Ensayos Revista de Economia, 30</w:t>
      </w:r>
      <w:r w:rsidRPr="00CF3C36">
        <w:rPr>
          <w:lang w:val="en-GB"/>
        </w:rPr>
        <w:t>(1), 41–70</w:t>
      </w:r>
    </w:p>
    <w:p w14:paraId="14EC8672" w14:textId="77777777" w:rsidR="003378E5" w:rsidRPr="00CF3C36" w:rsidRDefault="003378E5" w:rsidP="003378E5">
      <w:pPr>
        <w:rPr>
          <w:lang w:val="en-GB"/>
        </w:rPr>
      </w:pPr>
      <w:r w:rsidRPr="00CF3C36">
        <w:rPr>
          <w:lang w:val="en-GB"/>
        </w:rPr>
        <w:lastRenderedPageBreak/>
        <w:t xml:space="preserve">Talukdar D, Meisner CM. (2001). Does the private sector help or hurt the environment? Evidence from carbon dioxide pollution in developing countries. </w:t>
      </w:r>
      <w:r w:rsidRPr="00CF3C36">
        <w:rPr>
          <w:i/>
          <w:lang w:val="en-GB"/>
        </w:rPr>
        <w:t>World Development 29</w:t>
      </w:r>
      <w:r w:rsidRPr="00CF3C36">
        <w:rPr>
          <w:lang w:val="en-GB"/>
        </w:rPr>
        <w:t>(5), 827–840.</w:t>
      </w:r>
    </w:p>
    <w:p w14:paraId="50EE7910" w14:textId="77777777" w:rsidR="003378E5" w:rsidRPr="00CF3C36" w:rsidRDefault="003378E5" w:rsidP="003378E5">
      <w:pPr>
        <w:rPr>
          <w:lang w:val="en-GB"/>
        </w:rPr>
      </w:pPr>
      <w:r w:rsidRPr="00CF3C36">
        <w:rPr>
          <w:lang w:val="en-GB"/>
        </w:rPr>
        <w:t xml:space="preserve">Uchiyama, K. (2016). Environmental Kuznets Curve Hypothesis. In </w:t>
      </w:r>
      <w:r w:rsidRPr="00CF3C36">
        <w:rPr>
          <w:i/>
          <w:lang w:val="en-GB"/>
        </w:rPr>
        <w:t>Environmental Kuznets Curve Hypothesis and Carbon Dioxide Emissions (pp. 11-29)</w:t>
      </w:r>
      <w:r w:rsidRPr="00CF3C36">
        <w:rPr>
          <w:lang w:val="en-GB"/>
        </w:rPr>
        <w:t>. Springer, Tokyo.</w:t>
      </w:r>
      <w:r w:rsidRPr="00CF3C36">
        <w:rPr>
          <w:lang w:val="en-GB"/>
        </w:rPr>
        <w:tab/>
      </w:r>
    </w:p>
    <w:p w14:paraId="67A736BF" w14:textId="123DAA8F" w:rsidR="003378E5" w:rsidRPr="00CF3C36" w:rsidRDefault="003378E5" w:rsidP="003378E5">
      <w:pPr>
        <w:rPr>
          <w:lang w:val="en-GB"/>
        </w:rPr>
      </w:pPr>
      <w:r w:rsidRPr="00CF3C36">
        <w:rPr>
          <w:lang w:val="en-GB"/>
        </w:rPr>
        <w:t>UNCTAD (2015</w:t>
      </w:r>
      <w:r w:rsidR="008170C2" w:rsidRPr="00CF3C36">
        <w:rPr>
          <w:i/>
          <w:lang w:val="en-GB"/>
        </w:rPr>
        <w:t>).</w:t>
      </w:r>
      <w:r w:rsidRPr="00CF3C36">
        <w:rPr>
          <w:i/>
          <w:lang w:val="en-GB"/>
        </w:rPr>
        <w:t xml:space="preserve"> Investment Policy Framework for Sustainable Development,</w:t>
      </w:r>
      <w:r w:rsidRPr="00CF3C36">
        <w:rPr>
          <w:lang w:val="en-GB"/>
        </w:rPr>
        <w:t xml:space="preserve"> </w:t>
      </w:r>
      <w:hyperlink r:id="rId21" w:history="1">
        <w:r w:rsidRPr="00CF3C36">
          <w:rPr>
            <w:rStyle w:val="Hyperlink"/>
            <w:lang w:val="en-GB"/>
          </w:rPr>
          <w:t>https://unctad.org/en/PublicationsLibrary/diaepcb2015d5_en.pdf</w:t>
        </w:r>
      </w:hyperlink>
      <w:r w:rsidRPr="00CF3C36">
        <w:rPr>
          <w:lang w:val="en-GB"/>
        </w:rPr>
        <w:t xml:space="preserve"> </w:t>
      </w:r>
    </w:p>
    <w:p w14:paraId="2E0993F9" w14:textId="0B14AF67" w:rsidR="008170C2" w:rsidRPr="00CF3C36" w:rsidRDefault="008170C2" w:rsidP="003378E5">
      <w:pPr>
        <w:rPr>
          <w:lang w:val="en-GB"/>
        </w:rPr>
      </w:pPr>
      <w:r w:rsidRPr="00CF3C36">
        <w:rPr>
          <w:lang w:val="en-GB"/>
        </w:rPr>
        <w:t xml:space="preserve">UNCTAD (2018). </w:t>
      </w:r>
      <w:r w:rsidRPr="00CF3C36">
        <w:rPr>
          <w:i/>
          <w:lang w:val="en-GB"/>
        </w:rPr>
        <w:t>World Investment Report 2018 – Investment and New Industrial Policies.</w:t>
      </w:r>
      <w:r w:rsidRPr="00CF3C36">
        <w:rPr>
          <w:lang w:val="en-GB"/>
        </w:rPr>
        <w:t xml:space="preserve"> </w:t>
      </w:r>
    </w:p>
    <w:p w14:paraId="14EC38B9" w14:textId="77777777" w:rsidR="00457EFD" w:rsidRPr="00CF3C36" w:rsidRDefault="00457EFD" w:rsidP="003378E5">
      <w:pPr>
        <w:rPr>
          <w:lang w:val="en-GB"/>
        </w:rPr>
      </w:pPr>
      <w:r w:rsidRPr="00CF3C36">
        <w:rPr>
          <w:lang w:val="en-GB"/>
        </w:rPr>
        <w:t xml:space="preserve">Van Marrewijk, C., Ottens, D., &amp; Schueller, S. (2012). </w:t>
      </w:r>
      <w:r w:rsidRPr="00CF3C36">
        <w:rPr>
          <w:i/>
          <w:lang w:val="en-GB"/>
        </w:rPr>
        <w:t>International economics</w:t>
      </w:r>
      <w:r w:rsidRPr="00CF3C36">
        <w:rPr>
          <w:lang w:val="en-GB"/>
        </w:rPr>
        <w:t>. Oxford University Press.</w:t>
      </w:r>
    </w:p>
    <w:p w14:paraId="4548C3EF" w14:textId="77777777" w:rsidR="003378E5" w:rsidRPr="00CF3C36" w:rsidRDefault="003378E5" w:rsidP="003378E5">
      <w:pPr>
        <w:rPr>
          <w:lang w:val="en-GB"/>
        </w:rPr>
      </w:pPr>
      <w:r w:rsidRPr="00CF3C36">
        <w:rPr>
          <w:lang w:val="en-GB"/>
        </w:rPr>
        <w:t xml:space="preserve">Werner, S. (2002). Recent developments in international management research: A review of 20 top management journals. </w:t>
      </w:r>
      <w:r w:rsidRPr="00CF3C36">
        <w:rPr>
          <w:i/>
          <w:lang w:val="en-GB"/>
        </w:rPr>
        <w:t>Journal of Management, 28</w:t>
      </w:r>
      <w:r w:rsidRPr="00CF3C36">
        <w:rPr>
          <w:lang w:val="en-GB"/>
        </w:rPr>
        <w:t>(3), 277-305.</w:t>
      </w:r>
    </w:p>
    <w:p w14:paraId="1391808B" w14:textId="38A0AA9C" w:rsidR="003378E5" w:rsidRPr="00CF3C36" w:rsidRDefault="003378E5" w:rsidP="003378E5">
      <w:pPr>
        <w:rPr>
          <w:lang w:val="en-GB"/>
        </w:rPr>
      </w:pPr>
      <w:r w:rsidRPr="00CF3C36">
        <w:rPr>
          <w:lang w:val="en-GB"/>
        </w:rPr>
        <w:t xml:space="preserve">Wheeler D. (2000). Racing to the bottom? Foreign investment and air pollution in developing countries. </w:t>
      </w:r>
      <w:r w:rsidRPr="00CF3C36">
        <w:rPr>
          <w:i/>
          <w:lang w:val="en-GB"/>
        </w:rPr>
        <w:t>Development Research Group.</w:t>
      </w:r>
      <w:r w:rsidRPr="00CF3C36">
        <w:rPr>
          <w:lang w:val="en-GB"/>
        </w:rPr>
        <w:t xml:space="preserve"> World Bank: Washington, DC</w:t>
      </w:r>
    </w:p>
    <w:p w14:paraId="75620FE3" w14:textId="084B561F" w:rsidR="00FD59D7" w:rsidRPr="00CF3C36" w:rsidRDefault="00FD59D7" w:rsidP="003378E5">
      <w:pPr>
        <w:rPr>
          <w:lang w:val="en-GB"/>
        </w:rPr>
      </w:pPr>
      <w:r w:rsidRPr="00CF3C36">
        <w:rPr>
          <w:lang w:val="en-GB"/>
        </w:rPr>
        <w:t xml:space="preserve">Wooldridge, J. M. </w:t>
      </w:r>
      <w:r w:rsidR="008F42FE" w:rsidRPr="00CF3C36">
        <w:rPr>
          <w:lang w:val="en-GB"/>
        </w:rPr>
        <w:t>(</w:t>
      </w:r>
      <w:r w:rsidRPr="00CF3C36">
        <w:rPr>
          <w:lang w:val="en-GB"/>
        </w:rPr>
        <w:t>2002</w:t>
      </w:r>
      <w:r w:rsidR="008F42FE" w:rsidRPr="00CF3C36">
        <w:rPr>
          <w:lang w:val="en-GB"/>
        </w:rPr>
        <w:t>)</w:t>
      </w:r>
      <w:r w:rsidRPr="00CF3C36">
        <w:rPr>
          <w:lang w:val="en-GB"/>
        </w:rPr>
        <w:t xml:space="preserve">. </w:t>
      </w:r>
      <w:r w:rsidRPr="00CF3C36">
        <w:rPr>
          <w:i/>
          <w:lang w:val="en-GB"/>
        </w:rPr>
        <w:t>Econometric Analysis of Cross Section and Panel Data.</w:t>
      </w:r>
      <w:r w:rsidRPr="00CF3C36">
        <w:rPr>
          <w:lang w:val="en-GB"/>
        </w:rPr>
        <w:t xml:space="preserve"> Cambridge, MA: MIT Press.</w:t>
      </w:r>
    </w:p>
    <w:p w14:paraId="1A01E646" w14:textId="1A53C722" w:rsidR="00FF2C08" w:rsidRPr="00CF3C36" w:rsidRDefault="00FF2C08" w:rsidP="003378E5">
      <w:pPr>
        <w:rPr>
          <w:color w:val="222222"/>
          <w:shd w:val="clear" w:color="auto" w:fill="FFFFFF"/>
          <w:lang w:val="en-GB"/>
        </w:rPr>
      </w:pPr>
      <w:r w:rsidRPr="00CF3C36">
        <w:rPr>
          <w:color w:val="222222"/>
          <w:shd w:val="clear" w:color="auto" w:fill="FFFFFF"/>
          <w:lang w:val="en-GB"/>
        </w:rPr>
        <w:t xml:space="preserve">Wolrd Bank (2019a). Ease of Doing Business Ranking &amp; Ease of Doing Business Score. Retrieved from: </w:t>
      </w:r>
      <w:hyperlink r:id="rId22" w:history="1">
        <w:r w:rsidRPr="00CF3C36">
          <w:rPr>
            <w:rStyle w:val="Hyperlink"/>
            <w:lang w:val="en-GB"/>
          </w:rPr>
          <w:t>https://www.doingbusiness.org/en/data/doing-business-score</w:t>
        </w:r>
      </w:hyperlink>
    </w:p>
    <w:p w14:paraId="1E165F17" w14:textId="3958AD6C" w:rsidR="00FD59D7" w:rsidRPr="00CF3C36" w:rsidRDefault="00E50504" w:rsidP="003378E5">
      <w:pPr>
        <w:rPr>
          <w:lang w:val="en-GB"/>
        </w:rPr>
      </w:pPr>
      <w:r w:rsidRPr="00CF3C36">
        <w:rPr>
          <w:lang w:val="en-GB"/>
        </w:rPr>
        <w:t>World Bank (2019</w:t>
      </w:r>
      <w:r w:rsidR="00FF2C08" w:rsidRPr="00CF3C36">
        <w:rPr>
          <w:lang w:val="en-GB"/>
        </w:rPr>
        <w:t>b</w:t>
      </w:r>
      <w:r w:rsidRPr="00CF3C36">
        <w:rPr>
          <w:lang w:val="en-GB"/>
        </w:rPr>
        <w:t xml:space="preserve">). Worldwide Governance Indicators. Retrieved from: </w:t>
      </w:r>
      <w:hyperlink r:id="rId23" w:history="1">
        <w:r w:rsidRPr="00CF3C36">
          <w:rPr>
            <w:rStyle w:val="Hyperlink"/>
            <w:lang w:val="en-GB"/>
          </w:rPr>
          <w:t>https://datacatalog.worldbank.org/dataset/worldwide-governance-indicators</w:t>
        </w:r>
      </w:hyperlink>
      <w:r w:rsidRPr="00CF3C36">
        <w:rPr>
          <w:lang w:val="en-GB"/>
        </w:rPr>
        <w:t xml:space="preserve"> </w:t>
      </w:r>
    </w:p>
    <w:p w14:paraId="4FFD0A5E" w14:textId="77777777" w:rsidR="003378E5" w:rsidRPr="00CF3C36" w:rsidRDefault="003378E5" w:rsidP="003378E5">
      <w:pPr>
        <w:rPr>
          <w:lang w:val="en-GB"/>
        </w:rPr>
      </w:pPr>
      <w:r w:rsidRPr="00CF3C36">
        <w:rPr>
          <w:lang w:val="en-GB"/>
        </w:rPr>
        <w:t xml:space="preserve">Zarsky, L. (1999). Havens, halos and spaghetti: untangling the evidence about foreign direct investment and the environment. </w:t>
      </w:r>
      <w:r w:rsidRPr="00CF3C36">
        <w:rPr>
          <w:i/>
          <w:lang w:val="en-GB"/>
        </w:rPr>
        <w:t>Foreign direct Investment and the Environment, 13</w:t>
      </w:r>
      <w:r w:rsidRPr="00CF3C36">
        <w:rPr>
          <w:lang w:val="en-GB"/>
        </w:rPr>
        <w:t>(8), 47-74.</w:t>
      </w:r>
    </w:p>
    <w:p w14:paraId="3983A8FE" w14:textId="21319F30" w:rsidR="003378E5" w:rsidRPr="00CF3C36" w:rsidRDefault="003378E5" w:rsidP="003378E5">
      <w:pPr>
        <w:rPr>
          <w:lang w:val="en-GB"/>
        </w:rPr>
      </w:pPr>
      <w:r w:rsidRPr="00CF3C36">
        <w:rPr>
          <w:lang w:val="en-GB"/>
        </w:rPr>
        <w:t xml:space="preserve">Zhang, K. H. (2001). Does foreign direct investment promote economic growth? Evidence from East Asia and Latin America. </w:t>
      </w:r>
      <w:r w:rsidRPr="00CF3C36">
        <w:rPr>
          <w:i/>
          <w:lang w:val="en-GB"/>
        </w:rPr>
        <w:t>Contemporary economic policy, 19</w:t>
      </w:r>
      <w:r w:rsidRPr="00CF3C36">
        <w:rPr>
          <w:lang w:val="en-GB"/>
        </w:rPr>
        <w:t>(2), 175-185.</w:t>
      </w:r>
    </w:p>
    <w:p w14:paraId="07B4C537" w14:textId="250DE0B2" w:rsidR="003747CF" w:rsidRPr="00CF3C36" w:rsidRDefault="003747CF" w:rsidP="003378E5">
      <w:pPr>
        <w:rPr>
          <w:lang w:val="en-GB"/>
        </w:rPr>
      </w:pPr>
      <w:r w:rsidRPr="00CF3C36">
        <w:rPr>
          <w:lang w:val="en-GB"/>
        </w:rPr>
        <w:t>Zugravu-Soilita, N. (2017). How does foreign direct investment affect pollution? Toward a better understanding of the direct and conditional effects</w:t>
      </w:r>
      <w:r w:rsidRPr="00CF3C36">
        <w:rPr>
          <w:i/>
          <w:lang w:val="en-GB"/>
        </w:rPr>
        <w:t>. Environmental and Resource Economics, 66</w:t>
      </w:r>
      <w:r w:rsidRPr="00CF3C36">
        <w:rPr>
          <w:lang w:val="en-GB"/>
        </w:rPr>
        <w:t>(2), 293-338.</w:t>
      </w:r>
    </w:p>
    <w:p w14:paraId="2071D9EB" w14:textId="40AD702E" w:rsidR="0056149E" w:rsidRPr="00CF3C36" w:rsidRDefault="0056149E" w:rsidP="003378E5">
      <w:pPr>
        <w:rPr>
          <w:lang w:val="en-GB"/>
        </w:rPr>
      </w:pPr>
      <w:r w:rsidRPr="00CF3C36">
        <w:rPr>
          <w:lang w:val="en-GB"/>
        </w:rPr>
        <w:br w:type="page"/>
      </w:r>
    </w:p>
    <w:p w14:paraId="410259A8" w14:textId="06DAD5F5" w:rsidR="0056149E" w:rsidRPr="00CF3C36" w:rsidRDefault="0056149E" w:rsidP="0056149E">
      <w:pPr>
        <w:pStyle w:val="Heading1"/>
        <w:rPr>
          <w:lang w:val="en-GB"/>
        </w:rPr>
      </w:pPr>
      <w:bookmarkStart w:id="35" w:name="_Toc15480018"/>
      <w:r w:rsidRPr="00CF3C36">
        <w:rPr>
          <w:lang w:val="en-GB"/>
        </w:rPr>
        <w:lastRenderedPageBreak/>
        <w:t>A</w:t>
      </w:r>
      <w:r w:rsidR="001575A9" w:rsidRPr="00CF3C36">
        <w:rPr>
          <w:lang w:val="en-GB"/>
        </w:rPr>
        <w:t>ppendix</w:t>
      </w:r>
      <w:bookmarkEnd w:id="35"/>
    </w:p>
    <w:p w14:paraId="3E403330" w14:textId="31FEFD47" w:rsidR="0056149E" w:rsidRPr="00CF3C36" w:rsidRDefault="0056149E" w:rsidP="0056149E">
      <w:pPr>
        <w:rPr>
          <w:lang w:val="en-GB"/>
        </w:rPr>
      </w:pPr>
    </w:p>
    <w:p w14:paraId="03E9BDB0" w14:textId="0087B55A" w:rsidR="0056149E" w:rsidRPr="00CF3C36" w:rsidRDefault="000F7FD0" w:rsidP="00AC6BAE">
      <w:pPr>
        <w:pStyle w:val="Heading5"/>
        <w:jc w:val="center"/>
        <w:rPr>
          <w:lang w:val="en-GB"/>
        </w:rPr>
      </w:pPr>
      <w:bookmarkStart w:id="36" w:name="_Toc15475669"/>
      <w:r w:rsidRPr="00CF3C36">
        <w:rPr>
          <w:lang w:val="en-GB"/>
        </w:rPr>
        <w:t>Table 6. Countries in M</w:t>
      </w:r>
      <w:r w:rsidR="00AC6BAE" w:rsidRPr="00CF3C36">
        <w:rPr>
          <w:lang w:val="en-GB"/>
        </w:rPr>
        <w:t>odels 1, 1.1 &amp; 1.2</w:t>
      </w:r>
      <w:bookmarkEnd w:id="36"/>
    </w:p>
    <w:tbl>
      <w:tblPr>
        <w:tblW w:w="9732" w:type="dxa"/>
        <w:tblCellMar>
          <w:left w:w="70" w:type="dxa"/>
          <w:right w:w="70" w:type="dxa"/>
        </w:tblCellMar>
        <w:tblLook w:val="04A0" w:firstRow="1" w:lastRow="0" w:firstColumn="1" w:lastColumn="0" w:noHBand="0" w:noVBand="1"/>
      </w:tblPr>
      <w:tblGrid>
        <w:gridCol w:w="1372"/>
        <w:gridCol w:w="2960"/>
        <w:gridCol w:w="1180"/>
        <w:gridCol w:w="1620"/>
        <w:gridCol w:w="2600"/>
      </w:tblGrid>
      <w:tr w:rsidR="00E43BAE" w:rsidRPr="00CF3C36" w14:paraId="7864F780" w14:textId="77777777" w:rsidTr="00E43BAE">
        <w:trPr>
          <w:trHeight w:val="300"/>
        </w:trPr>
        <w:tc>
          <w:tcPr>
            <w:tcW w:w="1372" w:type="dxa"/>
            <w:tcBorders>
              <w:top w:val="nil"/>
              <w:left w:val="nil"/>
              <w:bottom w:val="single" w:sz="4" w:space="0" w:color="FFFFFF"/>
              <w:right w:val="single" w:sz="4" w:space="0" w:color="FFFFFF"/>
            </w:tcBorders>
            <w:shd w:val="clear" w:color="000000" w:fill="9BC2E6"/>
            <w:noWrap/>
            <w:vAlign w:val="bottom"/>
            <w:hideMark/>
          </w:tcPr>
          <w:p w14:paraId="1F44D8B4" w14:textId="77777777" w:rsidR="00E43BAE" w:rsidRPr="00CF3C36" w:rsidRDefault="00E43BAE" w:rsidP="00E43BAE">
            <w:pPr>
              <w:spacing w:after="0" w:line="240" w:lineRule="auto"/>
              <w:rPr>
                <w:rFonts w:ascii="Calibri" w:eastAsia="Times New Roman" w:hAnsi="Calibri" w:cs="Calibri"/>
                <w:b/>
                <w:bCs/>
                <w:color w:val="000000"/>
                <w:lang w:val="en-GB" w:eastAsia="nl-NL"/>
              </w:rPr>
            </w:pPr>
            <w:r w:rsidRPr="00CF3C36">
              <w:rPr>
                <w:rFonts w:ascii="Calibri" w:eastAsia="Times New Roman" w:hAnsi="Calibri" w:cs="Calibri"/>
                <w:b/>
                <w:bCs/>
                <w:color w:val="000000"/>
                <w:lang w:val="en-GB" w:eastAsia="nl-NL"/>
              </w:rPr>
              <w:t>Country</w:t>
            </w:r>
          </w:p>
        </w:tc>
        <w:tc>
          <w:tcPr>
            <w:tcW w:w="2960" w:type="dxa"/>
            <w:tcBorders>
              <w:top w:val="nil"/>
              <w:left w:val="single" w:sz="4" w:space="0" w:color="FFFFFF"/>
              <w:bottom w:val="single" w:sz="4" w:space="0" w:color="FFFFFF"/>
              <w:right w:val="single" w:sz="4" w:space="0" w:color="FFFFFF"/>
            </w:tcBorders>
            <w:shd w:val="clear" w:color="000000" w:fill="9BC2E6"/>
            <w:noWrap/>
            <w:vAlign w:val="bottom"/>
            <w:hideMark/>
          </w:tcPr>
          <w:p w14:paraId="2F3A308E" w14:textId="77777777" w:rsidR="00E43BAE" w:rsidRPr="00CF3C36" w:rsidRDefault="00E43BAE" w:rsidP="00E43BAE">
            <w:pPr>
              <w:spacing w:after="0" w:line="240" w:lineRule="auto"/>
              <w:rPr>
                <w:rFonts w:ascii="Calibri" w:eastAsia="Times New Roman" w:hAnsi="Calibri" w:cs="Calibri"/>
                <w:b/>
                <w:bCs/>
                <w:color w:val="000000"/>
                <w:lang w:val="en-GB" w:eastAsia="nl-NL"/>
              </w:rPr>
            </w:pPr>
            <w:r w:rsidRPr="00CF3C36">
              <w:rPr>
                <w:rFonts w:ascii="Calibri" w:eastAsia="Times New Roman" w:hAnsi="Calibri" w:cs="Calibri"/>
                <w:b/>
                <w:bCs/>
                <w:color w:val="000000"/>
                <w:lang w:val="en-GB" w:eastAsia="nl-NL"/>
              </w:rPr>
              <w:t>Region</w:t>
            </w:r>
          </w:p>
        </w:tc>
        <w:tc>
          <w:tcPr>
            <w:tcW w:w="1180" w:type="dxa"/>
            <w:tcBorders>
              <w:top w:val="nil"/>
              <w:left w:val="single" w:sz="4" w:space="0" w:color="FFFFFF"/>
              <w:bottom w:val="single" w:sz="4" w:space="0" w:color="FFFFFF"/>
              <w:right w:val="single" w:sz="4" w:space="0" w:color="FFFFFF"/>
            </w:tcBorders>
            <w:shd w:val="clear" w:color="000000" w:fill="9BC2E6"/>
            <w:noWrap/>
            <w:vAlign w:val="bottom"/>
            <w:hideMark/>
          </w:tcPr>
          <w:p w14:paraId="66659625" w14:textId="77777777" w:rsidR="00E43BAE" w:rsidRPr="00CF3C36" w:rsidRDefault="00E43BAE" w:rsidP="00E43BAE">
            <w:pPr>
              <w:spacing w:after="0" w:line="240" w:lineRule="auto"/>
              <w:rPr>
                <w:rFonts w:ascii="Calibri" w:eastAsia="Times New Roman" w:hAnsi="Calibri" w:cs="Calibri"/>
                <w:b/>
                <w:bCs/>
                <w:color w:val="000000"/>
                <w:lang w:val="en-GB" w:eastAsia="nl-NL"/>
              </w:rPr>
            </w:pPr>
            <w:r w:rsidRPr="00CF3C36">
              <w:rPr>
                <w:rFonts w:ascii="Calibri" w:eastAsia="Times New Roman" w:hAnsi="Calibri" w:cs="Calibri"/>
                <w:b/>
                <w:bCs/>
                <w:color w:val="000000"/>
                <w:lang w:val="en-GB" w:eastAsia="nl-NL"/>
              </w:rPr>
              <w:t> </w:t>
            </w:r>
          </w:p>
        </w:tc>
        <w:tc>
          <w:tcPr>
            <w:tcW w:w="1620" w:type="dxa"/>
            <w:tcBorders>
              <w:top w:val="nil"/>
              <w:left w:val="single" w:sz="4" w:space="0" w:color="FFFFFF"/>
              <w:bottom w:val="single" w:sz="4" w:space="0" w:color="FFFFFF"/>
              <w:right w:val="single" w:sz="4" w:space="0" w:color="FFFFFF"/>
            </w:tcBorders>
            <w:shd w:val="clear" w:color="000000" w:fill="9BC2E6"/>
            <w:noWrap/>
            <w:vAlign w:val="bottom"/>
            <w:hideMark/>
          </w:tcPr>
          <w:p w14:paraId="623DEC1F" w14:textId="77777777" w:rsidR="00E43BAE" w:rsidRPr="00CF3C36" w:rsidRDefault="00E43BAE" w:rsidP="00E43BAE">
            <w:pPr>
              <w:spacing w:after="0" w:line="240" w:lineRule="auto"/>
              <w:rPr>
                <w:rFonts w:ascii="Calibri" w:eastAsia="Times New Roman" w:hAnsi="Calibri" w:cs="Calibri"/>
                <w:b/>
                <w:bCs/>
                <w:color w:val="000000"/>
                <w:lang w:val="en-GB" w:eastAsia="nl-NL"/>
              </w:rPr>
            </w:pPr>
            <w:r w:rsidRPr="00CF3C36">
              <w:rPr>
                <w:rFonts w:ascii="Calibri" w:eastAsia="Times New Roman" w:hAnsi="Calibri" w:cs="Calibri"/>
                <w:b/>
                <w:bCs/>
                <w:color w:val="000000"/>
                <w:lang w:val="en-GB" w:eastAsia="nl-NL"/>
              </w:rPr>
              <w:t>Country</w:t>
            </w:r>
          </w:p>
        </w:tc>
        <w:tc>
          <w:tcPr>
            <w:tcW w:w="2600" w:type="dxa"/>
            <w:tcBorders>
              <w:top w:val="nil"/>
              <w:left w:val="single" w:sz="4" w:space="0" w:color="FFFFFF"/>
              <w:bottom w:val="single" w:sz="4" w:space="0" w:color="FFFFFF"/>
              <w:right w:val="nil"/>
            </w:tcBorders>
            <w:shd w:val="clear" w:color="000000" w:fill="9BC2E6"/>
            <w:noWrap/>
            <w:vAlign w:val="bottom"/>
            <w:hideMark/>
          </w:tcPr>
          <w:p w14:paraId="7C984390" w14:textId="77777777" w:rsidR="00E43BAE" w:rsidRPr="00CF3C36" w:rsidRDefault="00E43BAE" w:rsidP="00E43BAE">
            <w:pPr>
              <w:spacing w:after="0" w:line="240" w:lineRule="auto"/>
              <w:rPr>
                <w:rFonts w:ascii="Calibri" w:eastAsia="Times New Roman" w:hAnsi="Calibri" w:cs="Calibri"/>
                <w:b/>
                <w:bCs/>
                <w:color w:val="000000"/>
                <w:lang w:val="en-GB" w:eastAsia="nl-NL"/>
              </w:rPr>
            </w:pPr>
            <w:r w:rsidRPr="00CF3C36">
              <w:rPr>
                <w:rFonts w:ascii="Calibri" w:eastAsia="Times New Roman" w:hAnsi="Calibri" w:cs="Calibri"/>
                <w:b/>
                <w:bCs/>
                <w:color w:val="000000"/>
                <w:lang w:val="en-GB" w:eastAsia="nl-NL"/>
              </w:rPr>
              <w:t>Region</w:t>
            </w:r>
          </w:p>
        </w:tc>
      </w:tr>
      <w:tr w:rsidR="00E43BAE" w:rsidRPr="00CF3C36" w14:paraId="349C7B20" w14:textId="77777777" w:rsidTr="00E43BAE">
        <w:trPr>
          <w:trHeight w:val="300"/>
        </w:trPr>
        <w:tc>
          <w:tcPr>
            <w:tcW w:w="1372" w:type="dxa"/>
            <w:tcBorders>
              <w:top w:val="single" w:sz="4" w:space="0" w:color="auto"/>
              <w:left w:val="nil"/>
              <w:bottom w:val="single" w:sz="4" w:space="0" w:color="FFFFFF"/>
              <w:right w:val="single" w:sz="4" w:space="0" w:color="FFFFFF"/>
            </w:tcBorders>
            <w:shd w:val="clear" w:color="DDEBF7" w:fill="DDEBF7"/>
            <w:noWrap/>
            <w:vAlign w:val="bottom"/>
            <w:hideMark/>
          </w:tcPr>
          <w:p w14:paraId="5477E402"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Cambodia</w:t>
            </w:r>
          </w:p>
        </w:tc>
        <w:tc>
          <w:tcPr>
            <w:tcW w:w="2960" w:type="dxa"/>
            <w:tcBorders>
              <w:top w:val="single" w:sz="4" w:space="0" w:color="auto"/>
              <w:left w:val="single" w:sz="4" w:space="0" w:color="auto"/>
              <w:bottom w:val="single" w:sz="4" w:space="0" w:color="FFFFFF"/>
              <w:right w:val="single" w:sz="4" w:space="0" w:color="FFFFFF"/>
            </w:tcBorders>
            <w:shd w:val="clear" w:color="DDEBF7" w:fill="DDEBF7"/>
            <w:noWrap/>
            <w:vAlign w:val="bottom"/>
            <w:hideMark/>
          </w:tcPr>
          <w:p w14:paraId="1672F9F8"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1180" w:type="dxa"/>
            <w:tcBorders>
              <w:top w:val="single" w:sz="4" w:space="0" w:color="auto"/>
              <w:left w:val="single" w:sz="4" w:space="0" w:color="FFFFFF"/>
              <w:bottom w:val="single" w:sz="4" w:space="0" w:color="FFFFFF"/>
              <w:right w:val="single" w:sz="4" w:space="0" w:color="FFFFFF"/>
            </w:tcBorders>
            <w:shd w:val="clear" w:color="DDEBF7" w:fill="DDEBF7"/>
            <w:noWrap/>
            <w:vAlign w:val="bottom"/>
            <w:hideMark/>
          </w:tcPr>
          <w:p w14:paraId="53EC5F62"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c>
          <w:tcPr>
            <w:tcW w:w="1620" w:type="dxa"/>
            <w:tcBorders>
              <w:top w:val="single" w:sz="4" w:space="0" w:color="auto"/>
              <w:left w:val="single" w:sz="4" w:space="0" w:color="FFFFFF"/>
              <w:bottom w:val="single" w:sz="4" w:space="0" w:color="FFFFFF"/>
              <w:right w:val="single" w:sz="4" w:space="0" w:color="FFFFFF"/>
            </w:tcBorders>
            <w:shd w:val="clear" w:color="DDEBF7" w:fill="DDEBF7"/>
            <w:noWrap/>
            <w:vAlign w:val="bottom"/>
            <w:hideMark/>
          </w:tcPr>
          <w:p w14:paraId="2E140699"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Italy</w:t>
            </w:r>
          </w:p>
        </w:tc>
        <w:tc>
          <w:tcPr>
            <w:tcW w:w="2600" w:type="dxa"/>
            <w:tcBorders>
              <w:top w:val="single" w:sz="4" w:space="0" w:color="auto"/>
              <w:left w:val="single" w:sz="4" w:space="0" w:color="auto"/>
              <w:bottom w:val="single" w:sz="4" w:space="0" w:color="FFFFFF"/>
              <w:right w:val="nil"/>
            </w:tcBorders>
            <w:shd w:val="clear" w:color="DDEBF7" w:fill="DDEBF7"/>
            <w:noWrap/>
            <w:vAlign w:val="bottom"/>
            <w:hideMark/>
          </w:tcPr>
          <w:p w14:paraId="514DE6CF"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E43BAE" w:rsidRPr="00CF3C36" w14:paraId="6C6D3B89"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BDD7EE" w:fill="BDD7EE"/>
            <w:noWrap/>
            <w:vAlign w:val="bottom"/>
            <w:hideMark/>
          </w:tcPr>
          <w:p w14:paraId="722C51FD"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China</w:t>
            </w:r>
          </w:p>
        </w:tc>
        <w:tc>
          <w:tcPr>
            <w:tcW w:w="29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29524F2C"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5B412FD"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849631A"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Japan</w:t>
            </w:r>
          </w:p>
        </w:tc>
        <w:tc>
          <w:tcPr>
            <w:tcW w:w="2600" w:type="dxa"/>
            <w:tcBorders>
              <w:top w:val="single" w:sz="4" w:space="0" w:color="FFFFFF"/>
              <w:left w:val="single" w:sz="4" w:space="0" w:color="auto"/>
              <w:bottom w:val="single" w:sz="4" w:space="0" w:color="FFFFFF"/>
              <w:right w:val="nil"/>
            </w:tcBorders>
            <w:shd w:val="clear" w:color="BDD7EE" w:fill="BDD7EE"/>
            <w:noWrap/>
            <w:vAlign w:val="bottom"/>
            <w:hideMark/>
          </w:tcPr>
          <w:p w14:paraId="326BCB91"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E43BAE" w:rsidRPr="00CF3C36" w14:paraId="5D40ED72"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DDEBF7" w:fill="DDEBF7"/>
            <w:noWrap/>
            <w:vAlign w:val="bottom"/>
            <w:hideMark/>
          </w:tcPr>
          <w:p w14:paraId="3591EA03"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Indonesia</w:t>
            </w:r>
          </w:p>
        </w:tc>
        <w:tc>
          <w:tcPr>
            <w:tcW w:w="29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39CB36A7"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43FC7C09"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482F372A"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Latvia</w:t>
            </w:r>
          </w:p>
        </w:tc>
        <w:tc>
          <w:tcPr>
            <w:tcW w:w="2600" w:type="dxa"/>
            <w:tcBorders>
              <w:top w:val="single" w:sz="4" w:space="0" w:color="FFFFFF"/>
              <w:left w:val="single" w:sz="4" w:space="0" w:color="auto"/>
              <w:bottom w:val="single" w:sz="4" w:space="0" w:color="FFFFFF"/>
              <w:right w:val="nil"/>
            </w:tcBorders>
            <w:shd w:val="clear" w:color="DDEBF7" w:fill="DDEBF7"/>
            <w:noWrap/>
            <w:vAlign w:val="bottom"/>
            <w:hideMark/>
          </w:tcPr>
          <w:p w14:paraId="5664348D"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E43BAE" w:rsidRPr="00CF3C36" w14:paraId="6F45EE76"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BDD7EE" w:fill="BDD7EE"/>
            <w:noWrap/>
            <w:vAlign w:val="bottom"/>
            <w:hideMark/>
          </w:tcPr>
          <w:p w14:paraId="1EE221A8"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Malaysia</w:t>
            </w:r>
          </w:p>
        </w:tc>
        <w:tc>
          <w:tcPr>
            <w:tcW w:w="29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6431EB71"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A223DD7"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EAB619C"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Lithuania</w:t>
            </w:r>
          </w:p>
        </w:tc>
        <w:tc>
          <w:tcPr>
            <w:tcW w:w="2600" w:type="dxa"/>
            <w:tcBorders>
              <w:top w:val="single" w:sz="4" w:space="0" w:color="FFFFFF"/>
              <w:left w:val="single" w:sz="4" w:space="0" w:color="auto"/>
              <w:bottom w:val="single" w:sz="4" w:space="0" w:color="FFFFFF"/>
              <w:right w:val="nil"/>
            </w:tcBorders>
            <w:shd w:val="clear" w:color="BDD7EE" w:fill="BDD7EE"/>
            <w:noWrap/>
            <w:vAlign w:val="bottom"/>
            <w:hideMark/>
          </w:tcPr>
          <w:p w14:paraId="4FCC64DA"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E43BAE" w:rsidRPr="00CF3C36" w14:paraId="38D8364D"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DDEBF7" w:fill="DDEBF7"/>
            <w:noWrap/>
            <w:vAlign w:val="bottom"/>
            <w:hideMark/>
          </w:tcPr>
          <w:p w14:paraId="68DA1AF4"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Philippines</w:t>
            </w:r>
          </w:p>
        </w:tc>
        <w:tc>
          <w:tcPr>
            <w:tcW w:w="29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1248E6AC"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11C61AC5"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7FDB993"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Luxembourg</w:t>
            </w:r>
          </w:p>
        </w:tc>
        <w:tc>
          <w:tcPr>
            <w:tcW w:w="2600" w:type="dxa"/>
            <w:tcBorders>
              <w:top w:val="single" w:sz="4" w:space="0" w:color="FFFFFF"/>
              <w:left w:val="single" w:sz="4" w:space="0" w:color="auto"/>
              <w:bottom w:val="single" w:sz="4" w:space="0" w:color="FFFFFF"/>
              <w:right w:val="nil"/>
            </w:tcBorders>
            <w:shd w:val="clear" w:color="DDEBF7" w:fill="DDEBF7"/>
            <w:noWrap/>
            <w:vAlign w:val="bottom"/>
            <w:hideMark/>
          </w:tcPr>
          <w:p w14:paraId="5BC53D94"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E43BAE" w:rsidRPr="00CF3C36" w14:paraId="2F1DC31F"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BDD7EE" w:fill="BDD7EE"/>
            <w:noWrap/>
            <w:vAlign w:val="bottom"/>
            <w:hideMark/>
          </w:tcPr>
          <w:p w14:paraId="59A7F227"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Singapore</w:t>
            </w:r>
          </w:p>
        </w:tc>
        <w:tc>
          <w:tcPr>
            <w:tcW w:w="29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1B019544"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6C8160A"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5024A48"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Netherlands</w:t>
            </w:r>
          </w:p>
        </w:tc>
        <w:tc>
          <w:tcPr>
            <w:tcW w:w="2600" w:type="dxa"/>
            <w:tcBorders>
              <w:top w:val="single" w:sz="4" w:space="0" w:color="FFFFFF"/>
              <w:left w:val="single" w:sz="4" w:space="0" w:color="auto"/>
              <w:bottom w:val="single" w:sz="4" w:space="0" w:color="FFFFFF"/>
              <w:right w:val="nil"/>
            </w:tcBorders>
            <w:shd w:val="clear" w:color="BDD7EE" w:fill="BDD7EE"/>
            <w:noWrap/>
            <w:vAlign w:val="bottom"/>
            <w:hideMark/>
          </w:tcPr>
          <w:p w14:paraId="23E8A564"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E43BAE" w:rsidRPr="00CF3C36" w14:paraId="1B1496C2"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DDEBF7" w:fill="DDEBF7"/>
            <w:noWrap/>
            <w:vAlign w:val="bottom"/>
            <w:hideMark/>
          </w:tcPr>
          <w:p w14:paraId="23D35547"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Thailand</w:t>
            </w:r>
          </w:p>
        </w:tc>
        <w:tc>
          <w:tcPr>
            <w:tcW w:w="29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7D7B5689"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FB3CC7D"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2FB8C807"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New Zealand</w:t>
            </w:r>
          </w:p>
        </w:tc>
        <w:tc>
          <w:tcPr>
            <w:tcW w:w="2600" w:type="dxa"/>
            <w:tcBorders>
              <w:top w:val="single" w:sz="4" w:space="0" w:color="FFFFFF"/>
              <w:left w:val="single" w:sz="4" w:space="0" w:color="auto"/>
              <w:bottom w:val="single" w:sz="4" w:space="0" w:color="FFFFFF"/>
              <w:right w:val="nil"/>
            </w:tcBorders>
            <w:shd w:val="clear" w:color="DDEBF7" w:fill="DDEBF7"/>
            <w:noWrap/>
            <w:vAlign w:val="bottom"/>
            <w:hideMark/>
          </w:tcPr>
          <w:p w14:paraId="5EDE8EAE"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E43BAE" w:rsidRPr="00CF3C36" w14:paraId="5F60CD36"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BDD7EE" w:fill="BDD7EE"/>
            <w:noWrap/>
            <w:vAlign w:val="bottom"/>
            <w:hideMark/>
          </w:tcPr>
          <w:p w14:paraId="7FE85961"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Bulgaria</w:t>
            </w:r>
          </w:p>
        </w:tc>
        <w:tc>
          <w:tcPr>
            <w:tcW w:w="29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0FB9D454"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Europe &amp; Central Asia</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713582E"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C2AC95B"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Norway</w:t>
            </w:r>
          </w:p>
        </w:tc>
        <w:tc>
          <w:tcPr>
            <w:tcW w:w="2600" w:type="dxa"/>
            <w:tcBorders>
              <w:top w:val="single" w:sz="4" w:space="0" w:color="FFFFFF"/>
              <w:left w:val="single" w:sz="4" w:space="0" w:color="auto"/>
              <w:bottom w:val="single" w:sz="4" w:space="0" w:color="FFFFFF"/>
              <w:right w:val="nil"/>
            </w:tcBorders>
            <w:shd w:val="clear" w:color="BDD7EE" w:fill="BDD7EE"/>
            <w:noWrap/>
            <w:vAlign w:val="bottom"/>
            <w:hideMark/>
          </w:tcPr>
          <w:p w14:paraId="407B906F"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E43BAE" w:rsidRPr="00CF3C36" w14:paraId="671D9A82"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DDEBF7" w:fill="DDEBF7"/>
            <w:noWrap/>
            <w:vAlign w:val="bottom"/>
            <w:hideMark/>
          </w:tcPr>
          <w:p w14:paraId="1FAD771F"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Croatia</w:t>
            </w:r>
          </w:p>
        </w:tc>
        <w:tc>
          <w:tcPr>
            <w:tcW w:w="29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5CBFA651"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Europe &amp; Central Asia</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3F5C6B42"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578BAA27"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Poland</w:t>
            </w:r>
          </w:p>
        </w:tc>
        <w:tc>
          <w:tcPr>
            <w:tcW w:w="2600" w:type="dxa"/>
            <w:tcBorders>
              <w:top w:val="single" w:sz="4" w:space="0" w:color="FFFFFF"/>
              <w:left w:val="single" w:sz="4" w:space="0" w:color="auto"/>
              <w:bottom w:val="single" w:sz="4" w:space="0" w:color="FFFFFF"/>
              <w:right w:val="nil"/>
            </w:tcBorders>
            <w:shd w:val="clear" w:color="DDEBF7" w:fill="DDEBF7"/>
            <w:noWrap/>
            <w:vAlign w:val="bottom"/>
            <w:hideMark/>
          </w:tcPr>
          <w:p w14:paraId="240B7894"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E43BAE" w:rsidRPr="00CF3C36" w14:paraId="7EFF1DD7"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BDD7EE" w:fill="BDD7EE"/>
            <w:noWrap/>
            <w:vAlign w:val="bottom"/>
            <w:hideMark/>
          </w:tcPr>
          <w:p w14:paraId="75BD57C6"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Cyprus</w:t>
            </w:r>
          </w:p>
        </w:tc>
        <w:tc>
          <w:tcPr>
            <w:tcW w:w="29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7BDD2C01"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Europe &amp; Central Asia</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EEE23E9"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40E4A418"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Portugal</w:t>
            </w:r>
          </w:p>
        </w:tc>
        <w:tc>
          <w:tcPr>
            <w:tcW w:w="2600" w:type="dxa"/>
            <w:tcBorders>
              <w:top w:val="single" w:sz="4" w:space="0" w:color="FFFFFF"/>
              <w:left w:val="single" w:sz="4" w:space="0" w:color="auto"/>
              <w:bottom w:val="single" w:sz="4" w:space="0" w:color="FFFFFF"/>
              <w:right w:val="nil"/>
            </w:tcBorders>
            <w:shd w:val="clear" w:color="BDD7EE" w:fill="BDD7EE"/>
            <w:noWrap/>
            <w:vAlign w:val="bottom"/>
            <w:hideMark/>
          </w:tcPr>
          <w:p w14:paraId="1E780FB4"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E43BAE" w:rsidRPr="00CF3C36" w14:paraId="5E6AF7FE"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DDEBF7" w:fill="DDEBF7"/>
            <w:noWrap/>
            <w:vAlign w:val="bottom"/>
            <w:hideMark/>
          </w:tcPr>
          <w:p w14:paraId="1C28BCD1"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Romania</w:t>
            </w:r>
          </w:p>
        </w:tc>
        <w:tc>
          <w:tcPr>
            <w:tcW w:w="29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61E04D34"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Europe &amp; Central Asia</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4FEB554"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A7F57DE"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Slovenia</w:t>
            </w:r>
          </w:p>
        </w:tc>
        <w:tc>
          <w:tcPr>
            <w:tcW w:w="2600" w:type="dxa"/>
            <w:tcBorders>
              <w:top w:val="single" w:sz="4" w:space="0" w:color="FFFFFF"/>
              <w:left w:val="single" w:sz="4" w:space="0" w:color="auto"/>
              <w:bottom w:val="single" w:sz="4" w:space="0" w:color="FFFFFF"/>
              <w:right w:val="nil"/>
            </w:tcBorders>
            <w:shd w:val="clear" w:color="DDEBF7" w:fill="DDEBF7"/>
            <w:noWrap/>
            <w:vAlign w:val="bottom"/>
            <w:hideMark/>
          </w:tcPr>
          <w:p w14:paraId="325ABF55"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E43BAE" w:rsidRPr="00CF3C36" w14:paraId="0B2C118E"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BDD7EE" w:fill="BDD7EE"/>
            <w:noWrap/>
            <w:vAlign w:val="bottom"/>
            <w:hideMark/>
          </w:tcPr>
          <w:p w14:paraId="48B8BC7D"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Turkey</w:t>
            </w:r>
          </w:p>
        </w:tc>
        <w:tc>
          <w:tcPr>
            <w:tcW w:w="29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7223F2DB"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Europe &amp; Central Asia</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828A787"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AAFDC80"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Spain</w:t>
            </w:r>
          </w:p>
        </w:tc>
        <w:tc>
          <w:tcPr>
            <w:tcW w:w="2600" w:type="dxa"/>
            <w:tcBorders>
              <w:top w:val="single" w:sz="4" w:space="0" w:color="FFFFFF"/>
              <w:left w:val="single" w:sz="4" w:space="0" w:color="auto"/>
              <w:bottom w:val="single" w:sz="4" w:space="0" w:color="FFFFFF"/>
              <w:right w:val="nil"/>
            </w:tcBorders>
            <w:shd w:val="clear" w:color="BDD7EE" w:fill="BDD7EE"/>
            <w:noWrap/>
            <w:vAlign w:val="bottom"/>
            <w:hideMark/>
          </w:tcPr>
          <w:p w14:paraId="47AB215F"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E43BAE" w:rsidRPr="00CF3C36" w14:paraId="5061D48A"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DDEBF7" w:fill="DDEBF7"/>
            <w:noWrap/>
            <w:vAlign w:val="bottom"/>
            <w:hideMark/>
          </w:tcPr>
          <w:p w14:paraId="34AA3879"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Australia</w:t>
            </w:r>
          </w:p>
        </w:tc>
        <w:tc>
          <w:tcPr>
            <w:tcW w:w="29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0145432B"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592E677E"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4452051"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Sweden</w:t>
            </w:r>
          </w:p>
        </w:tc>
        <w:tc>
          <w:tcPr>
            <w:tcW w:w="2600" w:type="dxa"/>
            <w:tcBorders>
              <w:top w:val="single" w:sz="4" w:space="0" w:color="FFFFFF"/>
              <w:left w:val="single" w:sz="4" w:space="0" w:color="auto"/>
              <w:bottom w:val="single" w:sz="4" w:space="0" w:color="FFFFFF"/>
              <w:right w:val="nil"/>
            </w:tcBorders>
            <w:shd w:val="clear" w:color="DDEBF7" w:fill="DDEBF7"/>
            <w:noWrap/>
            <w:vAlign w:val="bottom"/>
            <w:hideMark/>
          </w:tcPr>
          <w:p w14:paraId="4AF5BD09"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E43BAE" w:rsidRPr="00CF3C36" w14:paraId="11DAE146"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BDD7EE" w:fill="BDD7EE"/>
            <w:noWrap/>
            <w:vAlign w:val="bottom"/>
            <w:hideMark/>
          </w:tcPr>
          <w:p w14:paraId="54239CE8"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Austria</w:t>
            </w:r>
          </w:p>
        </w:tc>
        <w:tc>
          <w:tcPr>
            <w:tcW w:w="29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754743E6"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4A04C3AB"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3D34D5D"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Switzerland</w:t>
            </w:r>
          </w:p>
        </w:tc>
        <w:tc>
          <w:tcPr>
            <w:tcW w:w="2600" w:type="dxa"/>
            <w:tcBorders>
              <w:top w:val="single" w:sz="4" w:space="0" w:color="FFFFFF"/>
              <w:left w:val="single" w:sz="4" w:space="0" w:color="auto"/>
              <w:bottom w:val="single" w:sz="4" w:space="0" w:color="FFFFFF"/>
              <w:right w:val="nil"/>
            </w:tcBorders>
            <w:shd w:val="clear" w:color="BDD7EE" w:fill="BDD7EE"/>
            <w:noWrap/>
            <w:vAlign w:val="bottom"/>
            <w:hideMark/>
          </w:tcPr>
          <w:p w14:paraId="4C4BC53F"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E43BAE" w:rsidRPr="00CF3C36" w14:paraId="305E08C9"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DDEBF7" w:fill="DDEBF7"/>
            <w:noWrap/>
            <w:vAlign w:val="bottom"/>
            <w:hideMark/>
          </w:tcPr>
          <w:p w14:paraId="1500F6AD"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Belgium</w:t>
            </w:r>
          </w:p>
        </w:tc>
        <w:tc>
          <w:tcPr>
            <w:tcW w:w="29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6103FFD2"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17A053C"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127C8DA"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United Kingdom</w:t>
            </w:r>
          </w:p>
        </w:tc>
        <w:tc>
          <w:tcPr>
            <w:tcW w:w="2600" w:type="dxa"/>
            <w:tcBorders>
              <w:top w:val="single" w:sz="4" w:space="0" w:color="FFFFFF"/>
              <w:left w:val="single" w:sz="4" w:space="0" w:color="auto"/>
              <w:bottom w:val="single" w:sz="4" w:space="0" w:color="FFFFFF"/>
              <w:right w:val="nil"/>
            </w:tcBorders>
            <w:shd w:val="clear" w:color="DDEBF7" w:fill="DDEBF7"/>
            <w:noWrap/>
            <w:vAlign w:val="bottom"/>
            <w:hideMark/>
          </w:tcPr>
          <w:p w14:paraId="1E514F5B"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E43BAE" w:rsidRPr="00CF3C36" w14:paraId="1E1EC515"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BDD7EE" w:fill="BDD7EE"/>
            <w:noWrap/>
            <w:vAlign w:val="bottom"/>
            <w:hideMark/>
          </w:tcPr>
          <w:p w14:paraId="2283DFBD"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Canada</w:t>
            </w:r>
          </w:p>
        </w:tc>
        <w:tc>
          <w:tcPr>
            <w:tcW w:w="29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382B0B89"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666513F"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E47CCDA"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United States</w:t>
            </w:r>
          </w:p>
        </w:tc>
        <w:tc>
          <w:tcPr>
            <w:tcW w:w="2600" w:type="dxa"/>
            <w:tcBorders>
              <w:top w:val="single" w:sz="4" w:space="0" w:color="FFFFFF"/>
              <w:left w:val="single" w:sz="4" w:space="0" w:color="auto"/>
              <w:bottom w:val="single" w:sz="4" w:space="0" w:color="FFFFFF"/>
              <w:right w:val="nil"/>
            </w:tcBorders>
            <w:shd w:val="clear" w:color="BDD7EE" w:fill="BDD7EE"/>
            <w:noWrap/>
            <w:vAlign w:val="bottom"/>
            <w:hideMark/>
          </w:tcPr>
          <w:p w14:paraId="238AC7C6"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E43BAE" w:rsidRPr="00CF3C36" w14:paraId="18296364"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DDEBF7" w:fill="DDEBF7"/>
            <w:noWrap/>
            <w:vAlign w:val="bottom"/>
            <w:hideMark/>
          </w:tcPr>
          <w:p w14:paraId="1D7B7B6A"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Chile</w:t>
            </w:r>
          </w:p>
        </w:tc>
        <w:tc>
          <w:tcPr>
            <w:tcW w:w="29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253A619C"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4BBF57D1"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0698C4F8"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Argentina</w:t>
            </w:r>
          </w:p>
        </w:tc>
        <w:tc>
          <w:tcPr>
            <w:tcW w:w="2600" w:type="dxa"/>
            <w:tcBorders>
              <w:top w:val="single" w:sz="4" w:space="0" w:color="FFFFFF"/>
              <w:left w:val="single" w:sz="4" w:space="0" w:color="auto"/>
              <w:bottom w:val="single" w:sz="4" w:space="0" w:color="FFFFFF"/>
              <w:right w:val="nil"/>
            </w:tcBorders>
            <w:shd w:val="clear" w:color="DDEBF7" w:fill="DDEBF7"/>
            <w:noWrap/>
            <w:vAlign w:val="bottom"/>
            <w:hideMark/>
          </w:tcPr>
          <w:p w14:paraId="2DC921FB"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r>
      <w:tr w:rsidR="00E43BAE" w:rsidRPr="00CF3C36" w14:paraId="65D06E52"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BDD7EE" w:fill="BDD7EE"/>
            <w:noWrap/>
            <w:vAlign w:val="bottom"/>
            <w:hideMark/>
          </w:tcPr>
          <w:p w14:paraId="06D6B891"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Czech Republic</w:t>
            </w:r>
          </w:p>
        </w:tc>
        <w:tc>
          <w:tcPr>
            <w:tcW w:w="29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76733FDB"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E65A2B4"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C1FADD4"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Brazil</w:t>
            </w:r>
          </w:p>
        </w:tc>
        <w:tc>
          <w:tcPr>
            <w:tcW w:w="2600" w:type="dxa"/>
            <w:tcBorders>
              <w:top w:val="single" w:sz="4" w:space="0" w:color="FFFFFF"/>
              <w:left w:val="single" w:sz="4" w:space="0" w:color="auto"/>
              <w:bottom w:val="single" w:sz="4" w:space="0" w:color="FFFFFF"/>
              <w:right w:val="nil"/>
            </w:tcBorders>
            <w:shd w:val="clear" w:color="BDD7EE" w:fill="BDD7EE"/>
            <w:noWrap/>
            <w:vAlign w:val="bottom"/>
            <w:hideMark/>
          </w:tcPr>
          <w:p w14:paraId="465C8112"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r>
      <w:tr w:rsidR="00E43BAE" w:rsidRPr="00CF3C36" w14:paraId="398AACEA"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DDEBF7" w:fill="DDEBF7"/>
            <w:noWrap/>
            <w:vAlign w:val="bottom"/>
            <w:hideMark/>
          </w:tcPr>
          <w:p w14:paraId="08253761"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Denmark</w:t>
            </w:r>
          </w:p>
        </w:tc>
        <w:tc>
          <w:tcPr>
            <w:tcW w:w="29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16CA33D2"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632BFE0"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43F7E43E"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Colombia</w:t>
            </w:r>
          </w:p>
        </w:tc>
        <w:tc>
          <w:tcPr>
            <w:tcW w:w="2600" w:type="dxa"/>
            <w:tcBorders>
              <w:top w:val="single" w:sz="4" w:space="0" w:color="FFFFFF"/>
              <w:left w:val="single" w:sz="4" w:space="0" w:color="auto"/>
              <w:bottom w:val="single" w:sz="4" w:space="0" w:color="FFFFFF"/>
              <w:right w:val="nil"/>
            </w:tcBorders>
            <w:shd w:val="clear" w:color="DDEBF7" w:fill="DDEBF7"/>
            <w:noWrap/>
            <w:vAlign w:val="bottom"/>
            <w:hideMark/>
          </w:tcPr>
          <w:p w14:paraId="17FBFFA2"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r>
      <w:tr w:rsidR="00E43BAE" w:rsidRPr="00CF3C36" w14:paraId="17B0C5BA"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BDD7EE" w:fill="BDD7EE"/>
            <w:noWrap/>
            <w:vAlign w:val="bottom"/>
            <w:hideMark/>
          </w:tcPr>
          <w:p w14:paraId="1818564A"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Estonia</w:t>
            </w:r>
          </w:p>
        </w:tc>
        <w:tc>
          <w:tcPr>
            <w:tcW w:w="29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78B32115"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0B09186B"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6FA8906"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Costa Rica</w:t>
            </w:r>
          </w:p>
        </w:tc>
        <w:tc>
          <w:tcPr>
            <w:tcW w:w="2600" w:type="dxa"/>
            <w:tcBorders>
              <w:top w:val="single" w:sz="4" w:space="0" w:color="FFFFFF"/>
              <w:left w:val="single" w:sz="4" w:space="0" w:color="auto"/>
              <w:bottom w:val="single" w:sz="4" w:space="0" w:color="FFFFFF"/>
              <w:right w:val="nil"/>
            </w:tcBorders>
            <w:shd w:val="clear" w:color="BDD7EE" w:fill="BDD7EE"/>
            <w:noWrap/>
            <w:vAlign w:val="bottom"/>
            <w:hideMark/>
          </w:tcPr>
          <w:p w14:paraId="0467A850"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r>
      <w:tr w:rsidR="00E43BAE" w:rsidRPr="00CF3C36" w14:paraId="0B47991D"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DDEBF7" w:fill="DDEBF7"/>
            <w:noWrap/>
            <w:vAlign w:val="bottom"/>
            <w:hideMark/>
          </w:tcPr>
          <w:p w14:paraId="739E410A"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Finland</w:t>
            </w:r>
          </w:p>
        </w:tc>
        <w:tc>
          <w:tcPr>
            <w:tcW w:w="29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19321FFC"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3301CA0F"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6B16E2C"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Mexico</w:t>
            </w:r>
          </w:p>
        </w:tc>
        <w:tc>
          <w:tcPr>
            <w:tcW w:w="2600" w:type="dxa"/>
            <w:tcBorders>
              <w:top w:val="single" w:sz="4" w:space="0" w:color="FFFFFF"/>
              <w:left w:val="single" w:sz="4" w:space="0" w:color="auto"/>
              <w:bottom w:val="single" w:sz="4" w:space="0" w:color="FFFFFF"/>
              <w:right w:val="nil"/>
            </w:tcBorders>
            <w:shd w:val="clear" w:color="DDEBF7" w:fill="DDEBF7"/>
            <w:noWrap/>
            <w:vAlign w:val="bottom"/>
            <w:hideMark/>
          </w:tcPr>
          <w:p w14:paraId="3FDC8E30"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r>
      <w:tr w:rsidR="00E43BAE" w:rsidRPr="00CF3C36" w14:paraId="6EE8A757"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BDD7EE" w:fill="BDD7EE"/>
            <w:noWrap/>
            <w:vAlign w:val="bottom"/>
            <w:hideMark/>
          </w:tcPr>
          <w:p w14:paraId="54C9A08F"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France</w:t>
            </w:r>
          </w:p>
        </w:tc>
        <w:tc>
          <w:tcPr>
            <w:tcW w:w="29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56218289"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E99B3E2"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4996D771"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Peru</w:t>
            </w:r>
          </w:p>
        </w:tc>
        <w:tc>
          <w:tcPr>
            <w:tcW w:w="2600" w:type="dxa"/>
            <w:tcBorders>
              <w:top w:val="single" w:sz="4" w:space="0" w:color="FFFFFF"/>
              <w:left w:val="single" w:sz="4" w:space="0" w:color="auto"/>
              <w:bottom w:val="single" w:sz="4" w:space="0" w:color="FFFFFF"/>
              <w:right w:val="nil"/>
            </w:tcBorders>
            <w:shd w:val="clear" w:color="BDD7EE" w:fill="BDD7EE"/>
            <w:noWrap/>
            <w:vAlign w:val="bottom"/>
            <w:hideMark/>
          </w:tcPr>
          <w:p w14:paraId="3AD3EAEF"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r>
      <w:tr w:rsidR="00E43BAE" w:rsidRPr="00CF3C36" w14:paraId="2053E174"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DDEBF7" w:fill="DDEBF7"/>
            <w:noWrap/>
            <w:vAlign w:val="bottom"/>
            <w:hideMark/>
          </w:tcPr>
          <w:p w14:paraId="6E68B09C"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Germany</w:t>
            </w:r>
          </w:p>
        </w:tc>
        <w:tc>
          <w:tcPr>
            <w:tcW w:w="29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414C4230"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25940C79"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3BAF3A0D"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Malta</w:t>
            </w:r>
          </w:p>
        </w:tc>
        <w:tc>
          <w:tcPr>
            <w:tcW w:w="2600" w:type="dxa"/>
            <w:tcBorders>
              <w:top w:val="single" w:sz="4" w:space="0" w:color="FFFFFF"/>
              <w:left w:val="single" w:sz="4" w:space="0" w:color="auto"/>
              <w:bottom w:val="single" w:sz="4" w:space="0" w:color="FFFFFF"/>
              <w:right w:val="nil"/>
            </w:tcBorders>
            <w:shd w:val="clear" w:color="DDEBF7" w:fill="DDEBF7"/>
            <w:noWrap/>
            <w:vAlign w:val="bottom"/>
            <w:hideMark/>
          </w:tcPr>
          <w:p w14:paraId="4C52D220"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Middle East &amp; North Africa</w:t>
            </w:r>
          </w:p>
        </w:tc>
      </w:tr>
      <w:tr w:rsidR="00E43BAE" w:rsidRPr="00CF3C36" w14:paraId="5B40BDFB"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BDD7EE" w:fill="BDD7EE"/>
            <w:noWrap/>
            <w:vAlign w:val="bottom"/>
            <w:hideMark/>
          </w:tcPr>
          <w:p w14:paraId="4CFCF216"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Greece</w:t>
            </w:r>
          </w:p>
        </w:tc>
        <w:tc>
          <w:tcPr>
            <w:tcW w:w="29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1EE012C1"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53C4B03"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45165DD9"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Morocco</w:t>
            </w:r>
          </w:p>
        </w:tc>
        <w:tc>
          <w:tcPr>
            <w:tcW w:w="2600" w:type="dxa"/>
            <w:tcBorders>
              <w:top w:val="single" w:sz="4" w:space="0" w:color="FFFFFF"/>
              <w:left w:val="single" w:sz="4" w:space="0" w:color="auto"/>
              <w:bottom w:val="single" w:sz="4" w:space="0" w:color="FFFFFF"/>
              <w:right w:val="nil"/>
            </w:tcBorders>
            <w:shd w:val="clear" w:color="BDD7EE" w:fill="BDD7EE"/>
            <w:noWrap/>
            <w:vAlign w:val="bottom"/>
            <w:hideMark/>
          </w:tcPr>
          <w:p w14:paraId="061B2AAC"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Middle East &amp; North Africa</w:t>
            </w:r>
          </w:p>
        </w:tc>
      </w:tr>
      <w:tr w:rsidR="00E43BAE" w:rsidRPr="00CF3C36" w14:paraId="4624D133"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DDEBF7" w:fill="DDEBF7"/>
            <w:noWrap/>
            <w:vAlign w:val="bottom"/>
            <w:hideMark/>
          </w:tcPr>
          <w:p w14:paraId="5DC53A8C"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Hungary</w:t>
            </w:r>
          </w:p>
        </w:tc>
        <w:tc>
          <w:tcPr>
            <w:tcW w:w="29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7263EA11"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E178CE0"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8847392"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Saudi Arabia</w:t>
            </w:r>
          </w:p>
        </w:tc>
        <w:tc>
          <w:tcPr>
            <w:tcW w:w="2600" w:type="dxa"/>
            <w:tcBorders>
              <w:top w:val="single" w:sz="4" w:space="0" w:color="FFFFFF"/>
              <w:left w:val="single" w:sz="4" w:space="0" w:color="auto"/>
              <w:bottom w:val="single" w:sz="4" w:space="0" w:color="FFFFFF"/>
              <w:right w:val="nil"/>
            </w:tcBorders>
            <w:shd w:val="clear" w:color="DDEBF7" w:fill="DDEBF7"/>
            <w:noWrap/>
            <w:vAlign w:val="bottom"/>
            <w:hideMark/>
          </w:tcPr>
          <w:p w14:paraId="3C528E2B"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Middle East &amp; North Africa</w:t>
            </w:r>
          </w:p>
        </w:tc>
      </w:tr>
      <w:tr w:rsidR="00E43BAE" w:rsidRPr="00CF3C36" w14:paraId="52540B40"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BDD7EE" w:fill="BDD7EE"/>
            <w:noWrap/>
            <w:vAlign w:val="bottom"/>
            <w:hideMark/>
          </w:tcPr>
          <w:p w14:paraId="0D7A799B"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Iceland</w:t>
            </w:r>
          </w:p>
        </w:tc>
        <w:tc>
          <w:tcPr>
            <w:tcW w:w="296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2E97EE40"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8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59BD6E8"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6904AF7"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Tunisia</w:t>
            </w:r>
          </w:p>
        </w:tc>
        <w:tc>
          <w:tcPr>
            <w:tcW w:w="2600" w:type="dxa"/>
            <w:tcBorders>
              <w:top w:val="single" w:sz="4" w:space="0" w:color="FFFFFF"/>
              <w:left w:val="single" w:sz="4" w:space="0" w:color="auto"/>
              <w:bottom w:val="single" w:sz="4" w:space="0" w:color="FFFFFF"/>
              <w:right w:val="nil"/>
            </w:tcBorders>
            <w:shd w:val="clear" w:color="BDD7EE" w:fill="BDD7EE"/>
            <w:noWrap/>
            <w:vAlign w:val="bottom"/>
            <w:hideMark/>
          </w:tcPr>
          <w:p w14:paraId="3898A08D"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Middle East &amp; North Africa</w:t>
            </w:r>
          </w:p>
        </w:tc>
      </w:tr>
      <w:tr w:rsidR="00E43BAE" w:rsidRPr="00CF3C36" w14:paraId="6FDAAC5D" w14:textId="77777777" w:rsidTr="00E43BAE">
        <w:trPr>
          <w:trHeight w:val="300"/>
        </w:trPr>
        <w:tc>
          <w:tcPr>
            <w:tcW w:w="1372" w:type="dxa"/>
            <w:tcBorders>
              <w:top w:val="single" w:sz="4" w:space="0" w:color="FFFFFF"/>
              <w:left w:val="nil"/>
              <w:bottom w:val="single" w:sz="4" w:space="0" w:color="FFFFFF"/>
              <w:right w:val="single" w:sz="4" w:space="0" w:color="FFFFFF"/>
            </w:tcBorders>
            <w:shd w:val="clear" w:color="DDEBF7" w:fill="DDEBF7"/>
            <w:noWrap/>
            <w:vAlign w:val="bottom"/>
            <w:hideMark/>
          </w:tcPr>
          <w:p w14:paraId="7D4081C5"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Ireland</w:t>
            </w:r>
          </w:p>
        </w:tc>
        <w:tc>
          <w:tcPr>
            <w:tcW w:w="296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2EBF5582"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8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D402846"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215613A5"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India</w:t>
            </w:r>
          </w:p>
        </w:tc>
        <w:tc>
          <w:tcPr>
            <w:tcW w:w="2600" w:type="dxa"/>
            <w:tcBorders>
              <w:top w:val="single" w:sz="4" w:space="0" w:color="FFFFFF"/>
              <w:left w:val="single" w:sz="4" w:space="0" w:color="auto"/>
              <w:bottom w:val="single" w:sz="4" w:space="0" w:color="FFFFFF"/>
              <w:right w:val="nil"/>
            </w:tcBorders>
            <w:shd w:val="clear" w:color="DDEBF7" w:fill="DDEBF7"/>
            <w:noWrap/>
            <w:vAlign w:val="bottom"/>
            <w:hideMark/>
          </w:tcPr>
          <w:p w14:paraId="7E3C717C"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South Asia</w:t>
            </w:r>
          </w:p>
        </w:tc>
      </w:tr>
      <w:tr w:rsidR="00E43BAE" w:rsidRPr="00CF3C36" w14:paraId="069F9288" w14:textId="77777777" w:rsidTr="00E43BAE">
        <w:trPr>
          <w:trHeight w:val="300"/>
        </w:trPr>
        <w:tc>
          <w:tcPr>
            <w:tcW w:w="1372" w:type="dxa"/>
            <w:tcBorders>
              <w:top w:val="single" w:sz="4" w:space="0" w:color="FFFFFF"/>
              <w:left w:val="nil"/>
              <w:bottom w:val="nil"/>
              <w:right w:val="single" w:sz="4" w:space="0" w:color="FFFFFF"/>
            </w:tcBorders>
            <w:shd w:val="clear" w:color="BDD7EE" w:fill="BDD7EE"/>
            <w:noWrap/>
            <w:vAlign w:val="bottom"/>
            <w:hideMark/>
          </w:tcPr>
          <w:p w14:paraId="3313519D"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Israel</w:t>
            </w:r>
          </w:p>
        </w:tc>
        <w:tc>
          <w:tcPr>
            <w:tcW w:w="2960" w:type="dxa"/>
            <w:tcBorders>
              <w:top w:val="single" w:sz="4" w:space="0" w:color="FFFFFF"/>
              <w:left w:val="single" w:sz="4" w:space="0" w:color="auto"/>
              <w:bottom w:val="nil"/>
              <w:right w:val="single" w:sz="4" w:space="0" w:color="FFFFFF"/>
            </w:tcBorders>
            <w:shd w:val="clear" w:color="BDD7EE" w:fill="BDD7EE"/>
            <w:noWrap/>
            <w:vAlign w:val="bottom"/>
            <w:hideMark/>
          </w:tcPr>
          <w:p w14:paraId="072EC82F"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80" w:type="dxa"/>
            <w:tcBorders>
              <w:top w:val="single" w:sz="4" w:space="0" w:color="FFFFFF"/>
              <w:left w:val="single" w:sz="4" w:space="0" w:color="FFFFFF"/>
              <w:bottom w:val="nil"/>
              <w:right w:val="single" w:sz="4" w:space="0" w:color="FFFFFF"/>
            </w:tcBorders>
            <w:shd w:val="clear" w:color="BDD7EE" w:fill="BDD7EE"/>
            <w:noWrap/>
            <w:vAlign w:val="bottom"/>
            <w:hideMark/>
          </w:tcPr>
          <w:p w14:paraId="28C265E1" w14:textId="77777777" w:rsidR="00E43BAE" w:rsidRPr="00CF3C36" w:rsidRDefault="00E43BAE" w:rsidP="00E43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nil"/>
              <w:right w:val="single" w:sz="4" w:space="0" w:color="FFFFFF"/>
            </w:tcBorders>
            <w:shd w:val="clear" w:color="BDD7EE" w:fill="BDD7EE"/>
            <w:noWrap/>
            <w:vAlign w:val="bottom"/>
            <w:hideMark/>
          </w:tcPr>
          <w:p w14:paraId="44CB220F"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South Africa</w:t>
            </w:r>
          </w:p>
        </w:tc>
        <w:tc>
          <w:tcPr>
            <w:tcW w:w="2600" w:type="dxa"/>
            <w:tcBorders>
              <w:top w:val="single" w:sz="4" w:space="0" w:color="FFFFFF"/>
              <w:left w:val="single" w:sz="4" w:space="0" w:color="auto"/>
              <w:bottom w:val="nil"/>
              <w:right w:val="nil"/>
            </w:tcBorders>
            <w:shd w:val="clear" w:color="BDD7EE" w:fill="BDD7EE"/>
            <w:noWrap/>
            <w:vAlign w:val="bottom"/>
            <w:hideMark/>
          </w:tcPr>
          <w:p w14:paraId="3FE67191" w14:textId="77777777" w:rsidR="00E43BAE" w:rsidRPr="00CF3C36" w:rsidRDefault="00E43BAE" w:rsidP="00E43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Sub-Saharan Africa</w:t>
            </w:r>
          </w:p>
        </w:tc>
      </w:tr>
    </w:tbl>
    <w:p w14:paraId="095571DB" w14:textId="22C832F8" w:rsidR="0053063A" w:rsidRPr="00CF3C36" w:rsidRDefault="0053063A" w:rsidP="000E0840">
      <w:pPr>
        <w:rPr>
          <w:i/>
          <w:lang w:val="en-GB"/>
        </w:rPr>
      </w:pPr>
    </w:p>
    <w:p w14:paraId="7558065E" w14:textId="77777777" w:rsidR="00E43BAE" w:rsidRPr="00CF3C36" w:rsidRDefault="00E43BAE" w:rsidP="000E0840">
      <w:pPr>
        <w:rPr>
          <w:i/>
          <w:lang w:val="en-GB"/>
        </w:rPr>
      </w:pPr>
    </w:p>
    <w:p w14:paraId="7C785506" w14:textId="77777777" w:rsidR="0053063A" w:rsidRPr="00CF3C36" w:rsidRDefault="0053063A" w:rsidP="000E0840">
      <w:pPr>
        <w:rPr>
          <w:i/>
          <w:lang w:val="en-GB"/>
        </w:rPr>
      </w:pPr>
    </w:p>
    <w:p w14:paraId="0A2EB636" w14:textId="77777777" w:rsidR="0053063A" w:rsidRPr="00CF3C36" w:rsidRDefault="0053063A" w:rsidP="000E0840">
      <w:pPr>
        <w:rPr>
          <w:i/>
          <w:lang w:val="en-GB"/>
        </w:rPr>
      </w:pPr>
    </w:p>
    <w:p w14:paraId="4D08E7FD" w14:textId="77777777" w:rsidR="0053063A" w:rsidRPr="00CF3C36" w:rsidRDefault="0053063A" w:rsidP="000E0840">
      <w:pPr>
        <w:rPr>
          <w:i/>
          <w:lang w:val="en-GB"/>
        </w:rPr>
      </w:pPr>
    </w:p>
    <w:p w14:paraId="013103AC" w14:textId="5F648FED" w:rsidR="0053063A" w:rsidRPr="00CF3C36" w:rsidRDefault="0053063A" w:rsidP="000E0840">
      <w:pPr>
        <w:rPr>
          <w:i/>
          <w:lang w:val="en-GB"/>
        </w:rPr>
      </w:pPr>
    </w:p>
    <w:p w14:paraId="2EA66FFE" w14:textId="77777777" w:rsidR="00AC6BAE" w:rsidRPr="00CF3C36" w:rsidRDefault="00AC6BAE" w:rsidP="000E0840">
      <w:pPr>
        <w:rPr>
          <w:i/>
          <w:lang w:val="en-GB"/>
        </w:rPr>
      </w:pPr>
    </w:p>
    <w:p w14:paraId="2FF265FE" w14:textId="391D4955" w:rsidR="00AC6BAE" w:rsidRPr="00CF3C36" w:rsidRDefault="000F7FD0" w:rsidP="00AC6BAE">
      <w:pPr>
        <w:pStyle w:val="Heading5"/>
        <w:jc w:val="center"/>
        <w:rPr>
          <w:lang w:val="en-GB"/>
        </w:rPr>
      </w:pPr>
      <w:bookmarkStart w:id="37" w:name="_Toc15475670"/>
      <w:r w:rsidRPr="00CF3C36">
        <w:rPr>
          <w:lang w:val="en-GB"/>
        </w:rPr>
        <w:lastRenderedPageBreak/>
        <w:t>Table 7. Countries in M</w:t>
      </w:r>
      <w:r w:rsidR="00AC6BAE" w:rsidRPr="00CF3C36">
        <w:rPr>
          <w:lang w:val="en-GB"/>
        </w:rPr>
        <w:t>odel 2</w:t>
      </w:r>
      <w:bookmarkEnd w:id="37"/>
    </w:p>
    <w:tbl>
      <w:tblPr>
        <w:tblW w:w="9700" w:type="dxa"/>
        <w:tblCellMar>
          <w:left w:w="70" w:type="dxa"/>
          <w:right w:w="70" w:type="dxa"/>
        </w:tblCellMar>
        <w:tblLook w:val="04A0" w:firstRow="1" w:lastRow="0" w:firstColumn="1" w:lastColumn="0" w:noHBand="0" w:noVBand="1"/>
      </w:tblPr>
      <w:tblGrid>
        <w:gridCol w:w="1900"/>
        <w:gridCol w:w="2600"/>
        <w:gridCol w:w="960"/>
        <w:gridCol w:w="1840"/>
        <w:gridCol w:w="2400"/>
      </w:tblGrid>
      <w:tr w:rsidR="00BB0E54" w:rsidRPr="00CF3C36" w14:paraId="20EF64F3" w14:textId="77777777" w:rsidTr="00BB0E54">
        <w:trPr>
          <w:trHeight w:val="300"/>
        </w:trPr>
        <w:tc>
          <w:tcPr>
            <w:tcW w:w="1900" w:type="dxa"/>
            <w:tcBorders>
              <w:top w:val="nil"/>
              <w:left w:val="nil"/>
              <w:bottom w:val="single" w:sz="4" w:space="0" w:color="auto"/>
              <w:right w:val="nil"/>
            </w:tcBorders>
            <w:shd w:val="clear" w:color="000000" w:fill="9BC2E6"/>
            <w:noWrap/>
            <w:vAlign w:val="bottom"/>
            <w:hideMark/>
          </w:tcPr>
          <w:p w14:paraId="6BD19B6E" w14:textId="77777777" w:rsidR="00BB0E54" w:rsidRPr="00CF3C36" w:rsidRDefault="00BB0E54" w:rsidP="00BB0E54">
            <w:pPr>
              <w:spacing w:after="0" w:line="240" w:lineRule="auto"/>
              <w:rPr>
                <w:rFonts w:ascii="Calibri" w:eastAsia="Times New Roman" w:hAnsi="Calibri" w:cs="Calibri"/>
                <w:b/>
                <w:bCs/>
                <w:i/>
                <w:iCs/>
                <w:color w:val="000000"/>
                <w:lang w:val="en-GB" w:eastAsia="nl-NL"/>
              </w:rPr>
            </w:pPr>
            <w:r w:rsidRPr="00CF3C36">
              <w:rPr>
                <w:rFonts w:ascii="Calibri" w:eastAsia="Times New Roman" w:hAnsi="Calibri" w:cs="Calibri"/>
                <w:b/>
                <w:bCs/>
                <w:i/>
                <w:iCs/>
                <w:color w:val="000000"/>
                <w:lang w:val="en-GB" w:eastAsia="nl-NL"/>
              </w:rPr>
              <w:t>Country</w:t>
            </w:r>
          </w:p>
        </w:tc>
        <w:tc>
          <w:tcPr>
            <w:tcW w:w="2600" w:type="dxa"/>
            <w:tcBorders>
              <w:top w:val="nil"/>
              <w:left w:val="nil"/>
              <w:bottom w:val="single" w:sz="4" w:space="0" w:color="auto"/>
              <w:right w:val="nil"/>
            </w:tcBorders>
            <w:shd w:val="clear" w:color="000000" w:fill="9BC2E6"/>
            <w:noWrap/>
            <w:vAlign w:val="bottom"/>
            <w:hideMark/>
          </w:tcPr>
          <w:p w14:paraId="6344B223" w14:textId="77777777" w:rsidR="00BB0E54" w:rsidRPr="00CF3C36" w:rsidRDefault="00BB0E54" w:rsidP="00BB0E54">
            <w:pPr>
              <w:spacing w:after="0" w:line="240" w:lineRule="auto"/>
              <w:rPr>
                <w:rFonts w:ascii="Calibri" w:eastAsia="Times New Roman" w:hAnsi="Calibri" w:cs="Calibri"/>
                <w:b/>
                <w:bCs/>
                <w:i/>
                <w:iCs/>
                <w:color w:val="000000"/>
                <w:lang w:val="en-GB" w:eastAsia="nl-NL"/>
              </w:rPr>
            </w:pPr>
            <w:r w:rsidRPr="00CF3C36">
              <w:rPr>
                <w:rFonts w:ascii="Calibri" w:eastAsia="Times New Roman" w:hAnsi="Calibri" w:cs="Calibri"/>
                <w:b/>
                <w:bCs/>
                <w:i/>
                <w:iCs/>
                <w:color w:val="000000"/>
                <w:lang w:val="en-GB" w:eastAsia="nl-NL"/>
              </w:rPr>
              <w:t>Region</w:t>
            </w:r>
          </w:p>
        </w:tc>
        <w:tc>
          <w:tcPr>
            <w:tcW w:w="960" w:type="dxa"/>
            <w:tcBorders>
              <w:top w:val="nil"/>
              <w:left w:val="nil"/>
              <w:bottom w:val="single" w:sz="4" w:space="0" w:color="auto"/>
              <w:right w:val="nil"/>
            </w:tcBorders>
            <w:shd w:val="clear" w:color="000000" w:fill="9BC2E6"/>
            <w:noWrap/>
            <w:vAlign w:val="bottom"/>
            <w:hideMark/>
          </w:tcPr>
          <w:p w14:paraId="5D72C733" w14:textId="77777777" w:rsidR="00BB0E54" w:rsidRPr="00CF3C36" w:rsidRDefault="00BB0E54" w:rsidP="00BB0E54">
            <w:pPr>
              <w:spacing w:after="0" w:line="240" w:lineRule="auto"/>
              <w:rPr>
                <w:rFonts w:ascii="Calibri" w:eastAsia="Times New Roman" w:hAnsi="Calibri" w:cs="Calibri"/>
                <w:b/>
                <w:bCs/>
                <w:i/>
                <w:iCs/>
                <w:color w:val="000000"/>
                <w:lang w:val="en-GB" w:eastAsia="nl-NL"/>
              </w:rPr>
            </w:pPr>
            <w:r w:rsidRPr="00CF3C36">
              <w:rPr>
                <w:rFonts w:ascii="Calibri" w:eastAsia="Times New Roman" w:hAnsi="Calibri" w:cs="Calibri"/>
                <w:b/>
                <w:bCs/>
                <w:i/>
                <w:iCs/>
                <w:color w:val="000000"/>
                <w:lang w:val="en-GB" w:eastAsia="nl-NL"/>
              </w:rPr>
              <w:t> </w:t>
            </w:r>
          </w:p>
        </w:tc>
        <w:tc>
          <w:tcPr>
            <w:tcW w:w="1840" w:type="dxa"/>
            <w:tcBorders>
              <w:top w:val="nil"/>
              <w:left w:val="nil"/>
              <w:bottom w:val="single" w:sz="4" w:space="0" w:color="auto"/>
              <w:right w:val="nil"/>
            </w:tcBorders>
            <w:shd w:val="clear" w:color="000000" w:fill="9BC2E6"/>
            <w:noWrap/>
            <w:vAlign w:val="bottom"/>
            <w:hideMark/>
          </w:tcPr>
          <w:p w14:paraId="1750CB3E" w14:textId="77777777" w:rsidR="00BB0E54" w:rsidRPr="00CF3C36" w:rsidRDefault="00BB0E54" w:rsidP="00BB0E54">
            <w:pPr>
              <w:spacing w:after="0" w:line="240" w:lineRule="auto"/>
              <w:rPr>
                <w:rFonts w:ascii="Calibri" w:eastAsia="Times New Roman" w:hAnsi="Calibri" w:cs="Calibri"/>
                <w:b/>
                <w:bCs/>
                <w:i/>
                <w:iCs/>
                <w:color w:val="000000"/>
                <w:lang w:val="en-GB" w:eastAsia="nl-NL"/>
              </w:rPr>
            </w:pPr>
            <w:r w:rsidRPr="00CF3C36">
              <w:rPr>
                <w:rFonts w:ascii="Calibri" w:eastAsia="Times New Roman" w:hAnsi="Calibri" w:cs="Calibri"/>
                <w:b/>
                <w:bCs/>
                <w:i/>
                <w:iCs/>
                <w:color w:val="000000"/>
                <w:lang w:val="en-GB" w:eastAsia="nl-NL"/>
              </w:rPr>
              <w:t>Country</w:t>
            </w:r>
          </w:p>
        </w:tc>
        <w:tc>
          <w:tcPr>
            <w:tcW w:w="2400" w:type="dxa"/>
            <w:tcBorders>
              <w:top w:val="nil"/>
              <w:left w:val="nil"/>
              <w:bottom w:val="single" w:sz="4" w:space="0" w:color="auto"/>
              <w:right w:val="nil"/>
            </w:tcBorders>
            <w:shd w:val="clear" w:color="000000" w:fill="9BC2E6"/>
            <w:noWrap/>
            <w:vAlign w:val="bottom"/>
            <w:hideMark/>
          </w:tcPr>
          <w:p w14:paraId="1191C997" w14:textId="77777777" w:rsidR="00BB0E54" w:rsidRPr="00CF3C36" w:rsidRDefault="00BB0E54" w:rsidP="00BB0E54">
            <w:pPr>
              <w:spacing w:after="0" w:line="240" w:lineRule="auto"/>
              <w:rPr>
                <w:rFonts w:ascii="Calibri" w:eastAsia="Times New Roman" w:hAnsi="Calibri" w:cs="Calibri"/>
                <w:b/>
                <w:bCs/>
                <w:i/>
                <w:iCs/>
                <w:color w:val="000000"/>
                <w:lang w:val="en-GB" w:eastAsia="nl-NL"/>
              </w:rPr>
            </w:pPr>
            <w:r w:rsidRPr="00CF3C36">
              <w:rPr>
                <w:rFonts w:ascii="Calibri" w:eastAsia="Times New Roman" w:hAnsi="Calibri" w:cs="Calibri"/>
                <w:b/>
                <w:bCs/>
                <w:i/>
                <w:iCs/>
                <w:color w:val="000000"/>
                <w:lang w:val="en-GB" w:eastAsia="nl-NL"/>
              </w:rPr>
              <w:t>Region</w:t>
            </w:r>
          </w:p>
        </w:tc>
      </w:tr>
      <w:tr w:rsidR="00BB0E54" w:rsidRPr="00CF3C36" w14:paraId="74C79360" w14:textId="77777777" w:rsidTr="00BB0E54">
        <w:trPr>
          <w:trHeight w:val="300"/>
        </w:trPr>
        <w:tc>
          <w:tcPr>
            <w:tcW w:w="1900" w:type="dxa"/>
            <w:tcBorders>
              <w:top w:val="nil"/>
              <w:left w:val="nil"/>
              <w:bottom w:val="single" w:sz="4" w:space="0" w:color="FFFFFF"/>
              <w:right w:val="single" w:sz="4" w:space="0" w:color="FFFFFF"/>
            </w:tcBorders>
            <w:shd w:val="clear" w:color="BDD7EE" w:fill="BDD7EE"/>
            <w:noWrap/>
            <w:vAlign w:val="bottom"/>
            <w:hideMark/>
          </w:tcPr>
          <w:p w14:paraId="1B006F82"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Cambodia</w:t>
            </w:r>
          </w:p>
        </w:tc>
        <w:tc>
          <w:tcPr>
            <w:tcW w:w="2600" w:type="dxa"/>
            <w:tcBorders>
              <w:top w:val="single" w:sz="4" w:space="0" w:color="auto"/>
              <w:left w:val="single" w:sz="4" w:space="0" w:color="auto"/>
              <w:bottom w:val="single" w:sz="4" w:space="0" w:color="FFFFFF"/>
              <w:right w:val="single" w:sz="4" w:space="0" w:color="FFFFFF"/>
            </w:tcBorders>
            <w:shd w:val="clear" w:color="BDD7EE" w:fill="BDD7EE"/>
            <w:noWrap/>
            <w:vAlign w:val="bottom"/>
            <w:hideMark/>
          </w:tcPr>
          <w:p w14:paraId="7AC28EA9"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960" w:type="dxa"/>
            <w:tcBorders>
              <w:top w:val="nil"/>
              <w:left w:val="single" w:sz="4" w:space="0" w:color="FFFFFF"/>
              <w:bottom w:val="single" w:sz="4" w:space="0" w:color="FFFFFF"/>
              <w:right w:val="nil"/>
            </w:tcBorders>
            <w:shd w:val="clear" w:color="BDD7EE" w:fill="BDD7EE"/>
            <w:noWrap/>
            <w:vAlign w:val="bottom"/>
            <w:hideMark/>
          </w:tcPr>
          <w:p w14:paraId="14E7F1B1"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single" w:sz="4" w:space="0" w:color="FFFFFF"/>
              <w:left w:val="nil"/>
              <w:bottom w:val="single" w:sz="4" w:space="0" w:color="FFFFFF"/>
              <w:right w:val="single" w:sz="4" w:space="0" w:color="FFFFFF"/>
            </w:tcBorders>
            <w:shd w:val="clear" w:color="BDD7EE" w:fill="BDD7EE"/>
            <w:noWrap/>
            <w:vAlign w:val="bottom"/>
            <w:hideMark/>
          </w:tcPr>
          <w:p w14:paraId="212FD65D"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Czech Republic</w:t>
            </w:r>
          </w:p>
        </w:tc>
        <w:tc>
          <w:tcPr>
            <w:tcW w:w="2400" w:type="dxa"/>
            <w:tcBorders>
              <w:top w:val="single" w:sz="4" w:space="0" w:color="FFFFFF"/>
              <w:left w:val="single" w:sz="4" w:space="0" w:color="auto"/>
              <w:bottom w:val="single" w:sz="4" w:space="0" w:color="FFFFFF"/>
              <w:right w:val="nil"/>
            </w:tcBorders>
            <w:shd w:val="clear" w:color="BDD7EE" w:fill="BDD7EE"/>
            <w:noWrap/>
            <w:vAlign w:val="bottom"/>
            <w:hideMark/>
          </w:tcPr>
          <w:p w14:paraId="433F7711" w14:textId="4ABA5C71" w:rsidR="00BB0E54" w:rsidRPr="00CF3C36" w:rsidRDefault="00AC6BAE"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1C786587"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276DBFAA"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China</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385EA4EA"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960" w:type="dxa"/>
            <w:tcBorders>
              <w:top w:val="single" w:sz="4" w:space="0" w:color="FFFFFF"/>
              <w:left w:val="single" w:sz="4" w:space="0" w:color="FFFFFF"/>
              <w:bottom w:val="single" w:sz="4" w:space="0" w:color="FFFFFF"/>
              <w:right w:val="nil"/>
            </w:tcBorders>
            <w:shd w:val="clear" w:color="DDEBF7" w:fill="DDEBF7"/>
            <w:noWrap/>
            <w:vAlign w:val="bottom"/>
            <w:hideMark/>
          </w:tcPr>
          <w:p w14:paraId="21E97BC7"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DDEBF7" w:fill="DDEBF7"/>
            <w:noWrap/>
            <w:vAlign w:val="bottom"/>
            <w:hideMark/>
          </w:tcPr>
          <w:p w14:paraId="153E41CF"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Denmark</w:t>
            </w:r>
          </w:p>
        </w:tc>
        <w:tc>
          <w:tcPr>
            <w:tcW w:w="2400" w:type="dxa"/>
            <w:tcBorders>
              <w:top w:val="nil"/>
              <w:left w:val="single" w:sz="4" w:space="0" w:color="auto"/>
              <w:bottom w:val="single" w:sz="4" w:space="0" w:color="FFFFFF"/>
              <w:right w:val="nil"/>
            </w:tcBorders>
            <w:shd w:val="clear" w:color="DDEBF7" w:fill="DDEBF7"/>
            <w:noWrap/>
            <w:vAlign w:val="bottom"/>
            <w:hideMark/>
          </w:tcPr>
          <w:p w14:paraId="106F64BD"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09515D25"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51DBAEBA"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Indonesia</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73CB08BB"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960" w:type="dxa"/>
            <w:tcBorders>
              <w:top w:val="single" w:sz="4" w:space="0" w:color="FFFFFF"/>
              <w:left w:val="single" w:sz="4" w:space="0" w:color="FFFFFF"/>
              <w:bottom w:val="single" w:sz="4" w:space="0" w:color="FFFFFF"/>
              <w:right w:val="nil"/>
            </w:tcBorders>
            <w:shd w:val="clear" w:color="BDD7EE" w:fill="BDD7EE"/>
            <w:noWrap/>
            <w:vAlign w:val="bottom"/>
            <w:hideMark/>
          </w:tcPr>
          <w:p w14:paraId="4F1AF51B"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BDD7EE" w:fill="BDD7EE"/>
            <w:noWrap/>
            <w:vAlign w:val="bottom"/>
            <w:hideMark/>
          </w:tcPr>
          <w:p w14:paraId="5839DA5C"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Estonia</w:t>
            </w:r>
          </w:p>
        </w:tc>
        <w:tc>
          <w:tcPr>
            <w:tcW w:w="2400" w:type="dxa"/>
            <w:tcBorders>
              <w:top w:val="nil"/>
              <w:left w:val="single" w:sz="4" w:space="0" w:color="auto"/>
              <w:bottom w:val="single" w:sz="4" w:space="0" w:color="FFFFFF"/>
              <w:right w:val="nil"/>
            </w:tcBorders>
            <w:shd w:val="clear" w:color="BDD7EE" w:fill="BDD7EE"/>
            <w:noWrap/>
            <w:vAlign w:val="bottom"/>
            <w:hideMark/>
          </w:tcPr>
          <w:p w14:paraId="3E7AD530"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4FD07FC2"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116F0B98"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Malaysia</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6C1C6DB4"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960" w:type="dxa"/>
            <w:tcBorders>
              <w:top w:val="single" w:sz="4" w:space="0" w:color="FFFFFF"/>
              <w:left w:val="single" w:sz="4" w:space="0" w:color="FFFFFF"/>
              <w:bottom w:val="single" w:sz="4" w:space="0" w:color="FFFFFF"/>
              <w:right w:val="nil"/>
            </w:tcBorders>
            <w:shd w:val="clear" w:color="DDEBF7" w:fill="DDEBF7"/>
            <w:noWrap/>
            <w:vAlign w:val="bottom"/>
            <w:hideMark/>
          </w:tcPr>
          <w:p w14:paraId="19A98808"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DDEBF7" w:fill="DDEBF7"/>
            <w:noWrap/>
            <w:vAlign w:val="bottom"/>
            <w:hideMark/>
          </w:tcPr>
          <w:p w14:paraId="17D45547"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Finland</w:t>
            </w:r>
          </w:p>
        </w:tc>
        <w:tc>
          <w:tcPr>
            <w:tcW w:w="2400" w:type="dxa"/>
            <w:tcBorders>
              <w:top w:val="nil"/>
              <w:left w:val="single" w:sz="4" w:space="0" w:color="auto"/>
              <w:bottom w:val="single" w:sz="4" w:space="0" w:color="FFFFFF"/>
              <w:right w:val="nil"/>
            </w:tcBorders>
            <w:shd w:val="clear" w:color="DDEBF7" w:fill="DDEBF7"/>
            <w:noWrap/>
            <w:vAlign w:val="bottom"/>
            <w:hideMark/>
          </w:tcPr>
          <w:p w14:paraId="47D84B60"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6C275574"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0CC2262C"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Philippines</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0F3F20A8"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960" w:type="dxa"/>
            <w:tcBorders>
              <w:top w:val="single" w:sz="4" w:space="0" w:color="FFFFFF"/>
              <w:left w:val="single" w:sz="4" w:space="0" w:color="FFFFFF"/>
              <w:bottom w:val="single" w:sz="4" w:space="0" w:color="FFFFFF"/>
              <w:right w:val="nil"/>
            </w:tcBorders>
            <w:shd w:val="clear" w:color="BDD7EE" w:fill="BDD7EE"/>
            <w:noWrap/>
            <w:vAlign w:val="bottom"/>
            <w:hideMark/>
          </w:tcPr>
          <w:p w14:paraId="03D48921"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BDD7EE" w:fill="BDD7EE"/>
            <w:noWrap/>
            <w:vAlign w:val="bottom"/>
            <w:hideMark/>
          </w:tcPr>
          <w:p w14:paraId="0B9D5E08"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France</w:t>
            </w:r>
          </w:p>
        </w:tc>
        <w:tc>
          <w:tcPr>
            <w:tcW w:w="2400" w:type="dxa"/>
            <w:tcBorders>
              <w:top w:val="nil"/>
              <w:left w:val="single" w:sz="4" w:space="0" w:color="auto"/>
              <w:bottom w:val="single" w:sz="4" w:space="0" w:color="FFFFFF"/>
              <w:right w:val="nil"/>
            </w:tcBorders>
            <w:shd w:val="clear" w:color="BDD7EE" w:fill="BDD7EE"/>
            <w:noWrap/>
            <w:vAlign w:val="bottom"/>
            <w:hideMark/>
          </w:tcPr>
          <w:p w14:paraId="2F2CFE5F"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3B42CD90"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3C064644"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Singapore</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57C273BF"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960" w:type="dxa"/>
            <w:tcBorders>
              <w:top w:val="single" w:sz="4" w:space="0" w:color="FFFFFF"/>
              <w:left w:val="single" w:sz="4" w:space="0" w:color="FFFFFF"/>
              <w:bottom w:val="single" w:sz="4" w:space="0" w:color="FFFFFF"/>
              <w:right w:val="nil"/>
            </w:tcBorders>
            <w:shd w:val="clear" w:color="DDEBF7" w:fill="DDEBF7"/>
            <w:noWrap/>
            <w:vAlign w:val="bottom"/>
            <w:hideMark/>
          </w:tcPr>
          <w:p w14:paraId="59DF4672"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DDEBF7" w:fill="DDEBF7"/>
            <w:noWrap/>
            <w:vAlign w:val="bottom"/>
            <w:hideMark/>
          </w:tcPr>
          <w:p w14:paraId="659E5802"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Germany</w:t>
            </w:r>
          </w:p>
        </w:tc>
        <w:tc>
          <w:tcPr>
            <w:tcW w:w="2400" w:type="dxa"/>
            <w:tcBorders>
              <w:top w:val="nil"/>
              <w:left w:val="single" w:sz="4" w:space="0" w:color="auto"/>
              <w:bottom w:val="single" w:sz="4" w:space="0" w:color="FFFFFF"/>
              <w:right w:val="nil"/>
            </w:tcBorders>
            <w:shd w:val="clear" w:color="DDEBF7" w:fill="DDEBF7"/>
            <w:noWrap/>
            <w:vAlign w:val="bottom"/>
            <w:hideMark/>
          </w:tcPr>
          <w:p w14:paraId="06A32157"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16846C75"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0CD4E7AE"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Thailand</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5EC8B3EF"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960" w:type="dxa"/>
            <w:tcBorders>
              <w:top w:val="single" w:sz="4" w:space="0" w:color="FFFFFF"/>
              <w:left w:val="single" w:sz="4" w:space="0" w:color="FFFFFF"/>
              <w:bottom w:val="single" w:sz="4" w:space="0" w:color="FFFFFF"/>
              <w:right w:val="nil"/>
            </w:tcBorders>
            <w:shd w:val="clear" w:color="BDD7EE" w:fill="BDD7EE"/>
            <w:noWrap/>
            <w:vAlign w:val="bottom"/>
            <w:hideMark/>
          </w:tcPr>
          <w:p w14:paraId="54ABBABB"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BDD7EE" w:fill="BDD7EE"/>
            <w:noWrap/>
            <w:vAlign w:val="bottom"/>
            <w:hideMark/>
          </w:tcPr>
          <w:p w14:paraId="5B2768C8"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Greece</w:t>
            </w:r>
          </w:p>
        </w:tc>
        <w:tc>
          <w:tcPr>
            <w:tcW w:w="2400" w:type="dxa"/>
            <w:tcBorders>
              <w:top w:val="nil"/>
              <w:left w:val="single" w:sz="4" w:space="0" w:color="auto"/>
              <w:bottom w:val="single" w:sz="4" w:space="0" w:color="FFFFFF"/>
              <w:right w:val="nil"/>
            </w:tcBorders>
            <w:shd w:val="clear" w:color="BDD7EE" w:fill="BDD7EE"/>
            <w:noWrap/>
            <w:vAlign w:val="bottom"/>
            <w:hideMark/>
          </w:tcPr>
          <w:p w14:paraId="11EB9A20"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17B5644E"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71418C22"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Armenia</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7AA9E710"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Europe &amp; Cental Asia</w:t>
            </w:r>
          </w:p>
        </w:tc>
        <w:tc>
          <w:tcPr>
            <w:tcW w:w="960" w:type="dxa"/>
            <w:tcBorders>
              <w:top w:val="single" w:sz="4" w:space="0" w:color="FFFFFF"/>
              <w:left w:val="single" w:sz="4" w:space="0" w:color="FFFFFF"/>
              <w:bottom w:val="single" w:sz="4" w:space="0" w:color="FFFFFF"/>
              <w:right w:val="nil"/>
            </w:tcBorders>
            <w:shd w:val="clear" w:color="DDEBF7" w:fill="DDEBF7"/>
            <w:noWrap/>
            <w:vAlign w:val="bottom"/>
            <w:hideMark/>
          </w:tcPr>
          <w:p w14:paraId="6312549C"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DDEBF7" w:fill="DDEBF7"/>
            <w:noWrap/>
            <w:vAlign w:val="bottom"/>
            <w:hideMark/>
          </w:tcPr>
          <w:p w14:paraId="5144D1FE"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Hungary</w:t>
            </w:r>
          </w:p>
        </w:tc>
        <w:tc>
          <w:tcPr>
            <w:tcW w:w="2400" w:type="dxa"/>
            <w:tcBorders>
              <w:top w:val="nil"/>
              <w:left w:val="single" w:sz="4" w:space="0" w:color="auto"/>
              <w:bottom w:val="single" w:sz="4" w:space="0" w:color="FFFFFF"/>
              <w:right w:val="nil"/>
            </w:tcBorders>
            <w:shd w:val="clear" w:color="DDEBF7" w:fill="DDEBF7"/>
            <w:noWrap/>
            <w:vAlign w:val="bottom"/>
            <w:hideMark/>
          </w:tcPr>
          <w:p w14:paraId="5838D7A3"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61E9803F"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24D5C0E1"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Azerbaijan</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37554896"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Europe &amp; Cental Asia</w:t>
            </w:r>
          </w:p>
        </w:tc>
        <w:tc>
          <w:tcPr>
            <w:tcW w:w="960" w:type="dxa"/>
            <w:tcBorders>
              <w:top w:val="single" w:sz="4" w:space="0" w:color="FFFFFF"/>
              <w:left w:val="single" w:sz="4" w:space="0" w:color="FFFFFF"/>
              <w:bottom w:val="single" w:sz="4" w:space="0" w:color="FFFFFF"/>
              <w:right w:val="nil"/>
            </w:tcBorders>
            <w:shd w:val="clear" w:color="BDD7EE" w:fill="BDD7EE"/>
            <w:noWrap/>
            <w:vAlign w:val="bottom"/>
            <w:hideMark/>
          </w:tcPr>
          <w:p w14:paraId="5DCE7BF4"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BDD7EE" w:fill="BDD7EE"/>
            <w:noWrap/>
            <w:vAlign w:val="bottom"/>
            <w:hideMark/>
          </w:tcPr>
          <w:p w14:paraId="55763B32"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Iceland</w:t>
            </w:r>
          </w:p>
        </w:tc>
        <w:tc>
          <w:tcPr>
            <w:tcW w:w="2400" w:type="dxa"/>
            <w:tcBorders>
              <w:top w:val="nil"/>
              <w:left w:val="single" w:sz="4" w:space="0" w:color="auto"/>
              <w:bottom w:val="single" w:sz="4" w:space="0" w:color="FFFFFF"/>
              <w:right w:val="nil"/>
            </w:tcBorders>
            <w:shd w:val="clear" w:color="BDD7EE" w:fill="BDD7EE"/>
            <w:noWrap/>
            <w:vAlign w:val="bottom"/>
            <w:hideMark/>
          </w:tcPr>
          <w:p w14:paraId="33C9DB29"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66DF83CD"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55E9CE3F"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Georgia</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059A2D2B"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Europe &amp; Cental Asia</w:t>
            </w:r>
          </w:p>
        </w:tc>
        <w:tc>
          <w:tcPr>
            <w:tcW w:w="960" w:type="dxa"/>
            <w:tcBorders>
              <w:top w:val="single" w:sz="4" w:space="0" w:color="FFFFFF"/>
              <w:left w:val="single" w:sz="4" w:space="0" w:color="FFFFFF"/>
              <w:bottom w:val="single" w:sz="4" w:space="0" w:color="FFFFFF"/>
              <w:right w:val="nil"/>
            </w:tcBorders>
            <w:shd w:val="clear" w:color="DDEBF7" w:fill="DDEBF7"/>
            <w:noWrap/>
            <w:vAlign w:val="bottom"/>
            <w:hideMark/>
          </w:tcPr>
          <w:p w14:paraId="06C37BC7"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DDEBF7" w:fill="DDEBF7"/>
            <w:noWrap/>
            <w:vAlign w:val="bottom"/>
            <w:hideMark/>
          </w:tcPr>
          <w:p w14:paraId="14703AC4"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Ireland</w:t>
            </w:r>
          </w:p>
        </w:tc>
        <w:tc>
          <w:tcPr>
            <w:tcW w:w="2400" w:type="dxa"/>
            <w:tcBorders>
              <w:top w:val="nil"/>
              <w:left w:val="single" w:sz="4" w:space="0" w:color="auto"/>
              <w:bottom w:val="single" w:sz="4" w:space="0" w:color="FFFFFF"/>
              <w:right w:val="nil"/>
            </w:tcBorders>
            <w:shd w:val="clear" w:color="DDEBF7" w:fill="DDEBF7"/>
            <w:noWrap/>
            <w:vAlign w:val="bottom"/>
            <w:hideMark/>
          </w:tcPr>
          <w:p w14:paraId="308B30E5"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2233CFEE"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27D03BAC"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Kazakhstan</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7A8DF40C"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Europe &amp; Cental Asia</w:t>
            </w:r>
          </w:p>
        </w:tc>
        <w:tc>
          <w:tcPr>
            <w:tcW w:w="960" w:type="dxa"/>
            <w:tcBorders>
              <w:top w:val="single" w:sz="4" w:space="0" w:color="FFFFFF"/>
              <w:left w:val="single" w:sz="4" w:space="0" w:color="FFFFFF"/>
              <w:bottom w:val="single" w:sz="4" w:space="0" w:color="FFFFFF"/>
              <w:right w:val="nil"/>
            </w:tcBorders>
            <w:shd w:val="clear" w:color="BDD7EE" w:fill="BDD7EE"/>
            <w:noWrap/>
            <w:vAlign w:val="bottom"/>
            <w:hideMark/>
          </w:tcPr>
          <w:p w14:paraId="32D863E6"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BDD7EE" w:fill="BDD7EE"/>
            <w:noWrap/>
            <w:vAlign w:val="bottom"/>
            <w:hideMark/>
          </w:tcPr>
          <w:p w14:paraId="327D4BFE"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Israel</w:t>
            </w:r>
          </w:p>
        </w:tc>
        <w:tc>
          <w:tcPr>
            <w:tcW w:w="2400" w:type="dxa"/>
            <w:tcBorders>
              <w:top w:val="nil"/>
              <w:left w:val="single" w:sz="4" w:space="0" w:color="auto"/>
              <w:bottom w:val="single" w:sz="4" w:space="0" w:color="FFFFFF"/>
              <w:right w:val="nil"/>
            </w:tcBorders>
            <w:shd w:val="clear" w:color="BDD7EE" w:fill="BDD7EE"/>
            <w:noWrap/>
            <w:vAlign w:val="bottom"/>
            <w:hideMark/>
          </w:tcPr>
          <w:p w14:paraId="0BD91629"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5B729A3D"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38BC974E"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Russian Federation</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36056DDE"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Europe &amp; Cental Asia</w:t>
            </w:r>
          </w:p>
        </w:tc>
        <w:tc>
          <w:tcPr>
            <w:tcW w:w="960" w:type="dxa"/>
            <w:tcBorders>
              <w:top w:val="single" w:sz="4" w:space="0" w:color="FFFFFF"/>
              <w:left w:val="single" w:sz="4" w:space="0" w:color="FFFFFF"/>
              <w:bottom w:val="single" w:sz="4" w:space="0" w:color="FFFFFF"/>
              <w:right w:val="nil"/>
            </w:tcBorders>
            <w:shd w:val="clear" w:color="DDEBF7" w:fill="DDEBF7"/>
            <w:noWrap/>
            <w:vAlign w:val="bottom"/>
            <w:hideMark/>
          </w:tcPr>
          <w:p w14:paraId="0954B205"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DDEBF7" w:fill="DDEBF7"/>
            <w:noWrap/>
            <w:vAlign w:val="bottom"/>
            <w:hideMark/>
          </w:tcPr>
          <w:p w14:paraId="113E3187"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Italy</w:t>
            </w:r>
          </w:p>
        </w:tc>
        <w:tc>
          <w:tcPr>
            <w:tcW w:w="2400" w:type="dxa"/>
            <w:tcBorders>
              <w:top w:val="nil"/>
              <w:left w:val="single" w:sz="4" w:space="0" w:color="auto"/>
              <w:bottom w:val="single" w:sz="4" w:space="0" w:color="FFFFFF"/>
              <w:right w:val="nil"/>
            </w:tcBorders>
            <w:shd w:val="clear" w:color="DDEBF7" w:fill="DDEBF7"/>
            <w:noWrap/>
            <w:vAlign w:val="bottom"/>
            <w:hideMark/>
          </w:tcPr>
          <w:p w14:paraId="19FEB501"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24DFD602"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5693FCD0"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Turkey</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06568B90"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Europe &amp; Cental Asia</w:t>
            </w:r>
          </w:p>
        </w:tc>
        <w:tc>
          <w:tcPr>
            <w:tcW w:w="960" w:type="dxa"/>
            <w:tcBorders>
              <w:top w:val="single" w:sz="4" w:space="0" w:color="FFFFFF"/>
              <w:left w:val="single" w:sz="4" w:space="0" w:color="FFFFFF"/>
              <w:bottom w:val="single" w:sz="4" w:space="0" w:color="FFFFFF"/>
              <w:right w:val="nil"/>
            </w:tcBorders>
            <w:shd w:val="clear" w:color="BDD7EE" w:fill="BDD7EE"/>
            <w:noWrap/>
            <w:vAlign w:val="bottom"/>
            <w:hideMark/>
          </w:tcPr>
          <w:p w14:paraId="4134B82D"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BDD7EE" w:fill="BDD7EE"/>
            <w:noWrap/>
            <w:vAlign w:val="bottom"/>
            <w:hideMark/>
          </w:tcPr>
          <w:p w14:paraId="1E8A7E47"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Japan</w:t>
            </w:r>
          </w:p>
        </w:tc>
        <w:tc>
          <w:tcPr>
            <w:tcW w:w="2400" w:type="dxa"/>
            <w:tcBorders>
              <w:top w:val="nil"/>
              <w:left w:val="single" w:sz="4" w:space="0" w:color="auto"/>
              <w:bottom w:val="single" w:sz="4" w:space="0" w:color="FFFFFF"/>
              <w:right w:val="nil"/>
            </w:tcBorders>
            <w:shd w:val="clear" w:color="BDD7EE" w:fill="BDD7EE"/>
            <w:noWrap/>
            <w:vAlign w:val="bottom"/>
            <w:hideMark/>
          </w:tcPr>
          <w:p w14:paraId="421B1ACC"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26AC949B"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3A21D2A9"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Ukraine</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3E9B5F42"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Europe &amp; Cental Asia</w:t>
            </w:r>
          </w:p>
        </w:tc>
        <w:tc>
          <w:tcPr>
            <w:tcW w:w="960" w:type="dxa"/>
            <w:tcBorders>
              <w:top w:val="single" w:sz="4" w:space="0" w:color="FFFFFF"/>
              <w:left w:val="single" w:sz="4" w:space="0" w:color="FFFFFF"/>
              <w:bottom w:val="single" w:sz="4" w:space="0" w:color="FFFFFF"/>
              <w:right w:val="nil"/>
            </w:tcBorders>
            <w:shd w:val="clear" w:color="DDEBF7" w:fill="DDEBF7"/>
            <w:noWrap/>
            <w:vAlign w:val="bottom"/>
            <w:hideMark/>
          </w:tcPr>
          <w:p w14:paraId="69A233DA"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DDEBF7" w:fill="DDEBF7"/>
            <w:noWrap/>
            <w:vAlign w:val="bottom"/>
            <w:hideMark/>
          </w:tcPr>
          <w:p w14:paraId="0EAC19F9"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Latvia</w:t>
            </w:r>
          </w:p>
        </w:tc>
        <w:tc>
          <w:tcPr>
            <w:tcW w:w="2400" w:type="dxa"/>
            <w:tcBorders>
              <w:top w:val="nil"/>
              <w:left w:val="single" w:sz="4" w:space="0" w:color="auto"/>
              <w:bottom w:val="single" w:sz="4" w:space="0" w:color="FFFFFF"/>
              <w:right w:val="nil"/>
            </w:tcBorders>
            <w:shd w:val="clear" w:color="DDEBF7" w:fill="DDEBF7"/>
            <w:noWrap/>
            <w:vAlign w:val="bottom"/>
            <w:hideMark/>
          </w:tcPr>
          <w:p w14:paraId="7B6D2EE2"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17DE9FB0"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45CDC591"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Argentina</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02211B8E"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960" w:type="dxa"/>
            <w:tcBorders>
              <w:top w:val="single" w:sz="4" w:space="0" w:color="FFFFFF"/>
              <w:left w:val="single" w:sz="4" w:space="0" w:color="FFFFFF"/>
              <w:bottom w:val="single" w:sz="4" w:space="0" w:color="FFFFFF"/>
              <w:right w:val="nil"/>
            </w:tcBorders>
            <w:shd w:val="clear" w:color="BDD7EE" w:fill="BDD7EE"/>
            <w:noWrap/>
            <w:vAlign w:val="bottom"/>
            <w:hideMark/>
          </w:tcPr>
          <w:p w14:paraId="4B2ABBD3"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BDD7EE" w:fill="BDD7EE"/>
            <w:noWrap/>
            <w:vAlign w:val="bottom"/>
            <w:hideMark/>
          </w:tcPr>
          <w:p w14:paraId="4174720F"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Lithuania</w:t>
            </w:r>
          </w:p>
        </w:tc>
        <w:tc>
          <w:tcPr>
            <w:tcW w:w="2400" w:type="dxa"/>
            <w:tcBorders>
              <w:top w:val="nil"/>
              <w:left w:val="single" w:sz="4" w:space="0" w:color="auto"/>
              <w:bottom w:val="single" w:sz="4" w:space="0" w:color="FFFFFF"/>
              <w:right w:val="nil"/>
            </w:tcBorders>
            <w:shd w:val="clear" w:color="BDD7EE" w:fill="BDD7EE"/>
            <w:noWrap/>
            <w:vAlign w:val="bottom"/>
            <w:hideMark/>
          </w:tcPr>
          <w:p w14:paraId="2B488337"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57E3EF7C"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52A0DA15"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Brazil</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7FDB4BD7"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960" w:type="dxa"/>
            <w:tcBorders>
              <w:top w:val="single" w:sz="4" w:space="0" w:color="FFFFFF"/>
              <w:left w:val="single" w:sz="4" w:space="0" w:color="FFFFFF"/>
              <w:bottom w:val="single" w:sz="4" w:space="0" w:color="FFFFFF"/>
              <w:right w:val="nil"/>
            </w:tcBorders>
            <w:shd w:val="clear" w:color="DDEBF7" w:fill="DDEBF7"/>
            <w:noWrap/>
            <w:vAlign w:val="bottom"/>
            <w:hideMark/>
          </w:tcPr>
          <w:p w14:paraId="1AF96CBF"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DDEBF7" w:fill="DDEBF7"/>
            <w:noWrap/>
            <w:vAlign w:val="bottom"/>
            <w:hideMark/>
          </w:tcPr>
          <w:p w14:paraId="6DCD95C1"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Luxembourg</w:t>
            </w:r>
          </w:p>
        </w:tc>
        <w:tc>
          <w:tcPr>
            <w:tcW w:w="2400" w:type="dxa"/>
            <w:tcBorders>
              <w:top w:val="nil"/>
              <w:left w:val="single" w:sz="4" w:space="0" w:color="auto"/>
              <w:bottom w:val="single" w:sz="4" w:space="0" w:color="FFFFFF"/>
              <w:right w:val="nil"/>
            </w:tcBorders>
            <w:shd w:val="clear" w:color="DDEBF7" w:fill="DDEBF7"/>
            <w:noWrap/>
            <w:vAlign w:val="bottom"/>
            <w:hideMark/>
          </w:tcPr>
          <w:p w14:paraId="02F6FA10"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051F7168"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5E674050"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Colombia</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3A1B2CDB"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960" w:type="dxa"/>
            <w:tcBorders>
              <w:top w:val="single" w:sz="4" w:space="0" w:color="FFFFFF"/>
              <w:left w:val="single" w:sz="4" w:space="0" w:color="FFFFFF"/>
              <w:bottom w:val="single" w:sz="4" w:space="0" w:color="FFFFFF"/>
              <w:right w:val="nil"/>
            </w:tcBorders>
            <w:shd w:val="clear" w:color="BDD7EE" w:fill="BDD7EE"/>
            <w:noWrap/>
            <w:vAlign w:val="bottom"/>
            <w:hideMark/>
          </w:tcPr>
          <w:p w14:paraId="3F94A7B3"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BDD7EE" w:fill="BDD7EE"/>
            <w:noWrap/>
            <w:vAlign w:val="bottom"/>
            <w:hideMark/>
          </w:tcPr>
          <w:p w14:paraId="44F24536"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Netherlands</w:t>
            </w:r>
          </w:p>
        </w:tc>
        <w:tc>
          <w:tcPr>
            <w:tcW w:w="2400" w:type="dxa"/>
            <w:tcBorders>
              <w:top w:val="nil"/>
              <w:left w:val="single" w:sz="4" w:space="0" w:color="auto"/>
              <w:bottom w:val="single" w:sz="4" w:space="0" w:color="FFFFFF"/>
              <w:right w:val="nil"/>
            </w:tcBorders>
            <w:shd w:val="clear" w:color="BDD7EE" w:fill="BDD7EE"/>
            <w:noWrap/>
            <w:vAlign w:val="bottom"/>
            <w:hideMark/>
          </w:tcPr>
          <w:p w14:paraId="1D55F186"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0069D363"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224E6073"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Costa Rica</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33D6E210"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960" w:type="dxa"/>
            <w:tcBorders>
              <w:top w:val="single" w:sz="4" w:space="0" w:color="FFFFFF"/>
              <w:left w:val="single" w:sz="4" w:space="0" w:color="FFFFFF"/>
              <w:bottom w:val="single" w:sz="4" w:space="0" w:color="FFFFFF"/>
              <w:right w:val="nil"/>
            </w:tcBorders>
            <w:shd w:val="clear" w:color="DDEBF7" w:fill="DDEBF7"/>
            <w:noWrap/>
            <w:vAlign w:val="bottom"/>
            <w:hideMark/>
          </w:tcPr>
          <w:p w14:paraId="55AB41D3"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DDEBF7" w:fill="DDEBF7"/>
            <w:noWrap/>
            <w:vAlign w:val="bottom"/>
            <w:hideMark/>
          </w:tcPr>
          <w:p w14:paraId="26091678"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New Zealand</w:t>
            </w:r>
          </w:p>
        </w:tc>
        <w:tc>
          <w:tcPr>
            <w:tcW w:w="2400" w:type="dxa"/>
            <w:tcBorders>
              <w:top w:val="nil"/>
              <w:left w:val="single" w:sz="4" w:space="0" w:color="auto"/>
              <w:bottom w:val="single" w:sz="4" w:space="0" w:color="FFFFFF"/>
              <w:right w:val="nil"/>
            </w:tcBorders>
            <w:shd w:val="clear" w:color="DDEBF7" w:fill="DDEBF7"/>
            <w:noWrap/>
            <w:vAlign w:val="bottom"/>
            <w:hideMark/>
          </w:tcPr>
          <w:p w14:paraId="45AFB2C4"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74A56AF7"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76DF29B2"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Ecuador</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6A4F7C5C"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960" w:type="dxa"/>
            <w:tcBorders>
              <w:top w:val="single" w:sz="4" w:space="0" w:color="FFFFFF"/>
              <w:left w:val="single" w:sz="4" w:space="0" w:color="FFFFFF"/>
              <w:bottom w:val="single" w:sz="4" w:space="0" w:color="FFFFFF"/>
              <w:right w:val="nil"/>
            </w:tcBorders>
            <w:shd w:val="clear" w:color="BDD7EE" w:fill="BDD7EE"/>
            <w:noWrap/>
            <w:vAlign w:val="bottom"/>
            <w:hideMark/>
          </w:tcPr>
          <w:p w14:paraId="0662D6D4"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BDD7EE" w:fill="BDD7EE"/>
            <w:noWrap/>
            <w:vAlign w:val="bottom"/>
            <w:hideMark/>
          </w:tcPr>
          <w:p w14:paraId="18D82ABB"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Norway</w:t>
            </w:r>
          </w:p>
        </w:tc>
        <w:tc>
          <w:tcPr>
            <w:tcW w:w="2400" w:type="dxa"/>
            <w:tcBorders>
              <w:top w:val="nil"/>
              <w:left w:val="single" w:sz="4" w:space="0" w:color="auto"/>
              <w:bottom w:val="single" w:sz="4" w:space="0" w:color="FFFFFF"/>
              <w:right w:val="nil"/>
            </w:tcBorders>
            <w:shd w:val="clear" w:color="BDD7EE" w:fill="BDD7EE"/>
            <w:noWrap/>
            <w:vAlign w:val="bottom"/>
            <w:hideMark/>
          </w:tcPr>
          <w:p w14:paraId="37EC05C0"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457542C7"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09058C3B"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El Salvador</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34E168B5"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960" w:type="dxa"/>
            <w:tcBorders>
              <w:top w:val="single" w:sz="4" w:space="0" w:color="FFFFFF"/>
              <w:left w:val="single" w:sz="4" w:space="0" w:color="FFFFFF"/>
              <w:bottom w:val="single" w:sz="4" w:space="0" w:color="FFFFFF"/>
              <w:right w:val="nil"/>
            </w:tcBorders>
            <w:shd w:val="clear" w:color="DDEBF7" w:fill="DDEBF7"/>
            <w:noWrap/>
            <w:vAlign w:val="bottom"/>
            <w:hideMark/>
          </w:tcPr>
          <w:p w14:paraId="467AC736"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DDEBF7" w:fill="DDEBF7"/>
            <w:noWrap/>
            <w:vAlign w:val="bottom"/>
            <w:hideMark/>
          </w:tcPr>
          <w:p w14:paraId="6F394C30"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Poland</w:t>
            </w:r>
          </w:p>
        </w:tc>
        <w:tc>
          <w:tcPr>
            <w:tcW w:w="2400" w:type="dxa"/>
            <w:tcBorders>
              <w:top w:val="nil"/>
              <w:left w:val="single" w:sz="4" w:space="0" w:color="auto"/>
              <w:bottom w:val="single" w:sz="4" w:space="0" w:color="FFFFFF"/>
              <w:right w:val="nil"/>
            </w:tcBorders>
            <w:shd w:val="clear" w:color="DDEBF7" w:fill="DDEBF7"/>
            <w:noWrap/>
            <w:vAlign w:val="bottom"/>
            <w:hideMark/>
          </w:tcPr>
          <w:p w14:paraId="042CCB05"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57EE038D"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3E8F9C77"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Guatemala</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267268B5"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960" w:type="dxa"/>
            <w:tcBorders>
              <w:top w:val="single" w:sz="4" w:space="0" w:color="FFFFFF"/>
              <w:left w:val="single" w:sz="4" w:space="0" w:color="FFFFFF"/>
              <w:bottom w:val="single" w:sz="4" w:space="0" w:color="FFFFFF"/>
              <w:right w:val="nil"/>
            </w:tcBorders>
            <w:shd w:val="clear" w:color="BDD7EE" w:fill="BDD7EE"/>
            <w:noWrap/>
            <w:vAlign w:val="bottom"/>
            <w:hideMark/>
          </w:tcPr>
          <w:p w14:paraId="0E27BBAD"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BDD7EE" w:fill="BDD7EE"/>
            <w:noWrap/>
            <w:vAlign w:val="bottom"/>
            <w:hideMark/>
          </w:tcPr>
          <w:p w14:paraId="2557A01C"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Portugal</w:t>
            </w:r>
          </w:p>
        </w:tc>
        <w:tc>
          <w:tcPr>
            <w:tcW w:w="2400" w:type="dxa"/>
            <w:tcBorders>
              <w:top w:val="nil"/>
              <w:left w:val="single" w:sz="4" w:space="0" w:color="auto"/>
              <w:bottom w:val="single" w:sz="4" w:space="0" w:color="FFFFFF"/>
              <w:right w:val="nil"/>
            </w:tcBorders>
            <w:shd w:val="clear" w:color="BDD7EE" w:fill="BDD7EE"/>
            <w:noWrap/>
            <w:vAlign w:val="bottom"/>
            <w:hideMark/>
          </w:tcPr>
          <w:p w14:paraId="2DA617DB"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7F39E2BF"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610B0DA4"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Mexico</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0017291E"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960" w:type="dxa"/>
            <w:tcBorders>
              <w:top w:val="single" w:sz="4" w:space="0" w:color="FFFFFF"/>
              <w:left w:val="single" w:sz="4" w:space="0" w:color="FFFFFF"/>
              <w:bottom w:val="single" w:sz="4" w:space="0" w:color="FFFFFF"/>
              <w:right w:val="nil"/>
            </w:tcBorders>
            <w:shd w:val="clear" w:color="DDEBF7" w:fill="DDEBF7"/>
            <w:noWrap/>
            <w:vAlign w:val="bottom"/>
            <w:hideMark/>
          </w:tcPr>
          <w:p w14:paraId="139123E4"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DDEBF7" w:fill="DDEBF7"/>
            <w:noWrap/>
            <w:vAlign w:val="bottom"/>
            <w:hideMark/>
          </w:tcPr>
          <w:p w14:paraId="421A99F3"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Slovenia</w:t>
            </w:r>
          </w:p>
        </w:tc>
        <w:tc>
          <w:tcPr>
            <w:tcW w:w="2400" w:type="dxa"/>
            <w:tcBorders>
              <w:top w:val="nil"/>
              <w:left w:val="single" w:sz="4" w:space="0" w:color="auto"/>
              <w:bottom w:val="single" w:sz="4" w:space="0" w:color="FFFFFF"/>
              <w:right w:val="nil"/>
            </w:tcBorders>
            <w:shd w:val="clear" w:color="DDEBF7" w:fill="DDEBF7"/>
            <w:noWrap/>
            <w:vAlign w:val="bottom"/>
            <w:hideMark/>
          </w:tcPr>
          <w:p w14:paraId="1190E8A6"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671EA482"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6ABCAD4C"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Panama</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63513CCF"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960" w:type="dxa"/>
            <w:tcBorders>
              <w:top w:val="single" w:sz="4" w:space="0" w:color="FFFFFF"/>
              <w:left w:val="single" w:sz="4" w:space="0" w:color="FFFFFF"/>
              <w:bottom w:val="single" w:sz="4" w:space="0" w:color="FFFFFF"/>
              <w:right w:val="nil"/>
            </w:tcBorders>
            <w:shd w:val="clear" w:color="BDD7EE" w:fill="BDD7EE"/>
            <w:noWrap/>
            <w:vAlign w:val="bottom"/>
            <w:hideMark/>
          </w:tcPr>
          <w:p w14:paraId="3E96C93C"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BDD7EE" w:fill="BDD7EE"/>
            <w:noWrap/>
            <w:vAlign w:val="bottom"/>
            <w:hideMark/>
          </w:tcPr>
          <w:p w14:paraId="39B2DC30"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Spain</w:t>
            </w:r>
          </w:p>
        </w:tc>
        <w:tc>
          <w:tcPr>
            <w:tcW w:w="2400" w:type="dxa"/>
            <w:tcBorders>
              <w:top w:val="nil"/>
              <w:left w:val="single" w:sz="4" w:space="0" w:color="auto"/>
              <w:bottom w:val="single" w:sz="4" w:space="0" w:color="FFFFFF"/>
              <w:right w:val="nil"/>
            </w:tcBorders>
            <w:shd w:val="clear" w:color="BDD7EE" w:fill="BDD7EE"/>
            <w:noWrap/>
            <w:vAlign w:val="bottom"/>
            <w:hideMark/>
          </w:tcPr>
          <w:p w14:paraId="1DB5EBAA"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012EAC27"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1D9A0192"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Paraguay</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383AF88F"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960" w:type="dxa"/>
            <w:tcBorders>
              <w:top w:val="single" w:sz="4" w:space="0" w:color="FFFFFF"/>
              <w:left w:val="single" w:sz="4" w:space="0" w:color="FFFFFF"/>
              <w:bottom w:val="single" w:sz="4" w:space="0" w:color="FFFFFF"/>
              <w:right w:val="nil"/>
            </w:tcBorders>
            <w:shd w:val="clear" w:color="DDEBF7" w:fill="DDEBF7"/>
            <w:noWrap/>
            <w:vAlign w:val="bottom"/>
            <w:hideMark/>
          </w:tcPr>
          <w:p w14:paraId="495E5A78"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DDEBF7" w:fill="DDEBF7"/>
            <w:noWrap/>
            <w:vAlign w:val="bottom"/>
            <w:hideMark/>
          </w:tcPr>
          <w:p w14:paraId="43C1833D"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Sweden</w:t>
            </w:r>
          </w:p>
        </w:tc>
        <w:tc>
          <w:tcPr>
            <w:tcW w:w="2400" w:type="dxa"/>
            <w:tcBorders>
              <w:top w:val="nil"/>
              <w:left w:val="single" w:sz="4" w:space="0" w:color="auto"/>
              <w:bottom w:val="single" w:sz="4" w:space="0" w:color="FFFFFF"/>
              <w:right w:val="nil"/>
            </w:tcBorders>
            <w:shd w:val="clear" w:color="DDEBF7" w:fill="DDEBF7"/>
            <w:noWrap/>
            <w:vAlign w:val="bottom"/>
            <w:hideMark/>
          </w:tcPr>
          <w:p w14:paraId="71D4863C"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4B99D6C3"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768F0D7C"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Peru</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69054C86"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960" w:type="dxa"/>
            <w:tcBorders>
              <w:top w:val="single" w:sz="4" w:space="0" w:color="FFFFFF"/>
              <w:left w:val="single" w:sz="4" w:space="0" w:color="FFFFFF"/>
              <w:bottom w:val="single" w:sz="4" w:space="0" w:color="FFFFFF"/>
              <w:right w:val="nil"/>
            </w:tcBorders>
            <w:shd w:val="clear" w:color="BDD7EE" w:fill="BDD7EE"/>
            <w:noWrap/>
            <w:vAlign w:val="bottom"/>
            <w:hideMark/>
          </w:tcPr>
          <w:p w14:paraId="0B55AD70"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BDD7EE" w:fill="BDD7EE"/>
            <w:noWrap/>
            <w:vAlign w:val="bottom"/>
            <w:hideMark/>
          </w:tcPr>
          <w:p w14:paraId="70EB65B8"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Switzerland</w:t>
            </w:r>
          </w:p>
        </w:tc>
        <w:tc>
          <w:tcPr>
            <w:tcW w:w="2400" w:type="dxa"/>
            <w:tcBorders>
              <w:top w:val="nil"/>
              <w:left w:val="single" w:sz="4" w:space="0" w:color="auto"/>
              <w:bottom w:val="single" w:sz="4" w:space="0" w:color="FFFFFF"/>
              <w:right w:val="nil"/>
            </w:tcBorders>
            <w:shd w:val="clear" w:color="BDD7EE" w:fill="BDD7EE"/>
            <w:noWrap/>
            <w:vAlign w:val="bottom"/>
            <w:hideMark/>
          </w:tcPr>
          <w:p w14:paraId="11AA415A"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36C7E550"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67D0D21A"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Uruguay</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5119126D"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960" w:type="dxa"/>
            <w:tcBorders>
              <w:top w:val="single" w:sz="4" w:space="0" w:color="FFFFFF"/>
              <w:left w:val="single" w:sz="4" w:space="0" w:color="FFFFFF"/>
              <w:bottom w:val="single" w:sz="4" w:space="0" w:color="FFFFFF"/>
              <w:right w:val="nil"/>
            </w:tcBorders>
            <w:shd w:val="clear" w:color="DDEBF7" w:fill="DDEBF7"/>
            <w:noWrap/>
            <w:vAlign w:val="bottom"/>
            <w:hideMark/>
          </w:tcPr>
          <w:p w14:paraId="49E4B76A"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DDEBF7" w:fill="DDEBF7"/>
            <w:noWrap/>
            <w:vAlign w:val="bottom"/>
            <w:hideMark/>
          </w:tcPr>
          <w:p w14:paraId="665D32D9"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United Kingdom</w:t>
            </w:r>
          </w:p>
        </w:tc>
        <w:tc>
          <w:tcPr>
            <w:tcW w:w="2400" w:type="dxa"/>
            <w:tcBorders>
              <w:top w:val="nil"/>
              <w:left w:val="single" w:sz="4" w:space="0" w:color="auto"/>
              <w:bottom w:val="single" w:sz="4" w:space="0" w:color="FFFFFF"/>
              <w:right w:val="nil"/>
            </w:tcBorders>
            <w:shd w:val="clear" w:color="DDEBF7" w:fill="DDEBF7"/>
            <w:noWrap/>
            <w:vAlign w:val="bottom"/>
            <w:hideMark/>
          </w:tcPr>
          <w:p w14:paraId="2074AAC4"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4488CF87"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2DB50C2D"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Algeria</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15A0D339"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Middle East &amp; North Africa</w:t>
            </w:r>
          </w:p>
        </w:tc>
        <w:tc>
          <w:tcPr>
            <w:tcW w:w="960" w:type="dxa"/>
            <w:tcBorders>
              <w:top w:val="single" w:sz="4" w:space="0" w:color="FFFFFF"/>
              <w:left w:val="single" w:sz="4" w:space="0" w:color="FFFFFF"/>
              <w:bottom w:val="single" w:sz="4" w:space="0" w:color="FFFFFF"/>
              <w:right w:val="nil"/>
            </w:tcBorders>
            <w:shd w:val="clear" w:color="BDD7EE" w:fill="BDD7EE"/>
            <w:noWrap/>
            <w:vAlign w:val="bottom"/>
            <w:hideMark/>
          </w:tcPr>
          <w:p w14:paraId="55D3E003"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BDD7EE" w:fill="BDD7EE"/>
            <w:noWrap/>
            <w:vAlign w:val="bottom"/>
            <w:hideMark/>
          </w:tcPr>
          <w:p w14:paraId="3C45B6AC"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United States</w:t>
            </w:r>
          </w:p>
        </w:tc>
        <w:tc>
          <w:tcPr>
            <w:tcW w:w="2400" w:type="dxa"/>
            <w:tcBorders>
              <w:top w:val="nil"/>
              <w:left w:val="single" w:sz="4" w:space="0" w:color="auto"/>
              <w:bottom w:val="single" w:sz="4" w:space="0" w:color="FFFFFF"/>
              <w:right w:val="nil"/>
            </w:tcBorders>
            <w:shd w:val="clear" w:color="BDD7EE" w:fill="BDD7EE"/>
            <w:noWrap/>
            <w:vAlign w:val="bottom"/>
            <w:hideMark/>
          </w:tcPr>
          <w:p w14:paraId="597DA752"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BB0E54" w:rsidRPr="00CF3C36" w14:paraId="6FB007D2"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4F8E469C"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Jordan</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20379CF9"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Middle East &amp; North Africa</w:t>
            </w:r>
          </w:p>
        </w:tc>
        <w:tc>
          <w:tcPr>
            <w:tcW w:w="960" w:type="dxa"/>
            <w:tcBorders>
              <w:top w:val="single" w:sz="4" w:space="0" w:color="FFFFFF"/>
              <w:left w:val="single" w:sz="4" w:space="0" w:color="FFFFFF"/>
              <w:bottom w:val="single" w:sz="4" w:space="0" w:color="FFFFFF"/>
              <w:right w:val="nil"/>
            </w:tcBorders>
            <w:shd w:val="clear" w:color="DDEBF7" w:fill="DDEBF7"/>
            <w:noWrap/>
            <w:vAlign w:val="bottom"/>
            <w:hideMark/>
          </w:tcPr>
          <w:p w14:paraId="108DCF2E"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DDEBF7" w:fill="DDEBF7"/>
            <w:noWrap/>
            <w:vAlign w:val="bottom"/>
            <w:hideMark/>
          </w:tcPr>
          <w:p w14:paraId="2B51DF92"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India</w:t>
            </w:r>
          </w:p>
        </w:tc>
        <w:tc>
          <w:tcPr>
            <w:tcW w:w="2400" w:type="dxa"/>
            <w:tcBorders>
              <w:top w:val="nil"/>
              <w:left w:val="single" w:sz="4" w:space="0" w:color="auto"/>
              <w:bottom w:val="single" w:sz="4" w:space="0" w:color="FFFFFF"/>
              <w:right w:val="nil"/>
            </w:tcBorders>
            <w:shd w:val="clear" w:color="DDEBF7" w:fill="DDEBF7"/>
            <w:noWrap/>
            <w:vAlign w:val="bottom"/>
            <w:hideMark/>
          </w:tcPr>
          <w:p w14:paraId="7EFA9EEE"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South Asia</w:t>
            </w:r>
          </w:p>
        </w:tc>
      </w:tr>
      <w:tr w:rsidR="00BB0E54" w:rsidRPr="00CF3C36" w14:paraId="555750E5"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4F28EAC4"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Morocco</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6FC33532"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Middle East &amp; North Africa</w:t>
            </w:r>
          </w:p>
        </w:tc>
        <w:tc>
          <w:tcPr>
            <w:tcW w:w="960" w:type="dxa"/>
            <w:tcBorders>
              <w:top w:val="single" w:sz="4" w:space="0" w:color="FFFFFF"/>
              <w:left w:val="single" w:sz="4" w:space="0" w:color="FFFFFF"/>
              <w:bottom w:val="single" w:sz="4" w:space="0" w:color="FFFFFF"/>
              <w:right w:val="nil"/>
            </w:tcBorders>
            <w:shd w:val="clear" w:color="BDD7EE" w:fill="BDD7EE"/>
            <w:noWrap/>
            <w:vAlign w:val="bottom"/>
            <w:hideMark/>
          </w:tcPr>
          <w:p w14:paraId="2EDCB0C2"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BDD7EE" w:fill="BDD7EE"/>
            <w:noWrap/>
            <w:vAlign w:val="bottom"/>
            <w:hideMark/>
          </w:tcPr>
          <w:p w14:paraId="6375C409"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Botswana</w:t>
            </w:r>
          </w:p>
        </w:tc>
        <w:tc>
          <w:tcPr>
            <w:tcW w:w="2400" w:type="dxa"/>
            <w:tcBorders>
              <w:top w:val="nil"/>
              <w:left w:val="single" w:sz="4" w:space="0" w:color="auto"/>
              <w:bottom w:val="single" w:sz="4" w:space="0" w:color="FFFFFF"/>
              <w:right w:val="nil"/>
            </w:tcBorders>
            <w:shd w:val="clear" w:color="BDD7EE" w:fill="BDD7EE"/>
            <w:noWrap/>
            <w:vAlign w:val="bottom"/>
            <w:hideMark/>
          </w:tcPr>
          <w:p w14:paraId="37EE8B00"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Sub-Saharan Africa</w:t>
            </w:r>
          </w:p>
        </w:tc>
      </w:tr>
      <w:tr w:rsidR="00BB0E54" w:rsidRPr="00CF3C36" w14:paraId="7EA4D4DE"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11C74F7D"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Saudi Arabia</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26413046"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Middle East &amp; North Africa</w:t>
            </w:r>
          </w:p>
        </w:tc>
        <w:tc>
          <w:tcPr>
            <w:tcW w:w="960" w:type="dxa"/>
            <w:tcBorders>
              <w:top w:val="single" w:sz="4" w:space="0" w:color="FFFFFF"/>
              <w:left w:val="single" w:sz="4" w:space="0" w:color="FFFFFF"/>
              <w:bottom w:val="single" w:sz="4" w:space="0" w:color="FFFFFF"/>
              <w:right w:val="nil"/>
            </w:tcBorders>
            <w:shd w:val="clear" w:color="DDEBF7" w:fill="DDEBF7"/>
            <w:noWrap/>
            <w:vAlign w:val="bottom"/>
            <w:hideMark/>
          </w:tcPr>
          <w:p w14:paraId="2DE5BA4F"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DDEBF7" w:fill="DDEBF7"/>
            <w:noWrap/>
            <w:vAlign w:val="bottom"/>
            <w:hideMark/>
          </w:tcPr>
          <w:p w14:paraId="61292A1C"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Mauritius</w:t>
            </w:r>
          </w:p>
        </w:tc>
        <w:tc>
          <w:tcPr>
            <w:tcW w:w="2400" w:type="dxa"/>
            <w:tcBorders>
              <w:top w:val="nil"/>
              <w:left w:val="single" w:sz="4" w:space="0" w:color="auto"/>
              <w:bottom w:val="single" w:sz="4" w:space="0" w:color="FFFFFF"/>
              <w:right w:val="nil"/>
            </w:tcBorders>
            <w:shd w:val="clear" w:color="DDEBF7" w:fill="DDEBF7"/>
            <w:noWrap/>
            <w:vAlign w:val="bottom"/>
            <w:hideMark/>
          </w:tcPr>
          <w:p w14:paraId="034163F8"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Sub-Saharan Africa</w:t>
            </w:r>
          </w:p>
        </w:tc>
      </w:tr>
      <w:tr w:rsidR="00BB0E54" w:rsidRPr="00CF3C36" w14:paraId="245288C6"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14873633"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Tunisia</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2236FC26"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Middle East &amp; North Africa</w:t>
            </w:r>
          </w:p>
        </w:tc>
        <w:tc>
          <w:tcPr>
            <w:tcW w:w="960" w:type="dxa"/>
            <w:tcBorders>
              <w:top w:val="single" w:sz="4" w:space="0" w:color="FFFFFF"/>
              <w:left w:val="single" w:sz="4" w:space="0" w:color="FFFFFF"/>
              <w:bottom w:val="single" w:sz="4" w:space="0" w:color="FFFFFF"/>
              <w:right w:val="nil"/>
            </w:tcBorders>
            <w:shd w:val="clear" w:color="BDD7EE" w:fill="BDD7EE"/>
            <w:noWrap/>
            <w:vAlign w:val="bottom"/>
            <w:hideMark/>
          </w:tcPr>
          <w:p w14:paraId="32740B6E"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BDD7EE" w:fill="BDD7EE"/>
            <w:noWrap/>
            <w:vAlign w:val="bottom"/>
            <w:hideMark/>
          </w:tcPr>
          <w:p w14:paraId="28E75BB2"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Mozambique</w:t>
            </w:r>
          </w:p>
        </w:tc>
        <w:tc>
          <w:tcPr>
            <w:tcW w:w="2400" w:type="dxa"/>
            <w:tcBorders>
              <w:top w:val="nil"/>
              <w:left w:val="single" w:sz="4" w:space="0" w:color="auto"/>
              <w:bottom w:val="single" w:sz="4" w:space="0" w:color="FFFFFF"/>
              <w:right w:val="nil"/>
            </w:tcBorders>
            <w:shd w:val="clear" w:color="BDD7EE" w:fill="BDD7EE"/>
            <w:noWrap/>
            <w:vAlign w:val="bottom"/>
            <w:hideMark/>
          </w:tcPr>
          <w:p w14:paraId="4EB5823F"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Sub-Saharan Africa</w:t>
            </w:r>
          </w:p>
        </w:tc>
      </w:tr>
      <w:tr w:rsidR="00BB0E54" w:rsidRPr="00CF3C36" w14:paraId="66BBA6C0"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0D55DE43"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Australia</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323C6B03"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960" w:type="dxa"/>
            <w:tcBorders>
              <w:top w:val="single" w:sz="4" w:space="0" w:color="FFFFFF"/>
              <w:left w:val="single" w:sz="4" w:space="0" w:color="FFFFFF"/>
              <w:bottom w:val="single" w:sz="4" w:space="0" w:color="FFFFFF"/>
              <w:right w:val="nil"/>
            </w:tcBorders>
            <w:shd w:val="clear" w:color="DDEBF7" w:fill="DDEBF7"/>
            <w:noWrap/>
            <w:vAlign w:val="bottom"/>
            <w:hideMark/>
          </w:tcPr>
          <w:p w14:paraId="52E20E2E"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DDEBF7" w:fill="DDEBF7"/>
            <w:noWrap/>
            <w:vAlign w:val="bottom"/>
            <w:hideMark/>
          </w:tcPr>
          <w:p w14:paraId="4546EE7A"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Namibia</w:t>
            </w:r>
          </w:p>
        </w:tc>
        <w:tc>
          <w:tcPr>
            <w:tcW w:w="2400" w:type="dxa"/>
            <w:tcBorders>
              <w:top w:val="nil"/>
              <w:left w:val="single" w:sz="4" w:space="0" w:color="auto"/>
              <w:bottom w:val="single" w:sz="4" w:space="0" w:color="FFFFFF"/>
              <w:right w:val="nil"/>
            </w:tcBorders>
            <w:shd w:val="clear" w:color="DDEBF7" w:fill="DDEBF7"/>
            <w:noWrap/>
            <w:vAlign w:val="bottom"/>
            <w:hideMark/>
          </w:tcPr>
          <w:p w14:paraId="4D378A26"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Sub-Saharan Africa</w:t>
            </w:r>
          </w:p>
        </w:tc>
      </w:tr>
      <w:tr w:rsidR="00BB0E54" w:rsidRPr="00CF3C36" w14:paraId="2880FF27"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47F8F083"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Austria</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342FA67C"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960" w:type="dxa"/>
            <w:tcBorders>
              <w:top w:val="single" w:sz="4" w:space="0" w:color="FFFFFF"/>
              <w:left w:val="single" w:sz="4" w:space="0" w:color="FFFFFF"/>
              <w:bottom w:val="single" w:sz="4" w:space="0" w:color="FFFFFF"/>
              <w:right w:val="nil"/>
            </w:tcBorders>
            <w:shd w:val="clear" w:color="BDD7EE" w:fill="BDD7EE"/>
            <w:noWrap/>
            <w:vAlign w:val="bottom"/>
            <w:hideMark/>
          </w:tcPr>
          <w:p w14:paraId="2312B52C"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BDD7EE" w:fill="BDD7EE"/>
            <w:noWrap/>
            <w:vAlign w:val="bottom"/>
            <w:hideMark/>
          </w:tcPr>
          <w:p w14:paraId="1FBD0F76"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South Africa</w:t>
            </w:r>
          </w:p>
        </w:tc>
        <w:tc>
          <w:tcPr>
            <w:tcW w:w="2400" w:type="dxa"/>
            <w:tcBorders>
              <w:top w:val="nil"/>
              <w:left w:val="single" w:sz="4" w:space="0" w:color="auto"/>
              <w:bottom w:val="single" w:sz="4" w:space="0" w:color="FFFFFF"/>
              <w:right w:val="nil"/>
            </w:tcBorders>
            <w:shd w:val="clear" w:color="BDD7EE" w:fill="BDD7EE"/>
            <w:noWrap/>
            <w:vAlign w:val="bottom"/>
            <w:hideMark/>
          </w:tcPr>
          <w:p w14:paraId="3306D75E"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Sub-Saharan Africa</w:t>
            </w:r>
          </w:p>
        </w:tc>
      </w:tr>
      <w:tr w:rsidR="00BB0E54" w:rsidRPr="00CF3C36" w14:paraId="458FCCA4"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77C93203"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Belgium</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7C909BCA"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960" w:type="dxa"/>
            <w:tcBorders>
              <w:top w:val="single" w:sz="4" w:space="0" w:color="FFFFFF"/>
              <w:left w:val="single" w:sz="4" w:space="0" w:color="FFFFFF"/>
              <w:bottom w:val="single" w:sz="4" w:space="0" w:color="FFFFFF"/>
              <w:right w:val="nil"/>
            </w:tcBorders>
            <w:shd w:val="clear" w:color="DDEBF7" w:fill="DDEBF7"/>
            <w:noWrap/>
            <w:vAlign w:val="bottom"/>
            <w:hideMark/>
          </w:tcPr>
          <w:p w14:paraId="52B59A94"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single" w:sz="4" w:space="0" w:color="FFFFFF"/>
              <w:right w:val="single" w:sz="4" w:space="0" w:color="FFFFFF"/>
            </w:tcBorders>
            <w:shd w:val="clear" w:color="DDEBF7" w:fill="DDEBF7"/>
            <w:noWrap/>
            <w:vAlign w:val="bottom"/>
            <w:hideMark/>
          </w:tcPr>
          <w:p w14:paraId="1BF805E5"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Zambia</w:t>
            </w:r>
          </w:p>
        </w:tc>
        <w:tc>
          <w:tcPr>
            <w:tcW w:w="2400" w:type="dxa"/>
            <w:tcBorders>
              <w:top w:val="nil"/>
              <w:left w:val="single" w:sz="4" w:space="0" w:color="auto"/>
              <w:bottom w:val="single" w:sz="4" w:space="0" w:color="FFFFFF"/>
              <w:right w:val="nil"/>
            </w:tcBorders>
            <w:shd w:val="clear" w:color="DDEBF7" w:fill="DDEBF7"/>
            <w:noWrap/>
            <w:vAlign w:val="bottom"/>
            <w:hideMark/>
          </w:tcPr>
          <w:p w14:paraId="1506EBC6"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Sub-Saharan Africa</w:t>
            </w:r>
          </w:p>
        </w:tc>
      </w:tr>
      <w:tr w:rsidR="00BB0E54" w:rsidRPr="00CF3C36" w14:paraId="6A72361E"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38AA94E2"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Canada</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031E6BC3"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960" w:type="dxa"/>
            <w:tcBorders>
              <w:top w:val="single" w:sz="4" w:space="0" w:color="FFFFFF"/>
              <w:left w:val="single" w:sz="4" w:space="0" w:color="FFFFFF"/>
              <w:bottom w:val="single" w:sz="4" w:space="0" w:color="FFFFFF"/>
              <w:right w:val="nil"/>
            </w:tcBorders>
            <w:shd w:val="clear" w:color="BDD7EE" w:fill="BDD7EE"/>
            <w:noWrap/>
            <w:vAlign w:val="bottom"/>
            <w:hideMark/>
          </w:tcPr>
          <w:p w14:paraId="4118BA28"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nil"/>
              <w:left w:val="nil"/>
              <w:bottom w:val="nil"/>
              <w:right w:val="single" w:sz="4" w:space="0" w:color="FFFFFF"/>
            </w:tcBorders>
            <w:shd w:val="clear" w:color="BDD7EE" w:fill="BDD7EE"/>
            <w:noWrap/>
            <w:vAlign w:val="bottom"/>
            <w:hideMark/>
          </w:tcPr>
          <w:p w14:paraId="6CAA71B7"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Zimbabwe</w:t>
            </w:r>
          </w:p>
        </w:tc>
        <w:tc>
          <w:tcPr>
            <w:tcW w:w="2400" w:type="dxa"/>
            <w:tcBorders>
              <w:top w:val="nil"/>
              <w:left w:val="single" w:sz="4" w:space="0" w:color="auto"/>
              <w:bottom w:val="nil"/>
              <w:right w:val="nil"/>
            </w:tcBorders>
            <w:shd w:val="clear" w:color="BDD7EE" w:fill="BDD7EE"/>
            <w:noWrap/>
            <w:vAlign w:val="bottom"/>
            <w:hideMark/>
          </w:tcPr>
          <w:p w14:paraId="61D95A83"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Sub-Saharan Africa</w:t>
            </w:r>
          </w:p>
        </w:tc>
      </w:tr>
      <w:tr w:rsidR="00BB0E54" w:rsidRPr="00CF3C36" w14:paraId="5D6FE9E7" w14:textId="77777777" w:rsidTr="00BB0E54">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3A9317A2"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Chile</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37FE698F"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960" w:type="dxa"/>
            <w:tcBorders>
              <w:top w:val="single" w:sz="4" w:space="0" w:color="FFFFFF"/>
              <w:left w:val="single" w:sz="4" w:space="0" w:color="FFFFFF"/>
              <w:bottom w:val="single" w:sz="4" w:space="0" w:color="FFFFFF"/>
              <w:right w:val="nil"/>
            </w:tcBorders>
            <w:shd w:val="clear" w:color="DDEBF7" w:fill="DDEBF7"/>
            <w:noWrap/>
            <w:vAlign w:val="bottom"/>
            <w:hideMark/>
          </w:tcPr>
          <w:p w14:paraId="36246645" w14:textId="77777777" w:rsidR="00BB0E54" w:rsidRPr="00CF3C36" w:rsidRDefault="00BB0E54" w:rsidP="00BB0E54">
            <w:pPr>
              <w:spacing w:after="0" w:line="240" w:lineRule="auto"/>
              <w:rPr>
                <w:rFonts w:ascii="Calibri" w:eastAsia="Times New Roman" w:hAnsi="Calibri" w:cs="Calibri"/>
                <w:color w:val="000000"/>
                <w:lang w:val="en-GB" w:eastAsia="nl-NL"/>
              </w:rPr>
            </w:pPr>
          </w:p>
        </w:tc>
        <w:tc>
          <w:tcPr>
            <w:tcW w:w="1840" w:type="dxa"/>
            <w:tcBorders>
              <w:top w:val="single" w:sz="4" w:space="0" w:color="FFFFFF"/>
              <w:left w:val="nil"/>
              <w:bottom w:val="single" w:sz="4" w:space="0" w:color="FFFFFF"/>
              <w:right w:val="single" w:sz="4" w:space="0" w:color="FFFFFF"/>
            </w:tcBorders>
            <w:shd w:val="clear" w:color="DDEBF7" w:fill="DDEBF7"/>
            <w:noWrap/>
            <w:vAlign w:val="bottom"/>
            <w:hideMark/>
          </w:tcPr>
          <w:p w14:paraId="2D743E4F"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c>
          <w:tcPr>
            <w:tcW w:w="2400" w:type="dxa"/>
            <w:tcBorders>
              <w:top w:val="single" w:sz="4" w:space="0" w:color="FFFFFF"/>
              <w:left w:val="single" w:sz="4" w:space="0" w:color="auto"/>
              <w:bottom w:val="single" w:sz="4" w:space="0" w:color="FFFFFF"/>
              <w:right w:val="nil"/>
            </w:tcBorders>
            <w:shd w:val="clear" w:color="DDEBF7" w:fill="DDEBF7"/>
            <w:noWrap/>
            <w:vAlign w:val="bottom"/>
            <w:hideMark/>
          </w:tcPr>
          <w:p w14:paraId="5F871CFC" w14:textId="77777777" w:rsidR="00BB0E54" w:rsidRPr="00CF3C36" w:rsidRDefault="00BB0E54" w:rsidP="00BB0E54">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r>
    </w:tbl>
    <w:p w14:paraId="4C79CAF5" w14:textId="57372619" w:rsidR="00BB0E54" w:rsidRPr="00CF3C36" w:rsidRDefault="00BB0E54" w:rsidP="000E0840">
      <w:pPr>
        <w:rPr>
          <w:i/>
          <w:lang w:val="en-GB"/>
        </w:rPr>
      </w:pPr>
    </w:p>
    <w:p w14:paraId="79BD6066" w14:textId="0B3D4772" w:rsidR="00AC6BAE" w:rsidRPr="00CF3C36" w:rsidRDefault="00AC6BAE" w:rsidP="000E0840">
      <w:pPr>
        <w:rPr>
          <w:i/>
          <w:lang w:val="en-GB"/>
        </w:rPr>
      </w:pPr>
    </w:p>
    <w:p w14:paraId="48EA84AE" w14:textId="51F683C5" w:rsidR="00AC6BAE" w:rsidRPr="00CF3C36" w:rsidRDefault="00AC6BAE" w:rsidP="000E0840">
      <w:pPr>
        <w:rPr>
          <w:i/>
          <w:lang w:val="en-GB"/>
        </w:rPr>
      </w:pPr>
    </w:p>
    <w:p w14:paraId="7929F128" w14:textId="6E8DE611" w:rsidR="00AC6BAE" w:rsidRPr="00CF3C36" w:rsidRDefault="00AC6BAE" w:rsidP="000E0840">
      <w:pPr>
        <w:rPr>
          <w:i/>
          <w:lang w:val="en-GB"/>
        </w:rPr>
      </w:pPr>
    </w:p>
    <w:p w14:paraId="54C00D44" w14:textId="7CCBDAC5" w:rsidR="00AC6BAE" w:rsidRPr="00CF3C36" w:rsidRDefault="00AC6BAE" w:rsidP="000E0840">
      <w:pPr>
        <w:rPr>
          <w:i/>
          <w:lang w:val="en-GB"/>
        </w:rPr>
      </w:pPr>
    </w:p>
    <w:p w14:paraId="3394B7B2" w14:textId="5FF2377B" w:rsidR="00AC6BAE" w:rsidRPr="00CF3C36" w:rsidRDefault="000F7FD0" w:rsidP="00AC6BAE">
      <w:pPr>
        <w:pStyle w:val="Heading5"/>
        <w:jc w:val="center"/>
        <w:rPr>
          <w:lang w:val="en-GB"/>
        </w:rPr>
      </w:pPr>
      <w:bookmarkStart w:id="38" w:name="_Toc15475671"/>
      <w:r w:rsidRPr="00CF3C36">
        <w:rPr>
          <w:lang w:val="en-GB"/>
        </w:rPr>
        <w:lastRenderedPageBreak/>
        <w:t>Table 8. Countries in M</w:t>
      </w:r>
      <w:r w:rsidR="00AC6BAE" w:rsidRPr="00CF3C36">
        <w:rPr>
          <w:lang w:val="en-GB"/>
        </w:rPr>
        <w:t>odels 2.1 &amp; 2.2</w:t>
      </w:r>
      <w:bookmarkEnd w:id="38"/>
    </w:p>
    <w:tbl>
      <w:tblPr>
        <w:tblW w:w="9160" w:type="dxa"/>
        <w:tblCellMar>
          <w:left w:w="70" w:type="dxa"/>
          <w:right w:w="70" w:type="dxa"/>
        </w:tblCellMar>
        <w:tblLook w:val="04A0" w:firstRow="1" w:lastRow="0" w:firstColumn="1" w:lastColumn="0" w:noHBand="0" w:noVBand="1"/>
      </w:tblPr>
      <w:tblGrid>
        <w:gridCol w:w="1900"/>
        <w:gridCol w:w="2600"/>
        <w:gridCol w:w="1160"/>
        <w:gridCol w:w="1620"/>
        <w:gridCol w:w="1880"/>
      </w:tblGrid>
      <w:tr w:rsidR="00AC6BAE" w:rsidRPr="00CF3C36" w14:paraId="2F954090" w14:textId="77777777" w:rsidTr="00AC6BAE">
        <w:trPr>
          <w:trHeight w:val="300"/>
        </w:trPr>
        <w:tc>
          <w:tcPr>
            <w:tcW w:w="1900" w:type="dxa"/>
            <w:tcBorders>
              <w:top w:val="nil"/>
              <w:left w:val="nil"/>
              <w:bottom w:val="single" w:sz="4" w:space="0" w:color="FFFFFF"/>
              <w:right w:val="single" w:sz="4" w:space="0" w:color="FFFFFF"/>
            </w:tcBorders>
            <w:shd w:val="clear" w:color="000000" w:fill="9BC2E6"/>
            <w:noWrap/>
            <w:vAlign w:val="bottom"/>
            <w:hideMark/>
          </w:tcPr>
          <w:p w14:paraId="068CEDF3" w14:textId="77777777" w:rsidR="00AC6BAE" w:rsidRPr="00CF3C36" w:rsidRDefault="00AC6BAE" w:rsidP="00AC6BAE">
            <w:pPr>
              <w:spacing w:after="0" w:line="240" w:lineRule="auto"/>
              <w:rPr>
                <w:rFonts w:ascii="Calibri" w:eastAsia="Times New Roman" w:hAnsi="Calibri" w:cs="Calibri"/>
                <w:b/>
                <w:bCs/>
                <w:i/>
                <w:iCs/>
                <w:color w:val="000000"/>
                <w:lang w:val="en-GB" w:eastAsia="nl-NL"/>
              </w:rPr>
            </w:pPr>
            <w:r w:rsidRPr="00CF3C36">
              <w:rPr>
                <w:rFonts w:ascii="Calibri" w:eastAsia="Times New Roman" w:hAnsi="Calibri" w:cs="Calibri"/>
                <w:b/>
                <w:bCs/>
                <w:i/>
                <w:iCs/>
                <w:color w:val="000000"/>
                <w:lang w:val="en-GB" w:eastAsia="nl-NL"/>
              </w:rPr>
              <w:t>Country</w:t>
            </w:r>
          </w:p>
        </w:tc>
        <w:tc>
          <w:tcPr>
            <w:tcW w:w="2600" w:type="dxa"/>
            <w:tcBorders>
              <w:top w:val="nil"/>
              <w:left w:val="single" w:sz="4" w:space="0" w:color="FFFFFF"/>
              <w:bottom w:val="single" w:sz="4" w:space="0" w:color="FFFFFF"/>
              <w:right w:val="single" w:sz="4" w:space="0" w:color="FFFFFF"/>
            </w:tcBorders>
            <w:shd w:val="clear" w:color="000000" w:fill="9BC2E6"/>
            <w:noWrap/>
            <w:vAlign w:val="bottom"/>
            <w:hideMark/>
          </w:tcPr>
          <w:p w14:paraId="679148E2" w14:textId="77777777" w:rsidR="00AC6BAE" w:rsidRPr="00CF3C36" w:rsidRDefault="00AC6BAE" w:rsidP="00AC6BAE">
            <w:pPr>
              <w:spacing w:after="0" w:line="240" w:lineRule="auto"/>
              <w:rPr>
                <w:rFonts w:ascii="Calibri" w:eastAsia="Times New Roman" w:hAnsi="Calibri" w:cs="Calibri"/>
                <w:b/>
                <w:bCs/>
                <w:i/>
                <w:iCs/>
                <w:color w:val="000000"/>
                <w:lang w:val="en-GB" w:eastAsia="nl-NL"/>
              </w:rPr>
            </w:pPr>
            <w:r w:rsidRPr="00CF3C36">
              <w:rPr>
                <w:rFonts w:ascii="Calibri" w:eastAsia="Times New Roman" w:hAnsi="Calibri" w:cs="Calibri"/>
                <w:b/>
                <w:bCs/>
                <w:i/>
                <w:iCs/>
                <w:color w:val="000000"/>
                <w:lang w:val="en-GB" w:eastAsia="nl-NL"/>
              </w:rPr>
              <w:t>Region</w:t>
            </w:r>
          </w:p>
        </w:tc>
        <w:tc>
          <w:tcPr>
            <w:tcW w:w="1160" w:type="dxa"/>
            <w:tcBorders>
              <w:top w:val="nil"/>
              <w:left w:val="single" w:sz="4" w:space="0" w:color="FFFFFF"/>
              <w:bottom w:val="single" w:sz="4" w:space="0" w:color="FFFFFF"/>
              <w:right w:val="single" w:sz="4" w:space="0" w:color="FFFFFF"/>
            </w:tcBorders>
            <w:shd w:val="clear" w:color="000000" w:fill="9BC2E6"/>
            <w:noWrap/>
            <w:vAlign w:val="bottom"/>
            <w:hideMark/>
          </w:tcPr>
          <w:p w14:paraId="4BA5FC7D" w14:textId="77777777" w:rsidR="00AC6BAE" w:rsidRPr="00CF3C36" w:rsidRDefault="00AC6BAE" w:rsidP="00AC6BAE">
            <w:pPr>
              <w:spacing w:after="0" w:line="240" w:lineRule="auto"/>
              <w:rPr>
                <w:rFonts w:ascii="Calibri" w:eastAsia="Times New Roman" w:hAnsi="Calibri" w:cs="Calibri"/>
                <w:b/>
                <w:bCs/>
                <w:i/>
                <w:iCs/>
                <w:color w:val="000000"/>
                <w:lang w:val="en-GB" w:eastAsia="nl-NL"/>
              </w:rPr>
            </w:pPr>
            <w:r w:rsidRPr="00CF3C36">
              <w:rPr>
                <w:rFonts w:ascii="Calibri" w:eastAsia="Times New Roman" w:hAnsi="Calibri" w:cs="Calibri"/>
                <w:b/>
                <w:bCs/>
                <w:i/>
                <w:iCs/>
                <w:color w:val="000000"/>
                <w:lang w:val="en-GB" w:eastAsia="nl-NL"/>
              </w:rPr>
              <w:t> </w:t>
            </w:r>
          </w:p>
        </w:tc>
        <w:tc>
          <w:tcPr>
            <w:tcW w:w="1620" w:type="dxa"/>
            <w:tcBorders>
              <w:top w:val="nil"/>
              <w:left w:val="single" w:sz="4" w:space="0" w:color="FFFFFF"/>
              <w:bottom w:val="single" w:sz="4" w:space="0" w:color="FFFFFF"/>
              <w:right w:val="single" w:sz="4" w:space="0" w:color="FFFFFF"/>
            </w:tcBorders>
            <w:shd w:val="clear" w:color="000000" w:fill="9BC2E6"/>
            <w:noWrap/>
            <w:vAlign w:val="bottom"/>
            <w:hideMark/>
          </w:tcPr>
          <w:p w14:paraId="39D420F3" w14:textId="77777777" w:rsidR="00AC6BAE" w:rsidRPr="00CF3C36" w:rsidRDefault="00AC6BAE" w:rsidP="00AC6BAE">
            <w:pPr>
              <w:spacing w:after="0" w:line="240" w:lineRule="auto"/>
              <w:rPr>
                <w:rFonts w:ascii="Calibri" w:eastAsia="Times New Roman" w:hAnsi="Calibri" w:cs="Calibri"/>
                <w:b/>
                <w:bCs/>
                <w:i/>
                <w:iCs/>
                <w:color w:val="000000"/>
                <w:lang w:val="en-GB" w:eastAsia="nl-NL"/>
              </w:rPr>
            </w:pPr>
            <w:r w:rsidRPr="00CF3C36">
              <w:rPr>
                <w:rFonts w:ascii="Calibri" w:eastAsia="Times New Roman" w:hAnsi="Calibri" w:cs="Calibri"/>
                <w:b/>
                <w:bCs/>
                <w:i/>
                <w:iCs/>
                <w:color w:val="000000"/>
                <w:lang w:val="en-GB" w:eastAsia="nl-NL"/>
              </w:rPr>
              <w:t>Country</w:t>
            </w:r>
          </w:p>
        </w:tc>
        <w:tc>
          <w:tcPr>
            <w:tcW w:w="1880" w:type="dxa"/>
            <w:tcBorders>
              <w:top w:val="nil"/>
              <w:left w:val="single" w:sz="4" w:space="0" w:color="FFFFFF"/>
              <w:bottom w:val="single" w:sz="4" w:space="0" w:color="FFFFFF"/>
              <w:right w:val="nil"/>
            </w:tcBorders>
            <w:shd w:val="clear" w:color="000000" w:fill="9BC2E6"/>
            <w:noWrap/>
            <w:vAlign w:val="bottom"/>
            <w:hideMark/>
          </w:tcPr>
          <w:p w14:paraId="1A00E671" w14:textId="77777777" w:rsidR="00AC6BAE" w:rsidRPr="00CF3C36" w:rsidRDefault="00AC6BAE" w:rsidP="00AC6BAE">
            <w:pPr>
              <w:spacing w:after="0" w:line="240" w:lineRule="auto"/>
              <w:rPr>
                <w:rFonts w:ascii="Calibri" w:eastAsia="Times New Roman" w:hAnsi="Calibri" w:cs="Calibri"/>
                <w:b/>
                <w:bCs/>
                <w:i/>
                <w:iCs/>
                <w:color w:val="000000"/>
                <w:lang w:val="en-GB" w:eastAsia="nl-NL"/>
              </w:rPr>
            </w:pPr>
            <w:r w:rsidRPr="00CF3C36">
              <w:rPr>
                <w:rFonts w:ascii="Calibri" w:eastAsia="Times New Roman" w:hAnsi="Calibri" w:cs="Calibri"/>
                <w:b/>
                <w:bCs/>
                <w:i/>
                <w:iCs/>
                <w:color w:val="000000"/>
                <w:lang w:val="en-GB" w:eastAsia="nl-NL"/>
              </w:rPr>
              <w:t>Region</w:t>
            </w:r>
          </w:p>
        </w:tc>
      </w:tr>
      <w:tr w:rsidR="00AC6BAE" w:rsidRPr="00CF3C36" w14:paraId="364E167C" w14:textId="77777777" w:rsidTr="00AC6BAE">
        <w:trPr>
          <w:trHeight w:val="300"/>
        </w:trPr>
        <w:tc>
          <w:tcPr>
            <w:tcW w:w="1900" w:type="dxa"/>
            <w:tcBorders>
              <w:top w:val="single" w:sz="4" w:space="0" w:color="auto"/>
              <w:left w:val="nil"/>
              <w:bottom w:val="single" w:sz="4" w:space="0" w:color="FFFFFF"/>
              <w:right w:val="single" w:sz="4" w:space="0" w:color="FFFFFF"/>
            </w:tcBorders>
            <w:shd w:val="clear" w:color="DDEBF7" w:fill="DDEBF7"/>
            <w:noWrap/>
            <w:vAlign w:val="bottom"/>
            <w:hideMark/>
          </w:tcPr>
          <w:p w14:paraId="0BDAA10B"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Cambodia</w:t>
            </w:r>
          </w:p>
        </w:tc>
        <w:tc>
          <w:tcPr>
            <w:tcW w:w="2600" w:type="dxa"/>
            <w:tcBorders>
              <w:top w:val="single" w:sz="4" w:space="0" w:color="auto"/>
              <w:left w:val="single" w:sz="4" w:space="0" w:color="auto"/>
              <w:bottom w:val="single" w:sz="4" w:space="0" w:color="FFFFFF"/>
              <w:right w:val="single" w:sz="4" w:space="0" w:color="FFFFFF"/>
            </w:tcBorders>
            <w:shd w:val="clear" w:color="DDEBF7" w:fill="DDEBF7"/>
            <w:noWrap/>
            <w:vAlign w:val="bottom"/>
            <w:hideMark/>
          </w:tcPr>
          <w:p w14:paraId="5D60D678"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1160" w:type="dxa"/>
            <w:tcBorders>
              <w:top w:val="single" w:sz="4" w:space="0" w:color="auto"/>
              <w:left w:val="single" w:sz="4" w:space="0" w:color="FFFFFF"/>
              <w:bottom w:val="single" w:sz="4" w:space="0" w:color="FFFFFF"/>
              <w:right w:val="single" w:sz="4" w:space="0" w:color="FFFFFF"/>
            </w:tcBorders>
            <w:shd w:val="clear" w:color="DDEBF7" w:fill="DDEBF7"/>
            <w:noWrap/>
            <w:vAlign w:val="bottom"/>
            <w:hideMark/>
          </w:tcPr>
          <w:p w14:paraId="6710B1A0"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 </w:t>
            </w:r>
          </w:p>
        </w:tc>
        <w:tc>
          <w:tcPr>
            <w:tcW w:w="1620" w:type="dxa"/>
            <w:tcBorders>
              <w:top w:val="single" w:sz="4" w:space="0" w:color="auto"/>
              <w:left w:val="single" w:sz="4" w:space="0" w:color="FFFFFF"/>
              <w:bottom w:val="single" w:sz="4" w:space="0" w:color="FFFFFF"/>
              <w:right w:val="single" w:sz="4" w:space="0" w:color="FFFFFF"/>
            </w:tcBorders>
            <w:shd w:val="clear" w:color="DDEBF7" w:fill="DDEBF7"/>
            <w:noWrap/>
            <w:vAlign w:val="bottom"/>
            <w:hideMark/>
          </w:tcPr>
          <w:p w14:paraId="067B46E2"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Czech Republic</w:t>
            </w:r>
          </w:p>
        </w:tc>
        <w:tc>
          <w:tcPr>
            <w:tcW w:w="1880" w:type="dxa"/>
            <w:tcBorders>
              <w:top w:val="single" w:sz="4" w:space="0" w:color="auto"/>
              <w:left w:val="single" w:sz="4" w:space="0" w:color="auto"/>
              <w:bottom w:val="single" w:sz="4" w:space="0" w:color="FFFFFF"/>
              <w:right w:val="nil"/>
            </w:tcBorders>
            <w:shd w:val="clear" w:color="DDEBF7" w:fill="DDEBF7"/>
            <w:noWrap/>
            <w:vAlign w:val="bottom"/>
            <w:hideMark/>
          </w:tcPr>
          <w:p w14:paraId="425AF3F7"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6F1484AB"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6CC15F06"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China</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51674A10"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02911C69"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3FB9E65"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Denmark</w:t>
            </w:r>
          </w:p>
        </w:tc>
        <w:tc>
          <w:tcPr>
            <w:tcW w:w="1880" w:type="dxa"/>
            <w:tcBorders>
              <w:top w:val="single" w:sz="4" w:space="0" w:color="FFFFFF"/>
              <w:left w:val="single" w:sz="4" w:space="0" w:color="auto"/>
              <w:bottom w:val="single" w:sz="4" w:space="0" w:color="FFFFFF"/>
              <w:right w:val="nil"/>
            </w:tcBorders>
            <w:shd w:val="clear" w:color="BDD7EE" w:fill="BDD7EE"/>
            <w:noWrap/>
            <w:vAlign w:val="bottom"/>
            <w:hideMark/>
          </w:tcPr>
          <w:p w14:paraId="36F84FA7"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6464EF89"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01328D82"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Indonesia</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0B6B7199"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33F1A4FE"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58538245"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Estonia</w:t>
            </w:r>
          </w:p>
        </w:tc>
        <w:tc>
          <w:tcPr>
            <w:tcW w:w="1880" w:type="dxa"/>
            <w:tcBorders>
              <w:top w:val="single" w:sz="4" w:space="0" w:color="FFFFFF"/>
              <w:left w:val="single" w:sz="4" w:space="0" w:color="auto"/>
              <w:bottom w:val="single" w:sz="4" w:space="0" w:color="FFFFFF"/>
              <w:right w:val="nil"/>
            </w:tcBorders>
            <w:shd w:val="clear" w:color="DDEBF7" w:fill="DDEBF7"/>
            <w:noWrap/>
            <w:vAlign w:val="bottom"/>
            <w:hideMark/>
          </w:tcPr>
          <w:p w14:paraId="16B97908"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52A3FE70"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0F464D7D"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Malaysia</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17176B69"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8805B0E"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F3225F7"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Finland</w:t>
            </w:r>
          </w:p>
        </w:tc>
        <w:tc>
          <w:tcPr>
            <w:tcW w:w="1880" w:type="dxa"/>
            <w:tcBorders>
              <w:top w:val="single" w:sz="4" w:space="0" w:color="FFFFFF"/>
              <w:left w:val="single" w:sz="4" w:space="0" w:color="auto"/>
              <w:bottom w:val="single" w:sz="4" w:space="0" w:color="FFFFFF"/>
              <w:right w:val="nil"/>
            </w:tcBorders>
            <w:shd w:val="clear" w:color="BDD7EE" w:fill="BDD7EE"/>
            <w:noWrap/>
            <w:vAlign w:val="bottom"/>
            <w:hideMark/>
          </w:tcPr>
          <w:p w14:paraId="71E75490"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7D281A6F"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7864FEB4"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Philippines</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558C2E6F"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DDE39A7"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5156B9FF"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France</w:t>
            </w:r>
          </w:p>
        </w:tc>
        <w:tc>
          <w:tcPr>
            <w:tcW w:w="1880" w:type="dxa"/>
            <w:tcBorders>
              <w:top w:val="single" w:sz="4" w:space="0" w:color="FFFFFF"/>
              <w:left w:val="single" w:sz="4" w:space="0" w:color="auto"/>
              <w:bottom w:val="single" w:sz="4" w:space="0" w:color="FFFFFF"/>
              <w:right w:val="nil"/>
            </w:tcBorders>
            <w:shd w:val="clear" w:color="DDEBF7" w:fill="DDEBF7"/>
            <w:noWrap/>
            <w:vAlign w:val="bottom"/>
            <w:hideMark/>
          </w:tcPr>
          <w:p w14:paraId="072A4F12"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514FD3F0"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068B1DAC"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Singapore</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21FE0104"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879AC67"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ED7BCDD"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Germany</w:t>
            </w:r>
          </w:p>
        </w:tc>
        <w:tc>
          <w:tcPr>
            <w:tcW w:w="1880" w:type="dxa"/>
            <w:tcBorders>
              <w:top w:val="single" w:sz="4" w:space="0" w:color="FFFFFF"/>
              <w:left w:val="single" w:sz="4" w:space="0" w:color="auto"/>
              <w:bottom w:val="single" w:sz="4" w:space="0" w:color="FFFFFF"/>
              <w:right w:val="nil"/>
            </w:tcBorders>
            <w:shd w:val="clear" w:color="BDD7EE" w:fill="BDD7EE"/>
            <w:noWrap/>
            <w:vAlign w:val="bottom"/>
            <w:hideMark/>
          </w:tcPr>
          <w:p w14:paraId="15755523"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7D0DB3D1"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7E828F2D"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Thailand</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71BBAE40"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East Asia &amp; Pacific</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4818C5A9"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963BA56"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Greece</w:t>
            </w:r>
          </w:p>
        </w:tc>
        <w:tc>
          <w:tcPr>
            <w:tcW w:w="1880" w:type="dxa"/>
            <w:tcBorders>
              <w:top w:val="single" w:sz="4" w:space="0" w:color="FFFFFF"/>
              <w:left w:val="single" w:sz="4" w:space="0" w:color="auto"/>
              <w:bottom w:val="single" w:sz="4" w:space="0" w:color="FFFFFF"/>
              <w:right w:val="nil"/>
            </w:tcBorders>
            <w:shd w:val="clear" w:color="DDEBF7" w:fill="DDEBF7"/>
            <w:noWrap/>
            <w:vAlign w:val="bottom"/>
            <w:hideMark/>
          </w:tcPr>
          <w:p w14:paraId="01F05C33"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51F1F8C8"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11B847FA"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Armenia</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65ADED5A"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Europe &amp; Cental Asia</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C7783FD"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00F6922"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Hungary</w:t>
            </w:r>
          </w:p>
        </w:tc>
        <w:tc>
          <w:tcPr>
            <w:tcW w:w="1880" w:type="dxa"/>
            <w:tcBorders>
              <w:top w:val="single" w:sz="4" w:space="0" w:color="FFFFFF"/>
              <w:left w:val="single" w:sz="4" w:space="0" w:color="auto"/>
              <w:bottom w:val="single" w:sz="4" w:space="0" w:color="FFFFFF"/>
              <w:right w:val="nil"/>
            </w:tcBorders>
            <w:shd w:val="clear" w:color="BDD7EE" w:fill="BDD7EE"/>
            <w:noWrap/>
            <w:vAlign w:val="bottom"/>
            <w:hideMark/>
          </w:tcPr>
          <w:p w14:paraId="1A413098"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64DAB0AA"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4AE1E806"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Azerbaijan</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578F0013"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Europe &amp; Cental Asia</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2402C733"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19A0B164"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Iceland</w:t>
            </w:r>
          </w:p>
        </w:tc>
        <w:tc>
          <w:tcPr>
            <w:tcW w:w="1880" w:type="dxa"/>
            <w:tcBorders>
              <w:top w:val="single" w:sz="4" w:space="0" w:color="FFFFFF"/>
              <w:left w:val="single" w:sz="4" w:space="0" w:color="auto"/>
              <w:bottom w:val="single" w:sz="4" w:space="0" w:color="FFFFFF"/>
              <w:right w:val="nil"/>
            </w:tcBorders>
            <w:shd w:val="clear" w:color="DDEBF7" w:fill="DDEBF7"/>
            <w:noWrap/>
            <w:vAlign w:val="bottom"/>
            <w:hideMark/>
          </w:tcPr>
          <w:p w14:paraId="44C21634"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259F793D"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34B8598D"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Georgia</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1F50505D"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Europe &amp; Cental Asia</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727C6F7"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C08E0FF"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Ireland</w:t>
            </w:r>
          </w:p>
        </w:tc>
        <w:tc>
          <w:tcPr>
            <w:tcW w:w="1880" w:type="dxa"/>
            <w:tcBorders>
              <w:top w:val="single" w:sz="4" w:space="0" w:color="FFFFFF"/>
              <w:left w:val="single" w:sz="4" w:space="0" w:color="auto"/>
              <w:bottom w:val="single" w:sz="4" w:space="0" w:color="FFFFFF"/>
              <w:right w:val="nil"/>
            </w:tcBorders>
            <w:shd w:val="clear" w:color="BDD7EE" w:fill="BDD7EE"/>
            <w:noWrap/>
            <w:vAlign w:val="bottom"/>
            <w:hideMark/>
          </w:tcPr>
          <w:p w14:paraId="7BAC8CB8"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55DF98BC"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71FADF84"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Kazakhstan</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405DBA4C"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Europe &amp; Cental Asia</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6C0CC73"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0D7045A0"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Israel</w:t>
            </w:r>
          </w:p>
        </w:tc>
        <w:tc>
          <w:tcPr>
            <w:tcW w:w="1880" w:type="dxa"/>
            <w:tcBorders>
              <w:top w:val="single" w:sz="4" w:space="0" w:color="FFFFFF"/>
              <w:left w:val="single" w:sz="4" w:space="0" w:color="auto"/>
              <w:bottom w:val="single" w:sz="4" w:space="0" w:color="FFFFFF"/>
              <w:right w:val="nil"/>
            </w:tcBorders>
            <w:shd w:val="clear" w:color="DDEBF7" w:fill="DDEBF7"/>
            <w:noWrap/>
            <w:vAlign w:val="bottom"/>
            <w:hideMark/>
          </w:tcPr>
          <w:p w14:paraId="272BC98B"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4B27FF1C"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7DF349D2"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Russian Federation</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79640235"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Europe &amp; Cental Asia</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0CB5B473"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1D869BC"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Italy</w:t>
            </w:r>
          </w:p>
        </w:tc>
        <w:tc>
          <w:tcPr>
            <w:tcW w:w="1880" w:type="dxa"/>
            <w:tcBorders>
              <w:top w:val="single" w:sz="4" w:space="0" w:color="FFFFFF"/>
              <w:left w:val="single" w:sz="4" w:space="0" w:color="auto"/>
              <w:bottom w:val="single" w:sz="4" w:space="0" w:color="FFFFFF"/>
              <w:right w:val="nil"/>
            </w:tcBorders>
            <w:shd w:val="clear" w:color="BDD7EE" w:fill="BDD7EE"/>
            <w:noWrap/>
            <w:vAlign w:val="bottom"/>
            <w:hideMark/>
          </w:tcPr>
          <w:p w14:paraId="565D0F7C"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2ACC43A7"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5872A0B3"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Turkey</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408BD077"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Europe &amp; Cental Asia</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4EC92C1D"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16AE27EF"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Japan</w:t>
            </w:r>
          </w:p>
        </w:tc>
        <w:tc>
          <w:tcPr>
            <w:tcW w:w="1880" w:type="dxa"/>
            <w:tcBorders>
              <w:top w:val="single" w:sz="4" w:space="0" w:color="FFFFFF"/>
              <w:left w:val="single" w:sz="4" w:space="0" w:color="auto"/>
              <w:bottom w:val="single" w:sz="4" w:space="0" w:color="FFFFFF"/>
              <w:right w:val="nil"/>
            </w:tcBorders>
            <w:shd w:val="clear" w:color="DDEBF7" w:fill="DDEBF7"/>
            <w:noWrap/>
            <w:vAlign w:val="bottom"/>
            <w:hideMark/>
          </w:tcPr>
          <w:p w14:paraId="323EB5AC"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2A747648"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794C3209"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Ukraine</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7B287156"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Europe &amp; Cental Asia</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990EA00"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76DE249"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Latvia</w:t>
            </w:r>
          </w:p>
        </w:tc>
        <w:tc>
          <w:tcPr>
            <w:tcW w:w="1880" w:type="dxa"/>
            <w:tcBorders>
              <w:top w:val="single" w:sz="4" w:space="0" w:color="FFFFFF"/>
              <w:left w:val="single" w:sz="4" w:space="0" w:color="auto"/>
              <w:bottom w:val="single" w:sz="4" w:space="0" w:color="FFFFFF"/>
              <w:right w:val="nil"/>
            </w:tcBorders>
            <w:shd w:val="clear" w:color="BDD7EE" w:fill="BDD7EE"/>
            <w:noWrap/>
            <w:vAlign w:val="bottom"/>
            <w:hideMark/>
          </w:tcPr>
          <w:p w14:paraId="3D8ECDA8"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1193A141"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50EA703D"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Argentina</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4CE0A3F5"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0FED900"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2BD7BD87"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Lithuania</w:t>
            </w:r>
          </w:p>
        </w:tc>
        <w:tc>
          <w:tcPr>
            <w:tcW w:w="1880" w:type="dxa"/>
            <w:tcBorders>
              <w:top w:val="single" w:sz="4" w:space="0" w:color="FFFFFF"/>
              <w:left w:val="single" w:sz="4" w:space="0" w:color="auto"/>
              <w:bottom w:val="single" w:sz="4" w:space="0" w:color="FFFFFF"/>
              <w:right w:val="nil"/>
            </w:tcBorders>
            <w:shd w:val="clear" w:color="DDEBF7" w:fill="DDEBF7"/>
            <w:noWrap/>
            <w:vAlign w:val="bottom"/>
            <w:hideMark/>
          </w:tcPr>
          <w:p w14:paraId="0E8EA66F"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75141203"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679E058A"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Brazil</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3447718D"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3DBEFB6"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787E985"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Luxembourg</w:t>
            </w:r>
          </w:p>
        </w:tc>
        <w:tc>
          <w:tcPr>
            <w:tcW w:w="1880" w:type="dxa"/>
            <w:tcBorders>
              <w:top w:val="single" w:sz="4" w:space="0" w:color="FFFFFF"/>
              <w:left w:val="single" w:sz="4" w:space="0" w:color="auto"/>
              <w:bottom w:val="single" w:sz="4" w:space="0" w:color="FFFFFF"/>
              <w:right w:val="nil"/>
            </w:tcBorders>
            <w:shd w:val="clear" w:color="BDD7EE" w:fill="BDD7EE"/>
            <w:noWrap/>
            <w:vAlign w:val="bottom"/>
            <w:hideMark/>
          </w:tcPr>
          <w:p w14:paraId="541642F8"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213EDCB8"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1E03E8D7"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Colombia</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17083B60"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31DA9F5A"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2B20127E"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Netherlands</w:t>
            </w:r>
          </w:p>
        </w:tc>
        <w:tc>
          <w:tcPr>
            <w:tcW w:w="1880" w:type="dxa"/>
            <w:tcBorders>
              <w:top w:val="single" w:sz="4" w:space="0" w:color="FFFFFF"/>
              <w:left w:val="single" w:sz="4" w:space="0" w:color="auto"/>
              <w:bottom w:val="single" w:sz="4" w:space="0" w:color="FFFFFF"/>
              <w:right w:val="nil"/>
            </w:tcBorders>
            <w:shd w:val="clear" w:color="DDEBF7" w:fill="DDEBF7"/>
            <w:noWrap/>
            <w:vAlign w:val="bottom"/>
            <w:hideMark/>
          </w:tcPr>
          <w:p w14:paraId="08723A9A"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284DEA76"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03A65038"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Costa Rica</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1E6031DD"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B65A3A1"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543481B"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New Zealand</w:t>
            </w:r>
          </w:p>
        </w:tc>
        <w:tc>
          <w:tcPr>
            <w:tcW w:w="1880" w:type="dxa"/>
            <w:tcBorders>
              <w:top w:val="single" w:sz="4" w:space="0" w:color="FFFFFF"/>
              <w:left w:val="single" w:sz="4" w:space="0" w:color="auto"/>
              <w:bottom w:val="single" w:sz="4" w:space="0" w:color="FFFFFF"/>
              <w:right w:val="nil"/>
            </w:tcBorders>
            <w:shd w:val="clear" w:color="BDD7EE" w:fill="BDD7EE"/>
            <w:noWrap/>
            <w:vAlign w:val="bottom"/>
            <w:hideMark/>
          </w:tcPr>
          <w:p w14:paraId="71320DF2"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3B4CBF9B"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502879EC"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Ecuador</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3BDA3065"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3C7F6E7B"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FBE2BB6"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Norway</w:t>
            </w:r>
          </w:p>
        </w:tc>
        <w:tc>
          <w:tcPr>
            <w:tcW w:w="1880" w:type="dxa"/>
            <w:tcBorders>
              <w:top w:val="single" w:sz="4" w:space="0" w:color="FFFFFF"/>
              <w:left w:val="single" w:sz="4" w:space="0" w:color="auto"/>
              <w:bottom w:val="single" w:sz="4" w:space="0" w:color="FFFFFF"/>
              <w:right w:val="nil"/>
            </w:tcBorders>
            <w:shd w:val="clear" w:color="DDEBF7" w:fill="DDEBF7"/>
            <w:noWrap/>
            <w:vAlign w:val="bottom"/>
            <w:hideMark/>
          </w:tcPr>
          <w:p w14:paraId="3D9FECD0"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58069799"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0A5F6132"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El Salvador</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0820845F"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282F5BE"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51A73EE"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Poland</w:t>
            </w:r>
          </w:p>
        </w:tc>
        <w:tc>
          <w:tcPr>
            <w:tcW w:w="1880" w:type="dxa"/>
            <w:tcBorders>
              <w:top w:val="single" w:sz="4" w:space="0" w:color="FFFFFF"/>
              <w:left w:val="single" w:sz="4" w:space="0" w:color="auto"/>
              <w:bottom w:val="single" w:sz="4" w:space="0" w:color="FFFFFF"/>
              <w:right w:val="nil"/>
            </w:tcBorders>
            <w:shd w:val="clear" w:color="BDD7EE" w:fill="BDD7EE"/>
            <w:noWrap/>
            <w:vAlign w:val="bottom"/>
            <w:hideMark/>
          </w:tcPr>
          <w:p w14:paraId="72DE5F9A"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18E76ECB"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0FF29DC7"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Guatemala</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699BA2EC"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12C62A74"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57575B23"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Portugal</w:t>
            </w:r>
          </w:p>
        </w:tc>
        <w:tc>
          <w:tcPr>
            <w:tcW w:w="1880" w:type="dxa"/>
            <w:tcBorders>
              <w:top w:val="single" w:sz="4" w:space="0" w:color="FFFFFF"/>
              <w:left w:val="single" w:sz="4" w:space="0" w:color="auto"/>
              <w:bottom w:val="single" w:sz="4" w:space="0" w:color="FFFFFF"/>
              <w:right w:val="nil"/>
            </w:tcBorders>
            <w:shd w:val="clear" w:color="DDEBF7" w:fill="DDEBF7"/>
            <w:noWrap/>
            <w:vAlign w:val="bottom"/>
            <w:hideMark/>
          </w:tcPr>
          <w:p w14:paraId="4D5033FE"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06F7A891"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01921B38"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Mexico</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5D2AF308"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3BA62E2"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0704966"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Slovenia</w:t>
            </w:r>
          </w:p>
        </w:tc>
        <w:tc>
          <w:tcPr>
            <w:tcW w:w="1880" w:type="dxa"/>
            <w:tcBorders>
              <w:top w:val="single" w:sz="4" w:space="0" w:color="FFFFFF"/>
              <w:left w:val="single" w:sz="4" w:space="0" w:color="auto"/>
              <w:bottom w:val="single" w:sz="4" w:space="0" w:color="FFFFFF"/>
              <w:right w:val="nil"/>
            </w:tcBorders>
            <w:shd w:val="clear" w:color="BDD7EE" w:fill="BDD7EE"/>
            <w:noWrap/>
            <w:vAlign w:val="bottom"/>
            <w:hideMark/>
          </w:tcPr>
          <w:p w14:paraId="5EBCAAF7"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7C3C502F"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660A6631"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Panama</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37FF4363"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56C901C8"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856472B"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Spain</w:t>
            </w:r>
          </w:p>
        </w:tc>
        <w:tc>
          <w:tcPr>
            <w:tcW w:w="1880" w:type="dxa"/>
            <w:tcBorders>
              <w:top w:val="single" w:sz="4" w:space="0" w:color="FFFFFF"/>
              <w:left w:val="single" w:sz="4" w:space="0" w:color="auto"/>
              <w:bottom w:val="single" w:sz="4" w:space="0" w:color="FFFFFF"/>
              <w:right w:val="nil"/>
            </w:tcBorders>
            <w:shd w:val="clear" w:color="DDEBF7" w:fill="DDEBF7"/>
            <w:noWrap/>
            <w:vAlign w:val="bottom"/>
            <w:hideMark/>
          </w:tcPr>
          <w:p w14:paraId="20F543F2"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4E928254"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30DD20E6"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Paraguay</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2E43DAEB"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C322828"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B3B8EFA"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Sweden</w:t>
            </w:r>
          </w:p>
        </w:tc>
        <w:tc>
          <w:tcPr>
            <w:tcW w:w="1880" w:type="dxa"/>
            <w:tcBorders>
              <w:top w:val="single" w:sz="4" w:space="0" w:color="FFFFFF"/>
              <w:left w:val="single" w:sz="4" w:space="0" w:color="auto"/>
              <w:bottom w:val="single" w:sz="4" w:space="0" w:color="FFFFFF"/>
              <w:right w:val="nil"/>
            </w:tcBorders>
            <w:shd w:val="clear" w:color="BDD7EE" w:fill="BDD7EE"/>
            <w:noWrap/>
            <w:vAlign w:val="bottom"/>
            <w:hideMark/>
          </w:tcPr>
          <w:p w14:paraId="26E8DDD2"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367F8B58"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659E9D77"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Peru</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110BCCFA"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0CC35822"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3D18C481"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Switzerland</w:t>
            </w:r>
          </w:p>
        </w:tc>
        <w:tc>
          <w:tcPr>
            <w:tcW w:w="1880" w:type="dxa"/>
            <w:tcBorders>
              <w:top w:val="single" w:sz="4" w:space="0" w:color="FFFFFF"/>
              <w:left w:val="single" w:sz="4" w:space="0" w:color="auto"/>
              <w:bottom w:val="single" w:sz="4" w:space="0" w:color="FFFFFF"/>
              <w:right w:val="nil"/>
            </w:tcBorders>
            <w:shd w:val="clear" w:color="DDEBF7" w:fill="DDEBF7"/>
            <w:noWrap/>
            <w:vAlign w:val="bottom"/>
            <w:hideMark/>
          </w:tcPr>
          <w:p w14:paraId="7A374C85"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5AE6B081"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561180B7"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Uruguay</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7883CCD6"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Latin America &amp; Caribbean</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3561E35"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49D1C9D2"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United Kingdom</w:t>
            </w:r>
          </w:p>
        </w:tc>
        <w:tc>
          <w:tcPr>
            <w:tcW w:w="1880" w:type="dxa"/>
            <w:tcBorders>
              <w:top w:val="single" w:sz="4" w:space="0" w:color="FFFFFF"/>
              <w:left w:val="single" w:sz="4" w:space="0" w:color="auto"/>
              <w:bottom w:val="single" w:sz="4" w:space="0" w:color="FFFFFF"/>
              <w:right w:val="nil"/>
            </w:tcBorders>
            <w:shd w:val="clear" w:color="BDD7EE" w:fill="BDD7EE"/>
            <w:noWrap/>
            <w:vAlign w:val="bottom"/>
            <w:hideMark/>
          </w:tcPr>
          <w:p w14:paraId="10384CCB"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747F61BA"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5F0E3DDF"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Algeria</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40687B43"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Middle East &amp; North Africa</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034D9EB9"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53CEC977"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United States</w:t>
            </w:r>
          </w:p>
        </w:tc>
        <w:tc>
          <w:tcPr>
            <w:tcW w:w="1880" w:type="dxa"/>
            <w:tcBorders>
              <w:top w:val="single" w:sz="4" w:space="0" w:color="FFFFFF"/>
              <w:left w:val="single" w:sz="4" w:space="0" w:color="auto"/>
              <w:bottom w:val="single" w:sz="4" w:space="0" w:color="FFFFFF"/>
              <w:right w:val="nil"/>
            </w:tcBorders>
            <w:shd w:val="clear" w:color="DDEBF7" w:fill="DDEBF7"/>
            <w:noWrap/>
            <w:vAlign w:val="bottom"/>
            <w:hideMark/>
          </w:tcPr>
          <w:p w14:paraId="3F13C528"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r>
      <w:tr w:rsidR="00AC6BAE" w:rsidRPr="00CF3C36" w14:paraId="79F7F2C4"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55D50060"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Jordan</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677C3A9D"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Middle East &amp; North Africa</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3E18DC7"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F08BE9F"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India</w:t>
            </w:r>
          </w:p>
        </w:tc>
        <w:tc>
          <w:tcPr>
            <w:tcW w:w="1880" w:type="dxa"/>
            <w:tcBorders>
              <w:top w:val="single" w:sz="4" w:space="0" w:color="FFFFFF"/>
              <w:left w:val="single" w:sz="4" w:space="0" w:color="auto"/>
              <w:bottom w:val="single" w:sz="4" w:space="0" w:color="FFFFFF"/>
              <w:right w:val="nil"/>
            </w:tcBorders>
            <w:shd w:val="clear" w:color="BDD7EE" w:fill="BDD7EE"/>
            <w:noWrap/>
            <w:vAlign w:val="bottom"/>
            <w:hideMark/>
          </w:tcPr>
          <w:p w14:paraId="2D859D80"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South Asia</w:t>
            </w:r>
          </w:p>
        </w:tc>
      </w:tr>
      <w:tr w:rsidR="00AC6BAE" w:rsidRPr="00CF3C36" w14:paraId="5D85D976"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38293D0B"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Lebanon</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2117A1F2"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Middle East &amp; North Africa</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22AC7750"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4D6A0CF5"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Botswana</w:t>
            </w:r>
          </w:p>
        </w:tc>
        <w:tc>
          <w:tcPr>
            <w:tcW w:w="1880" w:type="dxa"/>
            <w:tcBorders>
              <w:top w:val="single" w:sz="4" w:space="0" w:color="FFFFFF"/>
              <w:left w:val="single" w:sz="4" w:space="0" w:color="auto"/>
              <w:bottom w:val="single" w:sz="4" w:space="0" w:color="FFFFFF"/>
              <w:right w:val="nil"/>
            </w:tcBorders>
            <w:shd w:val="clear" w:color="DDEBF7" w:fill="DDEBF7"/>
            <w:noWrap/>
            <w:vAlign w:val="bottom"/>
            <w:hideMark/>
          </w:tcPr>
          <w:p w14:paraId="787FE51F"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Sub-Saharan Africa</w:t>
            </w:r>
          </w:p>
        </w:tc>
      </w:tr>
      <w:tr w:rsidR="00AC6BAE" w:rsidRPr="00CF3C36" w14:paraId="5635935B"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72F45FCD"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Morocco</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240C36CF"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Middle East &amp; North Africa</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039F5614"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2B5FD8F"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Lesotho</w:t>
            </w:r>
          </w:p>
        </w:tc>
        <w:tc>
          <w:tcPr>
            <w:tcW w:w="1880" w:type="dxa"/>
            <w:tcBorders>
              <w:top w:val="single" w:sz="4" w:space="0" w:color="FFFFFF"/>
              <w:left w:val="single" w:sz="4" w:space="0" w:color="auto"/>
              <w:bottom w:val="single" w:sz="4" w:space="0" w:color="FFFFFF"/>
              <w:right w:val="nil"/>
            </w:tcBorders>
            <w:shd w:val="clear" w:color="BDD7EE" w:fill="BDD7EE"/>
            <w:noWrap/>
            <w:vAlign w:val="bottom"/>
            <w:hideMark/>
          </w:tcPr>
          <w:p w14:paraId="6ACD0494"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Sub-Saharan Africa</w:t>
            </w:r>
          </w:p>
        </w:tc>
      </w:tr>
      <w:tr w:rsidR="00AC6BAE" w:rsidRPr="00CF3C36" w14:paraId="2FB2FB59"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6062F1FC"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Saudi Arabia</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4EEA27EA"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Middle East &amp; North Africa</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080A0DE8"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04C44537"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Madagascar</w:t>
            </w:r>
          </w:p>
        </w:tc>
        <w:tc>
          <w:tcPr>
            <w:tcW w:w="1880" w:type="dxa"/>
            <w:tcBorders>
              <w:top w:val="single" w:sz="4" w:space="0" w:color="FFFFFF"/>
              <w:left w:val="single" w:sz="4" w:space="0" w:color="auto"/>
              <w:bottom w:val="single" w:sz="4" w:space="0" w:color="FFFFFF"/>
              <w:right w:val="nil"/>
            </w:tcBorders>
            <w:shd w:val="clear" w:color="DDEBF7" w:fill="DDEBF7"/>
            <w:noWrap/>
            <w:vAlign w:val="bottom"/>
            <w:hideMark/>
          </w:tcPr>
          <w:p w14:paraId="78A010D7"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Sub-Saharan Africa</w:t>
            </w:r>
          </w:p>
        </w:tc>
      </w:tr>
      <w:tr w:rsidR="00AC6BAE" w:rsidRPr="00CF3C36" w14:paraId="28B01E10"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006146E6"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Tunisia</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2EE9968F"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Middle East &amp; North Africa</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241BDD9"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F1D0426"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Mauritius</w:t>
            </w:r>
          </w:p>
        </w:tc>
        <w:tc>
          <w:tcPr>
            <w:tcW w:w="1880" w:type="dxa"/>
            <w:tcBorders>
              <w:top w:val="single" w:sz="4" w:space="0" w:color="FFFFFF"/>
              <w:left w:val="single" w:sz="4" w:space="0" w:color="auto"/>
              <w:bottom w:val="single" w:sz="4" w:space="0" w:color="FFFFFF"/>
              <w:right w:val="nil"/>
            </w:tcBorders>
            <w:shd w:val="clear" w:color="BDD7EE" w:fill="BDD7EE"/>
            <w:noWrap/>
            <w:vAlign w:val="bottom"/>
            <w:hideMark/>
          </w:tcPr>
          <w:p w14:paraId="5735093C"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Sub-Saharan Africa</w:t>
            </w:r>
          </w:p>
        </w:tc>
      </w:tr>
      <w:tr w:rsidR="00AC6BAE" w:rsidRPr="00CF3C36" w14:paraId="2383871A"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077E086F"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Australia</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09163BC8"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350016A3"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5F7140C8"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Mozambique</w:t>
            </w:r>
          </w:p>
        </w:tc>
        <w:tc>
          <w:tcPr>
            <w:tcW w:w="1880" w:type="dxa"/>
            <w:tcBorders>
              <w:top w:val="single" w:sz="4" w:space="0" w:color="FFFFFF"/>
              <w:left w:val="single" w:sz="4" w:space="0" w:color="auto"/>
              <w:bottom w:val="single" w:sz="4" w:space="0" w:color="FFFFFF"/>
              <w:right w:val="nil"/>
            </w:tcBorders>
            <w:shd w:val="clear" w:color="DDEBF7" w:fill="DDEBF7"/>
            <w:noWrap/>
            <w:vAlign w:val="bottom"/>
            <w:hideMark/>
          </w:tcPr>
          <w:p w14:paraId="16CF2322"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Sub-Saharan Africa</w:t>
            </w:r>
          </w:p>
        </w:tc>
      </w:tr>
      <w:tr w:rsidR="00AC6BAE" w:rsidRPr="00CF3C36" w14:paraId="4DB9D7C1"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07E2A952"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Austria</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1D865D19"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46AE454C"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6A55DD0"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Namibia</w:t>
            </w:r>
          </w:p>
        </w:tc>
        <w:tc>
          <w:tcPr>
            <w:tcW w:w="1880" w:type="dxa"/>
            <w:tcBorders>
              <w:top w:val="single" w:sz="4" w:space="0" w:color="FFFFFF"/>
              <w:left w:val="single" w:sz="4" w:space="0" w:color="auto"/>
              <w:bottom w:val="single" w:sz="4" w:space="0" w:color="FFFFFF"/>
              <w:right w:val="nil"/>
            </w:tcBorders>
            <w:shd w:val="clear" w:color="BDD7EE" w:fill="BDD7EE"/>
            <w:noWrap/>
            <w:vAlign w:val="bottom"/>
            <w:hideMark/>
          </w:tcPr>
          <w:p w14:paraId="310CA8F0"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Sub-Saharan Africa</w:t>
            </w:r>
          </w:p>
        </w:tc>
      </w:tr>
      <w:tr w:rsidR="00AC6BAE" w:rsidRPr="00CF3C36" w14:paraId="6B91274D"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DDEBF7" w:fill="DDEBF7"/>
            <w:noWrap/>
            <w:vAlign w:val="bottom"/>
            <w:hideMark/>
          </w:tcPr>
          <w:p w14:paraId="6D96D569"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Belgium</w:t>
            </w:r>
          </w:p>
        </w:tc>
        <w:tc>
          <w:tcPr>
            <w:tcW w:w="2600" w:type="dxa"/>
            <w:tcBorders>
              <w:top w:val="single" w:sz="4" w:space="0" w:color="FFFFFF"/>
              <w:left w:val="single" w:sz="4" w:space="0" w:color="auto"/>
              <w:bottom w:val="single" w:sz="4" w:space="0" w:color="FFFFFF"/>
              <w:right w:val="single" w:sz="4" w:space="0" w:color="FFFFFF"/>
            </w:tcBorders>
            <w:shd w:val="clear" w:color="DDEBF7" w:fill="DDEBF7"/>
            <w:noWrap/>
            <w:vAlign w:val="bottom"/>
            <w:hideMark/>
          </w:tcPr>
          <w:p w14:paraId="4E86163A"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6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090F9D4B"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37120124"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South Africa</w:t>
            </w:r>
          </w:p>
        </w:tc>
        <w:tc>
          <w:tcPr>
            <w:tcW w:w="1880" w:type="dxa"/>
            <w:tcBorders>
              <w:top w:val="single" w:sz="4" w:space="0" w:color="FFFFFF"/>
              <w:left w:val="single" w:sz="4" w:space="0" w:color="auto"/>
              <w:bottom w:val="single" w:sz="4" w:space="0" w:color="FFFFFF"/>
              <w:right w:val="nil"/>
            </w:tcBorders>
            <w:shd w:val="clear" w:color="DDEBF7" w:fill="DDEBF7"/>
            <w:noWrap/>
            <w:vAlign w:val="bottom"/>
            <w:hideMark/>
          </w:tcPr>
          <w:p w14:paraId="48C29313"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Sub-Saharan Africa</w:t>
            </w:r>
          </w:p>
        </w:tc>
      </w:tr>
      <w:tr w:rsidR="00AC6BAE" w:rsidRPr="00CF3C36" w14:paraId="65EB9F20" w14:textId="77777777" w:rsidTr="00AC6BAE">
        <w:trPr>
          <w:trHeight w:val="300"/>
        </w:trPr>
        <w:tc>
          <w:tcPr>
            <w:tcW w:w="1900" w:type="dxa"/>
            <w:tcBorders>
              <w:top w:val="single" w:sz="4" w:space="0" w:color="FFFFFF"/>
              <w:left w:val="nil"/>
              <w:bottom w:val="single" w:sz="4" w:space="0" w:color="FFFFFF"/>
              <w:right w:val="single" w:sz="4" w:space="0" w:color="FFFFFF"/>
            </w:tcBorders>
            <w:shd w:val="clear" w:color="BDD7EE" w:fill="BDD7EE"/>
            <w:noWrap/>
            <w:vAlign w:val="bottom"/>
            <w:hideMark/>
          </w:tcPr>
          <w:p w14:paraId="3A9DA84A"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Canada</w:t>
            </w:r>
          </w:p>
        </w:tc>
        <w:tc>
          <w:tcPr>
            <w:tcW w:w="2600" w:type="dxa"/>
            <w:tcBorders>
              <w:top w:val="single" w:sz="4" w:space="0" w:color="FFFFFF"/>
              <w:left w:val="single" w:sz="4" w:space="0" w:color="auto"/>
              <w:bottom w:val="single" w:sz="4" w:space="0" w:color="FFFFFF"/>
              <w:right w:val="single" w:sz="4" w:space="0" w:color="FFFFFF"/>
            </w:tcBorders>
            <w:shd w:val="clear" w:color="BDD7EE" w:fill="BDD7EE"/>
            <w:noWrap/>
            <w:vAlign w:val="bottom"/>
            <w:hideMark/>
          </w:tcPr>
          <w:p w14:paraId="4D4DE757"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6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40B0C0E2"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7E4747E"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Zambia</w:t>
            </w:r>
          </w:p>
        </w:tc>
        <w:tc>
          <w:tcPr>
            <w:tcW w:w="1880" w:type="dxa"/>
            <w:tcBorders>
              <w:top w:val="single" w:sz="4" w:space="0" w:color="FFFFFF"/>
              <w:left w:val="single" w:sz="4" w:space="0" w:color="auto"/>
              <w:bottom w:val="single" w:sz="4" w:space="0" w:color="FFFFFF"/>
              <w:right w:val="nil"/>
            </w:tcBorders>
            <w:shd w:val="clear" w:color="BDD7EE" w:fill="BDD7EE"/>
            <w:noWrap/>
            <w:vAlign w:val="bottom"/>
            <w:hideMark/>
          </w:tcPr>
          <w:p w14:paraId="7255F02B"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Sub-Saharan Africa</w:t>
            </w:r>
          </w:p>
        </w:tc>
      </w:tr>
      <w:tr w:rsidR="00AC6BAE" w:rsidRPr="00CF3C36" w14:paraId="436B8332" w14:textId="77777777" w:rsidTr="00AC6BAE">
        <w:trPr>
          <w:trHeight w:val="300"/>
        </w:trPr>
        <w:tc>
          <w:tcPr>
            <w:tcW w:w="1900" w:type="dxa"/>
            <w:tcBorders>
              <w:top w:val="single" w:sz="4" w:space="0" w:color="FFFFFF"/>
              <w:left w:val="nil"/>
              <w:bottom w:val="nil"/>
              <w:right w:val="single" w:sz="4" w:space="0" w:color="FFFFFF"/>
            </w:tcBorders>
            <w:shd w:val="clear" w:color="DDEBF7" w:fill="DDEBF7"/>
            <w:noWrap/>
            <w:vAlign w:val="bottom"/>
            <w:hideMark/>
          </w:tcPr>
          <w:p w14:paraId="1B44720F"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Chile</w:t>
            </w:r>
          </w:p>
        </w:tc>
        <w:tc>
          <w:tcPr>
            <w:tcW w:w="2600" w:type="dxa"/>
            <w:tcBorders>
              <w:top w:val="single" w:sz="4" w:space="0" w:color="FFFFFF"/>
              <w:left w:val="single" w:sz="4" w:space="0" w:color="auto"/>
              <w:bottom w:val="nil"/>
              <w:right w:val="single" w:sz="4" w:space="0" w:color="FFFFFF"/>
            </w:tcBorders>
            <w:shd w:val="clear" w:color="DDEBF7" w:fill="DDEBF7"/>
            <w:noWrap/>
            <w:vAlign w:val="bottom"/>
            <w:hideMark/>
          </w:tcPr>
          <w:p w14:paraId="2BD85E5A"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OECD</w:t>
            </w:r>
          </w:p>
        </w:tc>
        <w:tc>
          <w:tcPr>
            <w:tcW w:w="1160" w:type="dxa"/>
            <w:tcBorders>
              <w:top w:val="single" w:sz="4" w:space="0" w:color="FFFFFF"/>
              <w:left w:val="single" w:sz="4" w:space="0" w:color="FFFFFF"/>
              <w:bottom w:val="nil"/>
              <w:right w:val="single" w:sz="4" w:space="0" w:color="FFFFFF"/>
            </w:tcBorders>
            <w:shd w:val="clear" w:color="DDEBF7" w:fill="DDEBF7"/>
            <w:noWrap/>
            <w:vAlign w:val="bottom"/>
            <w:hideMark/>
          </w:tcPr>
          <w:p w14:paraId="26A85F50" w14:textId="77777777" w:rsidR="00AC6BAE" w:rsidRPr="00CF3C36" w:rsidRDefault="00AC6BAE" w:rsidP="00AC6BAE">
            <w:pPr>
              <w:spacing w:after="0" w:line="240" w:lineRule="auto"/>
              <w:rPr>
                <w:rFonts w:ascii="Calibri" w:eastAsia="Times New Roman" w:hAnsi="Calibri" w:cs="Calibri"/>
                <w:color w:val="000000"/>
                <w:lang w:val="en-GB" w:eastAsia="nl-NL"/>
              </w:rPr>
            </w:pPr>
          </w:p>
        </w:tc>
        <w:tc>
          <w:tcPr>
            <w:tcW w:w="1620" w:type="dxa"/>
            <w:tcBorders>
              <w:top w:val="single" w:sz="4" w:space="0" w:color="FFFFFF"/>
              <w:left w:val="single" w:sz="4" w:space="0" w:color="FFFFFF"/>
              <w:bottom w:val="nil"/>
              <w:right w:val="single" w:sz="4" w:space="0" w:color="FFFFFF"/>
            </w:tcBorders>
            <w:shd w:val="clear" w:color="DDEBF7" w:fill="DDEBF7"/>
            <w:noWrap/>
            <w:vAlign w:val="bottom"/>
            <w:hideMark/>
          </w:tcPr>
          <w:p w14:paraId="245D57E1"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Zimbabwe</w:t>
            </w:r>
          </w:p>
        </w:tc>
        <w:tc>
          <w:tcPr>
            <w:tcW w:w="1880" w:type="dxa"/>
            <w:tcBorders>
              <w:top w:val="single" w:sz="4" w:space="0" w:color="FFFFFF"/>
              <w:left w:val="single" w:sz="4" w:space="0" w:color="auto"/>
              <w:bottom w:val="nil"/>
              <w:right w:val="nil"/>
            </w:tcBorders>
            <w:shd w:val="clear" w:color="DDEBF7" w:fill="DDEBF7"/>
            <w:noWrap/>
            <w:vAlign w:val="bottom"/>
            <w:hideMark/>
          </w:tcPr>
          <w:p w14:paraId="2C012815" w14:textId="77777777" w:rsidR="00AC6BAE" w:rsidRPr="00CF3C36" w:rsidRDefault="00AC6BAE" w:rsidP="00AC6BAE">
            <w:pPr>
              <w:spacing w:after="0" w:line="240" w:lineRule="auto"/>
              <w:rPr>
                <w:rFonts w:ascii="Calibri" w:eastAsia="Times New Roman" w:hAnsi="Calibri" w:cs="Calibri"/>
                <w:color w:val="000000"/>
                <w:lang w:val="en-GB" w:eastAsia="nl-NL"/>
              </w:rPr>
            </w:pPr>
            <w:r w:rsidRPr="00CF3C36">
              <w:rPr>
                <w:rFonts w:ascii="Calibri" w:eastAsia="Times New Roman" w:hAnsi="Calibri" w:cs="Calibri"/>
                <w:color w:val="000000"/>
                <w:lang w:val="en-GB" w:eastAsia="nl-NL"/>
              </w:rPr>
              <w:t>Sub-Saharan Africa</w:t>
            </w:r>
          </w:p>
        </w:tc>
      </w:tr>
    </w:tbl>
    <w:p w14:paraId="36064121" w14:textId="77777777" w:rsidR="00AC6BAE" w:rsidRPr="00CF3C36" w:rsidRDefault="00AC6BAE" w:rsidP="000E0840">
      <w:pPr>
        <w:rPr>
          <w:i/>
          <w:lang w:val="en-GB"/>
        </w:rPr>
      </w:pPr>
    </w:p>
    <w:p w14:paraId="7D2188FD" w14:textId="6D32F620" w:rsidR="005A1D32" w:rsidRPr="00CF3C36" w:rsidRDefault="00864C4C" w:rsidP="00864C4C">
      <w:pPr>
        <w:pStyle w:val="Heading4"/>
      </w:pPr>
      <w:bookmarkStart w:id="39" w:name="_Toc15475698"/>
      <w:r w:rsidRPr="00CF3C36">
        <w:lastRenderedPageBreak/>
        <w:t xml:space="preserve">Figure 7. </w:t>
      </w:r>
      <w:r w:rsidR="005A1D32" w:rsidRPr="00CF3C36">
        <w:t>Descriptive statistics of the Executive Opinion Survey 2015</w:t>
      </w:r>
      <w:bookmarkEnd w:id="39"/>
    </w:p>
    <w:p w14:paraId="438B1987" w14:textId="2CF7C045" w:rsidR="005A1D32" w:rsidRPr="00CF3C36" w:rsidRDefault="005A1D32" w:rsidP="00864C4C">
      <w:pPr>
        <w:jc w:val="center"/>
        <w:rPr>
          <w:i/>
          <w:lang w:val="en-GB"/>
        </w:rPr>
      </w:pPr>
      <w:r w:rsidRPr="00CF3C36">
        <w:rPr>
          <w:i/>
          <w:noProof/>
          <w:lang w:eastAsia="nl-NL"/>
        </w:rPr>
        <w:drawing>
          <wp:inline distT="0" distB="0" distL="0" distR="0" wp14:anchorId="54A4D76C" wp14:editId="4D1A7893">
            <wp:extent cx="5760720" cy="43986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riptive statistics of the Executive Opinion Survey 2015.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4398645"/>
                    </a:xfrm>
                    <a:prstGeom prst="rect">
                      <a:avLst/>
                    </a:prstGeom>
                  </pic:spPr>
                </pic:pic>
              </a:graphicData>
            </a:graphic>
          </wp:inline>
        </w:drawing>
      </w:r>
    </w:p>
    <w:p w14:paraId="5CF5C718" w14:textId="465146FE" w:rsidR="008565C8" w:rsidRPr="00CF3C36" w:rsidRDefault="00864C4C" w:rsidP="000E0840">
      <w:pPr>
        <w:rPr>
          <w:i/>
          <w:lang w:val="en-GB"/>
        </w:rPr>
      </w:pPr>
      <w:r w:rsidRPr="00CF3C36">
        <w:rPr>
          <w:i/>
          <w:lang w:val="en-GB"/>
        </w:rPr>
        <w:t xml:space="preserve">Figure 8. </w:t>
      </w:r>
      <w:r w:rsidR="0053063A" w:rsidRPr="00CF3C36">
        <w:rPr>
          <w:i/>
          <w:lang w:val="en-GB"/>
        </w:rPr>
        <w:t>Relevant questions from the Executive Opinion Survey</w:t>
      </w:r>
      <w:r w:rsidR="008565C8" w:rsidRPr="00CF3C36">
        <w:rPr>
          <w:i/>
          <w:lang w:val="en-GB"/>
        </w:rPr>
        <w:t xml:space="preserve"> in 2011-2017:</w:t>
      </w:r>
    </w:p>
    <w:p w14:paraId="708C306A" w14:textId="57CF2D98" w:rsidR="0053063A" w:rsidRPr="00CF3C36" w:rsidRDefault="0053063A" w:rsidP="000E0840">
      <w:pPr>
        <w:rPr>
          <w:i/>
          <w:lang w:val="en-GB"/>
        </w:rPr>
      </w:pPr>
      <w:r w:rsidRPr="00CF3C36">
        <w:rPr>
          <w:i/>
          <w:noProof/>
          <w:lang w:eastAsia="nl-NL"/>
        </w:rPr>
        <w:drawing>
          <wp:inline distT="0" distB="0" distL="0" distR="0" wp14:anchorId="47A3B6DF" wp14:editId="64182523">
            <wp:extent cx="5760720" cy="6419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xecutive Opinion Survey 2015 Question Stringency.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60720" cy="641985"/>
                    </a:xfrm>
                    <a:prstGeom prst="rect">
                      <a:avLst/>
                    </a:prstGeom>
                  </pic:spPr>
                </pic:pic>
              </a:graphicData>
            </a:graphic>
          </wp:inline>
        </w:drawing>
      </w:r>
    </w:p>
    <w:p w14:paraId="59B1B067" w14:textId="34BDF2EE" w:rsidR="008565C8" w:rsidRPr="00CF3C36" w:rsidRDefault="008565C8" w:rsidP="000E0840">
      <w:pPr>
        <w:rPr>
          <w:i/>
          <w:lang w:val="en-GB"/>
        </w:rPr>
      </w:pPr>
      <w:r w:rsidRPr="00CF3C36">
        <w:rPr>
          <w:i/>
          <w:noProof/>
          <w:lang w:eastAsia="nl-NL"/>
        </w:rPr>
        <w:drawing>
          <wp:inline distT="0" distB="0" distL="0" distR="0" wp14:anchorId="761D6C0D" wp14:editId="4703197E">
            <wp:extent cx="5760720" cy="5734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ecutive Opinion Survey 2015 Question Enforcement.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60720" cy="573405"/>
                    </a:xfrm>
                    <a:prstGeom prst="rect">
                      <a:avLst/>
                    </a:prstGeom>
                  </pic:spPr>
                </pic:pic>
              </a:graphicData>
            </a:graphic>
          </wp:inline>
        </w:drawing>
      </w:r>
    </w:p>
    <w:p w14:paraId="0C33F40E" w14:textId="6C7F53E5" w:rsidR="008565C8" w:rsidRPr="00CF3C36" w:rsidRDefault="008565C8" w:rsidP="000E0840">
      <w:pPr>
        <w:rPr>
          <w:i/>
          <w:lang w:val="en-GB"/>
        </w:rPr>
      </w:pPr>
      <w:r w:rsidRPr="00CF3C36">
        <w:rPr>
          <w:i/>
          <w:lang w:val="en-GB"/>
        </w:rPr>
        <w:t>The slightly rephrased question</w:t>
      </w:r>
      <w:r w:rsidR="00A75D1B" w:rsidRPr="00CF3C36">
        <w:rPr>
          <w:i/>
          <w:lang w:val="en-GB"/>
        </w:rPr>
        <w:t xml:space="preserve">s </w:t>
      </w:r>
      <w:r w:rsidRPr="00CF3C36">
        <w:rPr>
          <w:i/>
          <w:lang w:val="en-GB"/>
        </w:rPr>
        <w:t>in the Executive Opinion Survey of 2009</w:t>
      </w:r>
      <w:r w:rsidR="00162628" w:rsidRPr="00CF3C36">
        <w:rPr>
          <w:i/>
          <w:lang w:val="en-GB"/>
        </w:rPr>
        <w:t>:</w:t>
      </w:r>
    </w:p>
    <w:p w14:paraId="6BC26236" w14:textId="4F5B157C" w:rsidR="00A75D1B" w:rsidRPr="00CF3C36" w:rsidRDefault="00A75D1B" w:rsidP="000E0840">
      <w:pPr>
        <w:rPr>
          <w:i/>
          <w:lang w:val="en-GB"/>
        </w:rPr>
      </w:pPr>
      <w:r w:rsidRPr="00CF3C36">
        <w:rPr>
          <w:i/>
          <w:noProof/>
          <w:lang w:eastAsia="nl-NL"/>
        </w:rPr>
        <w:drawing>
          <wp:inline distT="0" distB="0" distL="0" distR="0" wp14:anchorId="74540B50" wp14:editId="7B2CB467">
            <wp:extent cx="5760720" cy="5454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raag stringency 2009.png"/>
                    <pic:cNvPicPr/>
                  </pic:nvPicPr>
                  <pic:blipFill>
                    <a:blip r:embed="rId27">
                      <a:extLst>
                        <a:ext uri="{28A0092B-C50C-407E-A947-70E740481C1C}">
                          <a14:useLocalDpi xmlns:a14="http://schemas.microsoft.com/office/drawing/2010/main" val="0"/>
                        </a:ext>
                      </a:extLst>
                    </a:blip>
                    <a:stretch>
                      <a:fillRect/>
                    </a:stretch>
                  </pic:blipFill>
                  <pic:spPr>
                    <a:xfrm>
                      <a:off x="0" y="0"/>
                      <a:ext cx="5760720" cy="545465"/>
                    </a:xfrm>
                    <a:prstGeom prst="rect">
                      <a:avLst/>
                    </a:prstGeom>
                  </pic:spPr>
                </pic:pic>
              </a:graphicData>
            </a:graphic>
          </wp:inline>
        </w:drawing>
      </w:r>
    </w:p>
    <w:p w14:paraId="42150FB6" w14:textId="34DD052E" w:rsidR="0053063A" w:rsidRPr="00CF3C36" w:rsidRDefault="008565C8" w:rsidP="000E0840">
      <w:pPr>
        <w:rPr>
          <w:i/>
          <w:lang w:val="en-GB"/>
        </w:rPr>
      </w:pPr>
      <w:r w:rsidRPr="00CF3C36">
        <w:rPr>
          <w:i/>
          <w:noProof/>
          <w:lang w:eastAsia="nl-NL"/>
        </w:rPr>
        <w:drawing>
          <wp:inline distT="0" distB="0" distL="0" distR="0" wp14:anchorId="6CFF49BB" wp14:editId="5AC697C8">
            <wp:extent cx="5760720" cy="5422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raag enforcement 2009.png"/>
                    <pic:cNvPicPr/>
                  </pic:nvPicPr>
                  <pic:blipFill>
                    <a:blip r:embed="rId28">
                      <a:extLst>
                        <a:ext uri="{28A0092B-C50C-407E-A947-70E740481C1C}">
                          <a14:useLocalDpi xmlns:a14="http://schemas.microsoft.com/office/drawing/2010/main" val="0"/>
                        </a:ext>
                      </a:extLst>
                    </a:blip>
                    <a:stretch>
                      <a:fillRect/>
                    </a:stretch>
                  </pic:blipFill>
                  <pic:spPr>
                    <a:xfrm>
                      <a:off x="0" y="0"/>
                      <a:ext cx="5760720" cy="542290"/>
                    </a:xfrm>
                    <a:prstGeom prst="rect">
                      <a:avLst/>
                    </a:prstGeom>
                  </pic:spPr>
                </pic:pic>
              </a:graphicData>
            </a:graphic>
          </wp:inline>
        </w:drawing>
      </w:r>
    </w:p>
    <w:p w14:paraId="1E1C9433" w14:textId="3AFCFA8D" w:rsidR="00E56168" w:rsidRPr="00CF3C36" w:rsidRDefault="00E56168" w:rsidP="000E0840">
      <w:pPr>
        <w:rPr>
          <w:i/>
          <w:lang w:val="en-GB"/>
        </w:rPr>
      </w:pPr>
    </w:p>
    <w:p w14:paraId="1624C712" w14:textId="61F20E74" w:rsidR="00E56168" w:rsidRPr="00CF3C36" w:rsidRDefault="00E56168" w:rsidP="000E0840">
      <w:pPr>
        <w:rPr>
          <w:i/>
          <w:lang w:val="en-GB"/>
        </w:rPr>
      </w:pPr>
    </w:p>
    <w:p w14:paraId="1E21665D" w14:textId="201A3159" w:rsidR="00102ADD" w:rsidRPr="00CF3C36" w:rsidRDefault="00102ADD" w:rsidP="000E0840">
      <w:pPr>
        <w:rPr>
          <w:i/>
          <w:lang w:val="en-GB"/>
        </w:rPr>
      </w:pPr>
    </w:p>
    <w:p w14:paraId="3269174D" w14:textId="43F7A25A" w:rsidR="00102ADD" w:rsidRPr="00CF3C36" w:rsidRDefault="0033675A" w:rsidP="00864C4C">
      <w:pPr>
        <w:pStyle w:val="Heading5"/>
        <w:jc w:val="center"/>
        <w:rPr>
          <w:lang w:val="en-GB"/>
        </w:rPr>
      </w:pPr>
      <w:bookmarkStart w:id="40" w:name="_Toc15475672"/>
      <w:r w:rsidRPr="00CF3C36">
        <w:rPr>
          <w:lang w:val="en-GB"/>
        </w:rPr>
        <w:lastRenderedPageBreak/>
        <w:t>Table 9</w:t>
      </w:r>
      <w:r w:rsidR="00864C4C" w:rsidRPr="00CF3C36">
        <w:rPr>
          <w:lang w:val="en-GB"/>
        </w:rPr>
        <w:t xml:space="preserve">. </w:t>
      </w:r>
      <w:r w:rsidR="00102ADD" w:rsidRPr="00CF3C36">
        <w:rPr>
          <w:lang w:val="en-GB"/>
        </w:rPr>
        <w:t>Correlation Matrix hypothesis 1.</w:t>
      </w:r>
      <w:bookmarkEnd w:id="40"/>
    </w:p>
    <w:p w14:paraId="68AC828B" w14:textId="13FD92BF" w:rsidR="00102ADD" w:rsidRPr="00CF3C36" w:rsidRDefault="004D20A6" w:rsidP="00B759B1">
      <w:pPr>
        <w:jc w:val="center"/>
        <w:rPr>
          <w:i/>
          <w:lang w:val="en-GB"/>
        </w:rPr>
      </w:pPr>
      <w:r w:rsidRPr="00CF3C36">
        <w:rPr>
          <w:i/>
          <w:noProof/>
          <w:lang w:eastAsia="nl-NL"/>
        </w:rPr>
        <w:drawing>
          <wp:inline distT="0" distB="0" distL="0" distR="0" wp14:anchorId="5F4DC405" wp14:editId="59CC3B38">
            <wp:extent cx="5760720" cy="15360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rrelation table model 1.1.png"/>
                    <pic:cNvPicPr/>
                  </pic:nvPicPr>
                  <pic:blipFill>
                    <a:blip r:embed="rId29">
                      <a:extLst>
                        <a:ext uri="{28A0092B-C50C-407E-A947-70E740481C1C}">
                          <a14:useLocalDpi xmlns:a14="http://schemas.microsoft.com/office/drawing/2010/main" val="0"/>
                        </a:ext>
                      </a:extLst>
                    </a:blip>
                    <a:stretch>
                      <a:fillRect/>
                    </a:stretch>
                  </pic:blipFill>
                  <pic:spPr>
                    <a:xfrm>
                      <a:off x="0" y="0"/>
                      <a:ext cx="5760720" cy="1536065"/>
                    </a:xfrm>
                    <a:prstGeom prst="rect">
                      <a:avLst/>
                    </a:prstGeom>
                  </pic:spPr>
                </pic:pic>
              </a:graphicData>
            </a:graphic>
          </wp:inline>
        </w:drawing>
      </w:r>
    </w:p>
    <w:p w14:paraId="468DC4F1" w14:textId="30FBEA53" w:rsidR="00102ADD" w:rsidRPr="00CF3C36" w:rsidRDefault="0033675A" w:rsidP="00864C4C">
      <w:pPr>
        <w:pStyle w:val="Heading5"/>
        <w:jc w:val="center"/>
        <w:rPr>
          <w:lang w:val="en-GB"/>
        </w:rPr>
      </w:pPr>
      <w:bookmarkStart w:id="41" w:name="_Toc15475673"/>
      <w:r w:rsidRPr="00CF3C36">
        <w:rPr>
          <w:lang w:val="en-GB"/>
        </w:rPr>
        <w:t>Table 10</w:t>
      </w:r>
      <w:r w:rsidR="00864C4C" w:rsidRPr="00CF3C36">
        <w:rPr>
          <w:lang w:val="en-GB"/>
        </w:rPr>
        <w:t xml:space="preserve">. </w:t>
      </w:r>
      <w:r w:rsidR="00102ADD" w:rsidRPr="00CF3C36">
        <w:rPr>
          <w:lang w:val="en-GB"/>
        </w:rPr>
        <w:t>Correlation Matrix hypothesis 2.</w:t>
      </w:r>
      <w:bookmarkEnd w:id="41"/>
    </w:p>
    <w:p w14:paraId="0D464F0C" w14:textId="302CCCFA" w:rsidR="00102ADD" w:rsidRPr="00CF3C36" w:rsidRDefault="00102ADD" w:rsidP="00102ADD">
      <w:pPr>
        <w:rPr>
          <w:i/>
          <w:lang w:val="en-GB"/>
        </w:rPr>
      </w:pPr>
      <w:r w:rsidRPr="00CF3C36">
        <w:rPr>
          <w:i/>
          <w:noProof/>
          <w:lang w:eastAsia="nl-NL"/>
        </w:rPr>
        <w:drawing>
          <wp:inline distT="0" distB="0" distL="0" distR="0" wp14:anchorId="41C06AC9" wp14:editId="0CC7396E">
            <wp:extent cx="5760720" cy="152489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rrelation table model 3.png"/>
                    <pic:cNvPicPr/>
                  </pic:nvPicPr>
                  <pic:blipFill>
                    <a:blip r:embed="rId30">
                      <a:extLst>
                        <a:ext uri="{28A0092B-C50C-407E-A947-70E740481C1C}">
                          <a14:useLocalDpi xmlns:a14="http://schemas.microsoft.com/office/drawing/2010/main" val="0"/>
                        </a:ext>
                      </a:extLst>
                    </a:blip>
                    <a:stretch>
                      <a:fillRect/>
                    </a:stretch>
                  </pic:blipFill>
                  <pic:spPr>
                    <a:xfrm>
                      <a:off x="0" y="0"/>
                      <a:ext cx="5760720" cy="1524896"/>
                    </a:xfrm>
                    <a:prstGeom prst="rect">
                      <a:avLst/>
                    </a:prstGeom>
                  </pic:spPr>
                </pic:pic>
              </a:graphicData>
            </a:graphic>
          </wp:inline>
        </w:drawing>
      </w:r>
    </w:p>
    <w:p w14:paraId="7D188B2E" w14:textId="0757A7A1" w:rsidR="00EA5456" w:rsidRPr="00CF3C36" w:rsidRDefault="00C812E0" w:rsidP="00864C4C">
      <w:pPr>
        <w:pStyle w:val="Heading5"/>
        <w:jc w:val="center"/>
        <w:rPr>
          <w:lang w:val="en-GB"/>
        </w:rPr>
      </w:pPr>
      <w:bookmarkStart w:id="42" w:name="_Toc15475674"/>
      <w:r w:rsidRPr="00CF3C36">
        <w:rPr>
          <w:lang w:val="en-GB"/>
        </w:rPr>
        <w:t>Table</w:t>
      </w:r>
      <w:r w:rsidR="0033675A" w:rsidRPr="00CF3C36">
        <w:rPr>
          <w:lang w:val="en-GB"/>
        </w:rPr>
        <w:t xml:space="preserve"> 11</w:t>
      </w:r>
      <w:r w:rsidR="00864C4C" w:rsidRPr="00CF3C36">
        <w:rPr>
          <w:lang w:val="en-GB"/>
        </w:rPr>
        <w:t xml:space="preserve">. </w:t>
      </w:r>
      <w:r w:rsidR="00EA5456" w:rsidRPr="00CF3C36">
        <w:rPr>
          <w:lang w:val="en-GB"/>
        </w:rPr>
        <w:t>Correlation Matrix hypothesis 2.1/2.2</w:t>
      </w:r>
      <w:bookmarkEnd w:id="42"/>
    </w:p>
    <w:p w14:paraId="3474B095" w14:textId="471F58AE" w:rsidR="00EA5456" w:rsidRPr="00CF3C36" w:rsidRDefault="00EA5456" w:rsidP="00EA5456">
      <w:pPr>
        <w:jc w:val="center"/>
        <w:rPr>
          <w:i/>
          <w:lang w:val="en-GB"/>
        </w:rPr>
      </w:pPr>
      <w:r w:rsidRPr="00CF3C36">
        <w:rPr>
          <w:i/>
          <w:noProof/>
          <w:lang w:eastAsia="nl-NL"/>
        </w:rPr>
        <w:drawing>
          <wp:inline distT="0" distB="0" distL="0" distR="0" wp14:anchorId="69F4315C" wp14:editId="266C4C28">
            <wp:extent cx="5760720" cy="16744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rrelation table model 3.1.png"/>
                    <pic:cNvPicPr/>
                  </pic:nvPicPr>
                  <pic:blipFill>
                    <a:blip r:embed="rId31">
                      <a:extLst>
                        <a:ext uri="{28A0092B-C50C-407E-A947-70E740481C1C}">
                          <a14:useLocalDpi xmlns:a14="http://schemas.microsoft.com/office/drawing/2010/main" val="0"/>
                        </a:ext>
                      </a:extLst>
                    </a:blip>
                    <a:stretch>
                      <a:fillRect/>
                    </a:stretch>
                  </pic:blipFill>
                  <pic:spPr>
                    <a:xfrm>
                      <a:off x="0" y="0"/>
                      <a:ext cx="5760720" cy="1674495"/>
                    </a:xfrm>
                    <a:prstGeom prst="rect">
                      <a:avLst/>
                    </a:prstGeom>
                  </pic:spPr>
                </pic:pic>
              </a:graphicData>
            </a:graphic>
          </wp:inline>
        </w:drawing>
      </w:r>
    </w:p>
    <w:p w14:paraId="3C45B0E9" w14:textId="13D73767" w:rsidR="00102ADD" w:rsidRPr="00CF3C36" w:rsidRDefault="00102ADD" w:rsidP="000E0840">
      <w:pPr>
        <w:rPr>
          <w:i/>
          <w:lang w:val="en-GB"/>
        </w:rPr>
      </w:pPr>
    </w:p>
    <w:p w14:paraId="56ADD55B" w14:textId="4AC97B16" w:rsidR="00102ADD" w:rsidRPr="00CF3C36" w:rsidRDefault="0033675A" w:rsidP="00C86351">
      <w:pPr>
        <w:pStyle w:val="Heading5"/>
        <w:jc w:val="center"/>
        <w:rPr>
          <w:i/>
          <w:lang w:val="en-GB"/>
        </w:rPr>
      </w:pPr>
      <w:bookmarkStart w:id="43" w:name="_Toc15475675"/>
      <w:r w:rsidRPr="00CF3C36">
        <w:rPr>
          <w:lang w:val="en-GB"/>
        </w:rPr>
        <w:t>Table 12</w:t>
      </w:r>
      <w:r w:rsidR="00C812E0" w:rsidRPr="00CF3C36">
        <w:rPr>
          <w:lang w:val="en-GB"/>
        </w:rPr>
        <w:t xml:space="preserve">. Outcomes of Diagnostic tests. </w:t>
      </w:r>
      <w:r w:rsidR="00625BFB" w:rsidRPr="00CF3C36">
        <w:rPr>
          <w:noProof/>
          <w:lang w:eastAsia="nl-NL"/>
        </w:rPr>
        <w:drawing>
          <wp:anchor distT="0" distB="0" distL="114300" distR="114300" simplePos="0" relativeHeight="251670528" behindDoc="1" locked="0" layoutInCell="1" allowOverlap="1" wp14:anchorId="11CD6B75" wp14:editId="585595E9">
            <wp:simplePos x="0" y="0"/>
            <wp:positionH relativeFrom="margin">
              <wp:align>center</wp:align>
            </wp:positionH>
            <wp:positionV relativeFrom="paragraph">
              <wp:posOffset>260985</wp:posOffset>
            </wp:positionV>
            <wp:extent cx="6702725" cy="1319696"/>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2725" cy="1319696"/>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3"/>
    </w:p>
    <w:p w14:paraId="15CE126A" w14:textId="667122E0" w:rsidR="00102ADD" w:rsidRPr="00CF3C36" w:rsidRDefault="00102ADD" w:rsidP="000E0840">
      <w:pPr>
        <w:rPr>
          <w:i/>
          <w:lang w:val="en-GB"/>
        </w:rPr>
      </w:pPr>
    </w:p>
    <w:p w14:paraId="24C29D9A" w14:textId="550DCCB4" w:rsidR="00102ADD" w:rsidRPr="00CF3C36" w:rsidRDefault="00102ADD" w:rsidP="000E0840">
      <w:pPr>
        <w:rPr>
          <w:i/>
          <w:lang w:val="en-GB"/>
        </w:rPr>
      </w:pPr>
    </w:p>
    <w:p w14:paraId="1BEF8035" w14:textId="77777777" w:rsidR="00102ADD" w:rsidRPr="00CF3C36" w:rsidRDefault="00102ADD" w:rsidP="000E0840">
      <w:pPr>
        <w:rPr>
          <w:i/>
          <w:lang w:val="en-GB"/>
        </w:rPr>
      </w:pPr>
    </w:p>
    <w:p w14:paraId="71F8070E" w14:textId="479D264A" w:rsidR="002A03CF" w:rsidRPr="00CF3C36" w:rsidRDefault="002A03CF" w:rsidP="000E0840">
      <w:pPr>
        <w:rPr>
          <w:i/>
          <w:lang w:val="en-GB"/>
        </w:rPr>
      </w:pPr>
    </w:p>
    <w:p w14:paraId="799086BE" w14:textId="149548BD" w:rsidR="00513B68" w:rsidRPr="00CF3C36" w:rsidRDefault="00513B68" w:rsidP="000E0840">
      <w:pPr>
        <w:rPr>
          <w:i/>
          <w:lang w:val="en-GB"/>
        </w:rPr>
      </w:pPr>
    </w:p>
    <w:p w14:paraId="54309FE9" w14:textId="77777777" w:rsidR="00864C4C" w:rsidRPr="00CF3C36" w:rsidRDefault="00864C4C" w:rsidP="000E0840">
      <w:pPr>
        <w:rPr>
          <w:i/>
          <w:lang w:val="en-GB"/>
        </w:rPr>
      </w:pPr>
    </w:p>
    <w:p w14:paraId="236664BB" w14:textId="02B1A448" w:rsidR="00AB6547" w:rsidRPr="00CF3C36" w:rsidRDefault="0033675A" w:rsidP="00864C4C">
      <w:pPr>
        <w:pStyle w:val="Heading5"/>
        <w:jc w:val="center"/>
        <w:rPr>
          <w:lang w:val="en-GB"/>
        </w:rPr>
      </w:pPr>
      <w:bookmarkStart w:id="44" w:name="_Toc15475676"/>
      <w:r w:rsidRPr="00CF3C36">
        <w:rPr>
          <w:lang w:val="en-GB"/>
        </w:rPr>
        <w:lastRenderedPageBreak/>
        <w:t>Table 13</w:t>
      </w:r>
      <w:r w:rsidR="00864C4C" w:rsidRPr="00CF3C36">
        <w:rPr>
          <w:lang w:val="en-GB"/>
        </w:rPr>
        <w:t xml:space="preserve">. </w:t>
      </w:r>
      <w:r w:rsidR="00E56168" w:rsidRPr="00CF3C36">
        <w:rPr>
          <w:lang w:val="en-GB"/>
        </w:rPr>
        <w:t xml:space="preserve">Sector </w:t>
      </w:r>
      <w:r w:rsidR="00BD684B" w:rsidRPr="00CF3C36">
        <w:rPr>
          <w:lang w:val="en-GB"/>
        </w:rPr>
        <w:t>conversion</w:t>
      </w:r>
      <w:r w:rsidR="00AB6547" w:rsidRPr="00CF3C36">
        <w:rPr>
          <w:lang w:val="en-GB"/>
        </w:rPr>
        <w:t xml:space="preserve"> from ISIC and NIACS sectors to IEA sectors</w:t>
      </w:r>
      <w:bookmarkEnd w:id="44"/>
    </w:p>
    <w:p w14:paraId="57B5CE7E" w14:textId="382E2A41" w:rsidR="00E56168" w:rsidRPr="00CF3C36" w:rsidRDefault="00E56168" w:rsidP="00864C4C">
      <w:pPr>
        <w:jc w:val="center"/>
        <w:rPr>
          <w:i/>
          <w:lang w:val="en-GB"/>
        </w:rPr>
      </w:pPr>
      <w:r w:rsidRPr="00CF3C36">
        <w:rPr>
          <w:noProof/>
          <w:lang w:eastAsia="nl-NL"/>
        </w:rPr>
        <w:drawing>
          <wp:inline distT="0" distB="0" distL="0" distR="0" wp14:anchorId="32086C3E" wp14:editId="76DC9D25">
            <wp:extent cx="5408366" cy="8419381"/>
            <wp:effectExtent l="0" t="0" r="190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15050" cy="8429786"/>
                    </a:xfrm>
                    <a:prstGeom prst="rect">
                      <a:avLst/>
                    </a:prstGeom>
                    <a:noFill/>
                    <a:ln>
                      <a:noFill/>
                    </a:ln>
                  </pic:spPr>
                </pic:pic>
              </a:graphicData>
            </a:graphic>
          </wp:inline>
        </w:drawing>
      </w:r>
    </w:p>
    <w:p w14:paraId="7FDEA141" w14:textId="77777777" w:rsidR="00864C4C" w:rsidRPr="00CF3C36" w:rsidRDefault="00864C4C" w:rsidP="000E0840">
      <w:pPr>
        <w:rPr>
          <w:i/>
          <w:lang w:val="en-GB"/>
        </w:rPr>
      </w:pPr>
    </w:p>
    <w:p w14:paraId="5E17CB97" w14:textId="76B7AFC2" w:rsidR="002A03CF" w:rsidRPr="006E0963" w:rsidRDefault="001310A4" w:rsidP="000E0840">
      <w:pPr>
        <w:rPr>
          <w:i/>
          <w:sz w:val="24"/>
          <w:lang w:val="en-GB"/>
        </w:rPr>
      </w:pPr>
      <w:r w:rsidRPr="006E0963">
        <w:rPr>
          <w:i/>
          <w:sz w:val="24"/>
          <w:lang w:val="en-GB"/>
        </w:rPr>
        <w:lastRenderedPageBreak/>
        <w:t>Model build-up and robustness checks.</w:t>
      </w:r>
    </w:p>
    <w:p w14:paraId="23F6C23E" w14:textId="32DE7D43" w:rsidR="001310A4" w:rsidRPr="00CF3C36" w:rsidRDefault="0033675A" w:rsidP="00864C4C">
      <w:pPr>
        <w:pStyle w:val="Heading5"/>
        <w:jc w:val="center"/>
        <w:rPr>
          <w:lang w:val="en-GB"/>
        </w:rPr>
      </w:pPr>
      <w:bookmarkStart w:id="45" w:name="_Toc15475677"/>
      <w:r w:rsidRPr="00CF3C36">
        <w:rPr>
          <w:lang w:val="en-GB"/>
        </w:rPr>
        <w:t>Table 14</w:t>
      </w:r>
      <w:r w:rsidR="00864C4C" w:rsidRPr="00CF3C36">
        <w:rPr>
          <w:lang w:val="en-GB"/>
        </w:rPr>
        <w:t xml:space="preserve">. </w:t>
      </w:r>
      <w:r w:rsidR="00977E14" w:rsidRPr="00CF3C36">
        <w:rPr>
          <w:lang w:val="en-GB"/>
        </w:rPr>
        <w:t>Build-up Model 1</w:t>
      </w:r>
      <w:bookmarkEnd w:id="45"/>
    </w:p>
    <w:tbl>
      <w:tblPr>
        <w:tblW w:w="7039" w:type="dxa"/>
        <w:jc w:val="center"/>
        <w:tblLayout w:type="fixed"/>
        <w:tblCellMar>
          <w:left w:w="75" w:type="dxa"/>
          <w:right w:w="75" w:type="dxa"/>
        </w:tblCellMar>
        <w:tblLook w:val="0000" w:firstRow="0" w:lastRow="0" w:firstColumn="0" w:lastColumn="0" w:noHBand="0" w:noVBand="0"/>
      </w:tblPr>
      <w:tblGrid>
        <w:gridCol w:w="1559"/>
        <w:gridCol w:w="914"/>
        <w:gridCol w:w="914"/>
        <w:gridCol w:w="914"/>
        <w:gridCol w:w="914"/>
        <w:gridCol w:w="914"/>
        <w:gridCol w:w="910"/>
      </w:tblGrid>
      <w:tr w:rsidR="001310A4" w:rsidRPr="00CF3C36" w14:paraId="77791EA5" w14:textId="77777777" w:rsidTr="00585F6A">
        <w:trPr>
          <w:jc w:val="center"/>
        </w:trPr>
        <w:tc>
          <w:tcPr>
            <w:tcW w:w="1559" w:type="dxa"/>
            <w:tcBorders>
              <w:top w:val="single" w:sz="6" w:space="0" w:color="auto"/>
              <w:left w:val="nil"/>
              <w:bottom w:val="nil"/>
              <w:right w:val="nil"/>
            </w:tcBorders>
          </w:tcPr>
          <w:p w14:paraId="4C869AD7"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p>
        </w:tc>
        <w:tc>
          <w:tcPr>
            <w:tcW w:w="914" w:type="dxa"/>
            <w:tcBorders>
              <w:top w:val="single" w:sz="6" w:space="0" w:color="auto"/>
              <w:left w:val="nil"/>
              <w:bottom w:val="nil"/>
              <w:right w:val="nil"/>
            </w:tcBorders>
          </w:tcPr>
          <w:p w14:paraId="62EF0D89"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w:t>
            </w:r>
          </w:p>
        </w:tc>
        <w:tc>
          <w:tcPr>
            <w:tcW w:w="914" w:type="dxa"/>
            <w:tcBorders>
              <w:top w:val="single" w:sz="6" w:space="0" w:color="auto"/>
              <w:left w:val="nil"/>
              <w:bottom w:val="nil"/>
              <w:right w:val="nil"/>
            </w:tcBorders>
          </w:tcPr>
          <w:p w14:paraId="07E71C09"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w:t>
            </w:r>
          </w:p>
        </w:tc>
        <w:tc>
          <w:tcPr>
            <w:tcW w:w="914" w:type="dxa"/>
            <w:tcBorders>
              <w:top w:val="single" w:sz="6" w:space="0" w:color="auto"/>
              <w:left w:val="nil"/>
              <w:bottom w:val="nil"/>
              <w:right w:val="nil"/>
            </w:tcBorders>
          </w:tcPr>
          <w:p w14:paraId="482B41E3"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(3)</w:t>
            </w:r>
          </w:p>
        </w:tc>
        <w:tc>
          <w:tcPr>
            <w:tcW w:w="914" w:type="dxa"/>
            <w:tcBorders>
              <w:top w:val="single" w:sz="6" w:space="0" w:color="auto"/>
              <w:left w:val="nil"/>
              <w:bottom w:val="nil"/>
              <w:right w:val="nil"/>
            </w:tcBorders>
          </w:tcPr>
          <w:p w14:paraId="3E8B7948"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w:t>
            </w:r>
          </w:p>
        </w:tc>
        <w:tc>
          <w:tcPr>
            <w:tcW w:w="914" w:type="dxa"/>
            <w:tcBorders>
              <w:top w:val="single" w:sz="6" w:space="0" w:color="auto"/>
              <w:left w:val="nil"/>
              <w:bottom w:val="nil"/>
              <w:right w:val="nil"/>
            </w:tcBorders>
          </w:tcPr>
          <w:p w14:paraId="07B89481"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w:t>
            </w:r>
          </w:p>
        </w:tc>
        <w:tc>
          <w:tcPr>
            <w:tcW w:w="910" w:type="dxa"/>
            <w:tcBorders>
              <w:top w:val="single" w:sz="6" w:space="0" w:color="auto"/>
              <w:left w:val="nil"/>
              <w:bottom w:val="nil"/>
              <w:right w:val="nil"/>
            </w:tcBorders>
          </w:tcPr>
          <w:p w14:paraId="4F25C811"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(6)</w:t>
            </w:r>
          </w:p>
        </w:tc>
      </w:tr>
      <w:tr w:rsidR="001310A4" w:rsidRPr="00CF3C36" w14:paraId="79597EF6" w14:textId="77777777" w:rsidTr="00585F6A">
        <w:trPr>
          <w:jc w:val="center"/>
        </w:trPr>
        <w:tc>
          <w:tcPr>
            <w:tcW w:w="1559" w:type="dxa"/>
            <w:tcBorders>
              <w:top w:val="nil"/>
              <w:left w:val="nil"/>
              <w:bottom w:val="single" w:sz="6" w:space="0" w:color="auto"/>
              <w:right w:val="nil"/>
            </w:tcBorders>
          </w:tcPr>
          <w:p w14:paraId="7C99A469"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VARIABLES</w:t>
            </w:r>
          </w:p>
        </w:tc>
        <w:tc>
          <w:tcPr>
            <w:tcW w:w="914" w:type="dxa"/>
            <w:tcBorders>
              <w:top w:val="nil"/>
              <w:left w:val="nil"/>
              <w:bottom w:val="single" w:sz="6" w:space="0" w:color="auto"/>
              <w:right w:val="nil"/>
            </w:tcBorders>
          </w:tcPr>
          <w:p w14:paraId="2D4555BE"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w:t>
            </w:r>
          </w:p>
        </w:tc>
        <w:tc>
          <w:tcPr>
            <w:tcW w:w="914" w:type="dxa"/>
            <w:tcBorders>
              <w:top w:val="nil"/>
              <w:left w:val="nil"/>
              <w:bottom w:val="single" w:sz="6" w:space="0" w:color="auto"/>
              <w:right w:val="nil"/>
            </w:tcBorders>
          </w:tcPr>
          <w:p w14:paraId="57F72EC4"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w:t>
            </w:r>
          </w:p>
        </w:tc>
        <w:tc>
          <w:tcPr>
            <w:tcW w:w="914" w:type="dxa"/>
            <w:tcBorders>
              <w:top w:val="nil"/>
              <w:left w:val="nil"/>
              <w:bottom w:val="single" w:sz="6" w:space="0" w:color="auto"/>
              <w:right w:val="nil"/>
            </w:tcBorders>
          </w:tcPr>
          <w:p w14:paraId="40C9FFC0"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w:t>
            </w:r>
          </w:p>
        </w:tc>
        <w:tc>
          <w:tcPr>
            <w:tcW w:w="914" w:type="dxa"/>
            <w:tcBorders>
              <w:top w:val="nil"/>
              <w:left w:val="nil"/>
              <w:bottom w:val="single" w:sz="6" w:space="0" w:color="auto"/>
              <w:right w:val="nil"/>
            </w:tcBorders>
          </w:tcPr>
          <w:p w14:paraId="20654DD5"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w:t>
            </w:r>
          </w:p>
        </w:tc>
        <w:tc>
          <w:tcPr>
            <w:tcW w:w="914" w:type="dxa"/>
            <w:tcBorders>
              <w:top w:val="nil"/>
              <w:left w:val="nil"/>
              <w:bottom w:val="single" w:sz="6" w:space="0" w:color="auto"/>
              <w:right w:val="nil"/>
            </w:tcBorders>
          </w:tcPr>
          <w:p w14:paraId="69679920"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w:t>
            </w:r>
          </w:p>
        </w:tc>
        <w:tc>
          <w:tcPr>
            <w:tcW w:w="910" w:type="dxa"/>
            <w:tcBorders>
              <w:top w:val="nil"/>
              <w:left w:val="nil"/>
              <w:bottom w:val="single" w:sz="6" w:space="0" w:color="auto"/>
              <w:right w:val="nil"/>
            </w:tcBorders>
          </w:tcPr>
          <w:p w14:paraId="466A5C08"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w:t>
            </w:r>
          </w:p>
        </w:tc>
      </w:tr>
      <w:tr w:rsidR="001310A4" w:rsidRPr="00CF3C36" w14:paraId="023160D5" w14:textId="77777777" w:rsidTr="00585F6A">
        <w:trPr>
          <w:jc w:val="center"/>
        </w:trPr>
        <w:tc>
          <w:tcPr>
            <w:tcW w:w="1559" w:type="dxa"/>
            <w:tcBorders>
              <w:top w:val="nil"/>
              <w:left w:val="nil"/>
              <w:bottom w:val="nil"/>
              <w:right w:val="nil"/>
            </w:tcBorders>
          </w:tcPr>
          <w:p w14:paraId="79689E52"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p>
        </w:tc>
        <w:tc>
          <w:tcPr>
            <w:tcW w:w="914" w:type="dxa"/>
            <w:tcBorders>
              <w:top w:val="nil"/>
              <w:left w:val="nil"/>
              <w:bottom w:val="nil"/>
              <w:right w:val="nil"/>
            </w:tcBorders>
          </w:tcPr>
          <w:p w14:paraId="3D8EB2D7"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266FB01C"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25C3D905"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65696D28"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188D774B"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0" w:type="dxa"/>
            <w:tcBorders>
              <w:top w:val="nil"/>
              <w:left w:val="nil"/>
              <w:bottom w:val="nil"/>
              <w:right w:val="nil"/>
            </w:tcBorders>
          </w:tcPr>
          <w:p w14:paraId="062630F8"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r>
      <w:tr w:rsidR="001310A4" w:rsidRPr="00CF3C36" w14:paraId="5972FBC4" w14:textId="77777777" w:rsidTr="00585F6A">
        <w:trPr>
          <w:jc w:val="center"/>
        </w:trPr>
        <w:tc>
          <w:tcPr>
            <w:tcW w:w="1559" w:type="dxa"/>
            <w:tcBorders>
              <w:top w:val="nil"/>
              <w:left w:val="nil"/>
              <w:bottom w:val="nil"/>
              <w:right w:val="nil"/>
            </w:tcBorders>
          </w:tcPr>
          <w:p w14:paraId="3B5C6A7A"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EPI</w:t>
            </w:r>
          </w:p>
        </w:tc>
        <w:tc>
          <w:tcPr>
            <w:tcW w:w="914" w:type="dxa"/>
            <w:tcBorders>
              <w:top w:val="nil"/>
              <w:left w:val="nil"/>
              <w:bottom w:val="nil"/>
              <w:right w:val="nil"/>
            </w:tcBorders>
          </w:tcPr>
          <w:p w14:paraId="636D8C68"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-0.0466</w:t>
            </w:r>
          </w:p>
        </w:tc>
        <w:tc>
          <w:tcPr>
            <w:tcW w:w="914" w:type="dxa"/>
            <w:tcBorders>
              <w:top w:val="nil"/>
              <w:left w:val="nil"/>
              <w:bottom w:val="nil"/>
              <w:right w:val="nil"/>
            </w:tcBorders>
          </w:tcPr>
          <w:p w14:paraId="7CB06A90"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0.0353</w:t>
            </w:r>
          </w:p>
        </w:tc>
        <w:tc>
          <w:tcPr>
            <w:tcW w:w="914" w:type="dxa"/>
            <w:tcBorders>
              <w:top w:val="nil"/>
              <w:left w:val="nil"/>
              <w:bottom w:val="nil"/>
              <w:right w:val="nil"/>
            </w:tcBorders>
          </w:tcPr>
          <w:p w14:paraId="16F50F06"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0.0379</w:t>
            </w:r>
          </w:p>
        </w:tc>
        <w:tc>
          <w:tcPr>
            <w:tcW w:w="914" w:type="dxa"/>
            <w:tcBorders>
              <w:top w:val="nil"/>
              <w:left w:val="nil"/>
              <w:bottom w:val="nil"/>
              <w:right w:val="nil"/>
            </w:tcBorders>
          </w:tcPr>
          <w:p w14:paraId="524E24A2"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0.0387</w:t>
            </w:r>
          </w:p>
        </w:tc>
        <w:tc>
          <w:tcPr>
            <w:tcW w:w="914" w:type="dxa"/>
            <w:tcBorders>
              <w:top w:val="nil"/>
              <w:left w:val="nil"/>
              <w:bottom w:val="nil"/>
              <w:right w:val="nil"/>
            </w:tcBorders>
          </w:tcPr>
          <w:p w14:paraId="1AE03152"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0.0331</w:t>
            </w:r>
          </w:p>
        </w:tc>
        <w:tc>
          <w:tcPr>
            <w:tcW w:w="910" w:type="dxa"/>
            <w:tcBorders>
              <w:top w:val="nil"/>
              <w:left w:val="nil"/>
              <w:bottom w:val="nil"/>
              <w:right w:val="nil"/>
            </w:tcBorders>
          </w:tcPr>
          <w:p w14:paraId="25D0E1CB"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0.0320</w:t>
            </w:r>
          </w:p>
        </w:tc>
      </w:tr>
      <w:tr w:rsidR="001310A4" w:rsidRPr="00CF3C36" w14:paraId="20AE453C" w14:textId="77777777" w:rsidTr="00585F6A">
        <w:trPr>
          <w:jc w:val="center"/>
        </w:trPr>
        <w:tc>
          <w:tcPr>
            <w:tcW w:w="1559" w:type="dxa"/>
            <w:tcBorders>
              <w:top w:val="nil"/>
              <w:left w:val="nil"/>
              <w:bottom w:val="nil"/>
              <w:right w:val="nil"/>
            </w:tcBorders>
          </w:tcPr>
          <w:p w14:paraId="2B3171EF"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p>
        </w:tc>
        <w:tc>
          <w:tcPr>
            <w:tcW w:w="914" w:type="dxa"/>
            <w:tcBorders>
              <w:top w:val="nil"/>
              <w:left w:val="nil"/>
              <w:bottom w:val="nil"/>
              <w:right w:val="nil"/>
            </w:tcBorders>
          </w:tcPr>
          <w:p w14:paraId="22ECAE99"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(0.0345)</w:t>
            </w:r>
          </w:p>
        </w:tc>
        <w:tc>
          <w:tcPr>
            <w:tcW w:w="914" w:type="dxa"/>
            <w:tcBorders>
              <w:top w:val="nil"/>
              <w:left w:val="nil"/>
              <w:bottom w:val="nil"/>
              <w:right w:val="nil"/>
            </w:tcBorders>
          </w:tcPr>
          <w:p w14:paraId="6CF2F613"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(0.0313)</w:t>
            </w:r>
          </w:p>
        </w:tc>
        <w:tc>
          <w:tcPr>
            <w:tcW w:w="914" w:type="dxa"/>
            <w:tcBorders>
              <w:top w:val="nil"/>
              <w:left w:val="nil"/>
              <w:bottom w:val="nil"/>
              <w:right w:val="nil"/>
            </w:tcBorders>
          </w:tcPr>
          <w:p w14:paraId="3FD73695"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(0.0350)</w:t>
            </w:r>
          </w:p>
        </w:tc>
        <w:tc>
          <w:tcPr>
            <w:tcW w:w="914" w:type="dxa"/>
            <w:tcBorders>
              <w:top w:val="nil"/>
              <w:left w:val="nil"/>
              <w:bottom w:val="nil"/>
              <w:right w:val="nil"/>
            </w:tcBorders>
          </w:tcPr>
          <w:p w14:paraId="3E55B963"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(0.0346)</w:t>
            </w:r>
          </w:p>
        </w:tc>
        <w:tc>
          <w:tcPr>
            <w:tcW w:w="914" w:type="dxa"/>
            <w:tcBorders>
              <w:top w:val="nil"/>
              <w:left w:val="nil"/>
              <w:bottom w:val="nil"/>
              <w:right w:val="nil"/>
            </w:tcBorders>
          </w:tcPr>
          <w:p w14:paraId="79B5DAD6"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(0.0348)</w:t>
            </w:r>
          </w:p>
        </w:tc>
        <w:tc>
          <w:tcPr>
            <w:tcW w:w="910" w:type="dxa"/>
            <w:tcBorders>
              <w:top w:val="nil"/>
              <w:left w:val="nil"/>
              <w:bottom w:val="nil"/>
              <w:right w:val="nil"/>
            </w:tcBorders>
          </w:tcPr>
          <w:p w14:paraId="509935B5"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(0.0351)</w:t>
            </w:r>
          </w:p>
        </w:tc>
      </w:tr>
      <w:tr w:rsidR="001310A4" w:rsidRPr="00CF3C36" w14:paraId="313BD7D5" w14:textId="77777777" w:rsidTr="00585F6A">
        <w:trPr>
          <w:jc w:val="center"/>
        </w:trPr>
        <w:tc>
          <w:tcPr>
            <w:tcW w:w="1559" w:type="dxa"/>
            <w:tcBorders>
              <w:top w:val="nil"/>
              <w:left w:val="nil"/>
              <w:bottom w:val="nil"/>
              <w:right w:val="nil"/>
            </w:tcBorders>
          </w:tcPr>
          <w:p w14:paraId="58A2D886" w14:textId="749406A1"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w:t>
            </w:r>
            <w:r w:rsidR="003F01C9" w:rsidRPr="00CF3C36">
              <w:rPr>
                <w:rFonts w:ascii="Times New Roman" w:hAnsi="Times New Roman"/>
                <w:sz w:val="18"/>
                <w:szCs w:val="18"/>
                <w:lang w:val="en-GB"/>
              </w:rPr>
              <w:t>CO2</w:t>
            </w:r>
            <w:r w:rsidRPr="00CF3C36">
              <w:rPr>
                <w:rFonts w:ascii="Times New Roman" w:hAnsi="Times New Roman"/>
                <w:sz w:val="18"/>
                <w:szCs w:val="18"/>
                <w:lang w:val="en-GB"/>
              </w:rPr>
              <w:t>g_intensity</w:t>
            </w:r>
          </w:p>
        </w:tc>
        <w:tc>
          <w:tcPr>
            <w:tcW w:w="914" w:type="dxa"/>
            <w:tcBorders>
              <w:top w:val="nil"/>
              <w:left w:val="nil"/>
              <w:bottom w:val="nil"/>
              <w:right w:val="nil"/>
            </w:tcBorders>
          </w:tcPr>
          <w:p w14:paraId="7A5982B0"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56F79D5C"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2.009***</w:t>
            </w:r>
          </w:p>
        </w:tc>
        <w:tc>
          <w:tcPr>
            <w:tcW w:w="914" w:type="dxa"/>
            <w:tcBorders>
              <w:top w:val="nil"/>
              <w:left w:val="nil"/>
              <w:bottom w:val="nil"/>
              <w:right w:val="nil"/>
            </w:tcBorders>
          </w:tcPr>
          <w:p w14:paraId="745CC356"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2.429***</w:t>
            </w:r>
          </w:p>
        </w:tc>
        <w:tc>
          <w:tcPr>
            <w:tcW w:w="914" w:type="dxa"/>
            <w:tcBorders>
              <w:top w:val="nil"/>
              <w:left w:val="nil"/>
              <w:bottom w:val="nil"/>
              <w:right w:val="nil"/>
            </w:tcBorders>
          </w:tcPr>
          <w:p w14:paraId="25BEB02E"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2.487***</w:t>
            </w:r>
          </w:p>
        </w:tc>
        <w:tc>
          <w:tcPr>
            <w:tcW w:w="914" w:type="dxa"/>
            <w:tcBorders>
              <w:top w:val="nil"/>
              <w:left w:val="nil"/>
              <w:bottom w:val="nil"/>
              <w:right w:val="nil"/>
            </w:tcBorders>
          </w:tcPr>
          <w:p w14:paraId="1F79AAF5"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2.004***</w:t>
            </w:r>
          </w:p>
        </w:tc>
        <w:tc>
          <w:tcPr>
            <w:tcW w:w="910" w:type="dxa"/>
            <w:tcBorders>
              <w:top w:val="nil"/>
              <w:left w:val="nil"/>
              <w:bottom w:val="nil"/>
              <w:right w:val="nil"/>
            </w:tcBorders>
          </w:tcPr>
          <w:p w14:paraId="19A02F1B"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2.083***</w:t>
            </w:r>
          </w:p>
        </w:tc>
      </w:tr>
      <w:tr w:rsidR="001310A4" w:rsidRPr="00CF3C36" w14:paraId="5B53095F" w14:textId="77777777" w:rsidTr="00585F6A">
        <w:trPr>
          <w:jc w:val="center"/>
        </w:trPr>
        <w:tc>
          <w:tcPr>
            <w:tcW w:w="1559" w:type="dxa"/>
            <w:tcBorders>
              <w:top w:val="nil"/>
              <w:left w:val="nil"/>
              <w:bottom w:val="nil"/>
              <w:right w:val="nil"/>
            </w:tcBorders>
          </w:tcPr>
          <w:p w14:paraId="5FD3C29F"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p>
        </w:tc>
        <w:tc>
          <w:tcPr>
            <w:tcW w:w="914" w:type="dxa"/>
            <w:tcBorders>
              <w:top w:val="nil"/>
              <w:left w:val="nil"/>
              <w:bottom w:val="nil"/>
              <w:right w:val="nil"/>
            </w:tcBorders>
          </w:tcPr>
          <w:p w14:paraId="59DE2919"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3ADB8E08"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(0.285)</w:t>
            </w:r>
          </w:p>
        </w:tc>
        <w:tc>
          <w:tcPr>
            <w:tcW w:w="914" w:type="dxa"/>
            <w:tcBorders>
              <w:top w:val="nil"/>
              <w:left w:val="nil"/>
              <w:bottom w:val="nil"/>
              <w:right w:val="nil"/>
            </w:tcBorders>
          </w:tcPr>
          <w:p w14:paraId="13E49C9B"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(0.469)</w:t>
            </w:r>
          </w:p>
        </w:tc>
        <w:tc>
          <w:tcPr>
            <w:tcW w:w="914" w:type="dxa"/>
            <w:tcBorders>
              <w:top w:val="nil"/>
              <w:left w:val="nil"/>
              <w:bottom w:val="nil"/>
              <w:right w:val="nil"/>
            </w:tcBorders>
          </w:tcPr>
          <w:p w14:paraId="445895AA"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(0.734)</w:t>
            </w:r>
          </w:p>
        </w:tc>
        <w:tc>
          <w:tcPr>
            <w:tcW w:w="914" w:type="dxa"/>
            <w:tcBorders>
              <w:top w:val="nil"/>
              <w:left w:val="nil"/>
              <w:bottom w:val="nil"/>
              <w:right w:val="nil"/>
            </w:tcBorders>
          </w:tcPr>
          <w:p w14:paraId="15726CCF"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(0.745)</w:t>
            </w:r>
          </w:p>
        </w:tc>
        <w:tc>
          <w:tcPr>
            <w:tcW w:w="910" w:type="dxa"/>
            <w:tcBorders>
              <w:top w:val="nil"/>
              <w:left w:val="nil"/>
              <w:bottom w:val="nil"/>
              <w:right w:val="nil"/>
            </w:tcBorders>
          </w:tcPr>
          <w:p w14:paraId="61C4F0B4"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(0.745)</w:t>
            </w:r>
          </w:p>
        </w:tc>
      </w:tr>
      <w:tr w:rsidR="001310A4" w:rsidRPr="00CF3C36" w14:paraId="7D8A8027" w14:textId="77777777" w:rsidTr="00585F6A">
        <w:trPr>
          <w:jc w:val="center"/>
        </w:trPr>
        <w:tc>
          <w:tcPr>
            <w:tcW w:w="1559" w:type="dxa"/>
            <w:tcBorders>
              <w:top w:val="nil"/>
              <w:left w:val="nil"/>
              <w:bottom w:val="nil"/>
              <w:right w:val="nil"/>
            </w:tcBorders>
          </w:tcPr>
          <w:p w14:paraId="1B9B7581"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ln_rgdpna</w:t>
            </w:r>
          </w:p>
        </w:tc>
        <w:tc>
          <w:tcPr>
            <w:tcW w:w="914" w:type="dxa"/>
            <w:tcBorders>
              <w:top w:val="nil"/>
              <w:left w:val="nil"/>
              <w:bottom w:val="nil"/>
              <w:right w:val="nil"/>
            </w:tcBorders>
          </w:tcPr>
          <w:p w14:paraId="35F7903C"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75651460"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41CBAB20"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1.703*</w:t>
            </w:r>
          </w:p>
        </w:tc>
        <w:tc>
          <w:tcPr>
            <w:tcW w:w="914" w:type="dxa"/>
            <w:tcBorders>
              <w:top w:val="nil"/>
              <w:left w:val="nil"/>
              <w:bottom w:val="nil"/>
              <w:right w:val="nil"/>
            </w:tcBorders>
          </w:tcPr>
          <w:p w14:paraId="3D70B507"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1.668**</w:t>
            </w:r>
          </w:p>
        </w:tc>
        <w:tc>
          <w:tcPr>
            <w:tcW w:w="914" w:type="dxa"/>
            <w:tcBorders>
              <w:top w:val="nil"/>
              <w:left w:val="nil"/>
              <w:bottom w:val="nil"/>
              <w:right w:val="nil"/>
            </w:tcBorders>
          </w:tcPr>
          <w:p w14:paraId="27DDB58C"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0.235</w:t>
            </w:r>
          </w:p>
        </w:tc>
        <w:tc>
          <w:tcPr>
            <w:tcW w:w="910" w:type="dxa"/>
            <w:tcBorders>
              <w:top w:val="nil"/>
              <w:left w:val="nil"/>
              <w:bottom w:val="nil"/>
              <w:right w:val="nil"/>
            </w:tcBorders>
          </w:tcPr>
          <w:p w14:paraId="7F8A73D4"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0.404</w:t>
            </w:r>
          </w:p>
        </w:tc>
      </w:tr>
      <w:tr w:rsidR="001310A4" w:rsidRPr="00CF3C36" w14:paraId="3F62E370" w14:textId="77777777" w:rsidTr="00585F6A">
        <w:trPr>
          <w:jc w:val="center"/>
        </w:trPr>
        <w:tc>
          <w:tcPr>
            <w:tcW w:w="1559" w:type="dxa"/>
            <w:tcBorders>
              <w:top w:val="nil"/>
              <w:left w:val="nil"/>
              <w:bottom w:val="nil"/>
              <w:right w:val="nil"/>
            </w:tcBorders>
          </w:tcPr>
          <w:p w14:paraId="456346FD"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p>
        </w:tc>
        <w:tc>
          <w:tcPr>
            <w:tcW w:w="914" w:type="dxa"/>
            <w:tcBorders>
              <w:top w:val="nil"/>
              <w:left w:val="nil"/>
              <w:bottom w:val="nil"/>
              <w:right w:val="nil"/>
            </w:tcBorders>
          </w:tcPr>
          <w:p w14:paraId="0CA72444"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0326FBB4"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0992E84F"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(0.886)</w:t>
            </w:r>
          </w:p>
        </w:tc>
        <w:tc>
          <w:tcPr>
            <w:tcW w:w="914" w:type="dxa"/>
            <w:tcBorders>
              <w:top w:val="nil"/>
              <w:left w:val="nil"/>
              <w:bottom w:val="nil"/>
              <w:right w:val="nil"/>
            </w:tcBorders>
          </w:tcPr>
          <w:p w14:paraId="63E6CFDA"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(0.806)</w:t>
            </w:r>
          </w:p>
        </w:tc>
        <w:tc>
          <w:tcPr>
            <w:tcW w:w="914" w:type="dxa"/>
            <w:tcBorders>
              <w:top w:val="nil"/>
              <w:left w:val="nil"/>
              <w:bottom w:val="nil"/>
              <w:right w:val="nil"/>
            </w:tcBorders>
          </w:tcPr>
          <w:p w14:paraId="28C0D506"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(0.905)</w:t>
            </w:r>
          </w:p>
        </w:tc>
        <w:tc>
          <w:tcPr>
            <w:tcW w:w="910" w:type="dxa"/>
            <w:tcBorders>
              <w:top w:val="nil"/>
              <w:left w:val="nil"/>
              <w:bottom w:val="nil"/>
              <w:right w:val="nil"/>
            </w:tcBorders>
          </w:tcPr>
          <w:p w14:paraId="08B914E2"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(0.939)</w:t>
            </w:r>
          </w:p>
        </w:tc>
      </w:tr>
      <w:tr w:rsidR="001310A4" w:rsidRPr="00CF3C36" w14:paraId="6863532B" w14:textId="77777777" w:rsidTr="00585F6A">
        <w:trPr>
          <w:jc w:val="center"/>
        </w:trPr>
        <w:tc>
          <w:tcPr>
            <w:tcW w:w="1559" w:type="dxa"/>
            <w:tcBorders>
              <w:top w:val="nil"/>
              <w:left w:val="nil"/>
              <w:bottom w:val="nil"/>
              <w:right w:val="nil"/>
            </w:tcBorders>
          </w:tcPr>
          <w:p w14:paraId="4FBC2883"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SE_terX</w:t>
            </w:r>
          </w:p>
        </w:tc>
        <w:tc>
          <w:tcPr>
            <w:tcW w:w="914" w:type="dxa"/>
            <w:tcBorders>
              <w:top w:val="nil"/>
              <w:left w:val="nil"/>
              <w:bottom w:val="nil"/>
              <w:right w:val="nil"/>
            </w:tcBorders>
          </w:tcPr>
          <w:p w14:paraId="006B07DB"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2518FD01"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4AAEDBCA"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-0.00596</w:t>
            </w:r>
          </w:p>
        </w:tc>
        <w:tc>
          <w:tcPr>
            <w:tcW w:w="914" w:type="dxa"/>
            <w:tcBorders>
              <w:top w:val="nil"/>
              <w:left w:val="nil"/>
              <w:bottom w:val="nil"/>
              <w:right w:val="nil"/>
            </w:tcBorders>
          </w:tcPr>
          <w:p w14:paraId="3132C437"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-0.00627</w:t>
            </w:r>
          </w:p>
        </w:tc>
        <w:tc>
          <w:tcPr>
            <w:tcW w:w="914" w:type="dxa"/>
            <w:tcBorders>
              <w:top w:val="nil"/>
              <w:left w:val="nil"/>
              <w:bottom w:val="nil"/>
              <w:right w:val="nil"/>
            </w:tcBorders>
          </w:tcPr>
          <w:p w14:paraId="039E3C77"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-0.00442</w:t>
            </w:r>
          </w:p>
        </w:tc>
        <w:tc>
          <w:tcPr>
            <w:tcW w:w="910" w:type="dxa"/>
            <w:tcBorders>
              <w:top w:val="nil"/>
              <w:left w:val="nil"/>
              <w:bottom w:val="nil"/>
              <w:right w:val="nil"/>
            </w:tcBorders>
          </w:tcPr>
          <w:p w14:paraId="68824378"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-0.00568</w:t>
            </w:r>
          </w:p>
        </w:tc>
      </w:tr>
      <w:tr w:rsidR="001310A4" w:rsidRPr="00CF3C36" w14:paraId="59203373" w14:textId="77777777" w:rsidTr="00585F6A">
        <w:trPr>
          <w:jc w:val="center"/>
        </w:trPr>
        <w:tc>
          <w:tcPr>
            <w:tcW w:w="1559" w:type="dxa"/>
            <w:tcBorders>
              <w:top w:val="nil"/>
              <w:left w:val="nil"/>
              <w:bottom w:val="nil"/>
              <w:right w:val="nil"/>
            </w:tcBorders>
          </w:tcPr>
          <w:p w14:paraId="457A8D22"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p>
        </w:tc>
        <w:tc>
          <w:tcPr>
            <w:tcW w:w="914" w:type="dxa"/>
            <w:tcBorders>
              <w:top w:val="nil"/>
              <w:left w:val="nil"/>
              <w:bottom w:val="nil"/>
              <w:right w:val="nil"/>
            </w:tcBorders>
          </w:tcPr>
          <w:p w14:paraId="09853C81"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576ECA99"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505F3017"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(0.00777)</w:t>
            </w:r>
          </w:p>
        </w:tc>
        <w:tc>
          <w:tcPr>
            <w:tcW w:w="914" w:type="dxa"/>
            <w:tcBorders>
              <w:top w:val="nil"/>
              <w:left w:val="nil"/>
              <w:bottom w:val="nil"/>
              <w:right w:val="nil"/>
            </w:tcBorders>
          </w:tcPr>
          <w:p w14:paraId="6EC4BA65"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(0.00843)</w:t>
            </w:r>
          </w:p>
        </w:tc>
        <w:tc>
          <w:tcPr>
            <w:tcW w:w="914" w:type="dxa"/>
            <w:tcBorders>
              <w:top w:val="nil"/>
              <w:left w:val="nil"/>
              <w:bottom w:val="nil"/>
              <w:right w:val="nil"/>
            </w:tcBorders>
          </w:tcPr>
          <w:p w14:paraId="0C2F9EF1"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(0.00827)</w:t>
            </w:r>
          </w:p>
        </w:tc>
        <w:tc>
          <w:tcPr>
            <w:tcW w:w="910" w:type="dxa"/>
            <w:tcBorders>
              <w:top w:val="nil"/>
              <w:left w:val="nil"/>
              <w:bottom w:val="nil"/>
              <w:right w:val="nil"/>
            </w:tcBorders>
          </w:tcPr>
          <w:p w14:paraId="19F14CE9"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(0.00850)</w:t>
            </w:r>
          </w:p>
        </w:tc>
      </w:tr>
      <w:tr w:rsidR="001310A4" w:rsidRPr="00CF3C36" w14:paraId="306D3652" w14:textId="77777777" w:rsidTr="00585F6A">
        <w:trPr>
          <w:jc w:val="center"/>
        </w:trPr>
        <w:tc>
          <w:tcPr>
            <w:tcW w:w="1559" w:type="dxa"/>
            <w:tcBorders>
              <w:top w:val="nil"/>
              <w:left w:val="nil"/>
              <w:bottom w:val="nil"/>
              <w:right w:val="nil"/>
            </w:tcBorders>
          </w:tcPr>
          <w:p w14:paraId="4362B472"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eodb1</w:t>
            </w:r>
          </w:p>
        </w:tc>
        <w:tc>
          <w:tcPr>
            <w:tcW w:w="914" w:type="dxa"/>
            <w:tcBorders>
              <w:top w:val="nil"/>
              <w:left w:val="nil"/>
              <w:bottom w:val="nil"/>
              <w:right w:val="nil"/>
            </w:tcBorders>
          </w:tcPr>
          <w:p w14:paraId="3CB141F2"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773BB428"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487B5B2A"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0.00185</w:t>
            </w:r>
          </w:p>
        </w:tc>
        <w:tc>
          <w:tcPr>
            <w:tcW w:w="914" w:type="dxa"/>
            <w:tcBorders>
              <w:top w:val="nil"/>
              <w:left w:val="nil"/>
              <w:bottom w:val="nil"/>
              <w:right w:val="nil"/>
            </w:tcBorders>
          </w:tcPr>
          <w:p w14:paraId="3F65452E"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0.000868</w:t>
            </w:r>
          </w:p>
        </w:tc>
        <w:tc>
          <w:tcPr>
            <w:tcW w:w="914" w:type="dxa"/>
            <w:tcBorders>
              <w:top w:val="nil"/>
              <w:left w:val="nil"/>
              <w:bottom w:val="nil"/>
              <w:right w:val="nil"/>
            </w:tcBorders>
          </w:tcPr>
          <w:p w14:paraId="2B1BD745"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-0.0140</w:t>
            </w:r>
          </w:p>
        </w:tc>
        <w:tc>
          <w:tcPr>
            <w:tcW w:w="910" w:type="dxa"/>
            <w:tcBorders>
              <w:top w:val="nil"/>
              <w:left w:val="nil"/>
              <w:bottom w:val="nil"/>
              <w:right w:val="nil"/>
            </w:tcBorders>
          </w:tcPr>
          <w:p w14:paraId="661E3892"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-0.0164</w:t>
            </w:r>
          </w:p>
        </w:tc>
      </w:tr>
      <w:tr w:rsidR="001310A4" w:rsidRPr="00CF3C36" w14:paraId="3D6F124D" w14:textId="77777777" w:rsidTr="00585F6A">
        <w:trPr>
          <w:jc w:val="center"/>
        </w:trPr>
        <w:tc>
          <w:tcPr>
            <w:tcW w:w="1559" w:type="dxa"/>
            <w:tcBorders>
              <w:top w:val="nil"/>
              <w:left w:val="nil"/>
              <w:bottom w:val="nil"/>
              <w:right w:val="nil"/>
            </w:tcBorders>
          </w:tcPr>
          <w:p w14:paraId="68C9B63D"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p>
        </w:tc>
        <w:tc>
          <w:tcPr>
            <w:tcW w:w="914" w:type="dxa"/>
            <w:tcBorders>
              <w:top w:val="nil"/>
              <w:left w:val="nil"/>
              <w:bottom w:val="nil"/>
              <w:right w:val="nil"/>
            </w:tcBorders>
          </w:tcPr>
          <w:p w14:paraId="1D6122D2"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328191E8"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2FC72CED"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(0.0206)</w:t>
            </w:r>
          </w:p>
        </w:tc>
        <w:tc>
          <w:tcPr>
            <w:tcW w:w="914" w:type="dxa"/>
            <w:tcBorders>
              <w:top w:val="nil"/>
              <w:left w:val="nil"/>
              <w:bottom w:val="nil"/>
              <w:right w:val="nil"/>
            </w:tcBorders>
          </w:tcPr>
          <w:p w14:paraId="07134A0E"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(0.0195)</w:t>
            </w:r>
          </w:p>
        </w:tc>
        <w:tc>
          <w:tcPr>
            <w:tcW w:w="914" w:type="dxa"/>
            <w:tcBorders>
              <w:top w:val="nil"/>
              <w:left w:val="nil"/>
              <w:bottom w:val="nil"/>
              <w:right w:val="nil"/>
            </w:tcBorders>
          </w:tcPr>
          <w:p w14:paraId="0A0CB948"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(0.0176)</w:t>
            </w:r>
          </w:p>
        </w:tc>
        <w:tc>
          <w:tcPr>
            <w:tcW w:w="910" w:type="dxa"/>
            <w:tcBorders>
              <w:top w:val="nil"/>
              <w:left w:val="nil"/>
              <w:bottom w:val="nil"/>
              <w:right w:val="nil"/>
            </w:tcBorders>
          </w:tcPr>
          <w:p w14:paraId="252CA97E"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(0.0179)</w:t>
            </w:r>
          </w:p>
        </w:tc>
      </w:tr>
      <w:tr w:rsidR="001310A4" w:rsidRPr="00CF3C36" w14:paraId="00B84BC8" w14:textId="77777777" w:rsidTr="00585F6A">
        <w:trPr>
          <w:jc w:val="center"/>
        </w:trPr>
        <w:tc>
          <w:tcPr>
            <w:tcW w:w="1559" w:type="dxa"/>
            <w:tcBorders>
              <w:top w:val="nil"/>
              <w:left w:val="nil"/>
              <w:bottom w:val="nil"/>
              <w:right w:val="nil"/>
            </w:tcBorders>
          </w:tcPr>
          <w:p w14:paraId="691DF168"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governance</w:t>
            </w:r>
          </w:p>
        </w:tc>
        <w:tc>
          <w:tcPr>
            <w:tcW w:w="914" w:type="dxa"/>
            <w:tcBorders>
              <w:top w:val="nil"/>
              <w:left w:val="nil"/>
              <w:bottom w:val="nil"/>
              <w:right w:val="nil"/>
            </w:tcBorders>
          </w:tcPr>
          <w:p w14:paraId="3CC31007"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224AAFF1"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264C6A66"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-0.0715</w:t>
            </w:r>
          </w:p>
        </w:tc>
        <w:tc>
          <w:tcPr>
            <w:tcW w:w="914" w:type="dxa"/>
            <w:tcBorders>
              <w:top w:val="nil"/>
              <w:left w:val="nil"/>
              <w:bottom w:val="nil"/>
              <w:right w:val="nil"/>
            </w:tcBorders>
          </w:tcPr>
          <w:p w14:paraId="5C9A8738"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-0.0684</w:t>
            </w:r>
          </w:p>
        </w:tc>
        <w:tc>
          <w:tcPr>
            <w:tcW w:w="914" w:type="dxa"/>
            <w:tcBorders>
              <w:top w:val="nil"/>
              <w:left w:val="nil"/>
              <w:bottom w:val="nil"/>
              <w:right w:val="nil"/>
            </w:tcBorders>
          </w:tcPr>
          <w:p w14:paraId="2F426A14"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-0.157</w:t>
            </w:r>
          </w:p>
        </w:tc>
        <w:tc>
          <w:tcPr>
            <w:tcW w:w="910" w:type="dxa"/>
            <w:tcBorders>
              <w:top w:val="nil"/>
              <w:left w:val="nil"/>
              <w:bottom w:val="nil"/>
              <w:right w:val="nil"/>
            </w:tcBorders>
          </w:tcPr>
          <w:p w14:paraId="21EC48F9"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-0.118</w:t>
            </w:r>
          </w:p>
        </w:tc>
      </w:tr>
      <w:tr w:rsidR="001310A4" w:rsidRPr="00CF3C36" w14:paraId="35616A71" w14:textId="77777777" w:rsidTr="00585F6A">
        <w:trPr>
          <w:jc w:val="center"/>
        </w:trPr>
        <w:tc>
          <w:tcPr>
            <w:tcW w:w="1559" w:type="dxa"/>
            <w:tcBorders>
              <w:top w:val="nil"/>
              <w:left w:val="nil"/>
              <w:bottom w:val="nil"/>
              <w:right w:val="nil"/>
            </w:tcBorders>
          </w:tcPr>
          <w:p w14:paraId="393FEA89"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p>
        </w:tc>
        <w:tc>
          <w:tcPr>
            <w:tcW w:w="914" w:type="dxa"/>
            <w:tcBorders>
              <w:top w:val="nil"/>
              <w:left w:val="nil"/>
              <w:bottom w:val="nil"/>
              <w:right w:val="nil"/>
            </w:tcBorders>
          </w:tcPr>
          <w:p w14:paraId="64154A0F"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1FC700E9"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307AADDB"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(0.233)</w:t>
            </w:r>
          </w:p>
        </w:tc>
        <w:tc>
          <w:tcPr>
            <w:tcW w:w="914" w:type="dxa"/>
            <w:tcBorders>
              <w:top w:val="nil"/>
              <w:left w:val="nil"/>
              <w:bottom w:val="nil"/>
              <w:right w:val="nil"/>
            </w:tcBorders>
          </w:tcPr>
          <w:p w14:paraId="6D6C81C6"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(0.234)</w:t>
            </w:r>
          </w:p>
        </w:tc>
        <w:tc>
          <w:tcPr>
            <w:tcW w:w="914" w:type="dxa"/>
            <w:tcBorders>
              <w:top w:val="nil"/>
              <w:left w:val="nil"/>
              <w:bottom w:val="nil"/>
              <w:right w:val="nil"/>
            </w:tcBorders>
          </w:tcPr>
          <w:p w14:paraId="76BB7340"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(0.268)</w:t>
            </w:r>
          </w:p>
        </w:tc>
        <w:tc>
          <w:tcPr>
            <w:tcW w:w="910" w:type="dxa"/>
            <w:tcBorders>
              <w:top w:val="nil"/>
              <w:left w:val="nil"/>
              <w:bottom w:val="nil"/>
              <w:right w:val="nil"/>
            </w:tcBorders>
          </w:tcPr>
          <w:p w14:paraId="104154DD"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(0.268)</w:t>
            </w:r>
          </w:p>
        </w:tc>
      </w:tr>
      <w:tr w:rsidR="001310A4" w:rsidRPr="00CF3C36" w14:paraId="1AF73F2C" w14:textId="77777777" w:rsidTr="00585F6A">
        <w:trPr>
          <w:jc w:val="center"/>
        </w:trPr>
        <w:tc>
          <w:tcPr>
            <w:tcW w:w="1559" w:type="dxa"/>
            <w:tcBorders>
              <w:top w:val="nil"/>
              <w:left w:val="nil"/>
              <w:bottom w:val="nil"/>
              <w:right w:val="nil"/>
            </w:tcBorders>
          </w:tcPr>
          <w:p w14:paraId="753D47D1"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ln_KL</w:t>
            </w:r>
          </w:p>
        </w:tc>
        <w:tc>
          <w:tcPr>
            <w:tcW w:w="914" w:type="dxa"/>
            <w:tcBorders>
              <w:top w:val="nil"/>
              <w:left w:val="nil"/>
              <w:bottom w:val="nil"/>
              <w:right w:val="nil"/>
            </w:tcBorders>
          </w:tcPr>
          <w:p w14:paraId="4AF903CD"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4E13B872"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6597D99C"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0D841A9B"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0.136</w:t>
            </w:r>
          </w:p>
        </w:tc>
        <w:tc>
          <w:tcPr>
            <w:tcW w:w="914" w:type="dxa"/>
            <w:tcBorders>
              <w:top w:val="nil"/>
              <w:left w:val="nil"/>
              <w:bottom w:val="nil"/>
              <w:right w:val="nil"/>
            </w:tcBorders>
          </w:tcPr>
          <w:p w14:paraId="1FFD5320"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5.955***</w:t>
            </w:r>
          </w:p>
        </w:tc>
        <w:tc>
          <w:tcPr>
            <w:tcW w:w="910" w:type="dxa"/>
            <w:tcBorders>
              <w:top w:val="nil"/>
              <w:left w:val="nil"/>
              <w:bottom w:val="nil"/>
              <w:right w:val="nil"/>
            </w:tcBorders>
          </w:tcPr>
          <w:p w14:paraId="546AA98C"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7.767***</w:t>
            </w:r>
          </w:p>
        </w:tc>
      </w:tr>
      <w:tr w:rsidR="001310A4" w:rsidRPr="00CF3C36" w14:paraId="2AED9D3E" w14:textId="77777777" w:rsidTr="00585F6A">
        <w:trPr>
          <w:jc w:val="center"/>
        </w:trPr>
        <w:tc>
          <w:tcPr>
            <w:tcW w:w="1559" w:type="dxa"/>
            <w:tcBorders>
              <w:top w:val="nil"/>
              <w:left w:val="nil"/>
              <w:bottom w:val="nil"/>
              <w:right w:val="nil"/>
            </w:tcBorders>
          </w:tcPr>
          <w:p w14:paraId="1A3F3043"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p>
        </w:tc>
        <w:tc>
          <w:tcPr>
            <w:tcW w:w="914" w:type="dxa"/>
            <w:tcBorders>
              <w:top w:val="nil"/>
              <w:left w:val="nil"/>
              <w:bottom w:val="nil"/>
              <w:right w:val="nil"/>
            </w:tcBorders>
          </w:tcPr>
          <w:p w14:paraId="052B3370"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656112E5"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581ED8C5"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326EE7E4"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(1.006)</w:t>
            </w:r>
          </w:p>
        </w:tc>
        <w:tc>
          <w:tcPr>
            <w:tcW w:w="914" w:type="dxa"/>
            <w:tcBorders>
              <w:top w:val="nil"/>
              <w:left w:val="nil"/>
              <w:bottom w:val="nil"/>
              <w:right w:val="nil"/>
            </w:tcBorders>
          </w:tcPr>
          <w:p w14:paraId="63C2E600"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(1.980)</w:t>
            </w:r>
          </w:p>
        </w:tc>
        <w:tc>
          <w:tcPr>
            <w:tcW w:w="910" w:type="dxa"/>
            <w:tcBorders>
              <w:top w:val="nil"/>
              <w:left w:val="nil"/>
              <w:bottom w:val="nil"/>
              <w:right w:val="nil"/>
            </w:tcBorders>
          </w:tcPr>
          <w:p w14:paraId="46FE757A"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(2.150)</w:t>
            </w:r>
          </w:p>
        </w:tc>
      </w:tr>
      <w:tr w:rsidR="001310A4" w:rsidRPr="00CF3C36" w14:paraId="322F4C3C" w14:textId="77777777" w:rsidTr="00585F6A">
        <w:trPr>
          <w:jc w:val="center"/>
        </w:trPr>
        <w:tc>
          <w:tcPr>
            <w:tcW w:w="1559" w:type="dxa"/>
            <w:tcBorders>
              <w:top w:val="nil"/>
              <w:left w:val="nil"/>
              <w:bottom w:val="nil"/>
              <w:right w:val="nil"/>
            </w:tcBorders>
          </w:tcPr>
          <w:p w14:paraId="78B617C8"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ln_KL_2</w:t>
            </w:r>
          </w:p>
        </w:tc>
        <w:tc>
          <w:tcPr>
            <w:tcW w:w="914" w:type="dxa"/>
            <w:tcBorders>
              <w:top w:val="nil"/>
              <w:left w:val="nil"/>
              <w:bottom w:val="nil"/>
              <w:right w:val="nil"/>
            </w:tcBorders>
          </w:tcPr>
          <w:p w14:paraId="7CBB3FB3"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3687B388"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0EFF4BD7"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730D2C01"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5B5E0558"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-0.622***</w:t>
            </w:r>
          </w:p>
        </w:tc>
        <w:tc>
          <w:tcPr>
            <w:tcW w:w="910" w:type="dxa"/>
            <w:tcBorders>
              <w:top w:val="nil"/>
              <w:left w:val="nil"/>
              <w:bottom w:val="nil"/>
              <w:right w:val="nil"/>
            </w:tcBorders>
          </w:tcPr>
          <w:p w14:paraId="40FFD8DC"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-0.780***</w:t>
            </w:r>
          </w:p>
        </w:tc>
      </w:tr>
      <w:tr w:rsidR="001310A4" w:rsidRPr="00CF3C36" w14:paraId="49C94F64" w14:textId="77777777" w:rsidTr="00585F6A">
        <w:trPr>
          <w:jc w:val="center"/>
        </w:trPr>
        <w:tc>
          <w:tcPr>
            <w:tcW w:w="1559" w:type="dxa"/>
            <w:tcBorders>
              <w:top w:val="nil"/>
              <w:left w:val="nil"/>
              <w:bottom w:val="nil"/>
              <w:right w:val="nil"/>
            </w:tcBorders>
          </w:tcPr>
          <w:p w14:paraId="5B8C6B3E"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p>
        </w:tc>
        <w:tc>
          <w:tcPr>
            <w:tcW w:w="914" w:type="dxa"/>
            <w:tcBorders>
              <w:top w:val="nil"/>
              <w:left w:val="nil"/>
              <w:bottom w:val="nil"/>
              <w:right w:val="nil"/>
            </w:tcBorders>
          </w:tcPr>
          <w:p w14:paraId="34FB145F"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1F495B1A"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5C38BF13"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08071273"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125B7164"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(0.226)</w:t>
            </w:r>
          </w:p>
        </w:tc>
        <w:tc>
          <w:tcPr>
            <w:tcW w:w="910" w:type="dxa"/>
            <w:tcBorders>
              <w:top w:val="nil"/>
              <w:left w:val="nil"/>
              <w:bottom w:val="nil"/>
              <w:right w:val="nil"/>
            </w:tcBorders>
          </w:tcPr>
          <w:p w14:paraId="5919B1DD"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(0.235)</w:t>
            </w:r>
          </w:p>
        </w:tc>
      </w:tr>
      <w:tr w:rsidR="001310A4" w:rsidRPr="00CF3C36" w14:paraId="19C937DB" w14:textId="77777777" w:rsidTr="00585F6A">
        <w:trPr>
          <w:jc w:val="center"/>
        </w:trPr>
        <w:tc>
          <w:tcPr>
            <w:tcW w:w="1559" w:type="dxa"/>
            <w:tcBorders>
              <w:top w:val="nil"/>
              <w:left w:val="nil"/>
              <w:bottom w:val="nil"/>
              <w:right w:val="nil"/>
            </w:tcBorders>
          </w:tcPr>
          <w:p w14:paraId="4AF77C94"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EPI_ln_KL_cen</w:t>
            </w:r>
          </w:p>
        </w:tc>
        <w:tc>
          <w:tcPr>
            <w:tcW w:w="914" w:type="dxa"/>
            <w:tcBorders>
              <w:top w:val="nil"/>
              <w:left w:val="nil"/>
              <w:bottom w:val="nil"/>
              <w:right w:val="nil"/>
            </w:tcBorders>
          </w:tcPr>
          <w:p w14:paraId="13731E06"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42538101"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1888DF61"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55EE41D0"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305F9D88"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0" w:type="dxa"/>
            <w:tcBorders>
              <w:top w:val="nil"/>
              <w:left w:val="nil"/>
              <w:bottom w:val="nil"/>
              <w:right w:val="nil"/>
            </w:tcBorders>
          </w:tcPr>
          <w:p w14:paraId="5F2B437F"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0.211</w:t>
            </w:r>
          </w:p>
        </w:tc>
      </w:tr>
      <w:tr w:rsidR="001310A4" w:rsidRPr="00CF3C36" w14:paraId="1528D26D" w14:textId="77777777" w:rsidTr="00585F6A">
        <w:trPr>
          <w:jc w:val="center"/>
        </w:trPr>
        <w:tc>
          <w:tcPr>
            <w:tcW w:w="1559" w:type="dxa"/>
            <w:tcBorders>
              <w:top w:val="nil"/>
              <w:left w:val="nil"/>
              <w:bottom w:val="nil"/>
              <w:right w:val="nil"/>
            </w:tcBorders>
          </w:tcPr>
          <w:p w14:paraId="5770826E"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p>
        </w:tc>
        <w:tc>
          <w:tcPr>
            <w:tcW w:w="914" w:type="dxa"/>
            <w:tcBorders>
              <w:top w:val="nil"/>
              <w:left w:val="nil"/>
              <w:bottom w:val="nil"/>
              <w:right w:val="nil"/>
            </w:tcBorders>
          </w:tcPr>
          <w:p w14:paraId="1248A6CE"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0833F572"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4C5BCA44"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786B60DA"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4A6F7658"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0" w:type="dxa"/>
            <w:tcBorders>
              <w:top w:val="nil"/>
              <w:left w:val="nil"/>
              <w:bottom w:val="nil"/>
              <w:right w:val="nil"/>
            </w:tcBorders>
          </w:tcPr>
          <w:p w14:paraId="311BDE38"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(0.144)</w:t>
            </w:r>
          </w:p>
        </w:tc>
      </w:tr>
      <w:tr w:rsidR="001310A4" w:rsidRPr="00CF3C36" w14:paraId="3B3E900C" w14:textId="77777777" w:rsidTr="00585F6A">
        <w:trPr>
          <w:jc w:val="center"/>
        </w:trPr>
        <w:tc>
          <w:tcPr>
            <w:tcW w:w="1559" w:type="dxa"/>
            <w:tcBorders>
              <w:top w:val="nil"/>
              <w:left w:val="nil"/>
              <w:bottom w:val="nil"/>
              <w:right w:val="nil"/>
            </w:tcBorders>
          </w:tcPr>
          <w:p w14:paraId="5A1D6F65"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EPI_ln_KL_2_cen</w:t>
            </w:r>
          </w:p>
        </w:tc>
        <w:tc>
          <w:tcPr>
            <w:tcW w:w="914" w:type="dxa"/>
            <w:tcBorders>
              <w:top w:val="nil"/>
              <w:left w:val="nil"/>
              <w:bottom w:val="nil"/>
              <w:right w:val="nil"/>
            </w:tcBorders>
          </w:tcPr>
          <w:p w14:paraId="364760B1"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6B552876"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3CFE1F9E"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7C0FC7D6"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04725BF9"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0" w:type="dxa"/>
            <w:tcBorders>
              <w:top w:val="nil"/>
              <w:left w:val="nil"/>
              <w:bottom w:val="nil"/>
              <w:right w:val="nil"/>
            </w:tcBorders>
          </w:tcPr>
          <w:p w14:paraId="323F236B"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-0.0210</w:t>
            </w:r>
          </w:p>
        </w:tc>
      </w:tr>
      <w:tr w:rsidR="001310A4" w:rsidRPr="00CF3C36" w14:paraId="2A703E43" w14:textId="77777777" w:rsidTr="00585F6A">
        <w:trPr>
          <w:jc w:val="center"/>
        </w:trPr>
        <w:tc>
          <w:tcPr>
            <w:tcW w:w="1559" w:type="dxa"/>
            <w:tcBorders>
              <w:top w:val="nil"/>
              <w:left w:val="nil"/>
              <w:bottom w:val="nil"/>
              <w:right w:val="nil"/>
            </w:tcBorders>
          </w:tcPr>
          <w:p w14:paraId="6A28DD78"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p>
        </w:tc>
        <w:tc>
          <w:tcPr>
            <w:tcW w:w="914" w:type="dxa"/>
            <w:tcBorders>
              <w:top w:val="nil"/>
              <w:left w:val="nil"/>
              <w:bottom w:val="nil"/>
              <w:right w:val="nil"/>
            </w:tcBorders>
          </w:tcPr>
          <w:p w14:paraId="3CC53EE1"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760A01FF"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78FB7FAE"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635E33B7"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2FF2D6E9"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0" w:type="dxa"/>
            <w:tcBorders>
              <w:top w:val="nil"/>
              <w:left w:val="nil"/>
              <w:bottom w:val="nil"/>
              <w:right w:val="nil"/>
            </w:tcBorders>
          </w:tcPr>
          <w:p w14:paraId="122B83E9"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(0.0164)</w:t>
            </w:r>
          </w:p>
        </w:tc>
      </w:tr>
      <w:tr w:rsidR="001310A4" w:rsidRPr="00CF3C36" w14:paraId="207AD868" w14:textId="77777777" w:rsidTr="00585F6A">
        <w:trPr>
          <w:jc w:val="center"/>
        </w:trPr>
        <w:tc>
          <w:tcPr>
            <w:tcW w:w="1559" w:type="dxa"/>
            <w:tcBorders>
              <w:top w:val="nil"/>
              <w:left w:val="nil"/>
              <w:bottom w:val="nil"/>
              <w:right w:val="nil"/>
            </w:tcBorders>
          </w:tcPr>
          <w:p w14:paraId="2F116828"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Constant</w:t>
            </w:r>
          </w:p>
        </w:tc>
        <w:tc>
          <w:tcPr>
            <w:tcW w:w="914" w:type="dxa"/>
            <w:tcBorders>
              <w:top w:val="nil"/>
              <w:left w:val="nil"/>
              <w:bottom w:val="nil"/>
              <w:right w:val="nil"/>
            </w:tcBorders>
          </w:tcPr>
          <w:p w14:paraId="49D59BE0"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6.729***</w:t>
            </w:r>
          </w:p>
        </w:tc>
        <w:tc>
          <w:tcPr>
            <w:tcW w:w="914" w:type="dxa"/>
            <w:tcBorders>
              <w:top w:val="nil"/>
              <w:left w:val="nil"/>
              <w:bottom w:val="nil"/>
              <w:right w:val="nil"/>
            </w:tcBorders>
          </w:tcPr>
          <w:p w14:paraId="22C9B5F2"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-5.312***</w:t>
            </w:r>
          </w:p>
        </w:tc>
        <w:tc>
          <w:tcPr>
            <w:tcW w:w="914" w:type="dxa"/>
            <w:tcBorders>
              <w:top w:val="nil"/>
              <w:left w:val="nil"/>
              <w:bottom w:val="nil"/>
              <w:right w:val="nil"/>
            </w:tcBorders>
          </w:tcPr>
          <w:p w14:paraId="2F55C906"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-29.12**</w:t>
            </w:r>
          </w:p>
        </w:tc>
        <w:tc>
          <w:tcPr>
            <w:tcW w:w="914" w:type="dxa"/>
            <w:tcBorders>
              <w:top w:val="nil"/>
              <w:left w:val="nil"/>
              <w:bottom w:val="nil"/>
              <w:right w:val="nil"/>
            </w:tcBorders>
          </w:tcPr>
          <w:p w14:paraId="090DC94B"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-29.55*</w:t>
            </w:r>
          </w:p>
        </w:tc>
        <w:tc>
          <w:tcPr>
            <w:tcW w:w="914" w:type="dxa"/>
            <w:tcBorders>
              <w:top w:val="nil"/>
              <w:left w:val="nil"/>
              <w:bottom w:val="nil"/>
              <w:right w:val="nil"/>
            </w:tcBorders>
          </w:tcPr>
          <w:p w14:paraId="70EFFB1D"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-20.45</w:t>
            </w:r>
          </w:p>
        </w:tc>
        <w:tc>
          <w:tcPr>
            <w:tcW w:w="910" w:type="dxa"/>
            <w:tcBorders>
              <w:top w:val="nil"/>
              <w:left w:val="nil"/>
              <w:bottom w:val="nil"/>
              <w:right w:val="nil"/>
            </w:tcBorders>
          </w:tcPr>
          <w:p w14:paraId="41818291"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-27.90*</w:t>
            </w:r>
          </w:p>
        </w:tc>
      </w:tr>
      <w:tr w:rsidR="001310A4" w:rsidRPr="00CF3C36" w14:paraId="2DDD5689" w14:textId="77777777" w:rsidTr="00585F6A">
        <w:trPr>
          <w:jc w:val="center"/>
        </w:trPr>
        <w:tc>
          <w:tcPr>
            <w:tcW w:w="1559" w:type="dxa"/>
            <w:tcBorders>
              <w:top w:val="nil"/>
              <w:left w:val="nil"/>
              <w:bottom w:val="nil"/>
              <w:right w:val="nil"/>
            </w:tcBorders>
          </w:tcPr>
          <w:p w14:paraId="23CCDE8E"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p>
        </w:tc>
        <w:tc>
          <w:tcPr>
            <w:tcW w:w="914" w:type="dxa"/>
            <w:tcBorders>
              <w:top w:val="nil"/>
              <w:left w:val="nil"/>
              <w:bottom w:val="nil"/>
              <w:right w:val="nil"/>
            </w:tcBorders>
          </w:tcPr>
          <w:p w14:paraId="0582C016"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(0.781)</w:t>
            </w:r>
          </w:p>
        </w:tc>
        <w:tc>
          <w:tcPr>
            <w:tcW w:w="914" w:type="dxa"/>
            <w:tcBorders>
              <w:top w:val="nil"/>
              <w:left w:val="nil"/>
              <w:bottom w:val="nil"/>
              <w:right w:val="nil"/>
            </w:tcBorders>
          </w:tcPr>
          <w:p w14:paraId="040FBEF3"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(1.916)</w:t>
            </w:r>
          </w:p>
        </w:tc>
        <w:tc>
          <w:tcPr>
            <w:tcW w:w="914" w:type="dxa"/>
            <w:tcBorders>
              <w:top w:val="nil"/>
              <w:left w:val="nil"/>
              <w:bottom w:val="nil"/>
              <w:right w:val="nil"/>
            </w:tcBorders>
          </w:tcPr>
          <w:p w14:paraId="6B1D112B"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(13.91)</w:t>
            </w:r>
          </w:p>
        </w:tc>
        <w:tc>
          <w:tcPr>
            <w:tcW w:w="914" w:type="dxa"/>
            <w:tcBorders>
              <w:top w:val="nil"/>
              <w:left w:val="nil"/>
              <w:bottom w:val="nil"/>
              <w:right w:val="nil"/>
            </w:tcBorders>
          </w:tcPr>
          <w:p w14:paraId="552894DB"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(15.58)</w:t>
            </w:r>
          </w:p>
        </w:tc>
        <w:tc>
          <w:tcPr>
            <w:tcW w:w="914" w:type="dxa"/>
            <w:tcBorders>
              <w:top w:val="nil"/>
              <w:left w:val="nil"/>
              <w:bottom w:val="nil"/>
              <w:right w:val="nil"/>
            </w:tcBorders>
          </w:tcPr>
          <w:p w14:paraId="10E387AD"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(15.16)</w:t>
            </w:r>
          </w:p>
        </w:tc>
        <w:tc>
          <w:tcPr>
            <w:tcW w:w="910" w:type="dxa"/>
            <w:tcBorders>
              <w:top w:val="nil"/>
              <w:left w:val="nil"/>
              <w:bottom w:val="nil"/>
              <w:right w:val="nil"/>
            </w:tcBorders>
          </w:tcPr>
          <w:p w14:paraId="03D8C3D4"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(16.09)</w:t>
            </w:r>
          </w:p>
        </w:tc>
      </w:tr>
      <w:tr w:rsidR="001310A4" w:rsidRPr="00CF3C36" w14:paraId="657B0245" w14:textId="77777777" w:rsidTr="00585F6A">
        <w:trPr>
          <w:jc w:val="center"/>
        </w:trPr>
        <w:tc>
          <w:tcPr>
            <w:tcW w:w="1559" w:type="dxa"/>
            <w:tcBorders>
              <w:top w:val="nil"/>
              <w:left w:val="nil"/>
              <w:bottom w:val="nil"/>
              <w:right w:val="nil"/>
            </w:tcBorders>
          </w:tcPr>
          <w:p w14:paraId="1F4D9A4A"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p>
        </w:tc>
        <w:tc>
          <w:tcPr>
            <w:tcW w:w="914" w:type="dxa"/>
            <w:tcBorders>
              <w:top w:val="nil"/>
              <w:left w:val="nil"/>
              <w:bottom w:val="nil"/>
              <w:right w:val="nil"/>
            </w:tcBorders>
          </w:tcPr>
          <w:p w14:paraId="7F24DE86"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4479AC1F"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0ACCFB67"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74D56599"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4" w:type="dxa"/>
            <w:tcBorders>
              <w:top w:val="nil"/>
              <w:left w:val="nil"/>
              <w:bottom w:val="nil"/>
              <w:right w:val="nil"/>
            </w:tcBorders>
          </w:tcPr>
          <w:p w14:paraId="39A78DDA"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10" w:type="dxa"/>
            <w:tcBorders>
              <w:top w:val="nil"/>
              <w:left w:val="nil"/>
              <w:bottom w:val="nil"/>
              <w:right w:val="nil"/>
            </w:tcBorders>
          </w:tcPr>
          <w:p w14:paraId="6BF9B3FE"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p>
        </w:tc>
      </w:tr>
      <w:tr w:rsidR="001310A4" w:rsidRPr="00CF3C36" w14:paraId="1CFB6F71" w14:textId="77777777" w:rsidTr="00585F6A">
        <w:trPr>
          <w:jc w:val="center"/>
        </w:trPr>
        <w:tc>
          <w:tcPr>
            <w:tcW w:w="1559" w:type="dxa"/>
            <w:tcBorders>
              <w:top w:val="nil"/>
              <w:left w:val="nil"/>
              <w:bottom w:val="nil"/>
              <w:right w:val="nil"/>
            </w:tcBorders>
          </w:tcPr>
          <w:p w14:paraId="3B12F998"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Observations</w:t>
            </w:r>
          </w:p>
        </w:tc>
        <w:tc>
          <w:tcPr>
            <w:tcW w:w="914" w:type="dxa"/>
            <w:tcBorders>
              <w:top w:val="nil"/>
              <w:left w:val="nil"/>
              <w:bottom w:val="nil"/>
              <w:right w:val="nil"/>
            </w:tcBorders>
          </w:tcPr>
          <w:p w14:paraId="61FDFE9A"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c>
          <w:tcPr>
            <w:tcW w:w="914" w:type="dxa"/>
            <w:tcBorders>
              <w:top w:val="nil"/>
              <w:left w:val="nil"/>
              <w:bottom w:val="nil"/>
              <w:right w:val="nil"/>
            </w:tcBorders>
          </w:tcPr>
          <w:p w14:paraId="681D5799"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c>
          <w:tcPr>
            <w:tcW w:w="914" w:type="dxa"/>
            <w:tcBorders>
              <w:top w:val="nil"/>
              <w:left w:val="nil"/>
              <w:bottom w:val="nil"/>
              <w:right w:val="nil"/>
            </w:tcBorders>
          </w:tcPr>
          <w:p w14:paraId="48B679E0"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c>
          <w:tcPr>
            <w:tcW w:w="914" w:type="dxa"/>
            <w:tcBorders>
              <w:top w:val="nil"/>
              <w:left w:val="nil"/>
              <w:bottom w:val="nil"/>
              <w:right w:val="nil"/>
            </w:tcBorders>
          </w:tcPr>
          <w:p w14:paraId="1B6E526E"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c>
          <w:tcPr>
            <w:tcW w:w="914" w:type="dxa"/>
            <w:tcBorders>
              <w:top w:val="nil"/>
              <w:left w:val="nil"/>
              <w:bottom w:val="nil"/>
              <w:right w:val="nil"/>
            </w:tcBorders>
          </w:tcPr>
          <w:p w14:paraId="725D0772"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c>
          <w:tcPr>
            <w:tcW w:w="910" w:type="dxa"/>
            <w:tcBorders>
              <w:top w:val="nil"/>
              <w:left w:val="nil"/>
              <w:bottom w:val="nil"/>
              <w:right w:val="nil"/>
            </w:tcBorders>
          </w:tcPr>
          <w:p w14:paraId="75F3972C"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r>
      <w:tr w:rsidR="001310A4" w:rsidRPr="00CF3C36" w14:paraId="35F980A5" w14:textId="77777777" w:rsidTr="00585F6A">
        <w:trPr>
          <w:jc w:val="center"/>
        </w:trPr>
        <w:tc>
          <w:tcPr>
            <w:tcW w:w="1559" w:type="dxa"/>
            <w:tcBorders>
              <w:top w:val="nil"/>
              <w:left w:val="nil"/>
              <w:bottom w:val="nil"/>
              <w:right w:val="nil"/>
            </w:tcBorders>
          </w:tcPr>
          <w:p w14:paraId="74EF10A6"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R-squared</w:t>
            </w:r>
          </w:p>
        </w:tc>
        <w:tc>
          <w:tcPr>
            <w:tcW w:w="914" w:type="dxa"/>
            <w:tcBorders>
              <w:top w:val="nil"/>
              <w:left w:val="nil"/>
              <w:bottom w:val="nil"/>
              <w:right w:val="nil"/>
            </w:tcBorders>
          </w:tcPr>
          <w:p w14:paraId="125E9EE7"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0.005</w:t>
            </w:r>
          </w:p>
        </w:tc>
        <w:tc>
          <w:tcPr>
            <w:tcW w:w="914" w:type="dxa"/>
            <w:tcBorders>
              <w:top w:val="nil"/>
              <w:left w:val="nil"/>
              <w:bottom w:val="nil"/>
              <w:right w:val="nil"/>
            </w:tcBorders>
          </w:tcPr>
          <w:p w14:paraId="5302BB4A"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0.148</w:t>
            </w:r>
          </w:p>
        </w:tc>
        <w:tc>
          <w:tcPr>
            <w:tcW w:w="914" w:type="dxa"/>
            <w:tcBorders>
              <w:top w:val="nil"/>
              <w:left w:val="nil"/>
              <w:bottom w:val="nil"/>
              <w:right w:val="nil"/>
            </w:tcBorders>
          </w:tcPr>
          <w:p w14:paraId="2AD7E8A4"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0.156</w:t>
            </w:r>
          </w:p>
        </w:tc>
        <w:tc>
          <w:tcPr>
            <w:tcW w:w="914" w:type="dxa"/>
            <w:tcBorders>
              <w:top w:val="nil"/>
              <w:left w:val="nil"/>
              <w:bottom w:val="nil"/>
              <w:right w:val="nil"/>
            </w:tcBorders>
          </w:tcPr>
          <w:p w14:paraId="38049E7D"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0.156</w:t>
            </w:r>
          </w:p>
        </w:tc>
        <w:tc>
          <w:tcPr>
            <w:tcW w:w="914" w:type="dxa"/>
            <w:tcBorders>
              <w:top w:val="nil"/>
              <w:left w:val="nil"/>
              <w:bottom w:val="nil"/>
              <w:right w:val="nil"/>
            </w:tcBorders>
          </w:tcPr>
          <w:p w14:paraId="2441031E"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0.170</w:t>
            </w:r>
          </w:p>
        </w:tc>
        <w:tc>
          <w:tcPr>
            <w:tcW w:w="910" w:type="dxa"/>
            <w:tcBorders>
              <w:top w:val="nil"/>
              <w:left w:val="nil"/>
              <w:bottom w:val="nil"/>
              <w:right w:val="nil"/>
            </w:tcBorders>
          </w:tcPr>
          <w:p w14:paraId="6D216A57"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0.174</w:t>
            </w:r>
          </w:p>
        </w:tc>
      </w:tr>
      <w:tr w:rsidR="001310A4" w:rsidRPr="00CF3C36" w14:paraId="01F6F395" w14:textId="77777777" w:rsidTr="00585F6A">
        <w:tblPrEx>
          <w:tblBorders>
            <w:bottom w:val="single" w:sz="6" w:space="0" w:color="auto"/>
          </w:tblBorders>
        </w:tblPrEx>
        <w:trPr>
          <w:jc w:val="center"/>
        </w:trPr>
        <w:tc>
          <w:tcPr>
            <w:tcW w:w="1559" w:type="dxa"/>
            <w:tcBorders>
              <w:top w:val="nil"/>
              <w:left w:val="nil"/>
              <w:bottom w:val="single" w:sz="6" w:space="0" w:color="auto"/>
              <w:right w:val="nil"/>
            </w:tcBorders>
          </w:tcPr>
          <w:p w14:paraId="3FC9094A" w14:textId="77777777" w:rsidR="001310A4" w:rsidRPr="00CF3C36" w:rsidRDefault="001310A4"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Number of cou1</w:t>
            </w:r>
          </w:p>
        </w:tc>
        <w:tc>
          <w:tcPr>
            <w:tcW w:w="914" w:type="dxa"/>
            <w:tcBorders>
              <w:top w:val="nil"/>
              <w:left w:val="nil"/>
              <w:bottom w:val="single" w:sz="6" w:space="0" w:color="auto"/>
              <w:right w:val="nil"/>
            </w:tcBorders>
          </w:tcPr>
          <w:p w14:paraId="1E764370"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914" w:type="dxa"/>
            <w:tcBorders>
              <w:top w:val="nil"/>
              <w:left w:val="nil"/>
              <w:bottom w:val="single" w:sz="6" w:space="0" w:color="auto"/>
              <w:right w:val="nil"/>
            </w:tcBorders>
          </w:tcPr>
          <w:p w14:paraId="3A05D437"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914" w:type="dxa"/>
            <w:tcBorders>
              <w:top w:val="nil"/>
              <w:left w:val="nil"/>
              <w:bottom w:val="single" w:sz="6" w:space="0" w:color="auto"/>
              <w:right w:val="nil"/>
            </w:tcBorders>
          </w:tcPr>
          <w:p w14:paraId="0CAB021F"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914" w:type="dxa"/>
            <w:tcBorders>
              <w:top w:val="nil"/>
              <w:left w:val="nil"/>
              <w:bottom w:val="single" w:sz="6" w:space="0" w:color="auto"/>
              <w:right w:val="nil"/>
            </w:tcBorders>
          </w:tcPr>
          <w:p w14:paraId="177D2553"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914" w:type="dxa"/>
            <w:tcBorders>
              <w:top w:val="nil"/>
              <w:left w:val="nil"/>
              <w:bottom w:val="single" w:sz="6" w:space="0" w:color="auto"/>
              <w:right w:val="nil"/>
            </w:tcBorders>
          </w:tcPr>
          <w:p w14:paraId="370D8E43"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910" w:type="dxa"/>
            <w:tcBorders>
              <w:top w:val="nil"/>
              <w:left w:val="nil"/>
              <w:bottom w:val="single" w:sz="6" w:space="0" w:color="auto"/>
              <w:right w:val="nil"/>
            </w:tcBorders>
          </w:tcPr>
          <w:p w14:paraId="1E176128" w14:textId="77777777" w:rsidR="001310A4" w:rsidRPr="00CF3C36" w:rsidRDefault="001310A4"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r>
    </w:tbl>
    <w:p w14:paraId="79EB4982" w14:textId="77777777" w:rsidR="001310A4" w:rsidRPr="00CF3C36" w:rsidRDefault="001310A4" w:rsidP="001310A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Robust standard errors in parentheses</w:t>
      </w:r>
    </w:p>
    <w:p w14:paraId="526FEAC7" w14:textId="77777777" w:rsidR="001310A4" w:rsidRPr="00CF3C36" w:rsidRDefault="001310A4" w:rsidP="001310A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 p&lt;0.01, ** p&lt;0.05, * p&lt;0.1</w:t>
      </w:r>
    </w:p>
    <w:p w14:paraId="2A8EAA16" w14:textId="44B191FB" w:rsidR="001310A4" w:rsidRPr="00CF3C36" w:rsidRDefault="001310A4" w:rsidP="001310A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Dependent variable: ln_</w:t>
      </w:r>
      <w:r w:rsidR="003F01C9" w:rsidRPr="00CF3C36">
        <w:rPr>
          <w:rFonts w:ascii="Times New Roman" w:hAnsi="Times New Roman"/>
          <w:sz w:val="18"/>
          <w:szCs w:val="18"/>
          <w:lang w:val="en-GB"/>
        </w:rPr>
        <w:t>CO2</w:t>
      </w:r>
      <w:r w:rsidRPr="00CF3C36">
        <w:rPr>
          <w:rFonts w:ascii="Times New Roman" w:hAnsi="Times New Roman"/>
          <w:sz w:val="18"/>
          <w:szCs w:val="18"/>
          <w:lang w:val="en-GB"/>
        </w:rPr>
        <w:t>_FDI_weighted</w:t>
      </w:r>
    </w:p>
    <w:p w14:paraId="493C0A95" w14:textId="24B4A21F" w:rsidR="001310A4" w:rsidRPr="00CF3C36" w:rsidRDefault="001310A4" w:rsidP="000E0840">
      <w:pPr>
        <w:rPr>
          <w:i/>
          <w:lang w:val="en-GB"/>
        </w:rPr>
      </w:pPr>
    </w:p>
    <w:p w14:paraId="40BC3F67" w14:textId="0B4B2ED5" w:rsidR="00977E14" w:rsidRPr="00CF3C36" w:rsidRDefault="00977E14" w:rsidP="000E0840">
      <w:pPr>
        <w:rPr>
          <w:i/>
          <w:lang w:val="en-GB"/>
        </w:rPr>
      </w:pPr>
    </w:p>
    <w:p w14:paraId="5E506410" w14:textId="38B4EE13" w:rsidR="00977E14" w:rsidRPr="00CF3C36" w:rsidRDefault="00977E14" w:rsidP="000E0840">
      <w:pPr>
        <w:rPr>
          <w:i/>
          <w:lang w:val="en-GB"/>
        </w:rPr>
      </w:pPr>
    </w:p>
    <w:p w14:paraId="101E2A21" w14:textId="5F5DED42" w:rsidR="00977E14" w:rsidRPr="00CF3C36" w:rsidRDefault="00977E14" w:rsidP="000E0840">
      <w:pPr>
        <w:rPr>
          <w:i/>
          <w:lang w:val="en-GB"/>
        </w:rPr>
      </w:pPr>
    </w:p>
    <w:p w14:paraId="3163E787" w14:textId="5B588B57" w:rsidR="00977E14" w:rsidRPr="00CF3C36" w:rsidRDefault="00977E14" w:rsidP="000E0840">
      <w:pPr>
        <w:rPr>
          <w:i/>
          <w:lang w:val="en-GB"/>
        </w:rPr>
      </w:pPr>
    </w:p>
    <w:p w14:paraId="6EE66B5C" w14:textId="0DCA21F0" w:rsidR="00977E14" w:rsidRPr="00CF3C36" w:rsidRDefault="00977E14" w:rsidP="000E0840">
      <w:pPr>
        <w:rPr>
          <w:i/>
          <w:lang w:val="en-GB"/>
        </w:rPr>
      </w:pPr>
    </w:p>
    <w:p w14:paraId="1E84AD23" w14:textId="0A42CCA9" w:rsidR="00977E14" w:rsidRPr="00CF3C36" w:rsidRDefault="00977E14" w:rsidP="000E0840">
      <w:pPr>
        <w:rPr>
          <w:i/>
          <w:lang w:val="en-GB"/>
        </w:rPr>
      </w:pPr>
    </w:p>
    <w:p w14:paraId="3FB22BB6" w14:textId="688276E8" w:rsidR="00977E14" w:rsidRPr="00CF3C36" w:rsidRDefault="00977E14" w:rsidP="000E0840">
      <w:pPr>
        <w:rPr>
          <w:i/>
          <w:lang w:val="en-GB"/>
        </w:rPr>
      </w:pPr>
    </w:p>
    <w:p w14:paraId="70188256" w14:textId="202E3E95" w:rsidR="00977E14" w:rsidRPr="00CF3C36" w:rsidRDefault="00977E14" w:rsidP="000E0840">
      <w:pPr>
        <w:rPr>
          <w:i/>
          <w:lang w:val="en-GB"/>
        </w:rPr>
      </w:pPr>
    </w:p>
    <w:p w14:paraId="2923B060" w14:textId="19C7AF31" w:rsidR="00977E14" w:rsidRPr="00CF3C36" w:rsidRDefault="00977E14" w:rsidP="000E0840">
      <w:pPr>
        <w:rPr>
          <w:i/>
          <w:lang w:val="en-GB"/>
        </w:rPr>
      </w:pPr>
    </w:p>
    <w:p w14:paraId="1C98A699" w14:textId="6C832B1A" w:rsidR="00977E14" w:rsidRPr="00CF3C36" w:rsidRDefault="00977E14" w:rsidP="000E0840">
      <w:pPr>
        <w:rPr>
          <w:i/>
          <w:lang w:val="en-GB"/>
        </w:rPr>
      </w:pPr>
    </w:p>
    <w:p w14:paraId="7F196FAA" w14:textId="2E24A6FC" w:rsidR="00977E14" w:rsidRPr="00CF3C36" w:rsidRDefault="00977E14" w:rsidP="000E0840">
      <w:pPr>
        <w:rPr>
          <w:i/>
          <w:lang w:val="en-GB"/>
        </w:rPr>
      </w:pPr>
    </w:p>
    <w:p w14:paraId="4F26E41E" w14:textId="1965566B" w:rsidR="00977E14" w:rsidRPr="00CF3C36" w:rsidRDefault="00977E14" w:rsidP="000E0840">
      <w:pPr>
        <w:rPr>
          <w:i/>
          <w:lang w:val="en-GB"/>
        </w:rPr>
      </w:pPr>
    </w:p>
    <w:p w14:paraId="5FB1188B" w14:textId="63C6D949" w:rsidR="00977E14" w:rsidRPr="00CF3C36" w:rsidRDefault="00977E14" w:rsidP="000E0840">
      <w:pPr>
        <w:rPr>
          <w:i/>
          <w:lang w:val="en-GB"/>
        </w:rPr>
      </w:pPr>
    </w:p>
    <w:p w14:paraId="5E8AB529" w14:textId="77777777" w:rsidR="00977E14" w:rsidRPr="00CF3C36" w:rsidRDefault="00977E14" w:rsidP="000E0840">
      <w:pPr>
        <w:rPr>
          <w:i/>
          <w:lang w:val="en-GB"/>
        </w:rPr>
      </w:pPr>
    </w:p>
    <w:p w14:paraId="6B79524B" w14:textId="07421088" w:rsidR="002A03CF" w:rsidRPr="00CF3C36" w:rsidRDefault="0033675A" w:rsidP="00864C4C">
      <w:pPr>
        <w:pStyle w:val="Heading5"/>
        <w:jc w:val="center"/>
        <w:rPr>
          <w:lang w:val="en-GB"/>
        </w:rPr>
      </w:pPr>
      <w:bookmarkStart w:id="46" w:name="_Toc15475678"/>
      <w:r w:rsidRPr="00CF3C36">
        <w:rPr>
          <w:lang w:val="en-GB"/>
        </w:rPr>
        <w:lastRenderedPageBreak/>
        <w:t>Table 15</w:t>
      </w:r>
      <w:r w:rsidR="00864C4C" w:rsidRPr="00CF3C36">
        <w:rPr>
          <w:lang w:val="en-GB"/>
        </w:rPr>
        <w:t xml:space="preserve">. </w:t>
      </w:r>
      <w:r w:rsidR="001310A4" w:rsidRPr="00CF3C36">
        <w:rPr>
          <w:lang w:val="en-GB"/>
        </w:rPr>
        <w:t>Robustness-checks Model 1</w:t>
      </w:r>
      <w:bookmarkEnd w:id="46"/>
    </w:p>
    <w:tbl>
      <w:tblPr>
        <w:tblW w:w="6862" w:type="dxa"/>
        <w:jc w:val="center"/>
        <w:tblLayout w:type="fixed"/>
        <w:tblCellMar>
          <w:left w:w="75" w:type="dxa"/>
          <w:right w:w="75" w:type="dxa"/>
        </w:tblCellMar>
        <w:tblLook w:val="0000" w:firstRow="0" w:lastRow="0" w:firstColumn="0" w:lastColumn="0" w:noHBand="0" w:noVBand="0"/>
      </w:tblPr>
      <w:tblGrid>
        <w:gridCol w:w="1701"/>
        <w:gridCol w:w="992"/>
        <w:gridCol w:w="1134"/>
        <w:gridCol w:w="1134"/>
        <w:gridCol w:w="889"/>
        <w:gridCol w:w="1012"/>
      </w:tblGrid>
      <w:tr w:rsidR="00427632" w:rsidRPr="00CF3C36" w14:paraId="21068980" w14:textId="77777777" w:rsidTr="00604EA8">
        <w:trPr>
          <w:jc w:val="center"/>
        </w:trPr>
        <w:tc>
          <w:tcPr>
            <w:tcW w:w="1701" w:type="dxa"/>
            <w:tcBorders>
              <w:top w:val="single" w:sz="6" w:space="0" w:color="auto"/>
              <w:left w:val="nil"/>
              <w:bottom w:val="nil"/>
              <w:right w:val="nil"/>
            </w:tcBorders>
          </w:tcPr>
          <w:p w14:paraId="13977361" w14:textId="77777777" w:rsidR="00427632" w:rsidRPr="00CF3C36" w:rsidRDefault="00427632" w:rsidP="00604EA8">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single" w:sz="6" w:space="0" w:color="auto"/>
              <w:left w:val="nil"/>
              <w:bottom w:val="nil"/>
              <w:right w:val="nil"/>
            </w:tcBorders>
          </w:tcPr>
          <w:p w14:paraId="3431FDF2"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w:t>
            </w:r>
          </w:p>
        </w:tc>
        <w:tc>
          <w:tcPr>
            <w:tcW w:w="1134" w:type="dxa"/>
            <w:tcBorders>
              <w:top w:val="single" w:sz="6" w:space="0" w:color="auto"/>
              <w:left w:val="nil"/>
              <w:bottom w:val="nil"/>
              <w:right w:val="nil"/>
            </w:tcBorders>
          </w:tcPr>
          <w:p w14:paraId="7CE7FF1B"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w:t>
            </w:r>
          </w:p>
        </w:tc>
        <w:tc>
          <w:tcPr>
            <w:tcW w:w="1134" w:type="dxa"/>
            <w:tcBorders>
              <w:top w:val="single" w:sz="6" w:space="0" w:color="auto"/>
              <w:left w:val="nil"/>
              <w:bottom w:val="nil"/>
              <w:right w:val="nil"/>
            </w:tcBorders>
          </w:tcPr>
          <w:p w14:paraId="6B32B8F9"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(3)</w:t>
            </w:r>
          </w:p>
        </w:tc>
        <w:tc>
          <w:tcPr>
            <w:tcW w:w="889" w:type="dxa"/>
            <w:tcBorders>
              <w:top w:val="single" w:sz="6" w:space="0" w:color="auto"/>
              <w:left w:val="nil"/>
              <w:bottom w:val="nil"/>
              <w:right w:val="nil"/>
            </w:tcBorders>
          </w:tcPr>
          <w:p w14:paraId="13EF2690"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w:t>
            </w:r>
          </w:p>
        </w:tc>
        <w:tc>
          <w:tcPr>
            <w:tcW w:w="1012" w:type="dxa"/>
            <w:tcBorders>
              <w:top w:val="single" w:sz="6" w:space="0" w:color="auto"/>
              <w:left w:val="nil"/>
              <w:bottom w:val="nil"/>
              <w:right w:val="nil"/>
            </w:tcBorders>
          </w:tcPr>
          <w:p w14:paraId="58A730C3"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w:t>
            </w:r>
          </w:p>
        </w:tc>
      </w:tr>
      <w:tr w:rsidR="00427632" w:rsidRPr="00CF3C36" w14:paraId="755F0FAE" w14:textId="77777777" w:rsidTr="00604EA8">
        <w:trPr>
          <w:jc w:val="center"/>
        </w:trPr>
        <w:tc>
          <w:tcPr>
            <w:tcW w:w="1701" w:type="dxa"/>
            <w:tcBorders>
              <w:top w:val="nil"/>
              <w:left w:val="nil"/>
              <w:bottom w:val="single" w:sz="6" w:space="0" w:color="auto"/>
              <w:right w:val="nil"/>
            </w:tcBorders>
          </w:tcPr>
          <w:p w14:paraId="12D5B31E" w14:textId="77777777" w:rsidR="00427632" w:rsidRPr="00CF3C36" w:rsidRDefault="00427632" w:rsidP="00604EA8">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VARIABLES</w:t>
            </w:r>
          </w:p>
        </w:tc>
        <w:tc>
          <w:tcPr>
            <w:tcW w:w="992" w:type="dxa"/>
            <w:tcBorders>
              <w:top w:val="nil"/>
              <w:left w:val="nil"/>
              <w:bottom w:val="single" w:sz="6" w:space="0" w:color="auto"/>
              <w:right w:val="nil"/>
            </w:tcBorders>
          </w:tcPr>
          <w:p w14:paraId="2B45418B"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1 - EPI years</w:t>
            </w:r>
          </w:p>
        </w:tc>
        <w:tc>
          <w:tcPr>
            <w:tcW w:w="1134" w:type="dxa"/>
            <w:tcBorders>
              <w:top w:val="nil"/>
              <w:left w:val="nil"/>
              <w:bottom w:val="single" w:sz="6" w:space="0" w:color="auto"/>
              <w:right w:val="nil"/>
            </w:tcBorders>
          </w:tcPr>
          <w:p w14:paraId="1AF03B74"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1 - no governance</w:t>
            </w:r>
          </w:p>
        </w:tc>
        <w:tc>
          <w:tcPr>
            <w:tcW w:w="1134" w:type="dxa"/>
            <w:tcBorders>
              <w:top w:val="nil"/>
              <w:left w:val="nil"/>
              <w:bottom w:val="single" w:sz="6" w:space="0" w:color="auto"/>
              <w:right w:val="nil"/>
            </w:tcBorders>
          </w:tcPr>
          <w:p w14:paraId="0D258F56"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1 - no missings</w:t>
            </w:r>
          </w:p>
        </w:tc>
        <w:tc>
          <w:tcPr>
            <w:tcW w:w="889" w:type="dxa"/>
            <w:tcBorders>
              <w:top w:val="nil"/>
              <w:left w:val="nil"/>
              <w:bottom w:val="single" w:sz="6" w:space="0" w:color="auto"/>
              <w:right w:val="nil"/>
            </w:tcBorders>
          </w:tcPr>
          <w:p w14:paraId="74F88093" w14:textId="3FAE2C68"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1 - EPS</w:t>
            </w:r>
            <w:r w:rsidR="002D0C71" w:rsidRPr="00CF3C36">
              <w:rPr>
                <w:rFonts w:ascii="Times New Roman" w:hAnsi="Times New Roman"/>
                <w:sz w:val="18"/>
                <w:szCs w:val="18"/>
                <w:lang w:val="en-GB"/>
              </w:rPr>
              <w:t>I</w:t>
            </w:r>
          </w:p>
        </w:tc>
        <w:tc>
          <w:tcPr>
            <w:tcW w:w="1012" w:type="dxa"/>
            <w:tcBorders>
              <w:top w:val="nil"/>
              <w:left w:val="nil"/>
              <w:bottom w:val="single" w:sz="6" w:space="0" w:color="auto"/>
              <w:right w:val="nil"/>
            </w:tcBorders>
          </w:tcPr>
          <w:p w14:paraId="7C69794A"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1 - EHC</w:t>
            </w:r>
          </w:p>
        </w:tc>
      </w:tr>
      <w:tr w:rsidR="00427632" w:rsidRPr="00CF3C36" w14:paraId="252BAE58" w14:textId="77777777" w:rsidTr="00604EA8">
        <w:trPr>
          <w:jc w:val="center"/>
        </w:trPr>
        <w:tc>
          <w:tcPr>
            <w:tcW w:w="1701" w:type="dxa"/>
            <w:tcBorders>
              <w:top w:val="nil"/>
              <w:left w:val="nil"/>
              <w:bottom w:val="nil"/>
              <w:right w:val="nil"/>
            </w:tcBorders>
          </w:tcPr>
          <w:p w14:paraId="5AE97388" w14:textId="77777777" w:rsidR="00427632" w:rsidRPr="00CF3C36" w:rsidRDefault="00427632" w:rsidP="00604EA8">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490202D8"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6D33FB86"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7E452276"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p>
        </w:tc>
        <w:tc>
          <w:tcPr>
            <w:tcW w:w="889" w:type="dxa"/>
            <w:tcBorders>
              <w:top w:val="nil"/>
              <w:left w:val="nil"/>
              <w:bottom w:val="nil"/>
              <w:right w:val="nil"/>
            </w:tcBorders>
          </w:tcPr>
          <w:p w14:paraId="3D480087"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p>
        </w:tc>
        <w:tc>
          <w:tcPr>
            <w:tcW w:w="1012" w:type="dxa"/>
            <w:tcBorders>
              <w:top w:val="nil"/>
              <w:left w:val="nil"/>
              <w:bottom w:val="nil"/>
              <w:right w:val="nil"/>
            </w:tcBorders>
          </w:tcPr>
          <w:p w14:paraId="0E491808"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p>
        </w:tc>
      </w:tr>
      <w:tr w:rsidR="00427632" w:rsidRPr="00CF3C36" w14:paraId="336F4A11" w14:textId="77777777" w:rsidTr="00604EA8">
        <w:trPr>
          <w:jc w:val="center"/>
        </w:trPr>
        <w:tc>
          <w:tcPr>
            <w:tcW w:w="1701" w:type="dxa"/>
            <w:tcBorders>
              <w:top w:val="nil"/>
              <w:left w:val="nil"/>
              <w:bottom w:val="nil"/>
              <w:right w:val="nil"/>
            </w:tcBorders>
          </w:tcPr>
          <w:p w14:paraId="17CC2BBB" w14:textId="77777777" w:rsidR="00427632" w:rsidRPr="00CF3C36" w:rsidRDefault="00427632" w:rsidP="00604EA8">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EPI</w:t>
            </w:r>
          </w:p>
        </w:tc>
        <w:tc>
          <w:tcPr>
            <w:tcW w:w="992" w:type="dxa"/>
            <w:tcBorders>
              <w:top w:val="nil"/>
              <w:left w:val="nil"/>
              <w:bottom w:val="nil"/>
              <w:right w:val="nil"/>
            </w:tcBorders>
          </w:tcPr>
          <w:p w14:paraId="0EB65C89"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0.0396</w:t>
            </w:r>
          </w:p>
        </w:tc>
        <w:tc>
          <w:tcPr>
            <w:tcW w:w="1134" w:type="dxa"/>
            <w:tcBorders>
              <w:top w:val="nil"/>
              <w:left w:val="nil"/>
              <w:bottom w:val="nil"/>
              <w:right w:val="nil"/>
            </w:tcBorders>
          </w:tcPr>
          <w:p w14:paraId="05089EB5"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0.0282</w:t>
            </w:r>
          </w:p>
        </w:tc>
        <w:tc>
          <w:tcPr>
            <w:tcW w:w="1134" w:type="dxa"/>
            <w:tcBorders>
              <w:top w:val="nil"/>
              <w:left w:val="nil"/>
              <w:bottom w:val="nil"/>
              <w:right w:val="nil"/>
            </w:tcBorders>
          </w:tcPr>
          <w:p w14:paraId="36BD3C4D"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0.0377</w:t>
            </w:r>
          </w:p>
        </w:tc>
        <w:tc>
          <w:tcPr>
            <w:tcW w:w="889" w:type="dxa"/>
            <w:tcBorders>
              <w:top w:val="nil"/>
              <w:left w:val="nil"/>
              <w:bottom w:val="nil"/>
              <w:right w:val="nil"/>
            </w:tcBorders>
          </w:tcPr>
          <w:p w14:paraId="14BF38CE"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p>
        </w:tc>
        <w:tc>
          <w:tcPr>
            <w:tcW w:w="1012" w:type="dxa"/>
            <w:tcBorders>
              <w:top w:val="nil"/>
              <w:left w:val="nil"/>
              <w:bottom w:val="nil"/>
              <w:right w:val="nil"/>
            </w:tcBorders>
          </w:tcPr>
          <w:p w14:paraId="06F300B8"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0.0171</w:t>
            </w:r>
          </w:p>
        </w:tc>
      </w:tr>
      <w:tr w:rsidR="00427632" w:rsidRPr="00CF3C36" w14:paraId="636CA6C4" w14:textId="77777777" w:rsidTr="00604EA8">
        <w:trPr>
          <w:jc w:val="center"/>
        </w:trPr>
        <w:tc>
          <w:tcPr>
            <w:tcW w:w="1701" w:type="dxa"/>
            <w:tcBorders>
              <w:top w:val="nil"/>
              <w:left w:val="nil"/>
              <w:bottom w:val="nil"/>
              <w:right w:val="nil"/>
            </w:tcBorders>
          </w:tcPr>
          <w:p w14:paraId="4F7942FE" w14:textId="77777777" w:rsidR="00427632" w:rsidRPr="00CF3C36" w:rsidRDefault="00427632" w:rsidP="00604EA8">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7A0BFBC9"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(0.0476)</w:t>
            </w:r>
          </w:p>
        </w:tc>
        <w:tc>
          <w:tcPr>
            <w:tcW w:w="1134" w:type="dxa"/>
            <w:tcBorders>
              <w:top w:val="nil"/>
              <w:left w:val="nil"/>
              <w:bottom w:val="nil"/>
              <w:right w:val="nil"/>
            </w:tcBorders>
          </w:tcPr>
          <w:p w14:paraId="38C75557"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(0.0310)</w:t>
            </w:r>
          </w:p>
        </w:tc>
        <w:tc>
          <w:tcPr>
            <w:tcW w:w="1134" w:type="dxa"/>
            <w:tcBorders>
              <w:top w:val="nil"/>
              <w:left w:val="nil"/>
              <w:bottom w:val="nil"/>
              <w:right w:val="nil"/>
            </w:tcBorders>
          </w:tcPr>
          <w:p w14:paraId="5221C63E"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(0.0496)</w:t>
            </w:r>
          </w:p>
        </w:tc>
        <w:tc>
          <w:tcPr>
            <w:tcW w:w="889" w:type="dxa"/>
            <w:tcBorders>
              <w:top w:val="nil"/>
              <w:left w:val="nil"/>
              <w:bottom w:val="nil"/>
              <w:right w:val="nil"/>
            </w:tcBorders>
          </w:tcPr>
          <w:p w14:paraId="74BF17FB"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p>
        </w:tc>
        <w:tc>
          <w:tcPr>
            <w:tcW w:w="1012" w:type="dxa"/>
            <w:tcBorders>
              <w:top w:val="nil"/>
              <w:left w:val="nil"/>
              <w:bottom w:val="nil"/>
              <w:right w:val="nil"/>
            </w:tcBorders>
          </w:tcPr>
          <w:p w14:paraId="6207E1C1" w14:textId="77777777" w:rsidR="00427632" w:rsidRPr="00CF3C36" w:rsidRDefault="00427632"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(0.0235)</w:t>
            </w:r>
          </w:p>
        </w:tc>
      </w:tr>
      <w:tr w:rsidR="006878FB" w:rsidRPr="00CF3C36" w14:paraId="338518AA" w14:textId="77777777" w:rsidTr="00604EA8">
        <w:trPr>
          <w:jc w:val="center"/>
        </w:trPr>
        <w:tc>
          <w:tcPr>
            <w:tcW w:w="1701" w:type="dxa"/>
            <w:tcBorders>
              <w:top w:val="nil"/>
              <w:left w:val="nil"/>
              <w:bottom w:val="nil"/>
              <w:right w:val="nil"/>
            </w:tcBorders>
          </w:tcPr>
          <w:p w14:paraId="5A469E7E" w14:textId="325C36A5"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w:t>
            </w:r>
            <w:r w:rsidR="003F01C9" w:rsidRPr="00CF3C36">
              <w:rPr>
                <w:rFonts w:ascii="Times New Roman" w:hAnsi="Times New Roman"/>
                <w:sz w:val="18"/>
                <w:szCs w:val="18"/>
                <w:lang w:val="en-GB"/>
              </w:rPr>
              <w:t>CO2</w:t>
            </w:r>
            <w:r w:rsidRPr="00CF3C36">
              <w:rPr>
                <w:rFonts w:ascii="Times New Roman" w:hAnsi="Times New Roman"/>
                <w:sz w:val="18"/>
                <w:szCs w:val="18"/>
                <w:lang w:val="en-GB"/>
              </w:rPr>
              <w:t>g_intensity</w:t>
            </w:r>
          </w:p>
        </w:tc>
        <w:tc>
          <w:tcPr>
            <w:tcW w:w="992" w:type="dxa"/>
            <w:tcBorders>
              <w:top w:val="nil"/>
              <w:left w:val="nil"/>
              <w:bottom w:val="nil"/>
              <w:right w:val="nil"/>
            </w:tcBorders>
          </w:tcPr>
          <w:p w14:paraId="623B3A30"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0.681</w:t>
            </w:r>
          </w:p>
        </w:tc>
        <w:tc>
          <w:tcPr>
            <w:tcW w:w="1134" w:type="dxa"/>
            <w:tcBorders>
              <w:top w:val="nil"/>
              <w:left w:val="nil"/>
              <w:bottom w:val="nil"/>
              <w:right w:val="nil"/>
            </w:tcBorders>
          </w:tcPr>
          <w:p w14:paraId="15342B4B"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2.100***</w:t>
            </w:r>
          </w:p>
        </w:tc>
        <w:tc>
          <w:tcPr>
            <w:tcW w:w="1134" w:type="dxa"/>
            <w:tcBorders>
              <w:top w:val="nil"/>
              <w:left w:val="nil"/>
              <w:bottom w:val="nil"/>
              <w:right w:val="nil"/>
            </w:tcBorders>
          </w:tcPr>
          <w:p w14:paraId="0D6D8649"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2.482***</w:t>
            </w:r>
          </w:p>
        </w:tc>
        <w:tc>
          <w:tcPr>
            <w:tcW w:w="889" w:type="dxa"/>
            <w:tcBorders>
              <w:top w:val="nil"/>
              <w:left w:val="nil"/>
              <w:bottom w:val="nil"/>
              <w:right w:val="nil"/>
            </w:tcBorders>
          </w:tcPr>
          <w:p w14:paraId="3DC54E2D" w14:textId="2F657504"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1.415</w:t>
            </w:r>
          </w:p>
        </w:tc>
        <w:tc>
          <w:tcPr>
            <w:tcW w:w="1012" w:type="dxa"/>
            <w:tcBorders>
              <w:top w:val="nil"/>
              <w:left w:val="nil"/>
              <w:bottom w:val="nil"/>
              <w:right w:val="nil"/>
            </w:tcBorders>
          </w:tcPr>
          <w:p w14:paraId="5554DBE7"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r>
      <w:tr w:rsidR="006878FB" w:rsidRPr="00CF3C36" w14:paraId="2B04823D" w14:textId="77777777" w:rsidTr="00604EA8">
        <w:trPr>
          <w:jc w:val="center"/>
        </w:trPr>
        <w:tc>
          <w:tcPr>
            <w:tcW w:w="1701" w:type="dxa"/>
            <w:tcBorders>
              <w:top w:val="nil"/>
              <w:left w:val="nil"/>
              <w:bottom w:val="nil"/>
              <w:right w:val="nil"/>
            </w:tcBorders>
          </w:tcPr>
          <w:p w14:paraId="1410133E"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47BEF110"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(1.308)</w:t>
            </w:r>
          </w:p>
        </w:tc>
        <w:tc>
          <w:tcPr>
            <w:tcW w:w="1134" w:type="dxa"/>
            <w:tcBorders>
              <w:top w:val="nil"/>
              <w:left w:val="nil"/>
              <w:bottom w:val="nil"/>
              <w:right w:val="nil"/>
            </w:tcBorders>
          </w:tcPr>
          <w:p w14:paraId="0332CDDB"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(0.740)</w:t>
            </w:r>
          </w:p>
        </w:tc>
        <w:tc>
          <w:tcPr>
            <w:tcW w:w="1134" w:type="dxa"/>
            <w:tcBorders>
              <w:top w:val="nil"/>
              <w:left w:val="nil"/>
              <w:bottom w:val="nil"/>
              <w:right w:val="nil"/>
            </w:tcBorders>
          </w:tcPr>
          <w:p w14:paraId="4F0FF245"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(0.781)</w:t>
            </w:r>
          </w:p>
        </w:tc>
        <w:tc>
          <w:tcPr>
            <w:tcW w:w="889" w:type="dxa"/>
            <w:tcBorders>
              <w:top w:val="nil"/>
              <w:left w:val="nil"/>
              <w:bottom w:val="nil"/>
              <w:right w:val="nil"/>
            </w:tcBorders>
          </w:tcPr>
          <w:p w14:paraId="31CE2540" w14:textId="6246ED2C"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(1.057)</w:t>
            </w:r>
          </w:p>
        </w:tc>
        <w:tc>
          <w:tcPr>
            <w:tcW w:w="1012" w:type="dxa"/>
            <w:tcBorders>
              <w:top w:val="nil"/>
              <w:left w:val="nil"/>
              <w:bottom w:val="nil"/>
              <w:right w:val="nil"/>
            </w:tcBorders>
          </w:tcPr>
          <w:p w14:paraId="4C77CD1C"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r>
      <w:tr w:rsidR="006878FB" w:rsidRPr="00CF3C36" w14:paraId="6B5013AD" w14:textId="77777777" w:rsidTr="00604EA8">
        <w:trPr>
          <w:jc w:val="center"/>
        </w:trPr>
        <w:tc>
          <w:tcPr>
            <w:tcW w:w="1701" w:type="dxa"/>
            <w:tcBorders>
              <w:top w:val="nil"/>
              <w:left w:val="nil"/>
              <w:bottom w:val="nil"/>
              <w:right w:val="nil"/>
            </w:tcBorders>
          </w:tcPr>
          <w:p w14:paraId="67053A8B" w14:textId="69037F0D"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ln_rgdpna</w:t>
            </w:r>
          </w:p>
        </w:tc>
        <w:tc>
          <w:tcPr>
            <w:tcW w:w="992" w:type="dxa"/>
            <w:tcBorders>
              <w:top w:val="nil"/>
              <w:left w:val="nil"/>
              <w:bottom w:val="nil"/>
              <w:right w:val="nil"/>
            </w:tcBorders>
          </w:tcPr>
          <w:p w14:paraId="4EA3E546"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-0.967</w:t>
            </w:r>
          </w:p>
        </w:tc>
        <w:tc>
          <w:tcPr>
            <w:tcW w:w="1134" w:type="dxa"/>
            <w:tcBorders>
              <w:top w:val="nil"/>
              <w:left w:val="nil"/>
              <w:bottom w:val="nil"/>
              <w:right w:val="nil"/>
            </w:tcBorders>
          </w:tcPr>
          <w:p w14:paraId="009F9529"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0.304</w:t>
            </w:r>
          </w:p>
        </w:tc>
        <w:tc>
          <w:tcPr>
            <w:tcW w:w="1134" w:type="dxa"/>
            <w:tcBorders>
              <w:top w:val="nil"/>
              <w:left w:val="nil"/>
              <w:bottom w:val="nil"/>
              <w:right w:val="nil"/>
            </w:tcBorders>
          </w:tcPr>
          <w:p w14:paraId="0529FA80"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0.517</w:t>
            </w:r>
          </w:p>
        </w:tc>
        <w:tc>
          <w:tcPr>
            <w:tcW w:w="889" w:type="dxa"/>
            <w:tcBorders>
              <w:top w:val="nil"/>
              <w:left w:val="nil"/>
              <w:bottom w:val="nil"/>
              <w:right w:val="nil"/>
            </w:tcBorders>
          </w:tcPr>
          <w:p w14:paraId="367BA13F" w14:textId="56059F34"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-3.214*</w:t>
            </w:r>
          </w:p>
        </w:tc>
        <w:tc>
          <w:tcPr>
            <w:tcW w:w="1012" w:type="dxa"/>
            <w:tcBorders>
              <w:top w:val="nil"/>
              <w:left w:val="nil"/>
              <w:bottom w:val="nil"/>
              <w:right w:val="nil"/>
            </w:tcBorders>
          </w:tcPr>
          <w:p w14:paraId="3FE5BB52" w14:textId="7E5A8D14"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-0.526</w:t>
            </w:r>
          </w:p>
        </w:tc>
      </w:tr>
      <w:tr w:rsidR="006878FB" w:rsidRPr="00CF3C36" w14:paraId="183DAFE8" w14:textId="77777777" w:rsidTr="00604EA8">
        <w:trPr>
          <w:jc w:val="center"/>
        </w:trPr>
        <w:tc>
          <w:tcPr>
            <w:tcW w:w="1701" w:type="dxa"/>
            <w:tcBorders>
              <w:top w:val="nil"/>
              <w:left w:val="nil"/>
              <w:bottom w:val="nil"/>
              <w:right w:val="nil"/>
            </w:tcBorders>
          </w:tcPr>
          <w:p w14:paraId="7A0FBA59"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486CD4C1"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(1.063)</w:t>
            </w:r>
          </w:p>
        </w:tc>
        <w:tc>
          <w:tcPr>
            <w:tcW w:w="1134" w:type="dxa"/>
            <w:tcBorders>
              <w:top w:val="nil"/>
              <w:left w:val="nil"/>
              <w:bottom w:val="nil"/>
              <w:right w:val="nil"/>
            </w:tcBorders>
          </w:tcPr>
          <w:p w14:paraId="122AC3A9"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(1.049)</w:t>
            </w:r>
          </w:p>
        </w:tc>
        <w:tc>
          <w:tcPr>
            <w:tcW w:w="1134" w:type="dxa"/>
            <w:tcBorders>
              <w:top w:val="nil"/>
              <w:left w:val="nil"/>
              <w:bottom w:val="nil"/>
              <w:right w:val="nil"/>
            </w:tcBorders>
          </w:tcPr>
          <w:p w14:paraId="0DA0F22E"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(1.324)</w:t>
            </w:r>
          </w:p>
        </w:tc>
        <w:tc>
          <w:tcPr>
            <w:tcW w:w="889" w:type="dxa"/>
            <w:tcBorders>
              <w:top w:val="nil"/>
              <w:left w:val="nil"/>
              <w:bottom w:val="nil"/>
              <w:right w:val="nil"/>
            </w:tcBorders>
          </w:tcPr>
          <w:p w14:paraId="727782A2" w14:textId="30B96F26"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(1.779)</w:t>
            </w:r>
          </w:p>
        </w:tc>
        <w:tc>
          <w:tcPr>
            <w:tcW w:w="1012" w:type="dxa"/>
            <w:tcBorders>
              <w:top w:val="nil"/>
              <w:left w:val="nil"/>
              <w:bottom w:val="nil"/>
              <w:right w:val="nil"/>
            </w:tcBorders>
          </w:tcPr>
          <w:p w14:paraId="6DDB7C55" w14:textId="72E33CBC"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(0.547)</w:t>
            </w:r>
          </w:p>
        </w:tc>
      </w:tr>
      <w:tr w:rsidR="006878FB" w:rsidRPr="00CF3C36" w14:paraId="4610F11F" w14:textId="77777777" w:rsidTr="00604EA8">
        <w:trPr>
          <w:jc w:val="center"/>
        </w:trPr>
        <w:tc>
          <w:tcPr>
            <w:tcW w:w="1701" w:type="dxa"/>
            <w:tcBorders>
              <w:top w:val="nil"/>
              <w:left w:val="nil"/>
              <w:bottom w:val="nil"/>
              <w:right w:val="nil"/>
            </w:tcBorders>
          </w:tcPr>
          <w:p w14:paraId="119227D5"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SE_terX</w:t>
            </w:r>
          </w:p>
        </w:tc>
        <w:tc>
          <w:tcPr>
            <w:tcW w:w="992" w:type="dxa"/>
            <w:tcBorders>
              <w:top w:val="nil"/>
              <w:left w:val="nil"/>
              <w:bottom w:val="nil"/>
              <w:right w:val="nil"/>
            </w:tcBorders>
          </w:tcPr>
          <w:p w14:paraId="2F0ED3F9"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-0.00949</w:t>
            </w:r>
          </w:p>
        </w:tc>
        <w:tc>
          <w:tcPr>
            <w:tcW w:w="1134" w:type="dxa"/>
            <w:tcBorders>
              <w:top w:val="nil"/>
              <w:left w:val="nil"/>
              <w:bottom w:val="nil"/>
              <w:right w:val="nil"/>
            </w:tcBorders>
          </w:tcPr>
          <w:p w14:paraId="66E6B6C5"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-0.00441</w:t>
            </w:r>
          </w:p>
        </w:tc>
        <w:tc>
          <w:tcPr>
            <w:tcW w:w="1134" w:type="dxa"/>
            <w:tcBorders>
              <w:top w:val="nil"/>
              <w:left w:val="nil"/>
              <w:bottom w:val="nil"/>
              <w:right w:val="nil"/>
            </w:tcBorders>
          </w:tcPr>
          <w:p w14:paraId="3BFE9010"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-0.0165</w:t>
            </w:r>
          </w:p>
        </w:tc>
        <w:tc>
          <w:tcPr>
            <w:tcW w:w="889" w:type="dxa"/>
            <w:tcBorders>
              <w:top w:val="nil"/>
              <w:left w:val="nil"/>
              <w:bottom w:val="nil"/>
              <w:right w:val="nil"/>
            </w:tcBorders>
          </w:tcPr>
          <w:p w14:paraId="2FE99041" w14:textId="54E9D5CD"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0.0222</w:t>
            </w:r>
          </w:p>
        </w:tc>
        <w:tc>
          <w:tcPr>
            <w:tcW w:w="1012" w:type="dxa"/>
            <w:tcBorders>
              <w:top w:val="nil"/>
              <w:left w:val="nil"/>
              <w:bottom w:val="nil"/>
              <w:right w:val="nil"/>
            </w:tcBorders>
          </w:tcPr>
          <w:p w14:paraId="2E4FCA4E"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-0.00118</w:t>
            </w:r>
          </w:p>
        </w:tc>
      </w:tr>
      <w:tr w:rsidR="006878FB" w:rsidRPr="00CF3C36" w14:paraId="77C00505" w14:textId="77777777" w:rsidTr="00604EA8">
        <w:trPr>
          <w:jc w:val="center"/>
        </w:trPr>
        <w:tc>
          <w:tcPr>
            <w:tcW w:w="1701" w:type="dxa"/>
            <w:tcBorders>
              <w:top w:val="nil"/>
              <w:left w:val="nil"/>
              <w:bottom w:val="nil"/>
              <w:right w:val="nil"/>
            </w:tcBorders>
          </w:tcPr>
          <w:p w14:paraId="12FF037D"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5C3581FD"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(0.0107)</w:t>
            </w:r>
          </w:p>
        </w:tc>
        <w:tc>
          <w:tcPr>
            <w:tcW w:w="1134" w:type="dxa"/>
            <w:tcBorders>
              <w:top w:val="nil"/>
              <w:left w:val="nil"/>
              <w:bottom w:val="nil"/>
              <w:right w:val="nil"/>
            </w:tcBorders>
          </w:tcPr>
          <w:p w14:paraId="0BC8ADDD"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(0.00909)</w:t>
            </w:r>
          </w:p>
        </w:tc>
        <w:tc>
          <w:tcPr>
            <w:tcW w:w="1134" w:type="dxa"/>
            <w:tcBorders>
              <w:top w:val="nil"/>
              <w:left w:val="nil"/>
              <w:bottom w:val="nil"/>
              <w:right w:val="nil"/>
            </w:tcBorders>
          </w:tcPr>
          <w:p w14:paraId="2CC2C0CB"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(0.0121)</w:t>
            </w:r>
          </w:p>
        </w:tc>
        <w:tc>
          <w:tcPr>
            <w:tcW w:w="889" w:type="dxa"/>
            <w:tcBorders>
              <w:top w:val="nil"/>
              <w:left w:val="nil"/>
              <w:bottom w:val="nil"/>
              <w:right w:val="nil"/>
            </w:tcBorders>
          </w:tcPr>
          <w:p w14:paraId="466AE67D" w14:textId="29BC00E0"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(0.0288)</w:t>
            </w:r>
          </w:p>
        </w:tc>
        <w:tc>
          <w:tcPr>
            <w:tcW w:w="1012" w:type="dxa"/>
            <w:tcBorders>
              <w:top w:val="nil"/>
              <w:left w:val="nil"/>
              <w:bottom w:val="nil"/>
              <w:right w:val="nil"/>
            </w:tcBorders>
          </w:tcPr>
          <w:p w14:paraId="0E1932D6"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(0.00734)</w:t>
            </w:r>
          </w:p>
        </w:tc>
      </w:tr>
      <w:tr w:rsidR="006878FB" w:rsidRPr="00CF3C36" w14:paraId="16B8E888" w14:textId="77777777" w:rsidTr="00604EA8">
        <w:trPr>
          <w:jc w:val="center"/>
        </w:trPr>
        <w:tc>
          <w:tcPr>
            <w:tcW w:w="1701" w:type="dxa"/>
            <w:tcBorders>
              <w:top w:val="nil"/>
              <w:left w:val="nil"/>
              <w:bottom w:val="nil"/>
              <w:right w:val="nil"/>
            </w:tcBorders>
          </w:tcPr>
          <w:p w14:paraId="1C8D8362"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eodb1</w:t>
            </w:r>
          </w:p>
        </w:tc>
        <w:tc>
          <w:tcPr>
            <w:tcW w:w="992" w:type="dxa"/>
            <w:tcBorders>
              <w:top w:val="nil"/>
              <w:left w:val="nil"/>
              <w:bottom w:val="nil"/>
              <w:right w:val="nil"/>
            </w:tcBorders>
          </w:tcPr>
          <w:p w14:paraId="7BF61619"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-0.0522</w:t>
            </w:r>
          </w:p>
        </w:tc>
        <w:tc>
          <w:tcPr>
            <w:tcW w:w="1134" w:type="dxa"/>
            <w:tcBorders>
              <w:top w:val="nil"/>
              <w:left w:val="nil"/>
              <w:bottom w:val="nil"/>
              <w:right w:val="nil"/>
            </w:tcBorders>
          </w:tcPr>
          <w:p w14:paraId="2ABAB292"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-0.0159</w:t>
            </w:r>
          </w:p>
        </w:tc>
        <w:tc>
          <w:tcPr>
            <w:tcW w:w="1134" w:type="dxa"/>
            <w:tcBorders>
              <w:top w:val="nil"/>
              <w:left w:val="nil"/>
              <w:bottom w:val="nil"/>
              <w:right w:val="nil"/>
            </w:tcBorders>
          </w:tcPr>
          <w:p w14:paraId="57615DAF"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-0.0258</w:t>
            </w:r>
          </w:p>
        </w:tc>
        <w:tc>
          <w:tcPr>
            <w:tcW w:w="889" w:type="dxa"/>
            <w:tcBorders>
              <w:top w:val="nil"/>
              <w:left w:val="nil"/>
              <w:bottom w:val="nil"/>
              <w:right w:val="nil"/>
            </w:tcBorders>
          </w:tcPr>
          <w:p w14:paraId="4D53E9D3" w14:textId="2C7A5E54"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-0.107*</w:t>
            </w:r>
          </w:p>
        </w:tc>
        <w:tc>
          <w:tcPr>
            <w:tcW w:w="1012" w:type="dxa"/>
            <w:tcBorders>
              <w:top w:val="nil"/>
              <w:left w:val="nil"/>
              <w:bottom w:val="nil"/>
              <w:right w:val="nil"/>
            </w:tcBorders>
          </w:tcPr>
          <w:p w14:paraId="273E2908"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-0.0262</w:t>
            </w:r>
          </w:p>
        </w:tc>
      </w:tr>
      <w:tr w:rsidR="006878FB" w:rsidRPr="00CF3C36" w14:paraId="2FADDD89" w14:textId="77777777" w:rsidTr="00604EA8">
        <w:trPr>
          <w:jc w:val="center"/>
        </w:trPr>
        <w:tc>
          <w:tcPr>
            <w:tcW w:w="1701" w:type="dxa"/>
            <w:tcBorders>
              <w:top w:val="nil"/>
              <w:left w:val="nil"/>
              <w:bottom w:val="nil"/>
              <w:right w:val="nil"/>
            </w:tcBorders>
          </w:tcPr>
          <w:p w14:paraId="4EBD6DF7"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54307E49"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(0.0344)</w:t>
            </w:r>
          </w:p>
        </w:tc>
        <w:tc>
          <w:tcPr>
            <w:tcW w:w="1134" w:type="dxa"/>
            <w:tcBorders>
              <w:top w:val="nil"/>
              <w:left w:val="nil"/>
              <w:bottom w:val="nil"/>
              <w:right w:val="nil"/>
            </w:tcBorders>
          </w:tcPr>
          <w:p w14:paraId="6369A363"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(0.0181)</w:t>
            </w:r>
          </w:p>
        </w:tc>
        <w:tc>
          <w:tcPr>
            <w:tcW w:w="1134" w:type="dxa"/>
            <w:tcBorders>
              <w:top w:val="nil"/>
              <w:left w:val="nil"/>
              <w:bottom w:val="nil"/>
              <w:right w:val="nil"/>
            </w:tcBorders>
          </w:tcPr>
          <w:p w14:paraId="66AE0A3E"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(0.0323)</w:t>
            </w:r>
          </w:p>
        </w:tc>
        <w:tc>
          <w:tcPr>
            <w:tcW w:w="889" w:type="dxa"/>
            <w:tcBorders>
              <w:top w:val="nil"/>
              <w:left w:val="nil"/>
              <w:bottom w:val="nil"/>
              <w:right w:val="nil"/>
            </w:tcBorders>
          </w:tcPr>
          <w:p w14:paraId="3DCBE156" w14:textId="6D8184E5"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(0.0546)</w:t>
            </w:r>
          </w:p>
        </w:tc>
        <w:tc>
          <w:tcPr>
            <w:tcW w:w="1012" w:type="dxa"/>
            <w:tcBorders>
              <w:top w:val="nil"/>
              <w:left w:val="nil"/>
              <w:bottom w:val="nil"/>
              <w:right w:val="nil"/>
            </w:tcBorders>
          </w:tcPr>
          <w:p w14:paraId="519080E6"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(0.0186)</w:t>
            </w:r>
          </w:p>
        </w:tc>
      </w:tr>
      <w:tr w:rsidR="006878FB" w:rsidRPr="00CF3C36" w14:paraId="34825D20" w14:textId="77777777" w:rsidTr="00604EA8">
        <w:trPr>
          <w:jc w:val="center"/>
        </w:trPr>
        <w:tc>
          <w:tcPr>
            <w:tcW w:w="1701" w:type="dxa"/>
            <w:tcBorders>
              <w:top w:val="nil"/>
              <w:left w:val="nil"/>
              <w:bottom w:val="nil"/>
              <w:right w:val="nil"/>
            </w:tcBorders>
          </w:tcPr>
          <w:p w14:paraId="3C188C6A"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governance</w:t>
            </w:r>
          </w:p>
        </w:tc>
        <w:tc>
          <w:tcPr>
            <w:tcW w:w="992" w:type="dxa"/>
            <w:tcBorders>
              <w:top w:val="nil"/>
              <w:left w:val="nil"/>
              <w:bottom w:val="nil"/>
              <w:right w:val="nil"/>
            </w:tcBorders>
          </w:tcPr>
          <w:p w14:paraId="14CF8877"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-0.205</w:t>
            </w:r>
          </w:p>
        </w:tc>
        <w:tc>
          <w:tcPr>
            <w:tcW w:w="1134" w:type="dxa"/>
            <w:tcBorders>
              <w:top w:val="nil"/>
              <w:left w:val="nil"/>
              <w:bottom w:val="nil"/>
              <w:right w:val="nil"/>
            </w:tcBorders>
          </w:tcPr>
          <w:p w14:paraId="78B2FB6B"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05642EF0"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-0.145</w:t>
            </w:r>
          </w:p>
        </w:tc>
        <w:tc>
          <w:tcPr>
            <w:tcW w:w="889" w:type="dxa"/>
            <w:tcBorders>
              <w:top w:val="nil"/>
              <w:left w:val="nil"/>
              <w:bottom w:val="nil"/>
              <w:right w:val="nil"/>
            </w:tcBorders>
          </w:tcPr>
          <w:p w14:paraId="6F69526D" w14:textId="1CD430DE"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-0.639</w:t>
            </w:r>
          </w:p>
        </w:tc>
        <w:tc>
          <w:tcPr>
            <w:tcW w:w="1012" w:type="dxa"/>
            <w:tcBorders>
              <w:top w:val="nil"/>
              <w:left w:val="nil"/>
              <w:bottom w:val="nil"/>
              <w:right w:val="nil"/>
            </w:tcBorders>
          </w:tcPr>
          <w:p w14:paraId="368C0401"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-0.310**</w:t>
            </w:r>
          </w:p>
        </w:tc>
      </w:tr>
      <w:tr w:rsidR="006878FB" w:rsidRPr="00CF3C36" w14:paraId="09A3CC5D" w14:textId="77777777" w:rsidTr="00604EA8">
        <w:trPr>
          <w:jc w:val="center"/>
        </w:trPr>
        <w:tc>
          <w:tcPr>
            <w:tcW w:w="1701" w:type="dxa"/>
            <w:tcBorders>
              <w:top w:val="nil"/>
              <w:left w:val="nil"/>
              <w:bottom w:val="nil"/>
              <w:right w:val="nil"/>
            </w:tcBorders>
          </w:tcPr>
          <w:p w14:paraId="083B6866"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6A20C760"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(0.373)</w:t>
            </w:r>
          </w:p>
        </w:tc>
        <w:tc>
          <w:tcPr>
            <w:tcW w:w="1134" w:type="dxa"/>
            <w:tcBorders>
              <w:top w:val="nil"/>
              <w:left w:val="nil"/>
              <w:bottom w:val="nil"/>
              <w:right w:val="nil"/>
            </w:tcBorders>
          </w:tcPr>
          <w:p w14:paraId="068DA22B"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0292FB81"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(0.260)</w:t>
            </w:r>
          </w:p>
        </w:tc>
        <w:tc>
          <w:tcPr>
            <w:tcW w:w="889" w:type="dxa"/>
            <w:tcBorders>
              <w:top w:val="nil"/>
              <w:left w:val="nil"/>
              <w:bottom w:val="nil"/>
              <w:right w:val="nil"/>
            </w:tcBorders>
          </w:tcPr>
          <w:p w14:paraId="5BC739F6" w14:textId="136368E0"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(0.483)</w:t>
            </w:r>
          </w:p>
        </w:tc>
        <w:tc>
          <w:tcPr>
            <w:tcW w:w="1012" w:type="dxa"/>
            <w:tcBorders>
              <w:top w:val="nil"/>
              <w:left w:val="nil"/>
              <w:bottom w:val="nil"/>
              <w:right w:val="nil"/>
            </w:tcBorders>
          </w:tcPr>
          <w:p w14:paraId="050771C2"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(0.142)</w:t>
            </w:r>
          </w:p>
        </w:tc>
      </w:tr>
      <w:tr w:rsidR="006878FB" w:rsidRPr="00CF3C36" w14:paraId="79B72DB4" w14:textId="77777777" w:rsidTr="00604EA8">
        <w:trPr>
          <w:jc w:val="center"/>
        </w:trPr>
        <w:tc>
          <w:tcPr>
            <w:tcW w:w="1701" w:type="dxa"/>
            <w:tcBorders>
              <w:top w:val="nil"/>
              <w:left w:val="nil"/>
              <w:bottom w:val="nil"/>
              <w:right w:val="nil"/>
            </w:tcBorders>
          </w:tcPr>
          <w:p w14:paraId="6BE3B7B1"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ln_KL</w:t>
            </w:r>
          </w:p>
        </w:tc>
        <w:tc>
          <w:tcPr>
            <w:tcW w:w="992" w:type="dxa"/>
            <w:tcBorders>
              <w:top w:val="nil"/>
              <w:left w:val="nil"/>
              <w:bottom w:val="nil"/>
              <w:right w:val="nil"/>
            </w:tcBorders>
          </w:tcPr>
          <w:p w14:paraId="1A0AEC14"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6.691*</w:t>
            </w:r>
          </w:p>
        </w:tc>
        <w:tc>
          <w:tcPr>
            <w:tcW w:w="1134" w:type="dxa"/>
            <w:tcBorders>
              <w:top w:val="nil"/>
              <w:left w:val="nil"/>
              <w:bottom w:val="nil"/>
              <w:right w:val="nil"/>
            </w:tcBorders>
          </w:tcPr>
          <w:p w14:paraId="300F6899"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7.704***</w:t>
            </w:r>
          </w:p>
        </w:tc>
        <w:tc>
          <w:tcPr>
            <w:tcW w:w="1134" w:type="dxa"/>
            <w:tcBorders>
              <w:top w:val="nil"/>
              <w:left w:val="nil"/>
              <w:bottom w:val="nil"/>
              <w:right w:val="nil"/>
            </w:tcBorders>
          </w:tcPr>
          <w:p w14:paraId="5A2C8B4C"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11.14*</w:t>
            </w:r>
          </w:p>
        </w:tc>
        <w:tc>
          <w:tcPr>
            <w:tcW w:w="889" w:type="dxa"/>
            <w:tcBorders>
              <w:top w:val="nil"/>
              <w:left w:val="nil"/>
              <w:bottom w:val="nil"/>
              <w:right w:val="nil"/>
            </w:tcBorders>
          </w:tcPr>
          <w:p w14:paraId="79E8DB04" w14:textId="67BB2400"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-5.425</w:t>
            </w:r>
          </w:p>
        </w:tc>
        <w:tc>
          <w:tcPr>
            <w:tcW w:w="1012" w:type="dxa"/>
            <w:tcBorders>
              <w:top w:val="nil"/>
              <w:left w:val="nil"/>
              <w:bottom w:val="nil"/>
              <w:right w:val="nil"/>
            </w:tcBorders>
          </w:tcPr>
          <w:p w14:paraId="752724AE"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5.146***</w:t>
            </w:r>
          </w:p>
        </w:tc>
      </w:tr>
      <w:tr w:rsidR="006878FB" w:rsidRPr="00CF3C36" w14:paraId="6EBFDFB3" w14:textId="77777777" w:rsidTr="00604EA8">
        <w:trPr>
          <w:jc w:val="center"/>
        </w:trPr>
        <w:tc>
          <w:tcPr>
            <w:tcW w:w="1701" w:type="dxa"/>
            <w:tcBorders>
              <w:top w:val="nil"/>
              <w:left w:val="nil"/>
              <w:bottom w:val="nil"/>
              <w:right w:val="nil"/>
            </w:tcBorders>
          </w:tcPr>
          <w:p w14:paraId="03615465"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47EF5FDD"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(3.869)</w:t>
            </w:r>
          </w:p>
        </w:tc>
        <w:tc>
          <w:tcPr>
            <w:tcW w:w="1134" w:type="dxa"/>
            <w:tcBorders>
              <w:top w:val="nil"/>
              <w:left w:val="nil"/>
              <w:bottom w:val="nil"/>
              <w:right w:val="nil"/>
            </w:tcBorders>
          </w:tcPr>
          <w:p w14:paraId="453D6B77"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(2.101)</w:t>
            </w:r>
          </w:p>
        </w:tc>
        <w:tc>
          <w:tcPr>
            <w:tcW w:w="1134" w:type="dxa"/>
            <w:tcBorders>
              <w:top w:val="nil"/>
              <w:left w:val="nil"/>
              <w:bottom w:val="nil"/>
              <w:right w:val="nil"/>
            </w:tcBorders>
          </w:tcPr>
          <w:p w14:paraId="60508753"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(5.668)</w:t>
            </w:r>
          </w:p>
        </w:tc>
        <w:tc>
          <w:tcPr>
            <w:tcW w:w="889" w:type="dxa"/>
            <w:tcBorders>
              <w:top w:val="nil"/>
              <w:left w:val="nil"/>
              <w:bottom w:val="nil"/>
              <w:right w:val="nil"/>
            </w:tcBorders>
          </w:tcPr>
          <w:p w14:paraId="0C6465DB" w14:textId="116110E9"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(6.750)</w:t>
            </w:r>
          </w:p>
        </w:tc>
        <w:tc>
          <w:tcPr>
            <w:tcW w:w="1012" w:type="dxa"/>
            <w:tcBorders>
              <w:top w:val="nil"/>
              <w:left w:val="nil"/>
              <w:bottom w:val="nil"/>
              <w:right w:val="nil"/>
            </w:tcBorders>
          </w:tcPr>
          <w:p w14:paraId="02A428DA"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(1.768)</w:t>
            </w:r>
          </w:p>
        </w:tc>
      </w:tr>
      <w:tr w:rsidR="006878FB" w:rsidRPr="00CF3C36" w14:paraId="061401D7" w14:textId="77777777" w:rsidTr="00604EA8">
        <w:trPr>
          <w:jc w:val="center"/>
        </w:trPr>
        <w:tc>
          <w:tcPr>
            <w:tcW w:w="1701" w:type="dxa"/>
            <w:tcBorders>
              <w:top w:val="nil"/>
              <w:left w:val="nil"/>
              <w:bottom w:val="nil"/>
              <w:right w:val="nil"/>
            </w:tcBorders>
          </w:tcPr>
          <w:p w14:paraId="51F5D22F"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ln_KL_2</w:t>
            </w:r>
          </w:p>
        </w:tc>
        <w:tc>
          <w:tcPr>
            <w:tcW w:w="992" w:type="dxa"/>
            <w:tcBorders>
              <w:top w:val="nil"/>
              <w:left w:val="nil"/>
              <w:bottom w:val="nil"/>
              <w:right w:val="nil"/>
            </w:tcBorders>
          </w:tcPr>
          <w:p w14:paraId="5E8D4517"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-0.784**</w:t>
            </w:r>
          </w:p>
        </w:tc>
        <w:tc>
          <w:tcPr>
            <w:tcW w:w="1134" w:type="dxa"/>
            <w:tcBorders>
              <w:top w:val="nil"/>
              <w:left w:val="nil"/>
              <w:bottom w:val="nil"/>
              <w:right w:val="nil"/>
            </w:tcBorders>
          </w:tcPr>
          <w:p w14:paraId="6CA07266"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-0.769***</w:t>
            </w:r>
          </w:p>
        </w:tc>
        <w:tc>
          <w:tcPr>
            <w:tcW w:w="1134" w:type="dxa"/>
            <w:tcBorders>
              <w:top w:val="nil"/>
              <w:left w:val="nil"/>
              <w:bottom w:val="nil"/>
              <w:right w:val="nil"/>
            </w:tcBorders>
          </w:tcPr>
          <w:p w14:paraId="6251943C"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-0.972*</w:t>
            </w:r>
          </w:p>
        </w:tc>
        <w:tc>
          <w:tcPr>
            <w:tcW w:w="889" w:type="dxa"/>
            <w:tcBorders>
              <w:top w:val="nil"/>
              <w:left w:val="nil"/>
              <w:bottom w:val="nil"/>
              <w:right w:val="nil"/>
            </w:tcBorders>
          </w:tcPr>
          <w:p w14:paraId="6EB0B243" w14:textId="53D26640"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0.348</w:t>
            </w:r>
          </w:p>
        </w:tc>
        <w:tc>
          <w:tcPr>
            <w:tcW w:w="1012" w:type="dxa"/>
            <w:tcBorders>
              <w:top w:val="nil"/>
              <w:left w:val="nil"/>
              <w:bottom w:val="nil"/>
              <w:right w:val="nil"/>
            </w:tcBorders>
          </w:tcPr>
          <w:p w14:paraId="0BB3A6D5"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-0.647***</w:t>
            </w:r>
          </w:p>
        </w:tc>
      </w:tr>
      <w:tr w:rsidR="006878FB" w:rsidRPr="00CF3C36" w14:paraId="19551295" w14:textId="77777777" w:rsidTr="00604EA8">
        <w:trPr>
          <w:jc w:val="center"/>
        </w:trPr>
        <w:tc>
          <w:tcPr>
            <w:tcW w:w="1701" w:type="dxa"/>
            <w:tcBorders>
              <w:top w:val="nil"/>
              <w:left w:val="nil"/>
              <w:bottom w:val="nil"/>
              <w:right w:val="nil"/>
            </w:tcBorders>
          </w:tcPr>
          <w:p w14:paraId="48973B05"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6CC00535"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(0.380)</w:t>
            </w:r>
          </w:p>
        </w:tc>
        <w:tc>
          <w:tcPr>
            <w:tcW w:w="1134" w:type="dxa"/>
            <w:tcBorders>
              <w:top w:val="nil"/>
              <w:left w:val="nil"/>
              <w:bottom w:val="nil"/>
              <w:right w:val="nil"/>
            </w:tcBorders>
          </w:tcPr>
          <w:p w14:paraId="1D94ACA8"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(0.223)</w:t>
            </w:r>
          </w:p>
        </w:tc>
        <w:tc>
          <w:tcPr>
            <w:tcW w:w="1134" w:type="dxa"/>
            <w:tcBorders>
              <w:top w:val="nil"/>
              <w:left w:val="nil"/>
              <w:bottom w:val="nil"/>
              <w:right w:val="nil"/>
            </w:tcBorders>
          </w:tcPr>
          <w:p w14:paraId="6BB059CF"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(0.516)</w:t>
            </w:r>
          </w:p>
        </w:tc>
        <w:tc>
          <w:tcPr>
            <w:tcW w:w="889" w:type="dxa"/>
            <w:tcBorders>
              <w:top w:val="nil"/>
              <w:left w:val="nil"/>
              <w:bottom w:val="nil"/>
              <w:right w:val="nil"/>
            </w:tcBorders>
          </w:tcPr>
          <w:p w14:paraId="67723D8D" w14:textId="49A99A83"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(0.615)</w:t>
            </w:r>
          </w:p>
        </w:tc>
        <w:tc>
          <w:tcPr>
            <w:tcW w:w="1012" w:type="dxa"/>
            <w:tcBorders>
              <w:top w:val="nil"/>
              <w:left w:val="nil"/>
              <w:bottom w:val="nil"/>
              <w:right w:val="nil"/>
            </w:tcBorders>
          </w:tcPr>
          <w:p w14:paraId="24B04508"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(0.179)</w:t>
            </w:r>
          </w:p>
        </w:tc>
      </w:tr>
      <w:tr w:rsidR="006878FB" w:rsidRPr="00CF3C36" w14:paraId="7879E987" w14:textId="77777777" w:rsidTr="00604EA8">
        <w:trPr>
          <w:jc w:val="center"/>
        </w:trPr>
        <w:tc>
          <w:tcPr>
            <w:tcW w:w="1701" w:type="dxa"/>
            <w:tcBorders>
              <w:top w:val="nil"/>
              <w:left w:val="nil"/>
              <w:bottom w:val="nil"/>
              <w:right w:val="nil"/>
            </w:tcBorders>
          </w:tcPr>
          <w:p w14:paraId="6FB6AD53"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EPI_ln_KL_cen</w:t>
            </w:r>
          </w:p>
        </w:tc>
        <w:tc>
          <w:tcPr>
            <w:tcW w:w="992" w:type="dxa"/>
            <w:tcBorders>
              <w:top w:val="nil"/>
              <w:left w:val="nil"/>
              <w:bottom w:val="nil"/>
              <w:right w:val="nil"/>
            </w:tcBorders>
          </w:tcPr>
          <w:p w14:paraId="4E244921"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0.228</w:t>
            </w:r>
          </w:p>
        </w:tc>
        <w:tc>
          <w:tcPr>
            <w:tcW w:w="1134" w:type="dxa"/>
            <w:tcBorders>
              <w:top w:val="nil"/>
              <w:left w:val="nil"/>
              <w:bottom w:val="nil"/>
              <w:right w:val="nil"/>
            </w:tcBorders>
          </w:tcPr>
          <w:p w14:paraId="61165A1E"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0.221</w:t>
            </w:r>
          </w:p>
        </w:tc>
        <w:tc>
          <w:tcPr>
            <w:tcW w:w="1134" w:type="dxa"/>
            <w:tcBorders>
              <w:top w:val="nil"/>
              <w:left w:val="nil"/>
              <w:bottom w:val="nil"/>
              <w:right w:val="nil"/>
            </w:tcBorders>
          </w:tcPr>
          <w:p w14:paraId="318C16A7"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0.588*</w:t>
            </w:r>
          </w:p>
        </w:tc>
        <w:tc>
          <w:tcPr>
            <w:tcW w:w="889" w:type="dxa"/>
            <w:tcBorders>
              <w:top w:val="nil"/>
              <w:left w:val="nil"/>
              <w:bottom w:val="nil"/>
              <w:right w:val="nil"/>
            </w:tcBorders>
          </w:tcPr>
          <w:p w14:paraId="664DD1C4" w14:textId="1072C95A"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012" w:type="dxa"/>
            <w:tcBorders>
              <w:top w:val="nil"/>
              <w:left w:val="nil"/>
              <w:bottom w:val="nil"/>
              <w:right w:val="nil"/>
            </w:tcBorders>
          </w:tcPr>
          <w:p w14:paraId="527548E2"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0.125</w:t>
            </w:r>
          </w:p>
        </w:tc>
      </w:tr>
      <w:tr w:rsidR="006878FB" w:rsidRPr="00CF3C36" w14:paraId="655B9272" w14:textId="77777777" w:rsidTr="00604EA8">
        <w:trPr>
          <w:jc w:val="center"/>
        </w:trPr>
        <w:tc>
          <w:tcPr>
            <w:tcW w:w="1701" w:type="dxa"/>
            <w:tcBorders>
              <w:top w:val="nil"/>
              <w:left w:val="nil"/>
              <w:bottom w:val="nil"/>
              <w:right w:val="nil"/>
            </w:tcBorders>
          </w:tcPr>
          <w:p w14:paraId="7800E1AA"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54DE4040"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(0.213)</w:t>
            </w:r>
          </w:p>
        </w:tc>
        <w:tc>
          <w:tcPr>
            <w:tcW w:w="1134" w:type="dxa"/>
            <w:tcBorders>
              <w:top w:val="nil"/>
              <w:left w:val="nil"/>
              <w:bottom w:val="nil"/>
              <w:right w:val="nil"/>
            </w:tcBorders>
          </w:tcPr>
          <w:p w14:paraId="6D53BD13"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(0.143)</w:t>
            </w:r>
          </w:p>
        </w:tc>
        <w:tc>
          <w:tcPr>
            <w:tcW w:w="1134" w:type="dxa"/>
            <w:tcBorders>
              <w:top w:val="nil"/>
              <w:left w:val="nil"/>
              <w:bottom w:val="nil"/>
              <w:right w:val="nil"/>
            </w:tcBorders>
          </w:tcPr>
          <w:p w14:paraId="40897C56"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(0.307)</w:t>
            </w:r>
          </w:p>
        </w:tc>
        <w:tc>
          <w:tcPr>
            <w:tcW w:w="889" w:type="dxa"/>
            <w:tcBorders>
              <w:top w:val="nil"/>
              <w:left w:val="nil"/>
              <w:bottom w:val="nil"/>
              <w:right w:val="nil"/>
            </w:tcBorders>
          </w:tcPr>
          <w:p w14:paraId="7573C196" w14:textId="1EA338EB"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012" w:type="dxa"/>
            <w:tcBorders>
              <w:top w:val="nil"/>
              <w:left w:val="nil"/>
              <w:bottom w:val="nil"/>
              <w:right w:val="nil"/>
            </w:tcBorders>
          </w:tcPr>
          <w:p w14:paraId="74D6893B"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(0.108)</w:t>
            </w:r>
          </w:p>
        </w:tc>
      </w:tr>
      <w:tr w:rsidR="006878FB" w:rsidRPr="00CF3C36" w14:paraId="770B3663" w14:textId="77777777" w:rsidTr="00604EA8">
        <w:trPr>
          <w:jc w:val="center"/>
        </w:trPr>
        <w:tc>
          <w:tcPr>
            <w:tcW w:w="1701" w:type="dxa"/>
            <w:tcBorders>
              <w:top w:val="nil"/>
              <w:left w:val="nil"/>
              <w:bottom w:val="nil"/>
              <w:right w:val="nil"/>
            </w:tcBorders>
          </w:tcPr>
          <w:p w14:paraId="050DFC8E"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EPI_ln_KL_2_cen</w:t>
            </w:r>
          </w:p>
        </w:tc>
        <w:tc>
          <w:tcPr>
            <w:tcW w:w="992" w:type="dxa"/>
            <w:tcBorders>
              <w:top w:val="nil"/>
              <w:left w:val="nil"/>
              <w:bottom w:val="nil"/>
              <w:right w:val="nil"/>
            </w:tcBorders>
          </w:tcPr>
          <w:p w14:paraId="049E7E99"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-0.0263</w:t>
            </w:r>
          </w:p>
        </w:tc>
        <w:tc>
          <w:tcPr>
            <w:tcW w:w="1134" w:type="dxa"/>
            <w:tcBorders>
              <w:top w:val="nil"/>
              <w:left w:val="nil"/>
              <w:bottom w:val="nil"/>
              <w:right w:val="nil"/>
            </w:tcBorders>
          </w:tcPr>
          <w:p w14:paraId="4F6B7119"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-0.0219</w:t>
            </w:r>
          </w:p>
        </w:tc>
        <w:tc>
          <w:tcPr>
            <w:tcW w:w="1134" w:type="dxa"/>
            <w:tcBorders>
              <w:top w:val="nil"/>
              <w:left w:val="nil"/>
              <w:bottom w:val="nil"/>
              <w:right w:val="nil"/>
            </w:tcBorders>
          </w:tcPr>
          <w:p w14:paraId="67DEAACA"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-0.0608*</w:t>
            </w:r>
          </w:p>
        </w:tc>
        <w:tc>
          <w:tcPr>
            <w:tcW w:w="889" w:type="dxa"/>
            <w:tcBorders>
              <w:top w:val="nil"/>
              <w:left w:val="nil"/>
              <w:bottom w:val="nil"/>
              <w:right w:val="nil"/>
            </w:tcBorders>
          </w:tcPr>
          <w:p w14:paraId="644AF800" w14:textId="76CB6430"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012" w:type="dxa"/>
            <w:tcBorders>
              <w:top w:val="nil"/>
              <w:left w:val="nil"/>
              <w:bottom w:val="nil"/>
              <w:right w:val="nil"/>
            </w:tcBorders>
          </w:tcPr>
          <w:p w14:paraId="2B18F211"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-0.0141</w:t>
            </w:r>
          </w:p>
        </w:tc>
      </w:tr>
      <w:tr w:rsidR="006878FB" w:rsidRPr="00CF3C36" w14:paraId="7A9DF608" w14:textId="77777777" w:rsidTr="00604EA8">
        <w:trPr>
          <w:jc w:val="center"/>
        </w:trPr>
        <w:tc>
          <w:tcPr>
            <w:tcW w:w="1701" w:type="dxa"/>
            <w:tcBorders>
              <w:top w:val="nil"/>
              <w:left w:val="nil"/>
              <w:bottom w:val="nil"/>
              <w:right w:val="nil"/>
            </w:tcBorders>
          </w:tcPr>
          <w:p w14:paraId="0432675C"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1CB3DD69"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(0.0231)</w:t>
            </w:r>
          </w:p>
        </w:tc>
        <w:tc>
          <w:tcPr>
            <w:tcW w:w="1134" w:type="dxa"/>
            <w:tcBorders>
              <w:top w:val="nil"/>
              <w:left w:val="nil"/>
              <w:bottom w:val="nil"/>
              <w:right w:val="nil"/>
            </w:tcBorders>
          </w:tcPr>
          <w:p w14:paraId="3B41C655"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(0.0162)</w:t>
            </w:r>
          </w:p>
        </w:tc>
        <w:tc>
          <w:tcPr>
            <w:tcW w:w="1134" w:type="dxa"/>
            <w:tcBorders>
              <w:top w:val="nil"/>
              <w:left w:val="nil"/>
              <w:bottom w:val="nil"/>
              <w:right w:val="nil"/>
            </w:tcBorders>
          </w:tcPr>
          <w:p w14:paraId="656285C4"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(0.0305)</w:t>
            </w:r>
          </w:p>
        </w:tc>
        <w:tc>
          <w:tcPr>
            <w:tcW w:w="889" w:type="dxa"/>
            <w:tcBorders>
              <w:top w:val="nil"/>
              <w:left w:val="nil"/>
              <w:bottom w:val="nil"/>
              <w:right w:val="nil"/>
            </w:tcBorders>
          </w:tcPr>
          <w:p w14:paraId="0FB296B5" w14:textId="73CF76F3"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012" w:type="dxa"/>
            <w:tcBorders>
              <w:top w:val="nil"/>
              <w:left w:val="nil"/>
              <w:bottom w:val="nil"/>
              <w:right w:val="nil"/>
            </w:tcBorders>
          </w:tcPr>
          <w:p w14:paraId="514C63D0"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(0.0122)</w:t>
            </w:r>
          </w:p>
        </w:tc>
      </w:tr>
      <w:tr w:rsidR="006878FB" w:rsidRPr="00CF3C36" w14:paraId="26C4CD10" w14:textId="77777777" w:rsidTr="00604EA8">
        <w:trPr>
          <w:jc w:val="center"/>
        </w:trPr>
        <w:tc>
          <w:tcPr>
            <w:tcW w:w="1701" w:type="dxa"/>
            <w:tcBorders>
              <w:top w:val="nil"/>
              <w:left w:val="nil"/>
              <w:bottom w:val="nil"/>
              <w:right w:val="nil"/>
            </w:tcBorders>
          </w:tcPr>
          <w:p w14:paraId="18F47816" w14:textId="4CCB9873"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EPS</w:t>
            </w:r>
            <w:r w:rsidR="002D0C71" w:rsidRPr="00CF3C36">
              <w:rPr>
                <w:rFonts w:ascii="Times New Roman" w:hAnsi="Times New Roman"/>
                <w:sz w:val="18"/>
                <w:szCs w:val="18"/>
                <w:lang w:val="en-GB"/>
              </w:rPr>
              <w:t>I</w:t>
            </w:r>
          </w:p>
        </w:tc>
        <w:tc>
          <w:tcPr>
            <w:tcW w:w="992" w:type="dxa"/>
            <w:tcBorders>
              <w:top w:val="nil"/>
              <w:left w:val="nil"/>
              <w:bottom w:val="nil"/>
              <w:right w:val="nil"/>
            </w:tcBorders>
          </w:tcPr>
          <w:p w14:paraId="75AF9C1C"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6D04E03F"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6F1BB750"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889" w:type="dxa"/>
            <w:tcBorders>
              <w:top w:val="nil"/>
              <w:left w:val="nil"/>
              <w:bottom w:val="nil"/>
              <w:right w:val="nil"/>
            </w:tcBorders>
          </w:tcPr>
          <w:p w14:paraId="15545D98" w14:textId="25CD6853"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0.903</w:t>
            </w:r>
          </w:p>
        </w:tc>
        <w:tc>
          <w:tcPr>
            <w:tcW w:w="1012" w:type="dxa"/>
            <w:tcBorders>
              <w:top w:val="nil"/>
              <w:left w:val="nil"/>
              <w:bottom w:val="nil"/>
              <w:right w:val="nil"/>
            </w:tcBorders>
          </w:tcPr>
          <w:p w14:paraId="6097487D"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r>
      <w:tr w:rsidR="006878FB" w:rsidRPr="00CF3C36" w14:paraId="58F2CE36" w14:textId="77777777" w:rsidTr="00604EA8">
        <w:trPr>
          <w:jc w:val="center"/>
        </w:trPr>
        <w:tc>
          <w:tcPr>
            <w:tcW w:w="1701" w:type="dxa"/>
            <w:tcBorders>
              <w:top w:val="nil"/>
              <w:left w:val="nil"/>
              <w:bottom w:val="nil"/>
              <w:right w:val="nil"/>
            </w:tcBorders>
          </w:tcPr>
          <w:p w14:paraId="66FB96A2"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5CCEAB0D"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7F8508A1"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2DA912CF"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889" w:type="dxa"/>
            <w:tcBorders>
              <w:top w:val="nil"/>
              <w:left w:val="nil"/>
              <w:bottom w:val="nil"/>
              <w:right w:val="nil"/>
            </w:tcBorders>
          </w:tcPr>
          <w:p w14:paraId="4A434EAA" w14:textId="5427FAEA"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(0.981)</w:t>
            </w:r>
          </w:p>
        </w:tc>
        <w:tc>
          <w:tcPr>
            <w:tcW w:w="1012" w:type="dxa"/>
            <w:tcBorders>
              <w:top w:val="nil"/>
              <w:left w:val="nil"/>
              <w:bottom w:val="nil"/>
              <w:right w:val="nil"/>
            </w:tcBorders>
          </w:tcPr>
          <w:p w14:paraId="132DA3D5"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r>
      <w:tr w:rsidR="006878FB" w:rsidRPr="00CF3C36" w14:paraId="3F9E6D3A" w14:textId="77777777" w:rsidTr="00604EA8">
        <w:trPr>
          <w:jc w:val="center"/>
        </w:trPr>
        <w:tc>
          <w:tcPr>
            <w:tcW w:w="1701" w:type="dxa"/>
            <w:tcBorders>
              <w:top w:val="nil"/>
              <w:left w:val="nil"/>
              <w:bottom w:val="nil"/>
              <w:right w:val="nil"/>
            </w:tcBorders>
          </w:tcPr>
          <w:p w14:paraId="07A09B8F" w14:textId="1C781ACA"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cs="Times New Roman"/>
                <w:sz w:val="18"/>
                <w:szCs w:val="18"/>
                <w:lang w:val="en-GB"/>
              </w:rPr>
              <w:t>EPS</w:t>
            </w:r>
            <w:r w:rsidR="002D0C71" w:rsidRPr="00CF3C36">
              <w:rPr>
                <w:rFonts w:ascii="Times New Roman" w:hAnsi="Times New Roman" w:cs="Times New Roman"/>
                <w:sz w:val="18"/>
                <w:szCs w:val="18"/>
                <w:lang w:val="en-GB"/>
              </w:rPr>
              <w:t>I</w:t>
            </w:r>
            <w:r w:rsidRPr="00CF3C36">
              <w:rPr>
                <w:rFonts w:ascii="Times New Roman" w:hAnsi="Times New Roman" w:cs="Times New Roman"/>
                <w:sz w:val="18"/>
                <w:szCs w:val="18"/>
                <w:lang w:val="en-GB"/>
              </w:rPr>
              <w:t>_ln_KL_cen</w:t>
            </w:r>
          </w:p>
        </w:tc>
        <w:tc>
          <w:tcPr>
            <w:tcW w:w="992" w:type="dxa"/>
            <w:tcBorders>
              <w:top w:val="nil"/>
              <w:left w:val="nil"/>
              <w:bottom w:val="nil"/>
              <w:right w:val="nil"/>
            </w:tcBorders>
          </w:tcPr>
          <w:p w14:paraId="377C6F60" w14:textId="7BBE8862"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3BC99915"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400280FD"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889" w:type="dxa"/>
            <w:tcBorders>
              <w:top w:val="nil"/>
              <w:left w:val="nil"/>
              <w:bottom w:val="nil"/>
              <w:right w:val="nil"/>
            </w:tcBorders>
          </w:tcPr>
          <w:p w14:paraId="3B1B32E4" w14:textId="3A6B0A0F" w:rsidR="006878FB" w:rsidRPr="00CF3C36" w:rsidRDefault="006878FB" w:rsidP="006878FB">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-13.67</w:t>
            </w:r>
          </w:p>
        </w:tc>
        <w:tc>
          <w:tcPr>
            <w:tcW w:w="1012" w:type="dxa"/>
            <w:tcBorders>
              <w:top w:val="nil"/>
              <w:left w:val="nil"/>
              <w:bottom w:val="nil"/>
              <w:right w:val="nil"/>
            </w:tcBorders>
          </w:tcPr>
          <w:p w14:paraId="1D7C2B86"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r>
      <w:tr w:rsidR="006878FB" w:rsidRPr="00CF3C36" w14:paraId="6222AF71" w14:textId="77777777" w:rsidTr="00604EA8">
        <w:trPr>
          <w:jc w:val="center"/>
        </w:trPr>
        <w:tc>
          <w:tcPr>
            <w:tcW w:w="1701" w:type="dxa"/>
            <w:tcBorders>
              <w:top w:val="nil"/>
              <w:left w:val="nil"/>
              <w:bottom w:val="nil"/>
              <w:right w:val="nil"/>
            </w:tcBorders>
          </w:tcPr>
          <w:p w14:paraId="1792420D"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60FCA19F" w14:textId="57830F09"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56D133BE"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32BAD7D7"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889" w:type="dxa"/>
            <w:tcBorders>
              <w:top w:val="nil"/>
              <w:left w:val="nil"/>
              <w:bottom w:val="nil"/>
              <w:right w:val="nil"/>
            </w:tcBorders>
          </w:tcPr>
          <w:p w14:paraId="44F72873" w14:textId="376DC435" w:rsidR="006878FB" w:rsidRPr="00CF3C36" w:rsidRDefault="006878FB" w:rsidP="006878FB">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(11.80)</w:t>
            </w:r>
          </w:p>
        </w:tc>
        <w:tc>
          <w:tcPr>
            <w:tcW w:w="1012" w:type="dxa"/>
            <w:tcBorders>
              <w:top w:val="nil"/>
              <w:left w:val="nil"/>
              <w:bottom w:val="nil"/>
              <w:right w:val="nil"/>
            </w:tcBorders>
          </w:tcPr>
          <w:p w14:paraId="58D79958"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r>
      <w:tr w:rsidR="006878FB" w:rsidRPr="00CF3C36" w14:paraId="02751D13" w14:textId="77777777" w:rsidTr="00604EA8">
        <w:trPr>
          <w:jc w:val="center"/>
        </w:trPr>
        <w:tc>
          <w:tcPr>
            <w:tcW w:w="1701" w:type="dxa"/>
            <w:tcBorders>
              <w:top w:val="nil"/>
              <w:left w:val="nil"/>
              <w:bottom w:val="nil"/>
              <w:right w:val="nil"/>
            </w:tcBorders>
          </w:tcPr>
          <w:p w14:paraId="13612C92" w14:textId="0947C4FE"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cs="Times New Roman"/>
                <w:sz w:val="18"/>
                <w:szCs w:val="18"/>
                <w:lang w:val="en-GB"/>
              </w:rPr>
              <w:t>EPS</w:t>
            </w:r>
            <w:r w:rsidR="002D0C71" w:rsidRPr="00CF3C36">
              <w:rPr>
                <w:rFonts w:ascii="Times New Roman" w:hAnsi="Times New Roman" w:cs="Times New Roman"/>
                <w:sz w:val="18"/>
                <w:szCs w:val="18"/>
                <w:lang w:val="en-GB"/>
              </w:rPr>
              <w:t>I</w:t>
            </w:r>
            <w:r w:rsidRPr="00CF3C36">
              <w:rPr>
                <w:rFonts w:ascii="Times New Roman" w:hAnsi="Times New Roman" w:cs="Times New Roman"/>
                <w:sz w:val="18"/>
                <w:szCs w:val="18"/>
                <w:lang w:val="en-GB"/>
              </w:rPr>
              <w:t>_ln_KL_2_cen</w:t>
            </w:r>
          </w:p>
        </w:tc>
        <w:tc>
          <w:tcPr>
            <w:tcW w:w="992" w:type="dxa"/>
            <w:tcBorders>
              <w:top w:val="nil"/>
              <w:left w:val="nil"/>
              <w:bottom w:val="nil"/>
              <w:right w:val="nil"/>
            </w:tcBorders>
          </w:tcPr>
          <w:p w14:paraId="11F7A3D9" w14:textId="59E4BACA"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64558842"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4059304E"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889" w:type="dxa"/>
            <w:tcBorders>
              <w:top w:val="nil"/>
              <w:left w:val="nil"/>
              <w:bottom w:val="nil"/>
              <w:right w:val="nil"/>
            </w:tcBorders>
          </w:tcPr>
          <w:p w14:paraId="389F027E" w14:textId="090CE82B" w:rsidR="006878FB" w:rsidRPr="00CF3C36" w:rsidRDefault="006878FB" w:rsidP="006878FB">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1.379</w:t>
            </w:r>
          </w:p>
        </w:tc>
        <w:tc>
          <w:tcPr>
            <w:tcW w:w="1012" w:type="dxa"/>
            <w:tcBorders>
              <w:top w:val="nil"/>
              <w:left w:val="nil"/>
              <w:bottom w:val="nil"/>
              <w:right w:val="nil"/>
            </w:tcBorders>
          </w:tcPr>
          <w:p w14:paraId="472F73AA"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r>
      <w:tr w:rsidR="006878FB" w:rsidRPr="00CF3C36" w14:paraId="26D4A5A8" w14:textId="77777777" w:rsidTr="00604EA8">
        <w:trPr>
          <w:jc w:val="center"/>
        </w:trPr>
        <w:tc>
          <w:tcPr>
            <w:tcW w:w="1701" w:type="dxa"/>
            <w:tcBorders>
              <w:top w:val="nil"/>
              <w:left w:val="nil"/>
              <w:bottom w:val="nil"/>
              <w:right w:val="nil"/>
            </w:tcBorders>
          </w:tcPr>
          <w:p w14:paraId="538C3604"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45011051" w14:textId="36DEAE2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54DBDD99"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11D11F2F"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889" w:type="dxa"/>
            <w:tcBorders>
              <w:top w:val="nil"/>
              <w:left w:val="nil"/>
              <w:bottom w:val="nil"/>
              <w:right w:val="nil"/>
            </w:tcBorders>
          </w:tcPr>
          <w:p w14:paraId="1EA6176E" w14:textId="4F3374F7" w:rsidR="006878FB" w:rsidRPr="00CF3C36" w:rsidRDefault="006878FB" w:rsidP="006878FB">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(1.140)</w:t>
            </w:r>
          </w:p>
        </w:tc>
        <w:tc>
          <w:tcPr>
            <w:tcW w:w="1012" w:type="dxa"/>
            <w:tcBorders>
              <w:top w:val="nil"/>
              <w:left w:val="nil"/>
              <w:bottom w:val="nil"/>
              <w:right w:val="nil"/>
            </w:tcBorders>
          </w:tcPr>
          <w:p w14:paraId="64DDAA21"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r>
      <w:tr w:rsidR="006878FB" w:rsidRPr="00CF3C36" w14:paraId="3679CA8A" w14:textId="77777777" w:rsidTr="00604EA8">
        <w:trPr>
          <w:jc w:val="center"/>
        </w:trPr>
        <w:tc>
          <w:tcPr>
            <w:tcW w:w="1701" w:type="dxa"/>
            <w:tcBorders>
              <w:top w:val="nil"/>
              <w:left w:val="nil"/>
              <w:bottom w:val="nil"/>
              <w:right w:val="nil"/>
            </w:tcBorders>
          </w:tcPr>
          <w:p w14:paraId="75DDD16B"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ln_EHCg_intensity</w:t>
            </w:r>
          </w:p>
        </w:tc>
        <w:tc>
          <w:tcPr>
            <w:tcW w:w="992" w:type="dxa"/>
            <w:tcBorders>
              <w:top w:val="nil"/>
              <w:left w:val="nil"/>
              <w:bottom w:val="nil"/>
              <w:right w:val="nil"/>
            </w:tcBorders>
          </w:tcPr>
          <w:p w14:paraId="59B7F3F9"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01178C46"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7F6D13B8"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889" w:type="dxa"/>
            <w:tcBorders>
              <w:top w:val="nil"/>
              <w:left w:val="nil"/>
              <w:bottom w:val="nil"/>
              <w:right w:val="nil"/>
            </w:tcBorders>
          </w:tcPr>
          <w:p w14:paraId="169A8630"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012" w:type="dxa"/>
            <w:tcBorders>
              <w:top w:val="nil"/>
              <w:left w:val="nil"/>
              <w:bottom w:val="nil"/>
              <w:right w:val="nil"/>
            </w:tcBorders>
          </w:tcPr>
          <w:p w14:paraId="411AA6B2"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0.752</w:t>
            </w:r>
          </w:p>
        </w:tc>
      </w:tr>
      <w:tr w:rsidR="006878FB" w:rsidRPr="00CF3C36" w14:paraId="54DD9437" w14:textId="77777777" w:rsidTr="00604EA8">
        <w:trPr>
          <w:jc w:val="center"/>
        </w:trPr>
        <w:tc>
          <w:tcPr>
            <w:tcW w:w="1701" w:type="dxa"/>
            <w:tcBorders>
              <w:top w:val="nil"/>
              <w:left w:val="nil"/>
              <w:bottom w:val="nil"/>
              <w:right w:val="nil"/>
            </w:tcBorders>
          </w:tcPr>
          <w:p w14:paraId="795BDBBB" w14:textId="77777777" w:rsidR="006878FB" w:rsidRPr="00CF3C36" w:rsidRDefault="006878FB" w:rsidP="006878FB">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54099FB3"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10407F28"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155ACEF1"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889" w:type="dxa"/>
            <w:tcBorders>
              <w:top w:val="nil"/>
              <w:left w:val="nil"/>
              <w:bottom w:val="nil"/>
              <w:right w:val="nil"/>
            </w:tcBorders>
          </w:tcPr>
          <w:p w14:paraId="57C1A9DF"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p>
        </w:tc>
        <w:tc>
          <w:tcPr>
            <w:tcW w:w="1012" w:type="dxa"/>
            <w:tcBorders>
              <w:top w:val="nil"/>
              <w:left w:val="nil"/>
              <w:bottom w:val="nil"/>
              <w:right w:val="nil"/>
            </w:tcBorders>
          </w:tcPr>
          <w:p w14:paraId="3B9EC44D" w14:textId="77777777" w:rsidR="006878FB" w:rsidRPr="00CF3C36" w:rsidRDefault="006878FB" w:rsidP="006878F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(0.514)</w:t>
            </w:r>
          </w:p>
        </w:tc>
      </w:tr>
      <w:tr w:rsidR="00F61060" w:rsidRPr="00CF3C36" w14:paraId="57066529" w14:textId="77777777" w:rsidTr="00604EA8">
        <w:trPr>
          <w:jc w:val="center"/>
        </w:trPr>
        <w:tc>
          <w:tcPr>
            <w:tcW w:w="1701" w:type="dxa"/>
            <w:tcBorders>
              <w:top w:val="nil"/>
              <w:left w:val="nil"/>
              <w:bottom w:val="nil"/>
              <w:right w:val="nil"/>
            </w:tcBorders>
          </w:tcPr>
          <w:p w14:paraId="538BDE71" w14:textId="4CED1CB6" w:rsidR="00F61060" w:rsidRPr="00CF3C36" w:rsidRDefault="00F61060" w:rsidP="00F61060">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Constant</w:t>
            </w:r>
          </w:p>
        </w:tc>
        <w:tc>
          <w:tcPr>
            <w:tcW w:w="992" w:type="dxa"/>
            <w:tcBorders>
              <w:top w:val="nil"/>
              <w:left w:val="nil"/>
              <w:bottom w:val="nil"/>
              <w:right w:val="nil"/>
            </w:tcBorders>
          </w:tcPr>
          <w:p w14:paraId="37E1746F" w14:textId="3F735B64"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5.101</w:t>
            </w:r>
          </w:p>
        </w:tc>
        <w:tc>
          <w:tcPr>
            <w:tcW w:w="1134" w:type="dxa"/>
            <w:tcBorders>
              <w:top w:val="nil"/>
              <w:left w:val="nil"/>
              <w:bottom w:val="nil"/>
              <w:right w:val="nil"/>
            </w:tcBorders>
          </w:tcPr>
          <w:p w14:paraId="5F3CA8EE" w14:textId="4785ED09"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-26.93</w:t>
            </w:r>
          </w:p>
        </w:tc>
        <w:tc>
          <w:tcPr>
            <w:tcW w:w="1134" w:type="dxa"/>
            <w:tcBorders>
              <w:top w:val="nil"/>
              <w:left w:val="nil"/>
              <w:bottom w:val="nil"/>
              <w:right w:val="nil"/>
            </w:tcBorders>
          </w:tcPr>
          <w:p w14:paraId="35298DCD" w14:textId="77E346B6"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-41.97*</w:t>
            </w:r>
          </w:p>
        </w:tc>
        <w:tc>
          <w:tcPr>
            <w:tcW w:w="889" w:type="dxa"/>
            <w:tcBorders>
              <w:top w:val="nil"/>
              <w:left w:val="nil"/>
              <w:bottom w:val="nil"/>
              <w:right w:val="nil"/>
            </w:tcBorders>
          </w:tcPr>
          <w:p w14:paraId="1631B510" w14:textId="7A0EF5D0"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68.26*</w:t>
            </w:r>
          </w:p>
        </w:tc>
        <w:tc>
          <w:tcPr>
            <w:tcW w:w="1012" w:type="dxa"/>
            <w:tcBorders>
              <w:top w:val="nil"/>
              <w:left w:val="nil"/>
              <w:bottom w:val="nil"/>
              <w:right w:val="nil"/>
            </w:tcBorders>
          </w:tcPr>
          <w:p w14:paraId="0BFBD426" w14:textId="179232E2"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1.681</w:t>
            </w:r>
          </w:p>
        </w:tc>
      </w:tr>
      <w:tr w:rsidR="00F61060" w:rsidRPr="00CF3C36" w14:paraId="0395E1B2" w14:textId="77777777" w:rsidTr="00604EA8">
        <w:trPr>
          <w:jc w:val="center"/>
        </w:trPr>
        <w:tc>
          <w:tcPr>
            <w:tcW w:w="1701" w:type="dxa"/>
            <w:tcBorders>
              <w:top w:val="nil"/>
              <w:left w:val="nil"/>
              <w:bottom w:val="nil"/>
              <w:right w:val="nil"/>
            </w:tcBorders>
          </w:tcPr>
          <w:p w14:paraId="2B63A7F1" w14:textId="77777777" w:rsidR="00F61060" w:rsidRPr="00CF3C36" w:rsidRDefault="00F61060" w:rsidP="00F61060">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292E9E6C" w14:textId="5EB6C94A"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(24.98)</w:t>
            </w:r>
          </w:p>
        </w:tc>
        <w:tc>
          <w:tcPr>
            <w:tcW w:w="1134" w:type="dxa"/>
            <w:tcBorders>
              <w:top w:val="nil"/>
              <w:left w:val="nil"/>
              <w:bottom w:val="nil"/>
              <w:right w:val="nil"/>
            </w:tcBorders>
          </w:tcPr>
          <w:p w14:paraId="7C804EDA" w14:textId="2554F6C6"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(16.85)</w:t>
            </w:r>
          </w:p>
        </w:tc>
        <w:tc>
          <w:tcPr>
            <w:tcW w:w="1134" w:type="dxa"/>
            <w:tcBorders>
              <w:top w:val="nil"/>
              <w:left w:val="nil"/>
              <w:bottom w:val="nil"/>
              <w:right w:val="nil"/>
            </w:tcBorders>
          </w:tcPr>
          <w:p w14:paraId="615DF52F" w14:textId="478BCA11"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(23.20)</w:t>
            </w:r>
          </w:p>
        </w:tc>
        <w:tc>
          <w:tcPr>
            <w:tcW w:w="889" w:type="dxa"/>
            <w:tcBorders>
              <w:top w:val="nil"/>
              <w:left w:val="nil"/>
              <w:bottom w:val="nil"/>
              <w:right w:val="nil"/>
            </w:tcBorders>
          </w:tcPr>
          <w:p w14:paraId="6C93ECCE" w14:textId="2AF91F5B"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(35.58)</w:t>
            </w:r>
          </w:p>
        </w:tc>
        <w:tc>
          <w:tcPr>
            <w:tcW w:w="1012" w:type="dxa"/>
            <w:tcBorders>
              <w:top w:val="nil"/>
              <w:left w:val="nil"/>
              <w:bottom w:val="nil"/>
              <w:right w:val="nil"/>
            </w:tcBorders>
          </w:tcPr>
          <w:p w14:paraId="01F087C9" w14:textId="5275F30D"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(9.544)</w:t>
            </w:r>
          </w:p>
        </w:tc>
      </w:tr>
      <w:tr w:rsidR="00F61060" w:rsidRPr="00CF3C36" w14:paraId="2810214D" w14:textId="77777777" w:rsidTr="00604EA8">
        <w:trPr>
          <w:jc w:val="center"/>
        </w:trPr>
        <w:tc>
          <w:tcPr>
            <w:tcW w:w="1701" w:type="dxa"/>
            <w:tcBorders>
              <w:top w:val="nil"/>
              <w:left w:val="nil"/>
              <w:bottom w:val="nil"/>
              <w:right w:val="nil"/>
            </w:tcBorders>
          </w:tcPr>
          <w:p w14:paraId="28001B92" w14:textId="11FA20E7" w:rsidR="00F61060" w:rsidRPr="00CF3C36" w:rsidRDefault="00F61060" w:rsidP="00F61060">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272E7976" w14:textId="43CCF5F7"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3CF66EC2" w14:textId="2904D97A"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5503E43A" w14:textId="3A17E181"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p>
        </w:tc>
        <w:tc>
          <w:tcPr>
            <w:tcW w:w="889" w:type="dxa"/>
            <w:tcBorders>
              <w:top w:val="nil"/>
              <w:left w:val="nil"/>
              <w:bottom w:val="nil"/>
              <w:right w:val="nil"/>
            </w:tcBorders>
          </w:tcPr>
          <w:p w14:paraId="11575BD7" w14:textId="4132F6F1"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p>
        </w:tc>
        <w:tc>
          <w:tcPr>
            <w:tcW w:w="1012" w:type="dxa"/>
            <w:tcBorders>
              <w:top w:val="nil"/>
              <w:left w:val="nil"/>
              <w:bottom w:val="nil"/>
              <w:right w:val="nil"/>
            </w:tcBorders>
          </w:tcPr>
          <w:p w14:paraId="5F6B079E" w14:textId="5B3856AA"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p>
        </w:tc>
      </w:tr>
      <w:tr w:rsidR="00F61060" w:rsidRPr="00CF3C36" w14:paraId="6BB1451A" w14:textId="77777777" w:rsidTr="00604EA8">
        <w:trPr>
          <w:jc w:val="center"/>
        </w:trPr>
        <w:tc>
          <w:tcPr>
            <w:tcW w:w="1701" w:type="dxa"/>
            <w:tcBorders>
              <w:top w:val="nil"/>
              <w:left w:val="nil"/>
              <w:bottom w:val="nil"/>
              <w:right w:val="nil"/>
            </w:tcBorders>
          </w:tcPr>
          <w:p w14:paraId="0DDA45D7" w14:textId="1B618CCE" w:rsidR="00F61060" w:rsidRPr="00CF3C36" w:rsidRDefault="00F61060" w:rsidP="00F61060">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Observations</w:t>
            </w:r>
          </w:p>
        </w:tc>
        <w:tc>
          <w:tcPr>
            <w:tcW w:w="992" w:type="dxa"/>
            <w:tcBorders>
              <w:top w:val="nil"/>
              <w:left w:val="nil"/>
              <w:bottom w:val="nil"/>
              <w:right w:val="nil"/>
            </w:tcBorders>
          </w:tcPr>
          <w:p w14:paraId="09B60BCC" w14:textId="6A7A59FF"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224</w:t>
            </w:r>
          </w:p>
        </w:tc>
        <w:tc>
          <w:tcPr>
            <w:tcW w:w="1134" w:type="dxa"/>
            <w:tcBorders>
              <w:top w:val="nil"/>
              <w:left w:val="nil"/>
              <w:bottom w:val="nil"/>
              <w:right w:val="nil"/>
            </w:tcBorders>
          </w:tcPr>
          <w:p w14:paraId="27EF378D" w14:textId="6BFAE3FD"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c>
          <w:tcPr>
            <w:tcW w:w="1134" w:type="dxa"/>
            <w:tcBorders>
              <w:top w:val="nil"/>
              <w:left w:val="nil"/>
              <w:bottom w:val="nil"/>
              <w:right w:val="nil"/>
            </w:tcBorders>
          </w:tcPr>
          <w:p w14:paraId="1F32D6AB" w14:textId="69F6663F"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315</w:t>
            </w:r>
          </w:p>
        </w:tc>
        <w:tc>
          <w:tcPr>
            <w:tcW w:w="889" w:type="dxa"/>
            <w:tcBorders>
              <w:top w:val="nil"/>
              <w:left w:val="nil"/>
              <w:bottom w:val="nil"/>
              <w:right w:val="nil"/>
            </w:tcBorders>
          </w:tcPr>
          <w:p w14:paraId="7C622BAB" w14:textId="3234A407"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127</w:t>
            </w:r>
          </w:p>
        </w:tc>
        <w:tc>
          <w:tcPr>
            <w:tcW w:w="1012" w:type="dxa"/>
            <w:tcBorders>
              <w:top w:val="nil"/>
              <w:left w:val="nil"/>
              <w:bottom w:val="nil"/>
              <w:right w:val="nil"/>
            </w:tcBorders>
          </w:tcPr>
          <w:p w14:paraId="5D323F3F" w14:textId="08E5177A"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r>
      <w:tr w:rsidR="00F61060" w:rsidRPr="00CF3C36" w14:paraId="0F7C997D" w14:textId="77777777" w:rsidTr="00604EA8">
        <w:trPr>
          <w:jc w:val="center"/>
        </w:trPr>
        <w:tc>
          <w:tcPr>
            <w:tcW w:w="1701" w:type="dxa"/>
            <w:tcBorders>
              <w:top w:val="nil"/>
              <w:left w:val="nil"/>
              <w:bottom w:val="nil"/>
              <w:right w:val="nil"/>
            </w:tcBorders>
          </w:tcPr>
          <w:p w14:paraId="0AB4E1E5" w14:textId="57C25838" w:rsidR="00F61060" w:rsidRPr="00CF3C36" w:rsidRDefault="00F61060" w:rsidP="00F61060">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R-squared</w:t>
            </w:r>
          </w:p>
        </w:tc>
        <w:tc>
          <w:tcPr>
            <w:tcW w:w="992" w:type="dxa"/>
            <w:tcBorders>
              <w:top w:val="nil"/>
              <w:left w:val="nil"/>
              <w:bottom w:val="nil"/>
              <w:right w:val="nil"/>
            </w:tcBorders>
          </w:tcPr>
          <w:p w14:paraId="584AD3F3" w14:textId="55BF3F53"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0.154</w:t>
            </w:r>
          </w:p>
        </w:tc>
        <w:tc>
          <w:tcPr>
            <w:tcW w:w="1134" w:type="dxa"/>
            <w:tcBorders>
              <w:top w:val="nil"/>
              <w:left w:val="nil"/>
              <w:bottom w:val="nil"/>
              <w:right w:val="nil"/>
            </w:tcBorders>
          </w:tcPr>
          <w:p w14:paraId="49B1EF3D" w14:textId="24ED2AF8"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0.174</w:t>
            </w:r>
          </w:p>
        </w:tc>
        <w:tc>
          <w:tcPr>
            <w:tcW w:w="1134" w:type="dxa"/>
            <w:tcBorders>
              <w:top w:val="nil"/>
              <w:left w:val="nil"/>
              <w:bottom w:val="nil"/>
              <w:right w:val="nil"/>
            </w:tcBorders>
          </w:tcPr>
          <w:p w14:paraId="4A33C875" w14:textId="39964170"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0.150</w:t>
            </w:r>
          </w:p>
        </w:tc>
        <w:tc>
          <w:tcPr>
            <w:tcW w:w="889" w:type="dxa"/>
            <w:tcBorders>
              <w:top w:val="nil"/>
              <w:left w:val="nil"/>
              <w:bottom w:val="nil"/>
              <w:right w:val="nil"/>
            </w:tcBorders>
          </w:tcPr>
          <w:p w14:paraId="3F9E0D6A" w14:textId="28855C56"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25</w:t>
            </w:r>
          </w:p>
        </w:tc>
        <w:tc>
          <w:tcPr>
            <w:tcW w:w="1012" w:type="dxa"/>
            <w:tcBorders>
              <w:top w:val="nil"/>
              <w:left w:val="nil"/>
              <w:bottom w:val="nil"/>
              <w:right w:val="nil"/>
            </w:tcBorders>
          </w:tcPr>
          <w:p w14:paraId="2D757E57" w14:textId="7E431715"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0.210</w:t>
            </w:r>
          </w:p>
        </w:tc>
      </w:tr>
      <w:tr w:rsidR="00F61060" w:rsidRPr="00CF3C36" w14:paraId="21B5BCD8" w14:textId="77777777" w:rsidTr="0033505A">
        <w:trPr>
          <w:jc w:val="center"/>
        </w:trPr>
        <w:tc>
          <w:tcPr>
            <w:tcW w:w="1701" w:type="dxa"/>
            <w:tcBorders>
              <w:top w:val="nil"/>
              <w:left w:val="nil"/>
              <w:bottom w:val="single" w:sz="6" w:space="0" w:color="auto"/>
              <w:right w:val="nil"/>
            </w:tcBorders>
          </w:tcPr>
          <w:p w14:paraId="3A1907A2" w14:textId="29D415AE" w:rsidR="00F61060" w:rsidRPr="00CF3C36" w:rsidRDefault="00F61060" w:rsidP="00F61060">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Number of cou1</w:t>
            </w:r>
          </w:p>
        </w:tc>
        <w:tc>
          <w:tcPr>
            <w:tcW w:w="992" w:type="dxa"/>
            <w:tcBorders>
              <w:top w:val="nil"/>
              <w:left w:val="nil"/>
              <w:bottom w:val="single" w:sz="6" w:space="0" w:color="auto"/>
              <w:right w:val="nil"/>
            </w:tcBorders>
          </w:tcPr>
          <w:p w14:paraId="6D46A6AB" w14:textId="54A2E330"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1134" w:type="dxa"/>
            <w:tcBorders>
              <w:top w:val="nil"/>
              <w:left w:val="nil"/>
              <w:bottom w:val="single" w:sz="6" w:space="0" w:color="auto"/>
              <w:right w:val="nil"/>
            </w:tcBorders>
          </w:tcPr>
          <w:p w14:paraId="4A74DFA3" w14:textId="7F2BDC10"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1134" w:type="dxa"/>
            <w:tcBorders>
              <w:top w:val="nil"/>
              <w:left w:val="nil"/>
              <w:bottom w:val="single" w:sz="6" w:space="0" w:color="auto"/>
              <w:right w:val="nil"/>
            </w:tcBorders>
          </w:tcPr>
          <w:p w14:paraId="00B45140" w14:textId="16ED3D7B"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55</w:t>
            </w:r>
          </w:p>
        </w:tc>
        <w:tc>
          <w:tcPr>
            <w:tcW w:w="889" w:type="dxa"/>
            <w:tcBorders>
              <w:top w:val="nil"/>
              <w:left w:val="nil"/>
              <w:bottom w:val="single" w:sz="6" w:space="0" w:color="auto"/>
              <w:right w:val="nil"/>
            </w:tcBorders>
          </w:tcPr>
          <w:p w14:paraId="209DC058" w14:textId="1F342723"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0.332</w:t>
            </w:r>
          </w:p>
        </w:tc>
        <w:tc>
          <w:tcPr>
            <w:tcW w:w="1012" w:type="dxa"/>
            <w:tcBorders>
              <w:top w:val="nil"/>
              <w:left w:val="nil"/>
              <w:bottom w:val="single" w:sz="6" w:space="0" w:color="auto"/>
              <w:right w:val="nil"/>
            </w:tcBorders>
          </w:tcPr>
          <w:p w14:paraId="5EE8BD5F" w14:textId="5B58F010"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r>
      <w:tr w:rsidR="00F61060" w:rsidRPr="00CF3C36" w14:paraId="7ACE24DC" w14:textId="77777777" w:rsidTr="00604EA8">
        <w:trPr>
          <w:jc w:val="center"/>
        </w:trPr>
        <w:tc>
          <w:tcPr>
            <w:tcW w:w="1701" w:type="dxa"/>
            <w:tcBorders>
              <w:top w:val="nil"/>
              <w:left w:val="nil"/>
              <w:bottom w:val="nil"/>
              <w:right w:val="nil"/>
            </w:tcBorders>
          </w:tcPr>
          <w:p w14:paraId="541A65A9" w14:textId="3D6D0F52" w:rsidR="00F61060" w:rsidRPr="00CF3C36" w:rsidRDefault="00F61060" w:rsidP="00F61060">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13BAF145" w14:textId="45432EF4"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05C694A0" w14:textId="074D8DBD"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2E406637" w14:textId="7ACC3656"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p>
        </w:tc>
        <w:tc>
          <w:tcPr>
            <w:tcW w:w="889" w:type="dxa"/>
            <w:tcBorders>
              <w:top w:val="nil"/>
              <w:left w:val="nil"/>
              <w:bottom w:val="nil"/>
              <w:right w:val="nil"/>
            </w:tcBorders>
          </w:tcPr>
          <w:p w14:paraId="779E0646" w14:textId="7E0E0469"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p>
        </w:tc>
        <w:tc>
          <w:tcPr>
            <w:tcW w:w="1012" w:type="dxa"/>
            <w:tcBorders>
              <w:top w:val="nil"/>
              <w:left w:val="nil"/>
              <w:bottom w:val="nil"/>
              <w:right w:val="nil"/>
            </w:tcBorders>
          </w:tcPr>
          <w:p w14:paraId="04639169" w14:textId="4C08861E"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p>
        </w:tc>
      </w:tr>
      <w:tr w:rsidR="00F61060" w:rsidRPr="00CF3C36" w14:paraId="0EE9E4FE" w14:textId="77777777" w:rsidTr="00604EA8">
        <w:tblPrEx>
          <w:tblBorders>
            <w:bottom w:val="single" w:sz="6" w:space="0" w:color="auto"/>
          </w:tblBorders>
        </w:tblPrEx>
        <w:trPr>
          <w:jc w:val="center"/>
        </w:trPr>
        <w:tc>
          <w:tcPr>
            <w:tcW w:w="1701" w:type="dxa"/>
            <w:tcBorders>
              <w:top w:val="nil"/>
              <w:left w:val="nil"/>
              <w:bottom w:val="single" w:sz="6" w:space="0" w:color="auto"/>
              <w:right w:val="nil"/>
            </w:tcBorders>
          </w:tcPr>
          <w:p w14:paraId="51690335" w14:textId="203640E4" w:rsidR="00F61060" w:rsidRPr="00CF3C36" w:rsidRDefault="00F61060" w:rsidP="00F61060">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single" w:sz="6" w:space="0" w:color="auto"/>
              <w:right w:val="nil"/>
            </w:tcBorders>
          </w:tcPr>
          <w:p w14:paraId="44ACE8B0" w14:textId="6A5D814C"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single" w:sz="6" w:space="0" w:color="auto"/>
              <w:right w:val="nil"/>
            </w:tcBorders>
          </w:tcPr>
          <w:p w14:paraId="38677903" w14:textId="157CA89E"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single" w:sz="6" w:space="0" w:color="auto"/>
              <w:right w:val="nil"/>
            </w:tcBorders>
          </w:tcPr>
          <w:p w14:paraId="749A3018" w14:textId="60CC3791"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p>
        </w:tc>
        <w:tc>
          <w:tcPr>
            <w:tcW w:w="889" w:type="dxa"/>
            <w:tcBorders>
              <w:top w:val="nil"/>
              <w:left w:val="nil"/>
              <w:bottom w:val="single" w:sz="6" w:space="0" w:color="auto"/>
              <w:right w:val="nil"/>
            </w:tcBorders>
          </w:tcPr>
          <w:p w14:paraId="5A33F7E9" w14:textId="1F46237D"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p>
        </w:tc>
        <w:tc>
          <w:tcPr>
            <w:tcW w:w="1012" w:type="dxa"/>
            <w:tcBorders>
              <w:top w:val="nil"/>
              <w:left w:val="nil"/>
              <w:bottom w:val="single" w:sz="6" w:space="0" w:color="auto"/>
              <w:right w:val="nil"/>
            </w:tcBorders>
          </w:tcPr>
          <w:p w14:paraId="16BA94C4" w14:textId="1BF19DF9" w:rsidR="00F61060" w:rsidRPr="00CF3C36" w:rsidRDefault="00F61060" w:rsidP="00F61060">
            <w:pPr>
              <w:widowControl w:val="0"/>
              <w:autoSpaceDE w:val="0"/>
              <w:autoSpaceDN w:val="0"/>
              <w:adjustRightInd w:val="0"/>
              <w:spacing w:after="0" w:line="240" w:lineRule="auto"/>
              <w:jc w:val="center"/>
              <w:rPr>
                <w:rFonts w:ascii="Times New Roman" w:hAnsi="Times New Roman"/>
                <w:sz w:val="18"/>
                <w:szCs w:val="18"/>
                <w:lang w:val="en-GB"/>
              </w:rPr>
            </w:pPr>
          </w:p>
        </w:tc>
      </w:tr>
    </w:tbl>
    <w:p w14:paraId="3E02AA2F" w14:textId="77777777" w:rsidR="00427632" w:rsidRPr="00CF3C36" w:rsidRDefault="00427632" w:rsidP="00427632">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Robust standard errors in parentheses</w:t>
      </w:r>
    </w:p>
    <w:p w14:paraId="0747929D" w14:textId="77777777" w:rsidR="00427632" w:rsidRPr="00CF3C36" w:rsidRDefault="00427632" w:rsidP="00427632">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 p&lt;0.01, ** p&lt;0.05, * p&lt;0.1</w:t>
      </w:r>
    </w:p>
    <w:p w14:paraId="0DA7F708" w14:textId="77777777" w:rsidR="00427632" w:rsidRPr="00CF3C36" w:rsidRDefault="00427632" w:rsidP="002A03CF">
      <w:pPr>
        <w:jc w:val="center"/>
        <w:rPr>
          <w:i/>
          <w:lang w:val="en-GB"/>
        </w:rPr>
      </w:pPr>
    </w:p>
    <w:p w14:paraId="022AEEB7" w14:textId="77777777" w:rsidR="002A03CF" w:rsidRPr="00CF3C36" w:rsidRDefault="002A03CF" w:rsidP="002A03CF">
      <w:pPr>
        <w:jc w:val="center"/>
        <w:rPr>
          <w:i/>
          <w:lang w:val="en-GB"/>
        </w:rPr>
      </w:pPr>
    </w:p>
    <w:p w14:paraId="238F8FAC" w14:textId="77777777" w:rsidR="002A03CF" w:rsidRPr="00CF3C36" w:rsidRDefault="002A03CF" w:rsidP="002A03CF">
      <w:pPr>
        <w:jc w:val="center"/>
        <w:rPr>
          <w:i/>
          <w:lang w:val="en-GB"/>
        </w:rPr>
      </w:pPr>
    </w:p>
    <w:p w14:paraId="14B52939" w14:textId="77777777" w:rsidR="002A03CF" w:rsidRPr="00CF3C36" w:rsidRDefault="002A03CF" w:rsidP="002A03CF">
      <w:pPr>
        <w:jc w:val="center"/>
        <w:rPr>
          <w:i/>
          <w:lang w:val="en-GB"/>
        </w:rPr>
      </w:pPr>
    </w:p>
    <w:p w14:paraId="3C281EC2" w14:textId="77777777" w:rsidR="002A03CF" w:rsidRPr="00CF3C36" w:rsidRDefault="002A03CF" w:rsidP="002A03CF">
      <w:pPr>
        <w:jc w:val="center"/>
        <w:rPr>
          <w:i/>
          <w:lang w:val="en-GB"/>
        </w:rPr>
      </w:pPr>
    </w:p>
    <w:p w14:paraId="7218D148" w14:textId="77777777" w:rsidR="002A03CF" w:rsidRPr="00CF3C36" w:rsidRDefault="002A03CF" w:rsidP="002A03CF">
      <w:pPr>
        <w:jc w:val="center"/>
        <w:rPr>
          <w:i/>
          <w:lang w:val="en-GB"/>
        </w:rPr>
      </w:pPr>
    </w:p>
    <w:p w14:paraId="30D0D545" w14:textId="77777777" w:rsidR="002A03CF" w:rsidRPr="00CF3C36" w:rsidRDefault="002A03CF" w:rsidP="002A03CF">
      <w:pPr>
        <w:jc w:val="center"/>
        <w:rPr>
          <w:i/>
          <w:lang w:val="en-GB"/>
        </w:rPr>
      </w:pPr>
    </w:p>
    <w:p w14:paraId="43C60CED" w14:textId="77777777" w:rsidR="002A03CF" w:rsidRPr="00CF3C36" w:rsidRDefault="002A03CF" w:rsidP="002A03CF">
      <w:pPr>
        <w:jc w:val="center"/>
        <w:rPr>
          <w:i/>
          <w:lang w:val="en-GB"/>
        </w:rPr>
      </w:pPr>
    </w:p>
    <w:p w14:paraId="1C593279" w14:textId="77777777" w:rsidR="002A03CF" w:rsidRPr="00CF3C36" w:rsidRDefault="002A03CF" w:rsidP="002A03CF">
      <w:pPr>
        <w:jc w:val="center"/>
        <w:rPr>
          <w:i/>
          <w:lang w:val="en-GB"/>
        </w:rPr>
      </w:pPr>
    </w:p>
    <w:p w14:paraId="491DD924" w14:textId="77777777" w:rsidR="00943E8E" w:rsidRPr="00CF3C36" w:rsidRDefault="00943E8E" w:rsidP="00427632">
      <w:pPr>
        <w:rPr>
          <w:i/>
          <w:lang w:val="en-GB"/>
        </w:rPr>
      </w:pPr>
    </w:p>
    <w:p w14:paraId="5D52FB83" w14:textId="77777777" w:rsidR="00B336B1" w:rsidRPr="00CF3C36" w:rsidRDefault="00B336B1" w:rsidP="00427632">
      <w:pPr>
        <w:rPr>
          <w:i/>
          <w:lang w:val="en-GB"/>
        </w:rPr>
      </w:pPr>
    </w:p>
    <w:p w14:paraId="27590DC8" w14:textId="35835E81" w:rsidR="00C81BAB" w:rsidRPr="00CF3C36" w:rsidRDefault="0033675A" w:rsidP="00864C4C">
      <w:pPr>
        <w:pStyle w:val="Heading5"/>
        <w:jc w:val="center"/>
        <w:rPr>
          <w:lang w:val="en-GB"/>
        </w:rPr>
      </w:pPr>
      <w:bookmarkStart w:id="47" w:name="_Toc15475679"/>
      <w:r w:rsidRPr="00CF3C36">
        <w:rPr>
          <w:lang w:val="en-GB"/>
        </w:rPr>
        <w:lastRenderedPageBreak/>
        <w:t>Table 16</w:t>
      </w:r>
      <w:r w:rsidR="00864C4C" w:rsidRPr="00CF3C36">
        <w:rPr>
          <w:lang w:val="en-GB"/>
        </w:rPr>
        <w:t xml:space="preserve">. </w:t>
      </w:r>
      <w:r w:rsidR="00C81BAB" w:rsidRPr="00CF3C36">
        <w:rPr>
          <w:lang w:val="en-GB"/>
        </w:rPr>
        <w:t>Build-up Model 1.1</w:t>
      </w:r>
      <w:bookmarkEnd w:id="47"/>
    </w:p>
    <w:tbl>
      <w:tblPr>
        <w:tblW w:w="0" w:type="auto"/>
        <w:jc w:val="center"/>
        <w:tblLayout w:type="fixed"/>
        <w:tblCellMar>
          <w:left w:w="75" w:type="dxa"/>
          <w:right w:w="75" w:type="dxa"/>
        </w:tblCellMar>
        <w:tblLook w:val="0000" w:firstRow="0" w:lastRow="0" w:firstColumn="0" w:lastColumn="0" w:noHBand="0" w:noVBand="0"/>
      </w:tblPr>
      <w:tblGrid>
        <w:gridCol w:w="1545"/>
        <w:gridCol w:w="1071"/>
        <w:gridCol w:w="1071"/>
        <w:gridCol w:w="1071"/>
        <w:gridCol w:w="1071"/>
        <w:gridCol w:w="1071"/>
        <w:gridCol w:w="992"/>
      </w:tblGrid>
      <w:tr w:rsidR="00C81BAB" w:rsidRPr="00CF3C36" w14:paraId="6C6EE421" w14:textId="77777777" w:rsidTr="00585F6A">
        <w:trPr>
          <w:jc w:val="center"/>
        </w:trPr>
        <w:tc>
          <w:tcPr>
            <w:tcW w:w="1545" w:type="dxa"/>
            <w:tcBorders>
              <w:top w:val="single" w:sz="6" w:space="0" w:color="auto"/>
              <w:left w:val="nil"/>
              <w:bottom w:val="nil"/>
              <w:right w:val="nil"/>
            </w:tcBorders>
          </w:tcPr>
          <w:p w14:paraId="1E728C2C"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p>
        </w:tc>
        <w:tc>
          <w:tcPr>
            <w:tcW w:w="1071" w:type="dxa"/>
            <w:tcBorders>
              <w:top w:val="single" w:sz="6" w:space="0" w:color="auto"/>
              <w:left w:val="nil"/>
              <w:bottom w:val="nil"/>
              <w:right w:val="nil"/>
            </w:tcBorders>
          </w:tcPr>
          <w:p w14:paraId="2B7837A5"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w:t>
            </w:r>
          </w:p>
        </w:tc>
        <w:tc>
          <w:tcPr>
            <w:tcW w:w="1071" w:type="dxa"/>
            <w:tcBorders>
              <w:top w:val="single" w:sz="6" w:space="0" w:color="auto"/>
              <w:left w:val="nil"/>
              <w:bottom w:val="nil"/>
              <w:right w:val="nil"/>
            </w:tcBorders>
          </w:tcPr>
          <w:p w14:paraId="3DFB8F9B"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w:t>
            </w:r>
          </w:p>
        </w:tc>
        <w:tc>
          <w:tcPr>
            <w:tcW w:w="1071" w:type="dxa"/>
            <w:tcBorders>
              <w:top w:val="single" w:sz="6" w:space="0" w:color="auto"/>
              <w:left w:val="nil"/>
              <w:bottom w:val="nil"/>
              <w:right w:val="nil"/>
            </w:tcBorders>
          </w:tcPr>
          <w:p w14:paraId="76C0FEE7"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(3)</w:t>
            </w:r>
          </w:p>
        </w:tc>
        <w:tc>
          <w:tcPr>
            <w:tcW w:w="1071" w:type="dxa"/>
            <w:tcBorders>
              <w:top w:val="single" w:sz="6" w:space="0" w:color="auto"/>
              <w:left w:val="nil"/>
              <w:bottom w:val="nil"/>
              <w:right w:val="nil"/>
            </w:tcBorders>
          </w:tcPr>
          <w:p w14:paraId="64FFDCB3"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w:t>
            </w:r>
          </w:p>
        </w:tc>
        <w:tc>
          <w:tcPr>
            <w:tcW w:w="1071" w:type="dxa"/>
            <w:tcBorders>
              <w:top w:val="single" w:sz="6" w:space="0" w:color="auto"/>
              <w:left w:val="nil"/>
              <w:bottom w:val="nil"/>
              <w:right w:val="nil"/>
            </w:tcBorders>
          </w:tcPr>
          <w:p w14:paraId="46C2B7BD"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w:t>
            </w:r>
          </w:p>
        </w:tc>
        <w:tc>
          <w:tcPr>
            <w:tcW w:w="992" w:type="dxa"/>
            <w:tcBorders>
              <w:top w:val="single" w:sz="6" w:space="0" w:color="auto"/>
              <w:left w:val="nil"/>
              <w:bottom w:val="nil"/>
              <w:right w:val="nil"/>
            </w:tcBorders>
          </w:tcPr>
          <w:p w14:paraId="370F990A"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(6)</w:t>
            </w:r>
          </w:p>
        </w:tc>
      </w:tr>
      <w:tr w:rsidR="00C81BAB" w:rsidRPr="00CF3C36" w14:paraId="6E683953" w14:textId="77777777" w:rsidTr="00585F6A">
        <w:trPr>
          <w:jc w:val="center"/>
        </w:trPr>
        <w:tc>
          <w:tcPr>
            <w:tcW w:w="1545" w:type="dxa"/>
            <w:tcBorders>
              <w:top w:val="nil"/>
              <w:left w:val="nil"/>
              <w:bottom w:val="single" w:sz="6" w:space="0" w:color="auto"/>
              <w:right w:val="nil"/>
            </w:tcBorders>
          </w:tcPr>
          <w:p w14:paraId="7532BB79"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VARIABLES</w:t>
            </w:r>
          </w:p>
        </w:tc>
        <w:tc>
          <w:tcPr>
            <w:tcW w:w="1071" w:type="dxa"/>
            <w:tcBorders>
              <w:top w:val="nil"/>
              <w:left w:val="nil"/>
              <w:bottom w:val="single" w:sz="6" w:space="0" w:color="auto"/>
              <w:right w:val="nil"/>
            </w:tcBorders>
          </w:tcPr>
          <w:p w14:paraId="364F09F8"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1.1</w:t>
            </w:r>
          </w:p>
        </w:tc>
        <w:tc>
          <w:tcPr>
            <w:tcW w:w="1071" w:type="dxa"/>
            <w:tcBorders>
              <w:top w:val="nil"/>
              <w:left w:val="nil"/>
              <w:bottom w:val="single" w:sz="6" w:space="0" w:color="auto"/>
              <w:right w:val="nil"/>
            </w:tcBorders>
          </w:tcPr>
          <w:p w14:paraId="113E300F"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1.1</w:t>
            </w:r>
          </w:p>
        </w:tc>
        <w:tc>
          <w:tcPr>
            <w:tcW w:w="1071" w:type="dxa"/>
            <w:tcBorders>
              <w:top w:val="nil"/>
              <w:left w:val="nil"/>
              <w:bottom w:val="single" w:sz="6" w:space="0" w:color="auto"/>
              <w:right w:val="nil"/>
            </w:tcBorders>
          </w:tcPr>
          <w:p w14:paraId="19C6756F"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1.1</w:t>
            </w:r>
          </w:p>
        </w:tc>
        <w:tc>
          <w:tcPr>
            <w:tcW w:w="1071" w:type="dxa"/>
            <w:tcBorders>
              <w:top w:val="nil"/>
              <w:left w:val="nil"/>
              <w:bottom w:val="single" w:sz="6" w:space="0" w:color="auto"/>
              <w:right w:val="nil"/>
            </w:tcBorders>
          </w:tcPr>
          <w:p w14:paraId="6D93EFD3"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1.1</w:t>
            </w:r>
          </w:p>
        </w:tc>
        <w:tc>
          <w:tcPr>
            <w:tcW w:w="1071" w:type="dxa"/>
            <w:tcBorders>
              <w:top w:val="nil"/>
              <w:left w:val="nil"/>
              <w:bottom w:val="single" w:sz="6" w:space="0" w:color="auto"/>
              <w:right w:val="nil"/>
            </w:tcBorders>
          </w:tcPr>
          <w:p w14:paraId="5F645CF3"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1.1</w:t>
            </w:r>
          </w:p>
        </w:tc>
        <w:tc>
          <w:tcPr>
            <w:tcW w:w="992" w:type="dxa"/>
            <w:tcBorders>
              <w:top w:val="nil"/>
              <w:left w:val="nil"/>
              <w:bottom w:val="single" w:sz="6" w:space="0" w:color="auto"/>
              <w:right w:val="nil"/>
            </w:tcBorders>
          </w:tcPr>
          <w:p w14:paraId="284EB450"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1.1</w:t>
            </w:r>
          </w:p>
        </w:tc>
      </w:tr>
      <w:tr w:rsidR="00C81BAB" w:rsidRPr="00CF3C36" w14:paraId="3E0F9E1A" w14:textId="77777777" w:rsidTr="00585F6A">
        <w:trPr>
          <w:jc w:val="center"/>
        </w:trPr>
        <w:tc>
          <w:tcPr>
            <w:tcW w:w="1545" w:type="dxa"/>
            <w:tcBorders>
              <w:top w:val="nil"/>
              <w:left w:val="nil"/>
              <w:bottom w:val="nil"/>
              <w:right w:val="nil"/>
            </w:tcBorders>
          </w:tcPr>
          <w:p w14:paraId="2F6C244F"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p>
        </w:tc>
        <w:tc>
          <w:tcPr>
            <w:tcW w:w="1071" w:type="dxa"/>
            <w:tcBorders>
              <w:top w:val="nil"/>
              <w:left w:val="nil"/>
              <w:bottom w:val="nil"/>
              <w:right w:val="nil"/>
            </w:tcBorders>
          </w:tcPr>
          <w:p w14:paraId="62B9A79D"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076025BA"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0E94156F"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6206F407"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3FCC8CEE"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25475EE1"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r>
      <w:tr w:rsidR="00C81BAB" w:rsidRPr="00CF3C36" w14:paraId="529471E8" w14:textId="77777777" w:rsidTr="00585F6A">
        <w:trPr>
          <w:jc w:val="center"/>
        </w:trPr>
        <w:tc>
          <w:tcPr>
            <w:tcW w:w="1545" w:type="dxa"/>
            <w:tcBorders>
              <w:top w:val="nil"/>
              <w:left w:val="nil"/>
              <w:bottom w:val="nil"/>
              <w:right w:val="nil"/>
            </w:tcBorders>
          </w:tcPr>
          <w:p w14:paraId="78312668"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EPI</w:t>
            </w:r>
          </w:p>
        </w:tc>
        <w:tc>
          <w:tcPr>
            <w:tcW w:w="1071" w:type="dxa"/>
            <w:tcBorders>
              <w:top w:val="nil"/>
              <w:left w:val="nil"/>
              <w:bottom w:val="nil"/>
              <w:right w:val="nil"/>
            </w:tcBorders>
          </w:tcPr>
          <w:p w14:paraId="109B5141"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0.00984</w:t>
            </w:r>
          </w:p>
        </w:tc>
        <w:tc>
          <w:tcPr>
            <w:tcW w:w="1071" w:type="dxa"/>
            <w:tcBorders>
              <w:top w:val="nil"/>
              <w:left w:val="nil"/>
              <w:bottom w:val="nil"/>
              <w:right w:val="nil"/>
            </w:tcBorders>
          </w:tcPr>
          <w:p w14:paraId="3188ECA0"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0.0267</w:t>
            </w:r>
          </w:p>
        </w:tc>
        <w:tc>
          <w:tcPr>
            <w:tcW w:w="1071" w:type="dxa"/>
            <w:tcBorders>
              <w:top w:val="nil"/>
              <w:left w:val="nil"/>
              <w:bottom w:val="nil"/>
              <w:right w:val="nil"/>
            </w:tcBorders>
          </w:tcPr>
          <w:p w14:paraId="6CEA90F0"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0.0528</w:t>
            </w:r>
          </w:p>
        </w:tc>
        <w:tc>
          <w:tcPr>
            <w:tcW w:w="1071" w:type="dxa"/>
            <w:tcBorders>
              <w:top w:val="nil"/>
              <w:left w:val="nil"/>
              <w:bottom w:val="nil"/>
              <w:right w:val="nil"/>
            </w:tcBorders>
          </w:tcPr>
          <w:p w14:paraId="7DC726B8"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0.0504</w:t>
            </w:r>
          </w:p>
        </w:tc>
        <w:tc>
          <w:tcPr>
            <w:tcW w:w="1071" w:type="dxa"/>
            <w:tcBorders>
              <w:top w:val="nil"/>
              <w:left w:val="nil"/>
              <w:bottom w:val="nil"/>
              <w:right w:val="nil"/>
            </w:tcBorders>
          </w:tcPr>
          <w:p w14:paraId="5C255176"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0.0504</w:t>
            </w:r>
          </w:p>
        </w:tc>
        <w:tc>
          <w:tcPr>
            <w:tcW w:w="992" w:type="dxa"/>
            <w:tcBorders>
              <w:top w:val="nil"/>
              <w:left w:val="nil"/>
              <w:bottom w:val="nil"/>
              <w:right w:val="nil"/>
            </w:tcBorders>
          </w:tcPr>
          <w:p w14:paraId="1EB2F602"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0.0495</w:t>
            </w:r>
          </w:p>
        </w:tc>
      </w:tr>
      <w:tr w:rsidR="00C81BAB" w:rsidRPr="00CF3C36" w14:paraId="2059F7F5" w14:textId="77777777" w:rsidTr="00585F6A">
        <w:trPr>
          <w:jc w:val="center"/>
        </w:trPr>
        <w:tc>
          <w:tcPr>
            <w:tcW w:w="1545" w:type="dxa"/>
            <w:tcBorders>
              <w:top w:val="nil"/>
              <w:left w:val="nil"/>
              <w:bottom w:val="nil"/>
              <w:right w:val="nil"/>
            </w:tcBorders>
          </w:tcPr>
          <w:p w14:paraId="23E2C08D"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p>
        </w:tc>
        <w:tc>
          <w:tcPr>
            <w:tcW w:w="1071" w:type="dxa"/>
            <w:tcBorders>
              <w:top w:val="nil"/>
              <w:left w:val="nil"/>
              <w:bottom w:val="nil"/>
              <w:right w:val="nil"/>
            </w:tcBorders>
          </w:tcPr>
          <w:p w14:paraId="4D01B0F2"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(0.0240)</w:t>
            </w:r>
          </w:p>
        </w:tc>
        <w:tc>
          <w:tcPr>
            <w:tcW w:w="1071" w:type="dxa"/>
            <w:tcBorders>
              <w:top w:val="nil"/>
              <w:left w:val="nil"/>
              <w:bottom w:val="nil"/>
              <w:right w:val="nil"/>
            </w:tcBorders>
          </w:tcPr>
          <w:p w14:paraId="54EE17F1"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(0.0314)</w:t>
            </w:r>
          </w:p>
        </w:tc>
        <w:tc>
          <w:tcPr>
            <w:tcW w:w="1071" w:type="dxa"/>
            <w:tcBorders>
              <w:top w:val="nil"/>
              <w:left w:val="nil"/>
              <w:bottom w:val="nil"/>
              <w:right w:val="nil"/>
            </w:tcBorders>
          </w:tcPr>
          <w:p w14:paraId="4D196532"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(0.0320)</w:t>
            </w:r>
          </w:p>
        </w:tc>
        <w:tc>
          <w:tcPr>
            <w:tcW w:w="1071" w:type="dxa"/>
            <w:tcBorders>
              <w:top w:val="nil"/>
              <w:left w:val="nil"/>
              <w:bottom w:val="nil"/>
              <w:right w:val="nil"/>
            </w:tcBorders>
          </w:tcPr>
          <w:p w14:paraId="624C178A"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(0.0324)</w:t>
            </w:r>
          </w:p>
        </w:tc>
        <w:tc>
          <w:tcPr>
            <w:tcW w:w="1071" w:type="dxa"/>
            <w:tcBorders>
              <w:top w:val="nil"/>
              <w:left w:val="nil"/>
              <w:bottom w:val="nil"/>
              <w:right w:val="nil"/>
            </w:tcBorders>
          </w:tcPr>
          <w:p w14:paraId="1C2FE3F3"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(0.0317)</w:t>
            </w:r>
          </w:p>
        </w:tc>
        <w:tc>
          <w:tcPr>
            <w:tcW w:w="992" w:type="dxa"/>
            <w:tcBorders>
              <w:top w:val="nil"/>
              <w:left w:val="nil"/>
              <w:bottom w:val="nil"/>
              <w:right w:val="nil"/>
            </w:tcBorders>
          </w:tcPr>
          <w:p w14:paraId="74489A72"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(0.0304)</w:t>
            </w:r>
          </w:p>
        </w:tc>
      </w:tr>
      <w:tr w:rsidR="00C81BAB" w:rsidRPr="00CF3C36" w14:paraId="3DED7443" w14:textId="77777777" w:rsidTr="00585F6A">
        <w:trPr>
          <w:jc w:val="center"/>
        </w:trPr>
        <w:tc>
          <w:tcPr>
            <w:tcW w:w="1545" w:type="dxa"/>
            <w:tcBorders>
              <w:top w:val="nil"/>
              <w:left w:val="nil"/>
              <w:bottom w:val="nil"/>
              <w:right w:val="nil"/>
            </w:tcBorders>
          </w:tcPr>
          <w:p w14:paraId="368A4540"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ln_rgdpna</w:t>
            </w:r>
          </w:p>
        </w:tc>
        <w:tc>
          <w:tcPr>
            <w:tcW w:w="1071" w:type="dxa"/>
            <w:tcBorders>
              <w:top w:val="nil"/>
              <w:left w:val="nil"/>
              <w:bottom w:val="nil"/>
              <w:right w:val="nil"/>
            </w:tcBorders>
          </w:tcPr>
          <w:p w14:paraId="718F7A85"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285C2B17"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-1.359**</w:t>
            </w:r>
          </w:p>
        </w:tc>
        <w:tc>
          <w:tcPr>
            <w:tcW w:w="1071" w:type="dxa"/>
            <w:tcBorders>
              <w:top w:val="nil"/>
              <w:left w:val="nil"/>
              <w:bottom w:val="nil"/>
              <w:right w:val="nil"/>
            </w:tcBorders>
          </w:tcPr>
          <w:p w14:paraId="72EDE50C"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-0.356</w:t>
            </w:r>
          </w:p>
        </w:tc>
        <w:tc>
          <w:tcPr>
            <w:tcW w:w="1071" w:type="dxa"/>
            <w:tcBorders>
              <w:top w:val="nil"/>
              <w:left w:val="nil"/>
              <w:bottom w:val="nil"/>
              <w:right w:val="nil"/>
            </w:tcBorders>
          </w:tcPr>
          <w:p w14:paraId="2B78F971"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0.864</w:t>
            </w:r>
          </w:p>
        </w:tc>
        <w:tc>
          <w:tcPr>
            <w:tcW w:w="1071" w:type="dxa"/>
            <w:tcBorders>
              <w:top w:val="nil"/>
              <w:left w:val="nil"/>
              <w:bottom w:val="nil"/>
              <w:right w:val="nil"/>
            </w:tcBorders>
          </w:tcPr>
          <w:p w14:paraId="5B063619"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0.0101</w:t>
            </w:r>
          </w:p>
        </w:tc>
        <w:tc>
          <w:tcPr>
            <w:tcW w:w="992" w:type="dxa"/>
            <w:tcBorders>
              <w:top w:val="nil"/>
              <w:left w:val="nil"/>
              <w:bottom w:val="nil"/>
              <w:right w:val="nil"/>
            </w:tcBorders>
          </w:tcPr>
          <w:p w14:paraId="185632F4"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0.0623</w:t>
            </w:r>
          </w:p>
        </w:tc>
      </w:tr>
      <w:tr w:rsidR="00C81BAB" w:rsidRPr="00CF3C36" w14:paraId="6D75F0B6" w14:textId="77777777" w:rsidTr="00585F6A">
        <w:trPr>
          <w:jc w:val="center"/>
        </w:trPr>
        <w:tc>
          <w:tcPr>
            <w:tcW w:w="1545" w:type="dxa"/>
            <w:tcBorders>
              <w:top w:val="nil"/>
              <w:left w:val="nil"/>
              <w:bottom w:val="nil"/>
              <w:right w:val="nil"/>
            </w:tcBorders>
          </w:tcPr>
          <w:p w14:paraId="5991FBF7"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p>
        </w:tc>
        <w:tc>
          <w:tcPr>
            <w:tcW w:w="1071" w:type="dxa"/>
            <w:tcBorders>
              <w:top w:val="nil"/>
              <w:left w:val="nil"/>
              <w:bottom w:val="nil"/>
              <w:right w:val="nil"/>
            </w:tcBorders>
          </w:tcPr>
          <w:p w14:paraId="507C1376"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430382D0"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(0.401)</w:t>
            </w:r>
          </w:p>
        </w:tc>
        <w:tc>
          <w:tcPr>
            <w:tcW w:w="1071" w:type="dxa"/>
            <w:tcBorders>
              <w:top w:val="nil"/>
              <w:left w:val="nil"/>
              <w:bottom w:val="nil"/>
              <w:right w:val="nil"/>
            </w:tcBorders>
          </w:tcPr>
          <w:p w14:paraId="78BE4372"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(0.288)</w:t>
            </w:r>
          </w:p>
        </w:tc>
        <w:tc>
          <w:tcPr>
            <w:tcW w:w="1071" w:type="dxa"/>
            <w:tcBorders>
              <w:top w:val="nil"/>
              <w:left w:val="nil"/>
              <w:bottom w:val="nil"/>
              <w:right w:val="nil"/>
            </w:tcBorders>
          </w:tcPr>
          <w:p w14:paraId="362E5D1B"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(0.490)</w:t>
            </w:r>
          </w:p>
        </w:tc>
        <w:tc>
          <w:tcPr>
            <w:tcW w:w="1071" w:type="dxa"/>
            <w:tcBorders>
              <w:top w:val="nil"/>
              <w:left w:val="nil"/>
              <w:bottom w:val="nil"/>
              <w:right w:val="nil"/>
            </w:tcBorders>
          </w:tcPr>
          <w:p w14:paraId="2BB6B5D8"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(0.514)</w:t>
            </w:r>
          </w:p>
        </w:tc>
        <w:tc>
          <w:tcPr>
            <w:tcW w:w="992" w:type="dxa"/>
            <w:tcBorders>
              <w:top w:val="nil"/>
              <w:left w:val="nil"/>
              <w:bottom w:val="nil"/>
              <w:right w:val="nil"/>
            </w:tcBorders>
          </w:tcPr>
          <w:p w14:paraId="1B6ADB90"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(0.506)</w:t>
            </w:r>
          </w:p>
        </w:tc>
      </w:tr>
      <w:tr w:rsidR="00C81BAB" w:rsidRPr="00CF3C36" w14:paraId="45762FB7" w14:textId="77777777" w:rsidTr="00585F6A">
        <w:trPr>
          <w:jc w:val="center"/>
        </w:trPr>
        <w:tc>
          <w:tcPr>
            <w:tcW w:w="1545" w:type="dxa"/>
            <w:tcBorders>
              <w:top w:val="nil"/>
              <w:left w:val="nil"/>
              <w:bottom w:val="nil"/>
              <w:right w:val="nil"/>
            </w:tcBorders>
          </w:tcPr>
          <w:p w14:paraId="60A0684E"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SE_terX</w:t>
            </w:r>
          </w:p>
        </w:tc>
        <w:tc>
          <w:tcPr>
            <w:tcW w:w="1071" w:type="dxa"/>
            <w:tcBorders>
              <w:top w:val="nil"/>
              <w:left w:val="nil"/>
              <w:bottom w:val="nil"/>
              <w:right w:val="nil"/>
            </w:tcBorders>
          </w:tcPr>
          <w:p w14:paraId="04CE71A6"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7EEAA3B3"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0A97054A"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-0.0234***</w:t>
            </w:r>
          </w:p>
        </w:tc>
        <w:tc>
          <w:tcPr>
            <w:tcW w:w="1071" w:type="dxa"/>
            <w:tcBorders>
              <w:top w:val="nil"/>
              <w:left w:val="nil"/>
              <w:bottom w:val="nil"/>
              <w:right w:val="nil"/>
            </w:tcBorders>
          </w:tcPr>
          <w:p w14:paraId="5EB293B7"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-0.0182***</w:t>
            </w:r>
          </w:p>
        </w:tc>
        <w:tc>
          <w:tcPr>
            <w:tcW w:w="1071" w:type="dxa"/>
            <w:tcBorders>
              <w:top w:val="nil"/>
              <w:left w:val="nil"/>
              <w:bottom w:val="nil"/>
              <w:right w:val="nil"/>
            </w:tcBorders>
          </w:tcPr>
          <w:p w14:paraId="03D9B74A"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-0.0169***</w:t>
            </w:r>
          </w:p>
        </w:tc>
        <w:tc>
          <w:tcPr>
            <w:tcW w:w="992" w:type="dxa"/>
            <w:tcBorders>
              <w:top w:val="nil"/>
              <w:left w:val="nil"/>
              <w:bottom w:val="nil"/>
              <w:right w:val="nil"/>
            </w:tcBorders>
          </w:tcPr>
          <w:p w14:paraId="52594343"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-0.0176***</w:t>
            </w:r>
          </w:p>
        </w:tc>
      </w:tr>
      <w:tr w:rsidR="00C81BAB" w:rsidRPr="00CF3C36" w14:paraId="74CD7549" w14:textId="77777777" w:rsidTr="00585F6A">
        <w:trPr>
          <w:jc w:val="center"/>
        </w:trPr>
        <w:tc>
          <w:tcPr>
            <w:tcW w:w="1545" w:type="dxa"/>
            <w:tcBorders>
              <w:top w:val="nil"/>
              <w:left w:val="nil"/>
              <w:bottom w:val="nil"/>
              <w:right w:val="nil"/>
            </w:tcBorders>
          </w:tcPr>
          <w:p w14:paraId="6211592B"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p>
        </w:tc>
        <w:tc>
          <w:tcPr>
            <w:tcW w:w="1071" w:type="dxa"/>
            <w:tcBorders>
              <w:top w:val="nil"/>
              <w:left w:val="nil"/>
              <w:bottom w:val="nil"/>
              <w:right w:val="nil"/>
            </w:tcBorders>
          </w:tcPr>
          <w:p w14:paraId="4E96B0B8"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0606647B"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3E4969CC"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(0.00421)</w:t>
            </w:r>
          </w:p>
        </w:tc>
        <w:tc>
          <w:tcPr>
            <w:tcW w:w="1071" w:type="dxa"/>
            <w:tcBorders>
              <w:top w:val="nil"/>
              <w:left w:val="nil"/>
              <w:bottom w:val="nil"/>
              <w:right w:val="nil"/>
            </w:tcBorders>
          </w:tcPr>
          <w:p w14:paraId="216C89E8"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(0.00414)</w:t>
            </w:r>
          </w:p>
        </w:tc>
        <w:tc>
          <w:tcPr>
            <w:tcW w:w="1071" w:type="dxa"/>
            <w:tcBorders>
              <w:top w:val="nil"/>
              <w:left w:val="nil"/>
              <w:bottom w:val="nil"/>
              <w:right w:val="nil"/>
            </w:tcBorders>
          </w:tcPr>
          <w:p w14:paraId="5BF3581B"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(0.00438)</w:t>
            </w:r>
          </w:p>
        </w:tc>
        <w:tc>
          <w:tcPr>
            <w:tcW w:w="992" w:type="dxa"/>
            <w:tcBorders>
              <w:top w:val="nil"/>
              <w:left w:val="nil"/>
              <w:bottom w:val="nil"/>
              <w:right w:val="nil"/>
            </w:tcBorders>
          </w:tcPr>
          <w:p w14:paraId="2187E0F2"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(0.00459)</w:t>
            </w:r>
          </w:p>
        </w:tc>
      </w:tr>
      <w:tr w:rsidR="00C81BAB" w:rsidRPr="00CF3C36" w14:paraId="1690E3AD" w14:textId="77777777" w:rsidTr="00585F6A">
        <w:trPr>
          <w:jc w:val="center"/>
        </w:trPr>
        <w:tc>
          <w:tcPr>
            <w:tcW w:w="1545" w:type="dxa"/>
            <w:tcBorders>
              <w:top w:val="nil"/>
              <w:left w:val="nil"/>
              <w:bottom w:val="nil"/>
              <w:right w:val="nil"/>
            </w:tcBorders>
          </w:tcPr>
          <w:p w14:paraId="09195567"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eodb1</w:t>
            </w:r>
          </w:p>
        </w:tc>
        <w:tc>
          <w:tcPr>
            <w:tcW w:w="1071" w:type="dxa"/>
            <w:tcBorders>
              <w:top w:val="nil"/>
              <w:left w:val="nil"/>
              <w:bottom w:val="nil"/>
              <w:right w:val="nil"/>
            </w:tcBorders>
          </w:tcPr>
          <w:p w14:paraId="2BEE08D7"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65D5F153"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5B97F975"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-0.0499**</w:t>
            </w:r>
          </w:p>
        </w:tc>
        <w:tc>
          <w:tcPr>
            <w:tcW w:w="1071" w:type="dxa"/>
            <w:tcBorders>
              <w:top w:val="nil"/>
              <w:left w:val="nil"/>
              <w:bottom w:val="nil"/>
              <w:right w:val="nil"/>
            </w:tcBorders>
          </w:tcPr>
          <w:p w14:paraId="7049E474"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-0.0243</w:t>
            </w:r>
          </w:p>
        </w:tc>
        <w:tc>
          <w:tcPr>
            <w:tcW w:w="1071" w:type="dxa"/>
            <w:tcBorders>
              <w:top w:val="nil"/>
              <w:left w:val="nil"/>
              <w:bottom w:val="nil"/>
              <w:right w:val="nil"/>
            </w:tcBorders>
          </w:tcPr>
          <w:p w14:paraId="5DCE2602"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-0.0324</w:t>
            </w:r>
          </w:p>
        </w:tc>
        <w:tc>
          <w:tcPr>
            <w:tcW w:w="992" w:type="dxa"/>
            <w:tcBorders>
              <w:top w:val="nil"/>
              <w:left w:val="nil"/>
              <w:bottom w:val="nil"/>
              <w:right w:val="nil"/>
            </w:tcBorders>
          </w:tcPr>
          <w:p w14:paraId="4894FBE9"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-0.0343</w:t>
            </w:r>
          </w:p>
        </w:tc>
      </w:tr>
      <w:tr w:rsidR="00C81BAB" w:rsidRPr="00CF3C36" w14:paraId="022F3512" w14:textId="77777777" w:rsidTr="00585F6A">
        <w:trPr>
          <w:jc w:val="center"/>
        </w:trPr>
        <w:tc>
          <w:tcPr>
            <w:tcW w:w="1545" w:type="dxa"/>
            <w:tcBorders>
              <w:top w:val="nil"/>
              <w:left w:val="nil"/>
              <w:bottom w:val="nil"/>
              <w:right w:val="nil"/>
            </w:tcBorders>
          </w:tcPr>
          <w:p w14:paraId="4F7B2901"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p>
        </w:tc>
        <w:tc>
          <w:tcPr>
            <w:tcW w:w="1071" w:type="dxa"/>
            <w:tcBorders>
              <w:top w:val="nil"/>
              <w:left w:val="nil"/>
              <w:bottom w:val="nil"/>
              <w:right w:val="nil"/>
            </w:tcBorders>
          </w:tcPr>
          <w:p w14:paraId="42E0FE4E"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4C88C23D"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35907813"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(0.0165)</w:t>
            </w:r>
          </w:p>
        </w:tc>
        <w:tc>
          <w:tcPr>
            <w:tcW w:w="1071" w:type="dxa"/>
            <w:tcBorders>
              <w:top w:val="nil"/>
              <w:left w:val="nil"/>
              <w:bottom w:val="nil"/>
              <w:right w:val="nil"/>
            </w:tcBorders>
          </w:tcPr>
          <w:p w14:paraId="025B498C"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(0.0187)</w:t>
            </w:r>
          </w:p>
        </w:tc>
        <w:tc>
          <w:tcPr>
            <w:tcW w:w="1071" w:type="dxa"/>
            <w:tcBorders>
              <w:top w:val="nil"/>
              <w:left w:val="nil"/>
              <w:bottom w:val="nil"/>
              <w:right w:val="nil"/>
            </w:tcBorders>
          </w:tcPr>
          <w:p w14:paraId="03212EC5"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(0.0173)</w:t>
            </w:r>
          </w:p>
        </w:tc>
        <w:tc>
          <w:tcPr>
            <w:tcW w:w="992" w:type="dxa"/>
            <w:tcBorders>
              <w:top w:val="nil"/>
              <w:left w:val="nil"/>
              <w:bottom w:val="nil"/>
              <w:right w:val="nil"/>
            </w:tcBorders>
          </w:tcPr>
          <w:p w14:paraId="2B0BE3CF"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(0.0184)</w:t>
            </w:r>
          </w:p>
        </w:tc>
      </w:tr>
      <w:tr w:rsidR="00C81BAB" w:rsidRPr="00CF3C36" w14:paraId="4940D729" w14:textId="77777777" w:rsidTr="00585F6A">
        <w:trPr>
          <w:jc w:val="center"/>
        </w:trPr>
        <w:tc>
          <w:tcPr>
            <w:tcW w:w="1545" w:type="dxa"/>
            <w:tcBorders>
              <w:top w:val="nil"/>
              <w:left w:val="nil"/>
              <w:bottom w:val="nil"/>
              <w:right w:val="nil"/>
            </w:tcBorders>
          </w:tcPr>
          <w:p w14:paraId="68139A33"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governance</w:t>
            </w:r>
          </w:p>
        </w:tc>
        <w:tc>
          <w:tcPr>
            <w:tcW w:w="1071" w:type="dxa"/>
            <w:tcBorders>
              <w:top w:val="nil"/>
              <w:left w:val="nil"/>
              <w:bottom w:val="nil"/>
              <w:right w:val="nil"/>
            </w:tcBorders>
          </w:tcPr>
          <w:p w14:paraId="530F8C3E"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1683FEB8"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60CF844D"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0.0218</w:t>
            </w:r>
          </w:p>
        </w:tc>
        <w:tc>
          <w:tcPr>
            <w:tcW w:w="1071" w:type="dxa"/>
            <w:tcBorders>
              <w:top w:val="nil"/>
              <w:left w:val="nil"/>
              <w:bottom w:val="nil"/>
              <w:right w:val="nil"/>
            </w:tcBorders>
          </w:tcPr>
          <w:p w14:paraId="1413654D"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-0.0340</w:t>
            </w:r>
          </w:p>
        </w:tc>
        <w:tc>
          <w:tcPr>
            <w:tcW w:w="1071" w:type="dxa"/>
            <w:tcBorders>
              <w:top w:val="nil"/>
              <w:left w:val="nil"/>
              <w:bottom w:val="nil"/>
              <w:right w:val="nil"/>
            </w:tcBorders>
          </w:tcPr>
          <w:p w14:paraId="472200F5"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-0.101</w:t>
            </w:r>
          </w:p>
        </w:tc>
        <w:tc>
          <w:tcPr>
            <w:tcW w:w="992" w:type="dxa"/>
            <w:tcBorders>
              <w:top w:val="nil"/>
              <w:left w:val="nil"/>
              <w:bottom w:val="nil"/>
              <w:right w:val="nil"/>
            </w:tcBorders>
          </w:tcPr>
          <w:p w14:paraId="7E8B8381"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-0.0766</w:t>
            </w:r>
          </w:p>
        </w:tc>
      </w:tr>
      <w:tr w:rsidR="00C81BAB" w:rsidRPr="00CF3C36" w14:paraId="48FE8B69" w14:textId="77777777" w:rsidTr="00585F6A">
        <w:trPr>
          <w:jc w:val="center"/>
        </w:trPr>
        <w:tc>
          <w:tcPr>
            <w:tcW w:w="1545" w:type="dxa"/>
            <w:tcBorders>
              <w:top w:val="nil"/>
              <w:left w:val="nil"/>
              <w:bottom w:val="nil"/>
              <w:right w:val="nil"/>
            </w:tcBorders>
          </w:tcPr>
          <w:p w14:paraId="578B1DEE"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p>
        </w:tc>
        <w:tc>
          <w:tcPr>
            <w:tcW w:w="1071" w:type="dxa"/>
            <w:tcBorders>
              <w:top w:val="nil"/>
              <w:left w:val="nil"/>
              <w:bottom w:val="nil"/>
              <w:right w:val="nil"/>
            </w:tcBorders>
          </w:tcPr>
          <w:p w14:paraId="0F080BBB"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42B6B75C"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76A527A0"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(0.104)</w:t>
            </w:r>
          </w:p>
        </w:tc>
        <w:tc>
          <w:tcPr>
            <w:tcW w:w="1071" w:type="dxa"/>
            <w:tcBorders>
              <w:top w:val="nil"/>
              <w:left w:val="nil"/>
              <w:bottom w:val="nil"/>
              <w:right w:val="nil"/>
            </w:tcBorders>
          </w:tcPr>
          <w:p w14:paraId="38EE11D9"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(0.137)</w:t>
            </w:r>
          </w:p>
        </w:tc>
        <w:tc>
          <w:tcPr>
            <w:tcW w:w="1071" w:type="dxa"/>
            <w:tcBorders>
              <w:top w:val="nil"/>
              <w:left w:val="nil"/>
              <w:bottom w:val="nil"/>
              <w:right w:val="nil"/>
            </w:tcBorders>
          </w:tcPr>
          <w:p w14:paraId="202F7AE4"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(0.129)</w:t>
            </w:r>
          </w:p>
        </w:tc>
        <w:tc>
          <w:tcPr>
            <w:tcW w:w="992" w:type="dxa"/>
            <w:tcBorders>
              <w:top w:val="nil"/>
              <w:left w:val="nil"/>
              <w:bottom w:val="nil"/>
              <w:right w:val="nil"/>
            </w:tcBorders>
          </w:tcPr>
          <w:p w14:paraId="588A3420"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(0.132)</w:t>
            </w:r>
          </w:p>
        </w:tc>
      </w:tr>
      <w:tr w:rsidR="00C81BAB" w:rsidRPr="00CF3C36" w14:paraId="46E9F702" w14:textId="77777777" w:rsidTr="00585F6A">
        <w:trPr>
          <w:jc w:val="center"/>
        </w:trPr>
        <w:tc>
          <w:tcPr>
            <w:tcW w:w="1545" w:type="dxa"/>
            <w:tcBorders>
              <w:top w:val="nil"/>
              <w:left w:val="nil"/>
              <w:bottom w:val="nil"/>
              <w:right w:val="nil"/>
            </w:tcBorders>
          </w:tcPr>
          <w:p w14:paraId="6837288A"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ln_KL</w:t>
            </w:r>
          </w:p>
        </w:tc>
        <w:tc>
          <w:tcPr>
            <w:tcW w:w="1071" w:type="dxa"/>
            <w:tcBorders>
              <w:top w:val="nil"/>
              <w:left w:val="nil"/>
              <w:bottom w:val="nil"/>
              <w:right w:val="nil"/>
            </w:tcBorders>
          </w:tcPr>
          <w:p w14:paraId="271B1777"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55600832"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60274971"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5E3967BD"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-1.358*</w:t>
            </w:r>
          </w:p>
        </w:tc>
        <w:tc>
          <w:tcPr>
            <w:tcW w:w="1071" w:type="dxa"/>
            <w:tcBorders>
              <w:top w:val="nil"/>
              <w:left w:val="nil"/>
              <w:bottom w:val="nil"/>
              <w:right w:val="nil"/>
            </w:tcBorders>
          </w:tcPr>
          <w:p w14:paraId="5B4DA8E2"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3.372*</w:t>
            </w:r>
          </w:p>
        </w:tc>
        <w:tc>
          <w:tcPr>
            <w:tcW w:w="992" w:type="dxa"/>
            <w:tcBorders>
              <w:top w:val="nil"/>
              <w:left w:val="nil"/>
              <w:bottom w:val="nil"/>
              <w:right w:val="nil"/>
            </w:tcBorders>
          </w:tcPr>
          <w:p w14:paraId="4D54BD2B"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4.676*</w:t>
            </w:r>
          </w:p>
        </w:tc>
      </w:tr>
      <w:tr w:rsidR="00C81BAB" w:rsidRPr="00CF3C36" w14:paraId="7419E7F6" w14:textId="77777777" w:rsidTr="00585F6A">
        <w:trPr>
          <w:jc w:val="center"/>
        </w:trPr>
        <w:tc>
          <w:tcPr>
            <w:tcW w:w="1545" w:type="dxa"/>
            <w:tcBorders>
              <w:top w:val="nil"/>
              <w:left w:val="nil"/>
              <w:bottom w:val="nil"/>
              <w:right w:val="nil"/>
            </w:tcBorders>
          </w:tcPr>
          <w:p w14:paraId="18B5E025"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p>
        </w:tc>
        <w:tc>
          <w:tcPr>
            <w:tcW w:w="1071" w:type="dxa"/>
            <w:tcBorders>
              <w:top w:val="nil"/>
              <w:left w:val="nil"/>
              <w:bottom w:val="nil"/>
              <w:right w:val="nil"/>
            </w:tcBorders>
          </w:tcPr>
          <w:p w14:paraId="1464ABCF"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751FD8CC"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61CCF794"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0F42D125"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(0.603)</w:t>
            </w:r>
          </w:p>
        </w:tc>
        <w:tc>
          <w:tcPr>
            <w:tcW w:w="1071" w:type="dxa"/>
            <w:tcBorders>
              <w:top w:val="nil"/>
              <w:left w:val="nil"/>
              <w:bottom w:val="nil"/>
              <w:right w:val="nil"/>
            </w:tcBorders>
          </w:tcPr>
          <w:p w14:paraId="115E2CE5"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(1.595)</w:t>
            </w:r>
          </w:p>
        </w:tc>
        <w:tc>
          <w:tcPr>
            <w:tcW w:w="992" w:type="dxa"/>
            <w:tcBorders>
              <w:top w:val="nil"/>
              <w:left w:val="nil"/>
              <w:bottom w:val="nil"/>
              <w:right w:val="nil"/>
            </w:tcBorders>
          </w:tcPr>
          <w:p w14:paraId="64ED065C"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(2.126)</w:t>
            </w:r>
          </w:p>
        </w:tc>
      </w:tr>
      <w:tr w:rsidR="00C81BAB" w:rsidRPr="00CF3C36" w14:paraId="5DAFD2B5" w14:textId="77777777" w:rsidTr="00585F6A">
        <w:trPr>
          <w:jc w:val="center"/>
        </w:trPr>
        <w:tc>
          <w:tcPr>
            <w:tcW w:w="1545" w:type="dxa"/>
            <w:tcBorders>
              <w:top w:val="nil"/>
              <w:left w:val="nil"/>
              <w:bottom w:val="nil"/>
              <w:right w:val="nil"/>
            </w:tcBorders>
          </w:tcPr>
          <w:p w14:paraId="20E4C1D4"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ln_KL_2</w:t>
            </w:r>
          </w:p>
        </w:tc>
        <w:tc>
          <w:tcPr>
            <w:tcW w:w="1071" w:type="dxa"/>
            <w:tcBorders>
              <w:top w:val="nil"/>
              <w:left w:val="nil"/>
              <w:bottom w:val="nil"/>
              <w:right w:val="nil"/>
            </w:tcBorders>
          </w:tcPr>
          <w:p w14:paraId="02ECA66E"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4BB97738"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251F6E19"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41CF7BE4"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4FD0A641"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-0.467**</w:t>
            </w:r>
          </w:p>
        </w:tc>
        <w:tc>
          <w:tcPr>
            <w:tcW w:w="992" w:type="dxa"/>
            <w:tcBorders>
              <w:top w:val="nil"/>
              <w:left w:val="nil"/>
              <w:bottom w:val="nil"/>
              <w:right w:val="nil"/>
            </w:tcBorders>
          </w:tcPr>
          <w:p w14:paraId="1286EFF2"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-0.587**</w:t>
            </w:r>
          </w:p>
        </w:tc>
      </w:tr>
      <w:tr w:rsidR="00C81BAB" w:rsidRPr="00CF3C36" w14:paraId="3F563872" w14:textId="77777777" w:rsidTr="00585F6A">
        <w:trPr>
          <w:jc w:val="center"/>
        </w:trPr>
        <w:tc>
          <w:tcPr>
            <w:tcW w:w="1545" w:type="dxa"/>
            <w:tcBorders>
              <w:top w:val="nil"/>
              <w:left w:val="nil"/>
              <w:bottom w:val="nil"/>
              <w:right w:val="nil"/>
            </w:tcBorders>
          </w:tcPr>
          <w:p w14:paraId="3D3341A5"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p>
        </w:tc>
        <w:tc>
          <w:tcPr>
            <w:tcW w:w="1071" w:type="dxa"/>
            <w:tcBorders>
              <w:top w:val="nil"/>
              <w:left w:val="nil"/>
              <w:bottom w:val="nil"/>
              <w:right w:val="nil"/>
            </w:tcBorders>
          </w:tcPr>
          <w:p w14:paraId="726A3340"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6F3D160F"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15842860"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0A0DA626"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48ABA6EB"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(0.144)</w:t>
            </w:r>
          </w:p>
        </w:tc>
        <w:tc>
          <w:tcPr>
            <w:tcW w:w="992" w:type="dxa"/>
            <w:tcBorders>
              <w:top w:val="nil"/>
              <w:left w:val="nil"/>
              <w:bottom w:val="nil"/>
              <w:right w:val="nil"/>
            </w:tcBorders>
          </w:tcPr>
          <w:p w14:paraId="7C2F582A"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(0.194)</w:t>
            </w:r>
          </w:p>
        </w:tc>
      </w:tr>
      <w:tr w:rsidR="00C81BAB" w:rsidRPr="00CF3C36" w14:paraId="3B2B373F" w14:textId="77777777" w:rsidTr="00585F6A">
        <w:trPr>
          <w:jc w:val="center"/>
        </w:trPr>
        <w:tc>
          <w:tcPr>
            <w:tcW w:w="1545" w:type="dxa"/>
            <w:tcBorders>
              <w:top w:val="nil"/>
              <w:left w:val="nil"/>
              <w:bottom w:val="nil"/>
              <w:right w:val="nil"/>
            </w:tcBorders>
          </w:tcPr>
          <w:p w14:paraId="69C04A8C"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EPI_ln_KL_cen</w:t>
            </w:r>
          </w:p>
        </w:tc>
        <w:tc>
          <w:tcPr>
            <w:tcW w:w="1071" w:type="dxa"/>
            <w:tcBorders>
              <w:top w:val="nil"/>
              <w:left w:val="nil"/>
              <w:bottom w:val="nil"/>
              <w:right w:val="nil"/>
            </w:tcBorders>
          </w:tcPr>
          <w:p w14:paraId="10F8D499"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3500AF19"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764A30CA"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173EA601"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59732823"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31D7B443"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0.136**</w:t>
            </w:r>
          </w:p>
        </w:tc>
      </w:tr>
      <w:tr w:rsidR="00C81BAB" w:rsidRPr="00CF3C36" w14:paraId="51251B0B" w14:textId="77777777" w:rsidTr="00585F6A">
        <w:trPr>
          <w:jc w:val="center"/>
        </w:trPr>
        <w:tc>
          <w:tcPr>
            <w:tcW w:w="1545" w:type="dxa"/>
            <w:tcBorders>
              <w:top w:val="nil"/>
              <w:left w:val="nil"/>
              <w:bottom w:val="nil"/>
              <w:right w:val="nil"/>
            </w:tcBorders>
          </w:tcPr>
          <w:p w14:paraId="03F33B9D"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p>
        </w:tc>
        <w:tc>
          <w:tcPr>
            <w:tcW w:w="1071" w:type="dxa"/>
            <w:tcBorders>
              <w:top w:val="nil"/>
              <w:left w:val="nil"/>
              <w:bottom w:val="nil"/>
              <w:right w:val="nil"/>
            </w:tcBorders>
          </w:tcPr>
          <w:p w14:paraId="2542B3B4"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0AF4C6AD"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6B769CDB"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406C7EBC"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1D46D1D5"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40ECA28F"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(0.0559)</w:t>
            </w:r>
          </w:p>
        </w:tc>
      </w:tr>
      <w:tr w:rsidR="00C81BAB" w:rsidRPr="00CF3C36" w14:paraId="6F78AAA8" w14:textId="77777777" w:rsidTr="00585F6A">
        <w:trPr>
          <w:jc w:val="center"/>
        </w:trPr>
        <w:tc>
          <w:tcPr>
            <w:tcW w:w="1545" w:type="dxa"/>
            <w:tcBorders>
              <w:top w:val="nil"/>
              <w:left w:val="nil"/>
              <w:bottom w:val="nil"/>
              <w:right w:val="nil"/>
            </w:tcBorders>
          </w:tcPr>
          <w:p w14:paraId="178B5FB2"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EPI_ln_KL_2_cen</w:t>
            </w:r>
          </w:p>
        </w:tc>
        <w:tc>
          <w:tcPr>
            <w:tcW w:w="1071" w:type="dxa"/>
            <w:tcBorders>
              <w:top w:val="nil"/>
              <w:left w:val="nil"/>
              <w:bottom w:val="nil"/>
              <w:right w:val="nil"/>
            </w:tcBorders>
          </w:tcPr>
          <w:p w14:paraId="58E2FC51"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16F6824D"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09F17368"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0EE50F70"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048DE713"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52E67DE5"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-0.0132**</w:t>
            </w:r>
          </w:p>
        </w:tc>
      </w:tr>
      <w:tr w:rsidR="00C81BAB" w:rsidRPr="00CF3C36" w14:paraId="6507FAAE" w14:textId="77777777" w:rsidTr="00585F6A">
        <w:trPr>
          <w:jc w:val="center"/>
        </w:trPr>
        <w:tc>
          <w:tcPr>
            <w:tcW w:w="1545" w:type="dxa"/>
            <w:tcBorders>
              <w:top w:val="nil"/>
              <w:left w:val="nil"/>
              <w:bottom w:val="nil"/>
              <w:right w:val="nil"/>
            </w:tcBorders>
          </w:tcPr>
          <w:p w14:paraId="0337E187"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p>
        </w:tc>
        <w:tc>
          <w:tcPr>
            <w:tcW w:w="1071" w:type="dxa"/>
            <w:tcBorders>
              <w:top w:val="nil"/>
              <w:left w:val="nil"/>
              <w:bottom w:val="nil"/>
              <w:right w:val="nil"/>
            </w:tcBorders>
          </w:tcPr>
          <w:p w14:paraId="11D39A23"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7DCCFCFE"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3C1289AB"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2E384674"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3FF3A81B"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0184F718"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(0.00523)</w:t>
            </w:r>
          </w:p>
        </w:tc>
      </w:tr>
      <w:tr w:rsidR="00C81BAB" w:rsidRPr="00CF3C36" w14:paraId="465F848A" w14:textId="77777777" w:rsidTr="00585F6A">
        <w:trPr>
          <w:jc w:val="center"/>
        </w:trPr>
        <w:tc>
          <w:tcPr>
            <w:tcW w:w="1545" w:type="dxa"/>
            <w:tcBorders>
              <w:top w:val="nil"/>
              <w:left w:val="nil"/>
              <w:bottom w:val="nil"/>
              <w:right w:val="nil"/>
            </w:tcBorders>
          </w:tcPr>
          <w:p w14:paraId="7E28D06E"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Constant</w:t>
            </w:r>
          </w:p>
        </w:tc>
        <w:tc>
          <w:tcPr>
            <w:tcW w:w="1071" w:type="dxa"/>
            <w:tcBorders>
              <w:top w:val="nil"/>
              <w:left w:val="nil"/>
              <w:bottom w:val="nil"/>
              <w:right w:val="nil"/>
            </w:tcBorders>
          </w:tcPr>
          <w:p w14:paraId="7ED114DA"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6.636***</w:t>
            </w:r>
          </w:p>
        </w:tc>
        <w:tc>
          <w:tcPr>
            <w:tcW w:w="1071" w:type="dxa"/>
            <w:tcBorders>
              <w:top w:val="nil"/>
              <w:left w:val="nil"/>
              <w:bottom w:val="nil"/>
              <w:right w:val="nil"/>
            </w:tcBorders>
          </w:tcPr>
          <w:p w14:paraId="3619EA01"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23.80***</w:t>
            </w:r>
          </w:p>
        </w:tc>
        <w:tc>
          <w:tcPr>
            <w:tcW w:w="1071" w:type="dxa"/>
            <w:tcBorders>
              <w:top w:val="nil"/>
              <w:left w:val="nil"/>
              <w:bottom w:val="nil"/>
              <w:right w:val="nil"/>
            </w:tcBorders>
          </w:tcPr>
          <w:p w14:paraId="1B32F71E"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15.18***</w:t>
            </w:r>
          </w:p>
        </w:tc>
        <w:tc>
          <w:tcPr>
            <w:tcW w:w="1071" w:type="dxa"/>
            <w:tcBorders>
              <w:top w:val="nil"/>
              <w:left w:val="nil"/>
              <w:bottom w:val="nil"/>
              <w:right w:val="nil"/>
            </w:tcBorders>
          </w:tcPr>
          <w:p w14:paraId="0D3EE9B5"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4.029</w:t>
            </w:r>
          </w:p>
        </w:tc>
        <w:tc>
          <w:tcPr>
            <w:tcW w:w="1071" w:type="dxa"/>
            <w:tcBorders>
              <w:top w:val="nil"/>
              <w:left w:val="nil"/>
              <w:bottom w:val="nil"/>
              <w:right w:val="nil"/>
            </w:tcBorders>
          </w:tcPr>
          <w:p w14:paraId="419873E2"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4.111</w:t>
            </w:r>
          </w:p>
        </w:tc>
        <w:tc>
          <w:tcPr>
            <w:tcW w:w="992" w:type="dxa"/>
            <w:tcBorders>
              <w:top w:val="nil"/>
              <w:left w:val="nil"/>
              <w:bottom w:val="nil"/>
              <w:right w:val="nil"/>
            </w:tcBorders>
          </w:tcPr>
          <w:p w14:paraId="10A2889C"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0.0902</w:t>
            </w:r>
          </w:p>
        </w:tc>
      </w:tr>
      <w:tr w:rsidR="00C81BAB" w:rsidRPr="00CF3C36" w14:paraId="2CB271AE" w14:textId="77777777" w:rsidTr="00585F6A">
        <w:trPr>
          <w:jc w:val="center"/>
        </w:trPr>
        <w:tc>
          <w:tcPr>
            <w:tcW w:w="1545" w:type="dxa"/>
            <w:tcBorders>
              <w:top w:val="nil"/>
              <w:left w:val="nil"/>
              <w:bottom w:val="nil"/>
              <w:right w:val="nil"/>
            </w:tcBorders>
          </w:tcPr>
          <w:p w14:paraId="596C80FE"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p>
        </w:tc>
        <w:tc>
          <w:tcPr>
            <w:tcW w:w="1071" w:type="dxa"/>
            <w:tcBorders>
              <w:top w:val="nil"/>
              <w:left w:val="nil"/>
              <w:bottom w:val="nil"/>
              <w:right w:val="nil"/>
            </w:tcBorders>
          </w:tcPr>
          <w:p w14:paraId="329D6877"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(0.467)</w:t>
            </w:r>
          </w:p>
        </w:tc>
        <w:tc>
          <w:tcPr>
            <w:tcW w:w="1071" w:type="dxa"/>
            <w:tcBorders>
              <w:top w:val="nil"/>
              <w:left w:val="nil"/>
              <w:bottom w:val="nil"/>
              <w:right w:val="nil"/>
            </w:tcBorders>
          </w:tcPr>
          <w:p w14:paraId="5BBD6F0D"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(4.750)</w:t>
            </w:r>
          </w:p>
        </w:tc>
        <w:tc>
          <w:tcPr>
            <w:tcW w:w="1071" w:type="dxa"/>
            <w:tcBorders>
              <w:top w:val="nil"/>
              <w:left w:val="nil"/>
              <w:bottom w:val="nil"/>
              <w:right w:val="nil"/>
            </w:tcBorders>
          </w:tcPr>
          <w:p w14:paraId="0D5A2D0D"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(4.009)</w:t>
            </w:r>
          </w:p>
        </w:tc>
        <w:tc>
          <w:tcPr>
            <w:tcW w:w="1071" w:type="dxa"/>
            <w:tcBorders>
              <w:top w:val="nil"/>
              <w:left w:val="nil"/>
              <w:bottom w:val="nil"/>
              <w:right w:val="nil"/>
            </w:tcBorders>
          </w:tcPr>
          <w:p w14:paraId="577F11B4"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(5.409)</w:t>
            </w:r>
          </w:p>
        </w:tc>
        <w:tc>
          <w:tcPr>
            <w:tcW w:w="1071" w:type="dxa"/>
            <w:tcBorders>
              <w:top w:val="nil"/>
              <w:left w:val="nil"/>
              <w:bottom w:val="nil"/>
              <w:right w:val="nil"/>
            </w:tcBorders>
          </w:tcPr>
          <w:p w14:paraId="40D71942"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(5.655)</w:t>
            </w:r>
          </w:p>
        </w:tc>
        <w:tc>
          <w:tcPr>
            <w:tcW w:w="992" w:type="dxa"/>
            <w:tcBorders>
              <w:top w:val="nil"/>
              <w:left w:val="nil"/>
              <w:bottom w:val="nil"/>
              <w:right w:val="nil"/>
            </w:tcBorders>
          </w:tcPr>
          <w:p w14:paraId="16F0BDEA"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(6.697)</w:t>
            </w:r>
          </w:p>
        </w:tc>
      </w:tr>
      <w:tr w:rsidR="00C81BAB" w:rsidRPr="00CF3C36" w14:paraId="7F108415" w14:textId="77777777" w:rsidTr="00585F6A">
        <w:trPr>
          <w:jc w:val="center"/>
        </w:trPr>
        <w:tc>
          <w:tcPr>
            <w:tcW w:w="1545" w:type="dxa"/>
            <w:tcBorders>
              <w:top w:val="nil"/>
              <w:left w:val="nil"/>
              <w:bottom w:val="nil"/>
              <w:right w:val="nil"/>
            </w:tcBorders>
          </w:tcPr>
          <w:p w14:paraId="54BFF87A"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p>
        </w:tc>
        <w:tc>
          <w:tcPr>
            <w:tcW w:w="1071" w:type="dxa"/>
            <w:tcBorders>
              <w:top w:val="nil"/>
              <w:left w:val="nil"/>
              <w:bottom w:val="nil"/>
              <w:right w:val="nil"/>
            </w:tcBorders>
          </w:tcPr>
          <w:p w14:paraId="63AC391C"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6117CA60"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68BBB198"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03990391"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1071" w:type="dxa"/>
            <w:tcBorders>
              <w:top w:val="nil"/>
              <w:left w:val="nil"/>
              <w:bottom w:val="nil"/>
              <w:right w:val="nil"/>
            </w:tcBorders>
          </w:tcPr>
          <w:p w14:paraId="202A8202"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19CA4046"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p>
        </w:tc>
      </w:tr>
      <w:tr w:rsidR="00C81BAB" w:rsidRPr="00CF3C36" w14:paraId="625CD2E2" w14:textId="77777777" w:rsidTr="00585F6A">
        <w:trPr>
          <w:jc w:val="center"/>
        </w:trPr>
        <w:tc>
          <w:tcPr>
            <w:tcW w:w="1545" w:type="dxa"/>
            <w:tcBorders>
              <w:top w:val="nil"/>
              <w:left w:val="nil"/>
              <w:bottom w:val="nil"/>
              <w:right w:val="nil"/>
            </w:tcBorders>
          </w:tcPr>
          <w:p w14:paraId="37A824D9"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Observations</w:t>
            </w:r>
          </w:p>
        </w:tc>
        <w:tc>
          <w:tcPr>
            <w:tcW w:w="1071" w:type="dxa"/>
            <w:tcBorders>
              <w:top w:val="nil"/>
              <w:left w:val="nil"/>
              <w:bottom w:val="nil"/>
              <w:right w:val="nil"/>
            </w:tcBorders>
          </w:tcPr>
          <w:p w14:paraId="489A5F31"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c>
          <w:tcPr>
            <w:tcW w:w="1071" w:type="dxa"/>
            <w:tcBorders>
              <w:top w:val="nil"/>
              <w:left w:val="nil"/>
              <w:bottom w:val="nil"/>
              <w:right w:val="nil"/>
            </w:tcBorders>
          </w:tcPr>
          <w:p w14:paraId="6542A3C7"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c>
          <w:tcPr>
            <w:tcW w:w="1071" w:type="dxa"/>
            <w:tcBorders>
              <w:top w:val="nil"/>
              <w:left w:val="nil"/>
              <w:bottom w:val="nil"/>
              <w:right w:val="nil"/>
            </w:tcBorders>
          </w:tcPr>
          <w:p w14:paraId="48920659"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c>
          <w:tcPr>
            <w:tcW w:w="1071" w:type="dxa"/>
            <w:tcBorders>
              <w:top w:val="nil"/>
              <w:left w:val="nil"/>
              <w:bottom w:val="nil"/>
              <w:right w:val="nil"/>
            </w:tcBorders>
          </w:tcPr>
          <w:p w14:paraId="250A643E"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c>
          <w:tcPr>
            <w:tcW w:w="1071" w:type="dxa"/>
            <w:tcBorders>
              <w:top w:val="nil"/>
              <w:left w:val="nil"/>
              <w:bottom w:val="nil"/>
              <w:right w:val="nil"/>
            </w:tcBorders>
          </w:tcPr>
          <w:p w14:paraId="1AB4652F"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c>
          <w:tcPr>
            <w:tcW w:w="992" w:type="dxa"/>
            <w:tcBorders>
              <w:top w:val="nil"/>
              <w:left w:val="nil"/>
              <w:bottom w:val="nil"/>
              <w:right w:val="nil"/>
            </w:tcBorders>
          </w:tcPr>
          <w:p w14:paraId="159A7A91"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r>
      <w:tr w:rsidR="00C81BAB" w:rsidRPr="00CF3C36" w14:paraId="5DC7EE68" w14:textId="77777777" w:rsidTr="00585F6A">
        <w:trPr>
          <w:jc w:val="center"/>
        </w:trPr>
        <w:tc>
          <w:tcPr>
            <w:tcW w:w="1545" w:type="dxa"/>
            <w:tcBorders>
              <w:top w:val="nil"/>
              <w:left w:val="nil"/>
              <w:bottom w:val="nil"/>
              <w:right w:val="nil"/>
            </w:tcBorders>
          </w:tcPr>
          <w:p w14:paraId="1E130983"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R-squared</w:t>
            </w:r>
          </w:p>
        </w:tc>
        <w:tc>
          <w:tcPr>
            <w:tcW w:w="1071" w:type="dxa"/>
            <w:tcBorders>
              <w:top w:val="nil"/>
              <w:left w:val="nil"/>
              <w:bottom w:val="nil"/>
              <w:right w:val="nil"/>
            </w:tcBorders>
          </w:tcPr>
          <w:p w14:paraId="5B609F29"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0.0003</w:t>
            </w:r>
          </w:p>
        </w:tc>
        <w:tc>
          <w:tcPr>
            <w:tcW w:w="1071" w:type="dxa"/>
            <w:tcBorders>
              <w:top w:val="nil"/>
              <w:left w:val="nil"/>
              <w:bottom w:val="nil"/>
              <w:right w:val="nil"/>
            </w:tcBorders>
          </w:tcPr>
          <w:p w14:paraId="24C6C70E"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0.0151</w:t>
            </w:r>
          </w:p>
        </w:tc>
        <w:tc>
          <w:tcPr>
            <w:tcW w:w="1071" w:type="dxa"/>
            <w:tcBorders>
              <w:top w:val="nil"/>
              <w:left w:val="nil"/>
              <w:bottom w:val="nil"/>
              <w:right w:val="nil"/>
            </w:tcBorders>
          </w:tcPr>
          <w:p w14:paraId="78CF31C9"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0.0447</w:t>
            </w:r>
          </w:p>
        </w:tc>
        <w:tc>
          <w:tcPr>
            <w:tcW w:w="1071" w:type="dxa"/>
            <w:tcBorders>
              <w:top w:val="nil"/>
              <w:left w:val="nil"/>
              <w:bottom w:val="nil"/>
              <w:right w:val="nil"/>
            </w:tcBorders>
          </w:tcPr>
          <w:p w14:paraId="3FB5D3B8"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0.0619</w:t>
            </w:r>
          </w:p>
        </w:tc>
        <w:tc>
          <w:tcPr>
            <w:tcW w:w="1071" w:type="dxa"/>
            <w:tcBorders>
              <w:top w:val="nil"/>
              <w:left w:val="nil"/>
              <w:bottom w:val="nil"/>
              <w:right w:val="nil"/>
            </w:tcBorders>
          </w:tcPr>
          <w:p w14:paraId="3D8822AB"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0.0753</w:t>
            </w:r>
          </w:p>
        </w:tc>
        <w:tc>
          <w:tcPr>
            <w:tcW w:w="992" w:type="dxa"/>
            <w:tcBorders>
              <w:top w:val="nil"/>
              <w:left w:val="nil"/>
              <w:bottom w:val="nil"/>
              <w:right w:val="nil"/>
            </w:tcBorders>
          </w:tcPr>
          <w:p w14:paraId="2AA6D862"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0.0780</w:t>
            </w:r>
          </w:p>
        </w:tc>
      </w:tr>
      <w:tr w:rsidR="00C81BAB" w:rsidRPr="00CF3C36" w14:paraId="3A69B295" w14:textId="77777777" w:rsidTr="00585F6A">
        <w:tblPrEx>
          <w:tblBorders>
            <w:bottom w:val="single" w:sz="6" w:space="0" w:color="auto"/>
          </w:tblBorders>
        </w:tblPrEx>
        <w:trPr>
          <w:jc w:val="center"/>
        </w:trPr>
        <w:tc>
          <w:tcPr>
            <w:tcW w:w="1545" w:type="dxa"/>
            <w:tcBorders>
              <w:top w:val="nil"/>
              <w:left w:val="nil"/>
              <w:bottom w:val="single" w:sz="6" w:space="0" w:color="auto"/>
              <w:right w:val="nil"/>
            </w:tcBorders>
          </w:tcPr>
          <w:p w14:paraId="5A11FE92" w14:textId="77777777" w:rsidR="00C81BAB" w:rsidRPr="00CF3C36" w:rsidRDefault="00C81BAB"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Number of groups</w:t>
            </w:r>
          </w:p>
        </w:tc>
        <w:tc>
          <w:tcPr>
            <w:tcW w:w="1071" w:type="dxa"/>
            <w:tcBorders>
              <w:top w:val="nil"/>
              <w:left w:val="nil"/>
              <w:bottom w:val="single" w:sz="6" w:space="0" w:color="auto"/>
              <w:right w:val="nil"/>
            </w:tcBorders>
          </w:tcPr>
          <w:p w14:paraId="7F600B5D"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1071" w:type="dxa"/>
            <w:tcBorders>
              <w:top w:val="nil"/>
              <w:left w:val="nil"/>
              <w:bottom w:val="single" w:sz="6" w:space="0" w:color="auto"/>
              <w:right w:val="nil"/>
            </w:tcBorders>
          </w:tcPr>
          <w:p w14:paraId="22A0F74E"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1071" w:type="dxa"/>
            <w:tcBorders>
              <w:top w:val="nil"/>
              <w:left w:val="nil"/>
              <w:bottom w:val="single" w:sz="6" w:space="0" w:color="auto"/>
              <w:right w:val="nil"/>
            </w:tcBorders>
          </w:tcPr>
          <w:p w14:paraId="143C4361"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1071" w:type="dxa"/>
            <w:tcBorders>
              <w:top w:val="nil"/>
              <w:left w:val="nil"/>
              <w:bottom w:val="single" w:sz="6" w:space="0" w:color="auto"/>
              <w:right w:val="nil"/>
            </w:tcBorders>
          </w:tcPr>
          <w:p w14:paraId="66F1A41F"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1071" w:type="dxa"/>
            <w:tcBorders>
              <w:top w:val="nil"/>
              <w:left w:val="nil"/>
              <w:bottom w:val="single" w:sz="6" w:space="0" w:color="auto"/>
              <w:right w:val="nil"/>
            </w:tcBorders>
          </w:tcPr>
          <w:p w14:paraId="5F3228D4"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992" w:type="dxa"/>
            <w:tcBorders>
              <w:top w:val="nil"/>
              <w:left w:val="nil"/>
              <w:bottom w:val="single" w:sz="6" w:space="0" w:color="auto"/>
              <w:right w:val="nil"/>
            </w:tcBorders>
          </w:tcPr>
          <w:p w14:paraId="2255389D" w14:textId="77777777" w:rsidR="00C81BAB" w:rsidRPr="00CF3C36" w:rsidRDefault="00C81BAB"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r>
    </w:tbl>
    <w:p w14:paraId="03F4C5EA" w14:textId="77777777" w:rsidR="00C81BAB" w:rsidRPr="00CF3C36" w:rsidRDefault="00C81BAB" w:rsidP="00C81BA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Driscoll-Kraay Standard errors in parentheses</w:t>
      </w:r>
    </w:p>
    <w:p w14:paraId="605955EE" w14:textId="77777777" w:rsidR="00C81BAB" w:rsidRPr="00CF3C36" w:rsidRDefault="00C81BAB" w:rsidP="00C81BAB">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 p&lt;0.01, ** p&lt;0.05, * p&lt;0.1</w:t>
      </w:r>
    </w:p>
    <w:p w14:paraId="035442B9" w14:textId="77777777" w:rsidR="00C81BAB" w:rsidRPr="00CF3C36" w:rsidRDefault="00C81BAB" w:rsidP="00427632">
      <w:pPr>
        <w:rPr>
          <w:i/>
          <w:lang w:val="en-GB"/>
        </w:rPr>
      </w:pPr>
    </w:p>
    <w:p w14:paraId="7C988774" w14:textId="77777777" w:rsidR="00C81BAB" w:rsidRPr="00CF3C36" w:rsidRDefault="00C81BAB" w:rsidP="002A03CF">
      <w:pPr>
        <w:jc w:val="center"/>
        <w:rPr>
          <w:i/>
          <w:lang w:val="en-GB"/>
        </w:rPr>
      </w:pPr>
    </w:p>
    <w:p w14:paraId="488CA478" w14:textId="77777777" w:rsidR="00C81BAB" w:rsidRPr="00CF3C36" w:rsidRDefault="00C81BAB" w:rsidP="002A03CF">
      <w:pPr>
        <w:jc w:val="center"/>
        <w:rPr>
          <w:i/>
          <w:lang w:val="en-GB"/>
        </w:rPr>
      </w:pPr>
    </w:p>
    <w:p w14:paraId="0C88A56C" w14:textId="77777777" w:rsidR="00C81BAB" w:rsidRPr="00CF3C36" w:rsidRDefault="00C81BAB" w:rsidP="002A03CF">
      <w:pPr>
        <w:jc w:val="center"/>
        <w:rPr>
          <w:i/>
          <w:lang w:val="en-GB"/>
        </w:rPr>
      </w:pPr>
    </w:p>
    <w:p w14:paraId="2ECF0493" w14:textId="77777777" w:rsidR="00C81BAB" w:rsidRPr="00CF3C36" w:rsidRDefault="00C81BAB" w:rsidP="002A03CF">
      <w:pPr>
        <w:jc w:val="center"/>
        <w:rPr>
          <w:i/>
          <w:lang w:val="en-GB"/>
        </w:rPr>
      </w:pPr>
    </w:p>
    <w:p w14:paraId="388E59D3" w14:textId="77777777" w:rsidR="00C81BAB" w:rsidRPr="00CF3C36" w:rsidRDefault="00C81BAB" w:rsidP="002A03CF">
      <w:pPr>
        <w:jc w:val="center"/>
        <w:rPr>
          <w:i/>
          <w:lang w:val="en-GB"/>
        </w:rPr>
      </w:pPr>
    </w:p>
    <w:p w14:paraId="73F2B0EC" w14:textId="77777777" w:rsidR="00C81BAB" w:rsidRPr="00CF3C36" w:rsidRDefault="00C81BAB" w:rsidP="002A03CF">
      <w:pPr>
        <w:jc w:val="center"/>
        <w:rPr>
          <w:i/>
          <w:lang w:val="en-GB"/>
        </w:rPr>
      </w:pPr>
    </w:p>
    <w:p w14:paraId="4192A577" w14:textId="77777777" w:rsidR="00C81BAB" w:rsidRPr="00CF3C36" w:rsidRDefault="00C81BAB" w:rsidP="002A03CF">
      <w:pPr>
        <w:jc w:val="center"/>
        <w:rPr>
          <w:i/>
          <w:lang w:val="en-GB"/>
        </w:rPr>
      </w:pPr>
    </w:p>
    <w:p w14:paraId="48AA97AE" w14:textId="77777777" w:rsidR="00C81BAB" w:rsidRPr="00CF3C36" w:rsidRDefault="00C81BAB" w:rsidP="002A03CF">
      <w:pPr>
        <w:jc w:val="center"/>
        <w:rPr>
          <w:i/>
          <w:lang w:val="en-GB"/>
        </w:rPr>
      </w:pPr>
    </w:p>
    <w:p w14:paraId="6376C13A" w14:textId="77777777" w:rsidR="00C81BAB" w:rsidRPr="00CF3C36" w:rsidRDefault="00C81BAB" w:rsidP="002A03CF">
      <w:pPr>
        <w:jc w:val="center"/>
        <w:rPr>
          <w:i/>
          <w:lang w:val="en-GB"/>
        </w:rPr>
      </w:pPr>
    </w:p>
    <w:p w14:paraId="4FB8E9FA" w14:textId="77777777" w:rsidR="00C81BAB" w:rsidRPr="00CF3C36" w:rsidRDefault="00C81BAB" w:rsidP="002A03CF">
      <w:pPr>
        <w:jc w:val="center"/>
        <w:rPr>
          <w:i/>
          <w:lang w:val="en-GB"/>
        </w:rPr>
      </w:pPr>
    </w:p>
    <w:p w14:paraId="777013DE" w14:textId="77777777" w:rsidR="00C81BAB" w:rsidRPr="00CF3C36" w:rsidRDefault="00C81BAB" w:rsidP="002A03CF">
      <w:pPr>
        <w:jc w:val="center"/>
        <w:rPr>
          <w:i/>
          <w:lang w:val="en-GB"/>
        </w:rPr>
      </w:pPr>
    </w:p>
    <w:p w14:paraId="7136B9DC" w14:textId="7A888564" w:rsidR="00C81BAB" w:rsidRPr="00CF3C36" w:rsidRDefault="00C81BAB" w:rsidP="002A03CF">
      <w:pPr>
        <w:jc w:val="center"/>
        <w:rPr>
          <w:i/>
          <w:lang w:val="en-GB"/>
        </w:rPr>
      </w:pPr>
    </w:p>
    <w:p w14:paraId="627250AD" w14:textId="77777777" w:rsidR="00943E8E" w:rsidRPr="00CF3C36" w:rsidRDefault="00943E8E" w:rsidP="002A03CF">
      <w:pPr>
        <w:jc w:val="center"/>
        <w:rPr>
          <w:i/>
          <w:lang w:val="en-GB"/>
        </w:rPr>
      </w:pPr>
    </w:p>
    <w:p w14:paraId="4BBFC6A9" w14:textId="77777777" w:rsidR="00C81BAB" w:rsidRPr="00CF3C36" w:rsidRDefault="00C81BAB" w:rsidP="002A03CF">
      <w:pPr>
        <w:jc w:val="center"/>
        <w:rPr>
          <w:i/>
          <w:lang w:val="en-GB"/>
        </w:rPr>
      </w:pPr>
    </w:p>
    <w:p w14:paraId="602B3B59" w14:textId="77777777" w:rsidR="00C81BAB" w:rsidRPr="00CF3C36" w:rsidRDefault="00C81BAB" w:rsidP="002A03CF">
      <w:pPr>
        <w:jc w:val="center"/>
        <w:rPr>
          <w:i/>
          <w:lang w:val="en-GB"/>
        </w:rPr>
      </w:pPr>
    </w:p>
    <w:p w14:paraId="272514C1" w14:textId="77777777" w:rsidR="00C81BAB" w:rsidRPr="00CF3C36" w:rsidRDefault="00C81BAB" w:rsidP="002A03CF">
      <w:pPr>
        <w:jc w:val="center"/>
        <w:rPr>
          <w:i/>
          <w:lang w:val="en-GB"/>
        </w:rPr>
      </w:pPr>
    </w:p>
    <w:p w14:paraId="0D5BDF38" w14:textId="5FEE072B" w:rsidR="002A03CF" w:rsidRPr="00CF3C36" w:rsidRDefault="0033675A" w:rsidP="00864C4C">
      <w:pPr>
        <w:pStyle w:val="Heading5"/>
        <w:jc w:val="center"/>
        <w:rPr>
          <w:lang w:val="en-GB"/>
        </w:rPr>
      </w:pPr>
      <w:bookmarkStart w:id="48" w:name="_Toc15475680"/>
      <w:r w:rsidRPr="00CF3C36">
        <w:rPr>
          <w:lang w:val="en-GB"/>
        </w:rPr>
        <w:lastRenderedPageBreak/>
        <w:t>Table 17</w:t>
      </w:r>
      <w:r w:rsidR="00864C4C" w:rsidRPr="00CF3C36">
        <w:rPr>
          <w:lang w:val="en-GB"/>
        </w:rPr>
        <w:t xml:space="preserve">. </w:t>
      </w:r>
      <w:r w:rsidR="00C81BAB" w:rsidRPr="00CF3C36">
        <w:rPr>
          <w:lang w:val="en-GB"/>
        </w:rPr>
        <w:t>Robustness-check</w:t>
      </w:r>
      <w:r w:rsidR="00943E8E" w:rsidRPr="00CF3C36">
        <w:rPr>
          <w:lang w:val="en-GB"/>
        </w:rPr>
        <w:t>s</w:t>
      </w:r>
      <w:r w:rsidR="00C81BAB" w:rsidRPr="00CF3C36">
        <w:rPr>
          <w:lang w:val="en-GB"/>
        </w:rPr>
        <w:t xml:space="preserve"> </w:t>
      </w:r>
      <w:r w:rsidR="002A03CF" w:rsidRPr="00CF3C36">
        <w:rPr>
          <w:lang w:val="en-GB"/>
        </w:rPr>
        <w:t>Model 1.1</w:t>
      </w:r>
      <w:bookmarkEnd w:id="48"/>
    </w:p>
    <w:tbl>
      <w:tblPr>
        <w:tblW w:w="7224" w:type="dxa"/>
        <w:jc w:val="center"/>
        <w:tblLayout w:type="fixed"/>
        <w:tblCellMar>
          <w:left w:w="75" w:type="dxa"/>
          <w:right w:w="75" w:type="dxa"/>
        </w:tblCellMar>
        <w:tblLook w:val="0000" w:firstRow="0" w:lastRow="0" w:firstColumn="0" w:lastColumn="0" w:noHBand="0" w:noVBand="0"/>
      </w:tblPr>
      <w:tblGrid>
        <w:gridCol w:w="1837"/>
        <w:gridCol w:w="993"/>
        <w:gridCol w:w="1276"/>
        <w:gridCol w:w="1134"/>
        <w:gridCol w:w="992"/>
        <w:gridCol w:w="992"/>
      </w:tblGrid>
      <w:tr w:rsidR="00967288" w:rsidRPr="00CF3C36" w14:paraId="0C7475AD" w14:textId="77777777" w:rsidTr="00604EA8">
        <w:trPr>
          <w:jc w:val="center"/>
        </w:trPr>
        <w:tc>
          <w:tcPr>
            <w:tcW w:w="1837" w:type="dxa"/>
            <w:tcBorders>
              <w:top w:val="single" w:sz="6" w:space="0" w:color="auto"/>
              <w:left w:val="nil"/>
              <w:bottom w:val="nil"/>
              <w:right w:val="nil"/>
            </w:tcBorders>
          </w:tcPr>
          <w:p w14:paraId="1648D64F" w14:textId="77777777" w:rsidR="00967288" w:rsidRPr="00CF3C36" w:rsidRDefault="00967288" w:rsidP="00604EA8">
            <w:pPr>
              <w:widowControl w:val="0"/>
              <w:autoSpaceDE w:val="0"/>
              <w:autoSpaceDN w:val="0"/>
              <w:adjustRightInd w:val="0"/>
              <w:spacing w:after="0" w:line="240" w:lineRule="auto"/>
              <w:rPr>
                <w:rFonts w:ascii="Times New Roman" w:hAnsi="Times New Roman"/>
                <w:sz w:val="18"/>
                <w:szCs w:val="18"/>
                <w:lang w:val="en-GB"/>
              </w:rPr>
            </w:pPr>
          </w:p>
        </w:tc>
        <w:tc>
          <w:tcPr>
            <w:tcW w:w="993" w:type="dxa"/>
            <w:tcBorders>
              <w:top w:val="single" w:sz="6" w:space="0" w:color="auto"/>
              <w:left w:val="nil"/>
              <w:bottom w:val="nil"/>
              <w:right w:val="nil"/>
            </w:tcBorders>
          </w:tcPr>
          <w:p w14:paraId="03525C2F"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w:t>
            </w:r>
          </w:p>
        </w:tc>
        <w:tc>
          <w:tcPr>
            <w:tcW w:w="1276" w:type="dxa"/>
            <w:tcBorders>
              <w:top w:val="single" w:sz="6" w:space="0" w:color="auto"/>
              <w:left w:val="nil"/>
              <w:bottom w:val="nil"/>
              <w:right w:val="nil"/>
            </w:tcBorders>
          </w:tcPr>
          <w:p w14:paraId="09A7357E"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w:t>
            </w:r>
          </w:p>
        </w:tc>
        <w:tc>
          <w:tcPr>
            <w:tcW w:w="1134" w:type="dxa"/>
            <w:tcBorders>
              <w:top w:val="single" w:sz="6" w:space="0" w:color="auto"/>
              <w:left w:val="nil"/>
              <w:bottom w:val="nil"/>
              <w:right w:val="nil"/>
            </w:tcBorders>
          </w:tcPr>
          <w:p w14:paraId="6EBBE203"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(3)</w:t>
            </w:r>
          </w:p>
        </w:tc>
        <w:tc>
          <w:tcPr>
            <w:tcW w:w="992" w:type="dxa"/>
            <w:tcBorders>
              <w:top w:val="single" w:sz="6" w:space="0" w:color="auto"/>
              <w:left w:val="nil"/>
              <w:bottom w:val="nil"/>
              <w:right w:val="nil"/>
            </w:tcBorders>
          </w:tcPr>
          <w:p w14:paraId="38DA899D"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w:t>
            </w:r>
          </w:p>
        </w:tc>
        <w:tc>
          <w:tcPr>
            <w:tcW w:w="992" w:type="dxa"/>
            <w:tcBorders>
              <w:top w:val="single" w:sz="6" w:space="0" w:color="auto"/>
              <w:left w:val="nil"/>
              <w:bottom w:val="nil"/>
              <w:right w:val="nil"/>
            </w:tcBorders>
          </w:tcPr>
          <w:p w14:paraId="32DE1265"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w:t>
            </w:r>
          </w:p>
        </w:tc>
      </w:tr>
      <w:tr w:rsidR="00967288" w:rsidRPr="00CF3C36" w14:paraId="44C906A5" w14:textId="77777777" w:rsidTr="00604EA8">
        <w:trPr>
          <w:jc w:val="center"/>
        </w:trPr>
        <w:tc>
          <w:tcPr>
            <w:tcW w:w="1837" w:type="dxa"/>
            <w:tcBorders>
              <w:top w:val="nil"/>
              <w:left w:val="nil"/>
              <w:bottom w:val="single" w:sz="6" w:space="0" w:color="auto"/>
              <w:right w:val="nil"/>
            </w:tcBorders>
          </w:tcPr>
          <w:p w14:paraId="6AD31E2D" w14:textId="77777777" w:rsidR="00967288" w:rsidRPr="00CF3C36" w:rsidRDefault="00967288" w:rsidP="00604EA8">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VARIABLES</w:t>
            </w:r>
          </w:p>
        </w:tc>
        <w:tc>
          <w:tcPr>
            <w:tcW w:w="993" w:type="dxa"/>
            <w:tcBorders>
              <w:top w:val="nil"/>
              <w:left w:val="nil"/>
              <w:bottom w:val="single" w:sz="6" w:space="0" w:color="auto"/>
              <w:right w:val="nil"/>
            </w:tcBorders>
          </w:tcPr>
          <w:p w14:paraId="40398442"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1.2 - EPI years</w:t>
            </w:r>
          </w:p>
        </w:tc>
        <w:tc>
          <w:tcPr>
            <w:tcW w:w="1276" w:type="dxa"/>
            <w:tcBorders>
              <w:top w:val="nil"/>
              <w:left w:val="nil"/>
              <w:bottom w:val="single" w:sz="6" w:space="0" w:color="auto"/>
              <w:right w:val="nil"/>
            </w:tcBorders>
          </w:tcPr>
          <w:p w14:paraId="79939EA1"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1.2 - no governance</w:t>
            </w:r>
          </w:p>
        </w:tc>
        <w:tc>
          <w:tcPr>
            <w:tcW w:w="1134" w:type="dxa"/>
            <w:tcBorders>
              <w:top w:val="nil"/>
              <w:left w:val="nil"/>
              <w:bottom w:val="single" w:sz="6" w:space="0" w:color="auto"/>
              <w:right w:val="nil"/>
            </w:tcBorders>
          </w:tcPr>
          <w:p w14:paraId="2F3991B5"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1.1 - no missings</w:t>
            </w:r>
          </w:p>
        </w:tc>
        <w:tc>
          <w:tcPr>
            <w:tcW w:w="992" w:type="dxa"/>
            <w:tcBorders>
              <w:top w:val="nil"/>
              <w:left w:val="nil"/>
              <w:bottom w:val="single" w:sz="6" w:space="0" w:color="auto"/>
              <w:right w:val="nil"/>
            </w:tcBorders>
          </w:tcPr>
          <w:p w14:paraId="4E97931C" w14:textId="6E3610C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1.1 - EPS</w:t>
            </w:r>
            <w:r w:rsidR="002D0C71" w:rsidRPr="00CF3C36">
              <w:rPr>
                <w:rFonts w:ascii="Times New Roman" w:hAnsi="Times New Roman"/>
                <w:sz w:val="18"/>
                <w:szCs w:val="18"/>
                <w:lang w:val="en-GB"/>
              </w:rPr>
              <w:t>I</w:t>
            </w:r>
          </w:p>
        </w:tc>
        <w:tc>
          <w:tcPr>
            <w:tcW w:w="992" w:type="dxa"/>
            <w:tcBorders>
              <w:top w:val="nil"/>
              <w:left w:val="nil"/>
              <w:bottom w:val="single" w:sz="6" w:space="0" w:color="auto"/>
              <w:right w:val="nil"/>
            </w:tcBorders>
          </w:tcPr>
          <w:p w14:paraId="27F38884"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1 - EHC</w:t>
            </w:r>
          </w:p>
        </w:tc>
      </w:tr>
      <w:tr w:rsidR="00967288" w:rsidRPr="00CF3C36" w14:paraId="2A4E68F0" w14:textId="77777777" w:rsidTr="00604EA8">
        <w:trPr>
          <w:jc w:val="center"/>
        </w:trPr>
        <w:tc>
          <w:tcPr>
            <w:tcW w:w="1837" w:type="dxa"/>
            <w:tcBorders>
              <w:top w:val="nil"/>
              <w:left w:val="nil"/>
              <w:bottom w:val="nil"/>
              <w:right w:val="nil"/>
            </w:tcBorders>
          </w:tcPr>
          <w:p w14:paraId="6F10C7D9" w14:textId="77777777" w:rsidR="00967288" w:rsidRPr="00CF3C36" w:rsidRDefault="00967288" w:rsidP="00604EA8">
            <w:pPr>
              <w:widowControl w:val="0"/>
              <w:autoSpaceDE w:val="0"/>
              <w:autoSpaceDN w:val="0"/>
              <w:adjustRightInd w:val="0"/>
              <w:spacing w:after="0" w:line="240" w:lineRule="auto"/>
              <w:rPr>
                <w:rFonts w:ascii="Times New Roman" w:hAnsi="Times New Roman"/>
                <w:sz w:val="18"/>
                <w:szCs w:val="18"/>
                <w:lang w:val="en-GB"/>
              </w:rPr>
            </w:pPr>
          </w:p>
        </w:tc>
        <w:tc>
          <w:tcPr>
            <w:tcW w:w="993" w:type="dxa"/>
            <w:tcBorders>
              <w:top w:val="nil"/>
              <w:left w:val="nil"/>
              <w:bottom w:val="nil"/>
              <w:right w:val="nil"/>
            </w:tcBorders>
          </w:tcPr>
          <w:p w14:paraId="71CFBCDA"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p>
        </w:tc>
        <w:tc>
          <w:tcPr>
            <w:tcW w:w="1276" w:type="dxa"/>
            <w:tcBorders>
              <w:top w:val="nil"/>
              <w:left w:val="nil"/>
              <w:bottom w:val="nil"/>
              <w:right w:val="nil"/>
            </w:tcBorders>
          </w:tcPr>
          <w:p w14:paraId="498CDC20"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3BE584E0"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6F2769A0"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560C20AD"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p>
        </w:tc>
      </w:tr>
      <w:tr w:rsidR="00967288" w:rsidRPr="00CF3C36" w14:paraId="57E52D89" w14:textId="77777777" w:rsidTr="00604EA8">
        <w:trPr>
          <w:jc w:val="center"/>
        </w:trPr>
        <w:tc>
          <w:tcPr>
            <w:tcW w:w="1837" w:type="dxa"/>
            <w:tcBorders>
              <w:top w:val="nil"/>
              <w:left w:val="nil"/>
              <w:bottom w:val="nil"/>
              <w:right w:val="nil"/>
            </w:tcBorders>
          </w:tcPr>
          <w:p w14:paraId="1D1C7BBB" w14:textId="77777777" w:rsidR="00967288" w:rsidRPr="00CF3C36" w:rsidRDefault="00967288" w:rsidP="00604EA8">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EPI</w:t>
            </w:r>
          </w:p>
        </w:tc>
        <w:tc>
          <w:tcPr>
            <w:tcW w:w="993" w:type="dxa"/>
            <w:tcBorders>
              <w:top w:val="nil"/>
              <w:left w:val="nil"/>
              <w:bottom w:val="nil"/>
              <w:right w:val="nil"/>
            </w:tcBorders>
          </w:tcPr>
          <w:p w14:paraId="68C385C7"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0.0643</w:t>
            </w:r>
          </w:p>
        </w:tc>
        <w:tc>
          <w:tcPr>
            <w:tcW w:w="1276" w:type="dxa"/>
            <w:tcBorders>
              <w:top w:val="nil"/>
              <w:left w:val="nil"/>
              <w:bottom w:val="nil"/>
              <w:right w:val="nil"/>
            </w:tcBorders>
          </w:tcPr>
          <w:p w14:paraId="2FF0231F"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0.0470</w:t>
            </w:r>
          </w:p>
        </w:tc>
        <w:tc>
          <w:tcPr>
            <w:tcW w:w="1134" w:type="dxa"/>
            <w:tcBorders>
              <w:top w:val="nil"/>
              <w:left w:val="nil"/>
              <w:bottom w:val="nil"/>
              <w:right w:val="nil"/>
            </w:tcBorders>
          </w:tcPr>
          <w:p w14:paraId="2A803175"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0.0809</w:t>
            </w:r>
          </w:p>
        </w:tc>
        <w:tc>
          <w:tcPr>
            <w:tcW w:w="992" w:type="dxa"/>
            <w:tcBorders>
              <w:top w:val="nil"/>
              <w:left w:val="nil"/>
              <w:bottom w:val="nil"/>
              <w:right w:val="nil"/>
            </w:tcBorders>
          </w:tcPr>
          <w:p w14:paraId="12F61D23"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06C89412"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0.0744**</w:t>
            </w:r>
          </w:p>
        </w:tc>
      </w:tr>
      <w:tr w:rsidR="00967288" w:rsidRPr="00CF3C36" w14:paraId="3907136B" w14:textId="77777777" w:rsidTr="00604EA8">
        <w:trPr>
          <w:jc w:val="center"/>
        </w:trPr>
        <w:tc>
          <w:tcPr>
            <w:tcW w:w="1837" w:type="dxa"/>
            <w:tcBorders>
              <w:top w:val="nil"/>
              <w:left w:val="nil"/>
              <w:bottom w:val="nil"/>
              <w:right w:val="nil"/>
            </w:tcBorders>
          </w:tcPr>
          <w:p w14:paraId="0E10C70D" w14:textId="77777777" w:rsidR="00967288" w:rsidRPr="00CF3C36" w:rsidRDefault="00967288" w:rsidP="00604EA8">
            <w:pPr>
              <w:widowControl w:val="0"/>
              <w:autoSpaceDE w:val="0"/>
              <w:autoSpaceDN w:val="0"/>
              <w:adjustRightInd w:val="0"/>
              <w:spacing w:after="0" w:line="240" w:lineRule="auto"/>
              <w:rPr>
                <w:rFonts w:ascii="Times New Roman" w:hAnsi="Times New Roman"/>
                <w:sz w:val="18"/>
                <w:szCs w:val="18"/>
                <w:lang w:val="en-GB"/>
              </w:rPr>
            </w:pPr>
          </w:p>
        </w:tc>
        <w:tc>
          <w:tcPr>
            <w:tcW w:w="993" w:type="dxa"/>
            <w:tcBorders>
              <w:top w:val="nil"/>
              <w:left w:val="nil"/>
              <w:bottom w:val="nil"/>
              <w:right w:val="nil"/>
            </w:tcBorders>
          </w:tcPr>
          <w:p w14:paraId="34B0EEE0"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(0.0382)</w:t>
            </w:r>
          </w:p>
        </w:tc>
        <w:tc>
          <w:tcPr>
            <w:tcW w:w="1276" w:type="dxa"/>
            <w:tcBorders>
              <w:top w:val="nil"/>
              <w:left w:val="nil"/>
              <w:bottom w:val="nil"/>
              <w:right w:val="nil"/>
            </w:tcBorders>
          </w:tcPr>
          <w:p w14:paraId="02C8E736"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(0.0268)</w:t>
            </w:r>
          </w:p>
        </w:tc>
        <w:tc>
          <w:tcPr>
            <w:tcW w:w="1134" w:type="dxa"/>
            <w:tcBorders>
              <w:top w:val="nil"/>
              <w:left w:val="nil"/>
              <w:bottom w:val="nil"/>
              <w:right w:val="nil"/>
            </w:tcBorders>
          </w:tcPr>
          <w:p w14:paraId="705AC24E"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(0.0463)</w:t>
            </w:r>
          </w:p>
        </w:tc>
        <w:tc>
          <w:tcPr>
            <w:tcW w:w="992" w:type="dxa"/>
            <w:tcBorders>
              <w:top w:val="nil"/>
              <w:left w:val="nil"/>
              <w:bottom w:val="nil"/>
              <w:right w:val="nil"/>
            </w:tcBorders>
          </w:tcPr>
          <w:p w14:paraId="64DD1350"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103AC0E7" w14:textId="77777777" w:rsidR="00967288" w:rsidRPr="00CF3C36" w:rsidRDefault="00967288" w:rsidP="00604EA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(0.0292)</w:t>
            </w:r>
          </w:p>
        </w:tc>
      </w:tr>
      <w:tr w:rsidR="00022AF4" w:rsidRPr="00CF3C36" w14:paraId="000A029E" w14:textId="77777777" w:rsidTr="00604EA8">
        <w:trPr>
          <w:jc w:val="center"/>
        </w:trPr>
        <w:tc>
          <w:tcPr>
            <w:tcW w:w="1837" w:type="dxa"/>
            <w:tcBorders>
              <w:top w:val="nil"/>
              <w:left w:val="nil"/>
              <w:bottom w:val="nil"/>
              <w:right w:val="nil"/>
            </w:tcBorders>
          </w:tcPr>
          <w:p w14:paraId="5F80BDDF" w14:textId="4D5DB3F8"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ln_rgdpna</w:t>
            </w:r>
          </w:p>
        </w:tc>
        <w:tc>
          <w:tcPr>
            <w:tcW w:w="993" w:type="dxa"/>
            <w:tcBorders>
              <w:top w:val="nil"/>
              <w:left w:val="nil"/>
              <w:bottom w:val="nil"/>
              <w:right w:val="nil"/>
            </w:tcBorders>
          </w:tcPr>
          <w:p w14:paraId="6900F138"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-0.434</w:t>
            </w:r>
          </w:p>
        </w:tc>
        <w:tc>
          <w:tcPr>
            <w:tcW w:w="1276" w:type="dxa"/>
            <w:tcBorders>
              <w:top w:val="nil"/>
              <w:left w:val="nil"/>
              <w:bottom w:val="nil"/>
              <w:right w:val="nil"/>
            </w:tcBorders>
          </w:tcPr>
          <w:p w14:paraId="6432F00C"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-0.0122</w:t>
            </w:r>
          </w:p>
        </w:tc>
        <w:tc>
          <w:tcPr>
            <w:tcW w:w="1134" w:type="dxa"/>
            <w:tcBorders>
              <w:top w:val="nil"/>
              <w:left w:val="nil"/>
              <w:bottom w:val="nil"/>
              <w:right w:val="nil"/>
            </w:tcBorders>
          </w:tcPr>
          <w:p w14:paraId="112FDC1F"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-0.830</w:t>
            </w:r>
          </w:p>
        </w:tc>
        <w:tc>
          <w:tcPr>
            <w:tcW w:w="992" w:type="dxa"/>
            <w:tcBorders>
              <w:top w:val="nil"/>
              <w:left w:val="nil"/>
              <w:bottom w:val="nil"/>
              <w:right w:val="nil"/>
            </w:tcBorders>
          </w:tcPr>
          <w:p w14:paraId="741C49FB" w14:textId="242036AB"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0.208</w:t>
            </w:r>
          </w:p>
        </w:tc>
        <w:tc>
          <w:tcPr>
            <w:tcW w:w="992" w:type="dxa"/>
            <w:tcBorders>
              <w:top w:val="nil"/>
              <w:left w:val="nil"/>
              <w:bottom w:val="nil"/>
              <w:right w:val="nil"/>
            </w:tcBorders>
          </w:tcPr>
          <w:p w14:paraId="7C4F0F47" w14:textId="466A6BA3"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-0.120</w:t>
            </w:r>
          </w:p>
        </w:tc>
      </w:tr>
      <w:tr w:rsidR="00022AF4" w:rsidRPr="00CF3C36" w14:paraId="3F25C36C" w14:textId="77777777" w:rsidTr="00604EA8">
        <w:trPr>
          <w:jc w:val="center"/>
        </w:trPr>
        <w:tc>
          <w:tcPr>
            <w:tcW w:w="1837" w:type="dxa"/>
            <w:tcBorders>
              <w:top w:val="nil"/>
              <w:left w:val="nil"/>
              <w:bottom w:val="nil"/>
              <w:right w:val="nil"/>
            </w:tcBorders>
          </w:tcPr>
          <w:p w14:paraId="1B132990" w14:textId="77777777"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p>
        </w:tc>
        <w:tc>
          <w:tcPr>
            <w:tcW w:w="993" w:type="dxa"/>
            <w:tcBorders>
              <w:top w:val="nil"/>
              <w:left w:val="nil"/>
              <w:bottom w:val="nil"/>
              <w:right w:val="nil"/>
            </w:tcBorders>
          </w:tcPr>
          <w:p w14:paraId="492E3BB3"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(1.084)</w:t>
            </w:r>
          </w:p>
        </w:tc>
        <w:tc>
          <w:tcPr>
            <w:tcW w:w="1276" w:type="dxa"/>
            <w:tcBorders>
              <w:top w:val="nil"/>
              <w:left w:val="nil"/>
              <w:bottom w:val="nil"/>
              <w:right w:val="nil"/>
            </w:tcBorders>
          </w:tcPr>
          <w:p w14:paraId="0DB526F6"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(0.430)</w:t>
            </w:r>
          </w:p>
        </w:tc>
        <w:tc>
          <w:tcPr>
            <w:tcW w:w="1134" w:type="dxa"/>
            <w:tcBorders>
              <w:top w:val="nil"/>
              <w:left w:val="nil"/>
              <w:bottom w:val="nil"/>
              <w:right w:val="nil"/>
            </w:tcBorders>
          </w:tcPr>
          <w:p w14:paraId="79A4522D"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(0.526)</w:t>
            </w:r>
          </w:p>
        </w:tc>
        <w:tc>
          <w:tcPr>
            <w:tcW w:w="992" w:type="dxa"/>
            <w:tcBorders>
              <w:top w:val="nil"/>
              <w:left w:val="nil"/>
              <w:bottom w:val="nil"/>
              <w:right w:val="nil"/>
            </w:tcBorders>
          </w:tcPr>
          <w:p w14:paraId="2FF18BFF" w14:textId="02DE0EE6"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(1.401)</w:t>
            </w:r>
          </w:p>
        </w:tc>
        <w:tc>
          <w:tcPr>
            <w:tcW w:w="992" w:type="dxa"/>
            <w:tcBorders>
              <w:top w:val="nil"/>
              <w:left w:val="nil"/>
              <w:bottom w:val="nil"/>
              <w:right w:val="nil"/>
            </w:tcBorders>
          </w:tcPr>
          <w:p w14:paraId="60949505" w14:textId="7BB01BB6"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(0.679)</w:t>
            </w:r>
          </w:p>
        </w:tc>
      </w:tr>
      <w:tr w:rsidR="00022AF4" w:rsidRPr="00CF3C36" w14:paraId="36CC5D31" w14:textId="77777777" w:rsidTr="00604EA8">
        <w:trPr>
          <w:jc w:val="center"/>
        </w:trPr>
        <w:tc>
          <w:tcPr>
            <w:tcW w:w="1837" w:type="dxa"/>
            <w:tcBorders>
              <w:top w:val="nil"/>
              <w:left w:val="nil"/>
              <w:bottom w:val="nil"/>
              <w:right w:val="nil"/>
            </w:tcBorders>
          </w:tcPr>
          <w:p w14:paraId="26C6E193" w14:textId="77777777"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SE_terX</w:t>
            </w:r>
          </w:p>
        </w:tc>
        <w:tc>
          <w:tcPr>
            <w:tcW w:w="993" w:type="dxa"/>
            <w:tcBorders>
              <w:top w:val="nil"/>
              <w:left w:val="nil"/>
              <w:bottom w:val="nil"/>
              <w:right w:val="nil"/>
            </w:tcBorders>
          </w:tcPr>
          <w:p w14:paraId="36C887FD"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-0.0190**</w:t>
            </w:r>
          </w:p>
        </w:tc>
        <w:tc>
          <w:tcPr>
            <w:tcW w:w="1276" w:type="dxa"/>
            <w:tcBorders>
              <w:top w:val="nil"/>
              <w:left w:val="nil"/>
              <w:bottom w:val="nil"/>
              <w:right w:val="nil"/>
            </w:tcBorders>
          </w:tcPr>
          <w:p w14:paraId="4615C89B"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-0.0168***</w:t>
            </w:r>
          </w:p>
        </w:tc>
        <w:tc>
          <w:tcPr>
            <w:tcW w:w="1134" w:type="dxa"/>
            <w:tcBorders>
              <w:top w:val="nil"/>
              <w:left w:val="nil"/>
              <w:bottom w:val="nil"/>
              <w:right w:val="nil"/>
            </w:tcBorders>
          </w:tcPr>
          <w:p w14:paraId="4CBDB807"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-0.0282***</w:t>
            </w:r>
          </w:p>
        </w:tc>
        <w:tc>
          <w:tcPr>
            <w:tcW w:w="992" w:type="dxa"/>
            <w:tcBorders>
              <w:top w:val="nil"/>
              <w:left w:val="nil"/>
              <w:bottom w:val="nil"/>
              <w:right w:val="nil"/>
            </w:tcBorders>
          </w:tcPr>
          <w:p w14:paraId="2549B697" w14:textId="1BEE39B1"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-0.0235***</w:t>
            </w:r>
          </w:p>
        </w:tc>
        <w:tc>
          <w:tcPr>
            <w:tcW w:w="992" w:type="dxa"/>
            <w:tcBorders>
              <w:top w:val="nil"/>
              <w:left w:val="nil"/>
              <w:bottom w:val="nil"/>
              <w:right w:val="nil"/>
            </w:tcBorders>
          </w:tcPr>
          <w:p w14:paraId="17EE94BA"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-0.0347**</w:t>
            </w:r>
          </w:p>
        </w:tc>
      </w:tr>
      <w:tr w:rsidR="00022AF4" w:rsidRPr="00CF3C36" w14:paraId="64956915" w14:textId="77777777" w:rsidTr="00604EA8">
        <w:trPr>
          <w:jc w:val="center"/>
        </w:trPr>
        <w:tc>
          <w:tcPr>
            <w:tcW w:w="1837" w:type="dxa"/>
            <w:tcBorders>
              <w:top w:val="nil"/>
              <w:left w:val="nil"/>
              <w:bottom w:val="nil"/>
              <w:right w:val="nil"/>
            </w:tcBorders>
          </w:tcPr>
          <w:p w14:paraId="591FEE6D" w14:textId="77777777"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p>
        </w:tc>
        <w:tc>
          <w:tcPr>
            <w:tcW w:w="993" w:type="dxa"/>
            <w:tcBorders>
              <w:top w:val="nil"/>
              <w:left w:val="nil"/>
              <w:bottom w:val="nil"/>
              <w:right w:val="nil"/>
            </w:tcBorders>
          </w:tcPr>
          <w:p w14:paraId="390AAC55"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(0.00440)</w:t>
            </w:r>
          </w:p>
        </w:tc>
        <w:tc>
          <w:tcPr>
            <w:tcW w:w="1276" w:type="dxa"/>
            <w:tcBorders>
              <w:top w:val="nil"/>
              <w:left w:val="nil"/>
              <w:bottom w:val="nil"/>
              <w:right w:val="nil"/>
            </w:tcBorders>
          </w:tcPr>
          <w:p w14:paraId="6981FF76"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(0.00439)</w:t>
            </w:r>
          </w:p>
        </w:tc>
        <w:tc>
          <w:tcPr>
            <w:tcW w:w="1134" w:type="dxa"/>
            <w:tcBorders>
              <w:top w:val="nil"/>
              <w:left w:val="nil"/>
              <w:bottom w:val="nil"/>
              <w:right w:val="nil"/>
            </w:tcBorders>
          </w:tcPr>
          <w:p w14:paraId="3B322FC1"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(0.00720)</w:t>
            </w:r>
          </w:p>
        </w:tc>
        <w:tc>
          <w:tcPr>
            <w:tcW w:w="992" w:type="dxa"/>
            <w:tcBorders>
              <w:top w:val="nil"/>
              <w:left w:val="nil"/>
              <w:bottom w:val="nil"/>
              <w:right w:val="nil"/>
            </w:tcBorders>
          </w:tcPr>
          <w:p w14:paraId="0F5EC972" w14:textId="1D27EE42"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(0.00567)</w:t>
            </w:r>
          </w:p>
        </w:tc>
        <w:tc>
          <w:tcPr>
            <w:tcW w:w="992" w:type="dxa"/>
            <w:tcBorders>
              <w:top w:val="nil"/>
              <w:left w:val="nil"/>
              <w:bottom w:val="nil"/>
              <w:right w:val="nil"/>
            </w:tcBorders>
          </w:tcPr>
          <w:p w14:paraId="4262D515"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(0.0117)</w:t>
            </w:r>
          </w:p>
        </w:tc>
      </w:tr>
      <w:tr w:rsidR="00022AF4" w:rsidRPr="00CF3C36" w14:paraId="624D1D9C" w14:textId="77777777" w:rsidTr="00604EA8">
        <w:trPr>
          <w:jc w:val="center"/>
        </w:trPr>
        <w:tc>
          <w:tcPr>
            <w:tcW w:w="1837" w:type="dxa"/>
            <w:tcBorders>
              <w:top w:val="nil"/>
              <w:left w:val="nil"/>
              <w:bottom w:val="nil"/>
              <w:right w:val="nil"/>
            </w:tcBorders>
          </w:tcPr>
          <w:p w14:paraId="52ED3E64" w14:textId="77777777"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eodb1</w:t>
            </w:r>
          </w:p>
        </w:tc>
        <w:tc>
          <w:tcPr>
            <w:tcW w:w="993" w:type="dxa"/>
            <w:tcBorders>
              <w:top w:val="nil"/>
              <w:left w:val="nil"/>
              <w:bottom w:val="nil"/>
              <w:right w:val="nil"/>
            </w:tcBorders>
          </w:tcPr>
          <w:p w14:paraId="727F7484"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-0.0500*</w:t>
            </w:r>
          </w:p>
        </w:tc>
        <w:tc>
          <w:tcPr>
            <w:tcW w:w="1276" w:type="dxa"/>
            <w:tcBorders>
              <w:top w:val="nil"/>
              <w:left w:val="nil"/>
              <w:bottom w:val="nil"/>
              <w:right w:val="nil"/>
            </w:tcBorders>
          </w:tcPr>
          <w:p w14:paraId="1EA5E544"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-0.0341</w:t>
            </w:r>
          </w:p>
        </w:tc>
        <w:tc>
          <w:tcPr>
            <w:tcW w:w="1134" w:type="dxa"/>
            <w:tcBorders>
              <w:top w:val="nil"/>
              <w:left w:val="nil"/>
              <w:bottom w:val="nil"/>
              <w:right w:val="nil"/>
            </w:tcBorders>
          </w:tcPr>
          <w:p w14:paraId="5D59182D"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-0.0591**</w:t>
            </w:r>
          </w:p>
        </w:tc>
        <w:tc>
          <w:tcPr>
            <w:tcW w:w="992" w:type="dxa"/>
            <w:tcBorders>
              <w:top w:val="nil"/>
              <w:left w:val="nil"/>
              <w:bottom w:val="nil"/>
              <w:right w:val="nil"/>
            </w:tcBorders>
          </w:tcPr>
          <w:p w14:paraId="3E015236" w14:textId="1FEC11E0"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-0.0668***</w:t>
            </w:r>
          </w:p>
        </w:tc>
        <w:tc>
          <w:tcPr>
            <w:tcW w:w="992" w:type="dxa"/>
            <w:tcBorders>
              <w:top w:val="nil"/>
              <w:left w:val="nil"/>
              <w:bottom w:val="nil"/>
              <w:right w:val="nil"/>
            </w:tcBorders>
          </w:tcPr>
          <w:p w14:paraId="53BBAF9E"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-0.0256</w:t>
            </w:r>
          </w:p>
        </w:tc>
      </w:tr>
      <w:tr w:rsidR="00022AF4" w:rsidRPr="00CF3C36" w14:paraId="4A9D8CF3" w14:textId="77777777" w:rsidTr="00604EA8">
        <w:trPr>
          <w:jc w:val="center"/>
        </w:trPr>
        <w:tc>
          <w:tcPr>
            <w:tcW w:w="1837" w:type="dxa"/>
            <w:tcBorders>
              <w:top w:val="nil"/>
              <w:left w:val="nil"/>
              <w:bottom w:val="nil"/>
              <w:right w:val="nil"/>
            </w:tcBorders>
          </w:tcPr>
          <w:p w14:paraId="4375C203" w14:textId="77777777"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p>
        </w:tc>
        <w:tc>
          <w:tcPr>
            <w:tcW w:w="993" w:type="dxa"/>
            <w:tcBorders>
              <w:top w:val="nil"/>
              <w:left w:val="nil"/>
              <w:bottom w:val="nil"/>
              <w:right w:val="nil"/>
            </w:tcBorders>
          </w:tcPr>
          <w:p w14:paraId="17A0CCDA"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(0.0188)</w:t>
            </w:r>
          </w:p>
        </w:tc>
        <w:tc>
          <w:tcPr>
            <w:tcW w:w="1276" w:type="dxa"/>
            <w:tcBorders>
              <w:top w:val="nil"/>
              <w:left w:val="nil"/>
              <w:bottom w:val="nil"/>
              <w:right w:val="nil"/>
            </w:tcBorders>
          </w:tcPr>
          <w:p w14:paraId="0EDF7FEB"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(0.0187)</w:t>
            </w:r>
          </w:p>
        </w:tc>
        <w:tc>
          <w:tcPr>
            <w:tcW w:w="1134" w:type="dxa"/>
            <w:tcBorders>
              <w:top w:val="nil"/>
              <w:left w:val="nil"/>
              <w:bottom w:val="nil"/>
              <w:right w:val="nil"/>
            </w:tcBorders>
          </w:tcPr>
          <w:p w14:paraId="2F3B211B"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(0.0177)</w:t>
            </w:r>
          </w:p>
        </w:tc>
        <w:tc>
          <w:tcPr>
            <w:tcW w:w="992" w:type="dxa"/>
            <w:tcBorders>
              <w:top w:val="nil"/>
              <w:left w:val="nil"/>
              <w:bottom w:val="nil"/>
              <w:right w:val="nil"/>
            </w:tcBorders>
          </w:tcPr>
          <w:p w14:paraId="0A71CE45" w14:textId="3E76852F"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(0.0166)</w:t>
            </w:r>
          </w:p>
        </w:tc>
        <w:tc>
          <w:tcPr>
            <w:tcW w:w="992" w:type="dxa"/>
            <w:tcBorders>
              <w:top w:val="nil"/>
              <w:left w:val="nil"/>
              <w:bottom w:val="nil"/>
              <w:right w:val="nil"/>
            </w:tcBorders>
          </w:tcPr>
          <w:p w14:paraId="4B02EF27"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(0.0366)</w:t>
            </w:r>
          </w:p>
        </w:tc>
      </w:tr>
      <w:tr w:rsidR="00022AF4" w:rsidRPr="00CF3C36" w14:paraId="6AAE982E" w14:textId="77777777" w:rsidTr="00604EA8">
        <w:trPr>
          <w:jc w:val="center"/>
        </w:trPr>
        <w:tc>
          <w:tcPr>
            <w:tcW w:w="1837" w:type="dxa"/>
            <w:tcBorders>
              <w:top w:val="nil"/>
              <w:left w:val="nil"/>
              <w:bottom w:val="nil"/>
              <w:right w:val="nil"/>
            </w:tcBorders>
          </w:tcPr>
          <w:p w14:paraId="193521B1" w14:textId="77777777"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governance</w:t>
            </w:r>
          </w:p>
        </w:tc>
        <w:tc>
          <w:tcPr>
            <w:tcW w:w="993" w:type="dxa"/>
            <w:tcBorders>
              <w:top w:val="nil"/>
              <w:left w:val="nil"/>
              <w:bottom w:val="nil"/>
              <w:right w:val="nil"/>
            </w:tcBorders>
          </w:tcPr>
          <w:p w14:paraId="265A4DDB"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0.150</w:t>
            </w:r>
          </w:p>
        </w:tc>
        <w:tc>
          <w:tcPr>
            <w:tcW w:w="1276" w:type="dxa"/>
            <w:tcBorders>
              <w:top w:val="nil"/>
              <w:left w:val="nil"/>
              <w:bottom w:val="nil"/>
              <w:right w:val="nil"/>
            </w:tcBorders>
          </w:tcPr>
          <w:p w14:paraId="71699A21"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7B4AE071"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-0.209</w:t>
            </w:r>
          </w:p>
        </w:tc>
        <w:tc>
          <w:tcPr>
            <w:tcW w:w="992" w:type="dxa"/>
            <w:tcBorders>
              <w:top w:val="nil"/>
              <w:left w:val="nil"/>
              <w:bottom w:val="nil"/>
              <w:right w:val="nil"/>
            </w:tcBorders>
          </w:tcPr>
          <w:p w14:paraId="02914405" w14:textId="63E02880"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-0.833</w:t>
            </w:r>
          </w:p>
        </w:tc>
        <w:tc>
          <w:tcPr>
            <w:tcW w:w="992" w:type="dxa"/>
            <w:tcBorders>
              <w:top w:val="nil"/>
              <w:left w:val="nil"/>
              <w:bottom w:val="nil"/>
              <w:right w:val="nil"/>
            </w:tcBorders>
          </w:tcPr>
          <w:p w14:paraId="19EB15C3"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-0.392</w:t>
            </w:r>
          </w:p>
        </w:tc>
      </w:tr>
      <w:tr w:rsidR="00022AF4" w:rsidRPr="00CF3C36" w14:paraId="37212552" w14:textId="77777777" w:rsidTr="00604EA8">
        <w:trPr>
          <w:jc w:val="center"/>
        </w:trPr>
        <w:tc>
          <w:tcPr>
            <w:tcW w:w="1837" w:type="dxa"/>
            <w:tcBorders>
              <w:top w:val="nil"/>
              <w:left w:val="nil"/>
              <w:bottom w:val="nil"/>
              <w:right w:val="nil"/>
            </w:tcBorders>
          </w:tcPr>
          <w:p w14:paraId="47111259" w14:textId="77777777"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p>
        </w:tc>
        <w:tc>
          <w:tcPr>
            <w:tcW w:w="993" w:type="dxa"/>
            <w:tcBorders>
              <w:top w:val="nil"/>
              <w:left w:val="nil"/>
              <w:bottom w:val="nil"/>
              <w:right w:val="nil"/>
            </w:tcBorders>
          </w:tcPr>
          <w:p w14:paraId="74F9C0E9"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(0.159)</w:t>
            </w:r>
          </w:p>
        </w:tc>
        <w:tc>
          <w:tcPr>
            <w:tcW w:w="1276" w:type="dxa"/>
            <w:tcBorders>
              <w:top w:val="nil"/>
              <w:left w:val="nil"/>
              <w:bottom w:val="nil"/>
              <w:right w:val="nil"/>
            </w:tcBorders>
          </w:tcPr>
          <w:p w14:paraId="2C6AB005"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13EF6F95"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(0.369)</w:t>
            </w:r>
          </w:p>
        </w:tc>
        <w:tc>
          <w:tcPr>
            <w:tcW w:w="992" w:type="dxa"/>
            <w:tcBorders>
              <w:top w:val="nil"/>
              <w:left w:val="nil"/>
              <w:bottom w:val="nil"/>
              <w:right w:val="nil"/>
            </w:tcBorders>
          </w:tcPr>
          <w:p w14:paraId="639870B5" w14:textId="297E9AD5"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(0.432)</w:t>
            </w:r>
          </w:p>
        </w:tc>
        <w:tc>
          <w:tcPr>
            <w:tcW w:w="992" w:type="dxa"/>
            <w:tcBorders>
              <w:top w:val="nil"/>
              <w:left w:val="nil"/>
              <w:bottom w:val="nil"/>
              <w:right w:val="nil"/>
            </w:tcBorders>
          </w:tcPr>
          <w:p w14:paraId="6A28B7D4"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(0.210)</w:t>
            </w:r>
          </w:p>
        </w:tc>
      </w:tr>
      <w:tr w:rsidR="00022AF4" w:rsidRPr="00CF3C36" w14:paraId="73803A9A" w14:textId="77777777" w:rsidTr="00604EA8">
        <w:trPr>
          <w:jc w:val="center"/>
        </w:trPr>
        <w:tc>
          <w:tcPr>
            <w:tcW w:w="1837" w:type="dxa"/>
            <w:tcBorders>
              <w:top w:val="nil"/>
              <w:left w:val="nil"/>
              <w:bottom w:val="nil"/>
              <w:right w:val="nil"/>
            </w:tcBorders>
          </w:tcPr>
          <w:p w14:paraId="0DA18472" w14:textId="77777777"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ln_KL</w:t>
            </w:r>
          </w:p>
        </w:tc>
        <w:tc>
          <w:tcPr>
            <w:tcW w:w="993" w:type="dxa"/>
            <w:tcBorders>
              <w:top w:val="nil"/>
              <w:left w:val="nil"/>
              <w:bottom w:val="nil"/>
              <w:right w:val="nil"/>
            </w:tcBorders>
          </w:tcPr>
          <w:p w14:paraId="0862D219"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2.603</w:t>
            </w:r>
          </w:p>
        </w:tc>
        <w:tc>
          <w:tcPr>
            <w:tcW w:w="1276" w:type="dxa"/>
            <w:tcBorders>
              <w:top w:val="nil"/>
              <w:left w:val="nil"/>
              <w:bottom w:val="nil"/>
              <w:right w:val="nil"/>
            </w:tcBorders>
          </w:tcPr>
          <w:p w14:paraId="5222C3E6"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4.638*</w:t>
            </w:r>
          </w:p>
        </w:tc>
        <w:tc>
          <w:tcPr>
            <w:tcW w:w="1134" w:type="dxa"/>
            <w:tcBorders>
              <w:top w:val="nil"/>
              <w:left w:val="nil"/>
              <w:bottom w:val="nil"/>
              <w:right w:val="nil"/>
            </w:tcBorders>
          </w:tcPr>
          <w:p w14:paraId="1AC23EF3"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3.511*</w:t>
            </w:r>
          </w:p>
        </w:tc>
        <w:tc>
          <w:tcPr>
            <w:tcW w:w="992" w:type="dxa"/>
            <w:tcBorders>
              <w:top w:val="nil"/>
              <w:left w:val="nil"/>
              <w:bottom w:val="nil"/>
              <w:right w:val="nil"/>
            </w:tcBorders>
          </w:tcPr>
          <w:p w14:paraId="28F5B570" w14:textId="7906992B"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-0.766</w:t>
            </w:r>
          </w:p>
        </w:tc>
        <w:tc>
          <w:tcPr>
            <w:tcW w:w="992" w:type="dxa"/>
            <w:tcBorders>
              <w:top w:val="nil"/>
              <w:left w:val="nil"/>
              <w:bottom w:val="nil"/>
              <w:right w:val="nil"/>
            </w:tcBorders>
          </w:tcPr>
          <w:p w14:paraId="753E5643"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9.360***</w:t>
            </w:r>
          </w:p>
        </w:tc>
      </w:tr>
      <w:tr w:rsidR="00022AF4" w:rsidRPr="00CF3C36" w14:paraId="2C70652C" w14:textId="77777777" w:rsidTr="00604EA8">
        <w:trPr>
          <w:jc w:val="center"/>
        </w:trPr>
        <w:tc>
          <w:tcPr>
            <w:tcW w:w="1837" w:type="dxa"/>
            <w:tcBorders>
              <w:top w:val="nil"/>
              <w:left w:val="nil"/>
              <w:bottom w:val="nil"/>
              <w:right w:val="nil"/>
            </w:tcBorders>
          </w:tcPr>
          <w:p w14:paraId="1955264D" w14:textId="77777777"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p>
        </w:tc>
        <w:tc>
          <w:tcPr>
            <w:tcW w:w="993" w:type="dxa"/>
            <w:tcBorders>
              <w:top w:val="nil"/>
              <w:left w:val="nil"/>
              <w:bottom w:val="nil"/>
              <w:right w:val="nil"/>
            </w:tcBorders>
          </w:tcPr>
          <w:p w14:paraId="72AB114A"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(2.757)</w:t>
            </w:r>
          </w:p>
        </w:tc>
        <w:tc>
          <w:tcPr>
            <w:tcW w:w="1276" w:type="dxa"/>
            <w:tcBorders>
              <w:top w:val="nil"/>
              <w:left w:val="nil"/>
              <w:bottom w:val="nil"/>
              <w:right w:val="nil"/>
            </w:tcBorders>
          </w:tcPr>
          <w:p w14:paraId="27C3425D"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(2.068)</w:t>
            </w:r>
          </w:p>
        </w:tc>
        <w:tc>
          <w:tcPr>
            <w:tcW w:w="1134" w:type="dxa"/>
            <w:tcBorders>
              <w:top w:val="nil"/>
              <w:left w:val="nil"/>
              <w:bottom w:val="nil"/>
              <w:right w:val="nil"/>
            </w:tcBorders>
          </w:tcPr>
          <w:p w14:paraId="08D5B4A4"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(1.495)</w:t>
            </w:r>
          </w:p>
        </w:tc>
        <w:tc>
          <w:tcPr>
            <w:tcW w:w="992" w:type="dxa"/>
            <w:tcBorders>
              <w:top w:val="nil"/>
              <w:left w:val="nil"/>
              <w:bottom w:val="nil"/>
              <w:right w:val="nil"/>
            </w:tcBorders>
          </w:tcPr>
          <w:p w14:paraId="097FBCAA" w14:textId="0D2F04E1"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(3.294)</w:t>
            </w:r>
          </w:p>
        </w:tc>
        <w:tc>
          <w:tcPr>
            <w:tcW w:w="992" w:type="dxa"/>
            <w:tcBorders>
              <w:top w:val="nil"/>
              <w:left w:val="nil"/>
              <w:bottom w:val="nil"/>
              <w:right w:val="nil"/>
            </w:tcBorders>
          </w:tcPr>
          <w:p w14:paraId="04758B5F"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(2.196)</w:t>
            </w:r>
          </w:p>
        </w:tc>
      </w:tr>
      <w:tr w:rsidR="00022AF4" w:rsidRPr="00CF3C36" w14:paraId="59258CF8" w14:textId="77777777" w:rsidTr="00604EA8">
        <w:trPr>
          <w:jc w:val="center"/>
        </w:trPr>
        <w:tc>
          <w:tcPr>
            <w:tcW w:w="1837" w:type="dxa"/>
            <w:tcBorders>
              <w:top w:val="nil"/>
              <w:left w:val="nil"/>
              <w:bottom w:val="nil"/>
              <w:right w:val="nil"/>
            </w:tcBorders>
          </w:tcPr>
          <w:p w14:paraId="6EE62285" w14:textId="77777777"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ln_KL_2</w:t>
            </w:r>
          </w:p>
        </w:tc>
        <w:tc>
          <w:tcPr>
            <w:tcW w:w="993" w:type="dxa"/>
            <w:tcBorders>
              <w:top w:val="nil"/>
              <w:left w:val="nil"/>
              <w:bottom w:val="nil"/>
              <w:right w:val="nil"/>
            </w:tcBorders>
          </w:tcPr>
          <w:p w14:paraId="0DC74AD8"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-0.353</w:t>
            </w:r>
          </w:p>
        </w:tc>
        <w:tc>
          <w:tcPr>
            <w:tcW w:w="1276" w:type="dxa"/>
            <w:tcBorders>
              <w:top w:val="nil"/>
              <w:left w:val="nil"/>
              <w:bottom w:val="nil"/>
              <w:right w:val="nil"/>
            </w:tcBorders>
          </w:tcPr>
          <w:p w14:paraId="318F0421"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-0.581**</w:t>
            </w:r>
          </w:p>
        </w:tc>
        <w:tc>
          <w:tcPr>
            <w:tcW w:w="1134" w:type="dxa"/>
            <w:tcBorders>
              <w:top w:val="nil"/>
              <w:left w:val="nil"/>
              <w:bottom w:val="nil"/>
              <w:right w:val="nil"/>
            </w:tcBorders>
          </w:tcPr>
          <w:p w14:paraId="569E40A7"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-0.405*</w:t>
            </w:r>
          </w:p>
        </w:tc>
        <w:tc>
          <w:tcPr>
            <w:tcW w:w="992" w:type="dxa"/>
            <w:tcBorders>
              <w:top w:val="nil"/>
              <w:left w:val="nil"/>
              <w:bottom w:val="nil"/>
              <w:right w:val="nil"/>
            </w:tcBorders>
          </w:tcPr>
          <w:p w14:paraId="10231845" w14:textId="5FDAE1C3"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-0.0973</w:t>
            </w:r>
          </w:p>
        </w:tc>
        <w:tc>
          <w:tcPr>
            <w:tcW w:w="992" w:type="dxa"/>
            <w:tcBorders>
              <w:top w:val="nil"/>
              <w:left w:val="nil"/>
              <w:bottom w:val="nil"/>
              <w:right w:val="nil"/>
            </w:tcBorders>
          </w:tcPr>
          <w:p w14:paraId="2D66BB20"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-1.100***</w:t>
            </w:r>
          </w:p>
        </w:tc>
      </w:tr>
      <w:tr w:rsidR="00022AF4" w:rsidRPr="00CF3C36" w14:paraId="3B3687DC" w14:textId="77777777" w:rsidTr="00604EA8">
        <w:trPr>
          <w:jc w:val="center"/>
        </w:trPr>
        <w:tc>
          <w:tcPr>
            <w:tcW w:w="1837" w:type="dxa"/>
            <w:tcBorders>
              <w:top w:val="nil"/>
              <w:left w:val="nil"/>
              <w:bottom w:val="nil"/>
              <w:right w:val="nil"/>
            </w:tcBorders>
          </w:tcPr>
          <w:p w14:paraId="109DF7D7" w14:textId="77777777"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p>
        </w:tc>
        <w:tc>
          <w:tcPr>
            <w:tcW w:w="993" w:type="dxa"/>
            <w:tcBorders>
              <w:top w:val="nil"/>
              <w:left w:val="nil"/>
              <w:bottom w:val="nil"/>
              <w:right w:val="nil"/>
            </w:tcBorders>
          </w:tcPr>
          <w:p w14:paraId="17399C3E"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(0.224)</w:t>
            </w:r>
          </w:p>
        </w:tc>
        <w:tc>
          <w:tcPr>
            <w:tcW w:w="1276" w:type="dxa"/>
            <w:tcBorders>
              <w:top w:val="nil"/>
              <w:left w:val="nil"/>
              <w:bottom w:val="nil"/>
              <w:right w:val="nil"/>
            </w:tcBorders>
          </w:tcPr>
          <w:p w14:paraId="182BC5A7"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(0.188)</w:t>
            </w:r>
          </w:p>
        </w:tc>
        <w:tc>
          <w:tcPr>
            <w:tcW w:w="1134" w:type="dxa"/>
            <w:tcBorders>
              <w:top w:val="nil"/>
              <w:left w:val="nil"/>
              <w:bottom w:val="nil"/>
              <w:right w:val="nil"/>
            </w:tcBorders>
          </w:tcPr>
          <w:p w14:paraId="624A43F3"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(0.177)</w:t>
            </w:r>
          </w:p>
        </w:tc>
        <w:tc>
          <w:tcPr>
            <w:tcW w:w="992" w:type="dxa"/>
            <w:tcBorders>
              <w:top w:val="nil"/>
              <w:left w:val="nil"/>
              <w:bottom w:val="nil"/>
              <w:right w:val="nil"/>
            </w:tcBorders>
          </w:tcPr>
          <w:p w14:paraId="561DA887" w14:textId="6B13CE41"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(0.269)</w:t>
            </w:r>
          </w:p>
        </w:tc>
        <w:tc>
          <w:tcPr>
            <w:tcW w:w="992" w:type="dxa"/>
            <w:tcBorders>
              <w:top w:val="nil"/>
              <w:left w:val="nil"/>
              <w:bottom w:val="nil"/>
              <w:right w:val="nil"/>
            </w:tcBorders>
          </w:tcPr>
          <w:p w14:paraId="4AD7286C"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(0.174)</w:t>
            </w:r>
          </w:p>
        </w:tc>
      </w:tr>
      <w:tr w:rsidR="00022AF4" w:rsidRPr="00CF3C36" w14:paraId="11E01789" w14:textId="77777777" w:rsidTr="00604EA8">
        <w:trPr>
          <w:jc w:val="center"/>
        </w:trPr>
        <w:tc>
          <w:tcPr>
            <w:tcW w:w="1837" w:type="dxa"/>
            <w:tcBorders>
              <w:top w:val="nil"/>
              <w:left w:val="nil"/>
              <w:bottom w:val="nil"/>
              <w:right w:val="nil"/>
            </w:tcBorders>
          </w:tcPr>
          <w:p w14:paraId="3606C77B" w14:textId="77777777"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EPI_ln_KL_cen</w:t>
            </w:r>
          </w:p>
        </w:tc>
        <w:tc>
          <w:tcPr>
            <w:tcW w:w="993" w:type="dxa"/>
            <w:tcBorders>
              <w:top w:val="nil"/>
              <w:left w:val="nil"/>
              <w:bottom w:val="nil"/>
              <w:right w:val="nil"/>
            </w:tcBorders>
          </w:tcPr>
          <w:p w14:paraId="3D1F9B3E"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0.213***</w:t>
            </w:r>
          </w:p>
        </w:tc>
        <w:tc>
          <w:tcPr>
            <w:tcW w:w="1276" w:type="dxa"/>
            <w:tcBorders>
              <w:top w:val="nil"/>
              <w:left w:val="nil"/>
              <w:bottom w:val="nil"/>
              <w:right w:val="nil"/>
            </w:tcBorders>
          </w:tcPr>
          <w:p w14:paraId="00936009"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0.142**</w:t>
            </w:r>
          </w:p>
        </w:tc>
        <w:tc>
          <w:tcPr>
            <w:tcW w:w="1134" w:type="dxa"/>
            <w:tcBorders>
              <w:top w:val="nil"/>
              <w:left w:val="nil"/>
              <w:bottom w:val="nil"/>
              <w:right w:val="nil"/>
            </w:tcBorders>
          </w:tcPr>
          <w:p w14:paraId="30D7E9D3"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-0.172</w:t>
            </w:r>
          </w:p>
        </w:tc>
        <w:tc>
          <w:tcPr>
            <w:tcW w:w="992" w:type="dxa"/>
            <w:tcBorders>
              <w:top w:val="nil"/>
              <w:left w:val="nil"/>
              <w:bottom w:val="nil"/>
              <w:right w:val="nil"/>
            </w:tcBorders>
          </w:tcPr>
          <w:p w14:paraId="6632121A" w14:textId="4BB9A6B6"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29ED5B9B"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0.0467</w:t>
            </w:r>
          </w:p>
        </w:tc>
      </w:tr>
      <w:tr w:rsidR="00022AF4" w:rsidRPr="00CF3C36" w14:paraId="32B0F650" w14:textId="77777777" w:rsidTr="00604EA8">
        <w:trPr>
          <w:jc w:val="center"/>
        </w:trPr>
        <w:tc>
          <w:tcPr>
            <w:tcW w:w="1837" w:type="dxa"/>
            <w:tcBorders>
              <w:top w:val="nil"/>
              <w:left w:val="nil"/>
              <w:bottom w:val="nil"/>
              <w:right w:val="nil"/>
            </w:tcBorders>
          </w:tcPr>
          <w:p w14:paraId="5CF3AE85" w14:textId="77777777"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p>
        </w:tc>
        <w:tc>
          <w:tcPr>
            <w:tcW w:w="993" w:type="dxa"/>
            <w:tcBorders>
              <w:top w:val="nil"/>
              <w:left w:val="nil"/>
              <w:bottom w:val="nil"/>
              <w:right w:val="nil"/>
            </w:tcBorders>
          </w:tcPr>
          <w:p w14:paraId="0B7B16A9"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(0.0126)</w:t>
            </w:r>
          </w:p>
        </w:tc>
        <w:tc>
          <w:tcPr>
            <w:tcW w:w="1276" w:type="dxa"/>
            <w:tcBorders>
              <w:top w:val="nil"/>
              <w:left w:val="nil"/>
              <w:bottom w:val="nil"/>
              <w:right w:val="nil"/>
            </w:tcBorders>
          </w:tcPr>
          <w:p w14:paraId="0C210BEB"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(0.0515)</w:t>
            </w:r>
          </w:p>
        </w:tc>
        <w:tc>
          <w:tcPr>
            <w:tcW w:w="1134" w:type="dxa"/>
            <w:tcBorders>
              <w:top w:val="nil"/>
              <w:left w:val="nil"/>
              <w:bottom w:val="nil"/>
              <w:right w:val="nil"/>
            </w:tcBorders>
          </w:tcPr>
          <w:p w14:paraId="6AD2E486"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(0.136)</w:t>
            </w:r>
          </w:p>
        </w:tc>
        <w:tc>
          <w:tcPr>
            <w:tcW w:w="992" w:type="dxa"/>
            <w:tcBorders>
              <w:top w:val="nil"/>
              <w:left w:val="nil"/>
              <w:bottom w:val="nil"/>
              <w:right w:val="nil"/>
            </w:tcBorders>
          </w:tcPr>
          <w:p w14:paraId="3795E4B0" w14:textId="2C3D7E5E"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0C72FF18"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(0.0637)</w:t>
            </w:r>
          </w:p>
        </w:tc>
      </w:tr>
      <w:tr w:rsidR="00022AF4" w:rsidRPr="00CF3C36" w14:paraId="12156635" w14:textId="77777777" w:rsidTr="00604EA8">
        <w:trPr>
          <w:jc w:val="center"/>
        </w:trPr>
        <w:tc>
          <w:tcPr>
            <w:tcW w:w="1837" w:type="dxa"/>
            <w:tcBorders>
              <w:top w:val="nil"/>
              <w:left w:val="nil"/>
              <w:bottom w:val="nil"/>
              <w:right w:val="nil"/>
            </w:tcBorders>
          </w:tcPr>
          <w:p w14:paraId="49E6368D" w14:textId="77777777"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EPI_ln_KL_2_cen</w:t>
            </w:r>
          </w:p>
        </w:tc>
        <w:tc>
          <w:tcPr>
            <w:tcW w:w="993" w:type="dxa"/>
            <w:tcBorders>
              <w:top w:val="nil"/>
              <w:left w:val="nil"/>
              <w:bottom w:val="nil"/>
              <w:right w:val="nil"/>
            </w:tcBorders>
          </w:tcPr>
          <w:p w14:paraId="1FC790BF"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-0.0233***</w:t>
            </w:r>
          </w:p>
        </w:tc>
        <w:tc>
          <w:tcPr>
            <w:tcW w:w="1276" w:type="dxa"/>
            <w:tcBorders>
              <w:top w:val="nil"/>
              <w:left w:val="nil"/>
              <w:bottom w:val="nil"/>
              <w:right w:val="nil"/>
            </w:tcBorders>
          </w:tcPr>
          <w:p w14:paraId="4608BAD7"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-0.0138**</w:t>
            </w:r>
          </w:p>
        </w:tc>
        <w:tc>
          <w:tcPr>
            <w:tcW w:w="1134" w:type="dxa"/>
            <w:tcBorders>
              <w:top w:val="nil"/>
              <w:left w:val="nil"/>
              <w:bottom w:val="nil"/>
              <w:right w:val="nil"/>
            </w:tcBorders>
          </w:tcPr>
          <w:p w14:paraId="57F4A092"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0.0138</w:t>
            </w:r>
          </w:p>
        </w:tc>
        <w:tc>
          <w:tcPr>
            <w:tcW w:w="992" w:type="dxa"/>
            <w:tcBorders>
              <w:top w:val="nil"/>
              <w:left w:val="nil"/>
              <w:bottom w:val="nil"/>
              <w:right w:val="nil"/>
            </w:tcBorders>
          </w:tcPr>
          <w:p w14:paraId="5EC0F267" w14:textId="4E25A55A"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2B2052CE"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-0.00169</w:t>
            </w:r>
          </w:p>
        </w:tc>
      </w:tr>
      <w:tr w:rsidR="00022AF4" w:rsidRPr="00CF3C36" w14:paraId="194299D2" w14:textId="77777777" w:rsidTr="00604EA8">
        <w:trPr>
          <w:jc w:val="center"/>
        </w:trPr>
        <w:tc>
          <w:tcPr>
            <w:tcW w:w="1837" w:type="dxa"/>
            <w:tcBorders>
              <w:top w:val="nil"/>
              <w:left w:val="nil"/>
              <w:bottom w:val="nil"/>
              <w:right w:val="nil"/>
            </w:tcBorders>
          </w:tcPr>
          <w:p w14:paraId="59FEA9A9" w14:textId="77777777"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p>
        </w:tc>
        <w:tc>
          <w:tcPr>
            <w:tcW w:w="993" w:type="dxa"/>
            <w:tcBorders>
              <w:top w:val="nil"/>
              <w:left w:val="nil"/>
              <w:bottom w:val="nil"/>
              <w:right w:val="nil"/>
            </w:tcBorders>
          </w:tcPr>
          <w:p w14:paraId="19BFB142"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(0.00348)</w:t>
            </w:r>
          </w:p>
        </w:tc>
        <w:tc>
          <w:tcPr>
            <w:tcW w:w="1276" w:type="dxa"/>
            <w:tcBorders>
              <w:top w:val="nil"/>
              <w:left w:val="nil"/>
              <w:bottom w:val="nil"/>
              <w:right w:val="nil"/>
            </w:tcBorders>
          </w:tcPr>
          <w:p w14:paraId="69FFE3ED"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(0.00479)</w:t>
            </w:r>
          </w:p>
        </w:tc>
        <w:tc>
          <w:tcPr>
            <w:tcW w:w="1134" w:type="dxa"/>
            <w:tcBorders>
              <w:top w:val="nil"/>
              <w:left w:val="nil"/>
              <w:bottom w:val="nil"/>
              <w:right w:val="nil"/>
            </w:tcBorders>
          </w:tcPr>
          <w:p w14:paraId="18D7E8B8"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(0.0131)</w:t>
            </w:r>
          </w:p>
        </w:tc>
        <w:tc>
          <w:tcPr>
            <w:tcW w:w="992" w:type="dxa"/>
            <w:tcBorders>
              <w:top w:val="nil"/>
              <w:left w:val="nil"/>
              <w:bottom w:val="nil"/>
              <w:right w:val="nil"/>
            </w:tcBorders>
          </w:tcPr>
          <w:p w14:paraId="2E07AAB8" w14:textId="1545594C"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772D2071"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(0.00774)</w:t>
            </w:r>
          </w:p>
        </w:tc>
      </w:tr>
      <w:tr w:rsidR="00022AF4" w:rsidRPr="00CF3C36" w14:paraId="57BD3AE5" w14:textId="77777777" w:rsidTr="00604EA8">
        <w:trPr>
          <w:jc w:val="center"/>
        </w:trPr>
        <w:tc>
          <w:tcPr>
            <w:tcW w:w="1837" w:type="dxa"/>
            <w:tcBorders>
              <w:top w:val="nil"/>
              <w:left w:val="nil"/>
              <w:bottom w:val="nil"/>
              <w:right w:val="nil"/>
            </w:tcBorders>
          </w:tcPr>
          <w:p w14:paraId="2B13D00D" w14:textId="05ED2CD2"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EPS</w:t>
            </w:r>
            <w:r w:rsidR="002D0C71" w:rsidRPr="00CF3C36">
              <w:rPr>
                <w:rFonts w:ascii="Times New Roman" w:hAnsi="Times New Roman"/>
                <w:sz w:val="18"/>
                <w:szCs w:val="18"/>
                <w:lang w:val="en-GB"/>
              </w:rPr>
              <w:t>I</w:t>
            </w:r>
          </w:p>
        </w:tc>
        <w:tc>
          <w:tcPr>
            <w:tcW w:w="993" w:type="dxa"/>
            <w:tcBorders>
              <w:top w:val="nil"/>
              <w:left w:val="nil"/>
              <w:bottom w:val="nil"/>
              <w:right w:val="nil"/>
            </w:tcBorders>
          </w:tcPr>
          <w:p w14:paraId="3221567E"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1276" w:type="dxa"/>
            <w:tcBorders>
              <w:top w:val="nil"/>
              <w:left w:val="nil"/>
              <w:bottom w:val="nil"/>
              <w:right w:val="nil"/>
            </w:tcBorders>
          </w:tcPr>
          <w:p w14:paraId="43FFFC76"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4E8508CB"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60AF29FD" w14:textId="49FC9606"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0.175</w:t>
            </w:r>
          </w:p>
        </w:tc>
        <w:tc>
          <w:tcPr>
            <w:tcW w:w="992" w:type="dxa"/>
            <w:tcBorders>
              <w:top w:val="nil"/>
              <w:left w:val="nil"/>
              <w:bottom w:val="nil"/>
              <w:right w:val="nil"/>
            </w:tcBorders>
          </w:tcPr>
          <w:p w14:paraId="3AEAAB5F"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r>
      <w:tr w:rsidR="00022AF4" w:rsidRPr="00CF3C36" w14:paraId="39745019" w14:textId="77777777" w:rsidTr="00604EA8">
        <w:trPr>
          <w:jc w:val="center"/>
        </w:trPr>
        <w:tc>
          <w:tcPr>
            <w:tcW w:w="1837" w:type="dxa"/>
            <w:tcBorders>
              <w:top w:val="nil"/>
              <w:left w:val="nil"/>
              <w:bottom w:val="nil"/>
              <w:right w:val="nil"/>
            </w:tcBorders>
          </w:tcPr>
          <w:p w14:paraId="118945CD" w14:textId="77777777"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p>
        </w:tc>
        <w:tc>
          <w:tcPr>
            <w:tcW w:w="993" w:type="dxa"/>
            <w:tcBorders>
              <w:top w:val="nil"/>
              <w:left w:val="nil"/>
              <w:bottom w:val="nil"/>
              <w:right w:val="nil"/>
            </w:tcBorders>
          </w:tcPr>
          <w:p w14:paraId="5A477E72"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1276" w:type="dxa"/>
            <w:tcBorders>
              <w:top w:val="nil"/>
              <w:left w:val="nil"/>
              <w:bottom w:val="nil"/>
              <w:right w:val="nil"/>
            </w:tcBorders>
          </w:tcPr>
          <w:p w14:paraId="03CAC55E"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1502547C"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156FC868" w14:textId="7A14497B"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(0.647)</w:t>
            </w:r>
          </w:p>
        </w:tc>
        <w:tc>
          <w:tcPr>
            <w:tcW w:w="992" w:type="dxa"/>
            <w:tcBorders>
              <w:top w:val="nil"/>
              <w:left w:val="nil"/>
              <w:bottom w:val="nil"/>
              <w:right w:val="nil"/>
            </w:tcBorders>
          </w:tcPr>
          <w:p w14:paraId="7C67E976"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r>
      <w:tr w:rsidR="00022AF4" w:rsidRPr="00CF3C36" w14:paraId="4D575444" w14:textId="77777777" w:rsidTr="00604EA8">
        <w:trPr>
          <w:jc w:val="center"/>
        </w:trPr>
        <w:tc>
          <w:tcPr>
            <w:tcW w:w="1837" w:type="dxa"/>
            <w:tcBorders>
              <w:top w:val="nil"/>
              <w:left w:val="nil"/>
              <w:bottom w:val="nil"/>
              <w:right w:val="nil"/>
            </w:tcBorders>
          </w:tcPr>
          <w:p w14:paraId="3E31AF37" w14:textId="57AEB8AB"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cs="Times New Roman"/>
                <w:sz w:val="18"/>
                <w:szCs w:val="18"/>
                <w:lang w:val="en-GB"/>
              </w:rPr>
              <w:t>EPS</w:t>
            </w:r>
            <w:r w:rsidR="002D0C71" w:rsidRPr="00CF3C36">
              <w:rPr>
                <w:rFonts w:ascii="Times New Roman" w:hAnsi="Times New Roman" w:cs="Times New Roman"/>
                <w:sz w:val="18"/>
                <w:szCs w:val="18"/>
                <w:lang w:val="en-GB"/>
              </w:rPr>
              <w:t>I</w:t>
            </w:r>
            <w:r w:rsidRPr="00CF3C36">
              <w:rPr>
                <w:rFonts w:ascii="Times New Roman" w:hAnsi="Times New Roman" w:cs="Times New Roman"/>
                <w:sz w:val="18"/>
                <w:szCs w:val="18"/>
                <w:lang w:val="en-GB"/>
              </w:rPr>
              <w:t>_ln_KL_cen</w:t>
            </w:r>
          </w:p>
        </w:tc>
        <w:tc>
          <w:tcPr>
            <w:tcW w:w="993" w:type="dxa"/>
            <w:tcBorders>
              <w:top w:val="nil"/>
              <w:left w:val="nil"/>
              <w:bottom w:val="nil"/>
              <w:right w:val="nil"/>
            </w:tcBorders>
          </w:tcPr>
          <w:p w14:paraId="131BAC8C"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1276" w:type="dxa"/>
            <w:tcBorders>
              <w:top w:val="nil"/>
              <w:left w:val="nil"/>
              <w:bottom w:val="nil"/>
              <w:right w:val="nil"/>
            </w:tcBorders>
          </w:tcPr>
          <w:p w14:paraId="27B728FD"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38AC393E"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421CD65E" w14:textId="0C358961"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-7.876</w:t>
            </w:r>
          </w:p>
        </w:tc>
        <w:tc>
          <w:tcPr>
            <w:tcW w:w="992" w:type="dxa"/>
            <w:tcBorders>
              <w:top w:val="nil"/>
              <w:left w:val="nil"/>
              <w:bottom w:val="nil"/>
              <w:right w:val="nil"/>
            </w:tcBorders>
          </w:tcPr>
          <w:p w14:paraId="67589BA1" w14:textId="76159BED"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r>
      <w:tr w:rsidR="00022AF4" w:rsidRPr="00CF3C36" w14:paraId="407AA60A" w14:textId="77777777" w:rsidTr="00604EA8">
        <w:trPr>
          <w:jc w:val="center"/>
        </w:trPr>
        <w:tc>
          <w:tcPr>
            <w:tcW w:w="1837" w:type="dxa"/>
            <w:tcBorders>
              <w:top w:val="nil"/>
              <w:left w:val="nil"/>
              <w:bottom w:val="nil"/>
              <w:right w:val="nil"/>
            </w:tcBorders>
          </w:tcPr>
          <w:p w14:paraId="6EF27015" w14:textId="77777777"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p>
        </w:tc>
        <w:tc>
          <w:tcPr>
            <w:tcW w:w="993" w:type="dxa"/>
            <w:tcBorders>
              <w:top w:val="nil"/>
              <w:left w:val="nil"/>
              <w:bottom w:val="nil"/>
              <w:right w:val="nil"/>
            </w:tcBorders>
          </w:tcPr>
          <w:p w14:paraId="65C2BFA7"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1276" w:type="dxa"/>
            <w:tcBorders>
              <w:top w:val="nil"/>
              <w:left w:val="nil"/>
              <w:bottom w:val="nil"/>
              <w:right w:val="nil"/>
            </w:tcBorders>
          </w:tcPr>
          <w:p w14:paraId="7B3F4467"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45302259"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62A27EC8" w14:textId="7CE40B9A"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(8.227)</w:t>
            </w:r>
          </w:p>
        </w:tc>
        <w:tc>
          <w:tcPr>
            <w:tcW w:w="992" w:type="dxa"/>
            <w:tcBorders>
              <w:top w:val="nil"/>
              <w:left w:val="nil"/>
              <w:bottom w:val="nil"/>
              <w:right w:val="nil"/>
            </w:tcBorders>
          </w:tcPr>
          <w:p w14:paraId="0EE69F51"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r>
      <w:tr w:rsidR="00022AF4" w:rsidRPr="00CF3C36" w14:paraId="530CD853" w14:textId="77777777" w:rsidTr="00604EA8">
        <w:trPr>
          <w:jc w:val="center"/>
        </w:trPr>
        <w:tc>
          <w:tcPr>
            <w:tcW w:w="1837" w:type="dxa"/>
            <w:tcBorders>
              <w:top w:val="nil"/>
              <w:left w:val="nil"/>
              <w:bottom w:val="nil"/>
              <w:right w:val="nil"/>
            </w:tcBorders>
          </w:tcPr>
          <w:p w14:paraId="7500818B" w14:textId="367DFE96"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cs="Times New Roman"/>
                <w:sz w:val="18"/>
                <w:szCs w:val="18"/>
                <w:lang w:val="en-GB"/>
              </w:rPr>
              <w:t>EPS</w:t>
            </w:r>
            <w:r w:rsidR="002D0C71" w:rsidRPr="00CF3C36">
              <w:rPr>
                <w:rFonts w:ascii="Times New Roman" w:hAnsi="Times New Roman" w:cs="Times New Roman"/>
                <w:sz w:val="18"/>
                <w:szCs w:val="18"/>
                <w:lang w:val="en-GB"/>
              </w:rPr>
              <w:t>I</w:t>
            </w:r>
            <w:r w:rsidRPr="00CF3C36">
              <w:rPr>
                <w:rFonts w:ascii="Times New Roman" w:hAnsi="Times New Roman" w:cs="Times New Roman"/>
                <w:sz w:val="18"/>
                <w:szCs w:val="18"/>
                <w:lang w:val="en-GB"/>
              </w:rPr>
              <w:t>_ln_KL_2_cen</w:t>
            </w:r>
          </w:p>
        </w:tc>
        <w:tc>
          <w:tcPr>
            <w:tcW w:w="993" w:type="dxa"/>
            <w:tcBorders>
              <w:top w:val="nil"/>
              <w:left w:val="nil"/>
              <w:bottom w:val="nil"/>
              <w:right w:val="nil"/>
            </w:tcBorders>
          </w:tcPr>
          <w:p w14:paraId="2F769560"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1276" w:type="dxa"/>
            <w:tcBorders>
              <w:top w:val="nil"/>
              <w:left w:val="nil"/>
              <w:bottom w:val="nil"/>
              <w:right w:val="nil"/>
            </w:tcBorders>
          </w:tcPr>
          <w:p w14:paraId="734D62A8"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7ACEBE9D"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68738957" w14:textId="539E0A15"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0.817</w:t>
            </w:r>
          </w:p>
        </w:tc>
        <w:tc>
          <w:tcPr>
            <w:tcW w:w="992" w:type="dxa"/>
            <w:tcBorders>
              <w:top w:val="nil"/>
              <w:left w:val="nil"/>
              <w:bottom w:val="nil"/>
              <w:right w:val="nil"/>
            </w:tcBorders>
          </w:tcPr>
          <w:p w14:paraId="3368B5A2"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r>
      <w:tr w:rsidR="00022AF4" w:rsidRPr="00CF3C36" w14:paraId="0EAABC13" w14:textId="77777777" w:rsidTr="00604EA8">
        <w:trPr>
          <w:jc w:val="center"/>
        </w:trPr>
        <w:tc>
          <w:tcPr>
            <w:tcW w:w="1837" w:type="dxa"/>
            <w:tcBorders>
              <w:top w:val="nil"/>
              <w:left w:val="nil"/>
              <w:bottom w:val="nil"/>
              <w:right w:val="nil"/>
            </w:tcBorders>
          </w:tcPr>
          <w:p w14:paraId="2A489A4F" w14:textId="77777777" w:rsidR="00022AF4" w:rsidRPr="00CF3C36" w:rsidRDefault="00022AF4" w:rsidP="00022AF4">
            <w:pPr>
              <w:widowControl w:val="0"/>
              <w:autoSpaceDE w:val="0"/>
              <w:autoSpaceDN w:val="0"/>
              <w:adjustRightInd w:val="0"/>
              <w:spacing w:after="0" w:line="240" w:lineRule="auto"/>
              <w:rPr>
                <w:rFonts w:ascii="Times New Roman" w:hAnsi="Times New Roman"/>
                <w:sz w:val="18"/>
                <w:szCs w:val="18"/>
                <w:lang w:val="en-GB"/>
              </w:rPr>
            </w:pPr>
          </w:p>
        </w:tc>
        <w:tc>
          <w:tcPr>
            <w:tcW w:w="993" w:type="dxa"/>
            <w:tcBorders>
              <w:top w:val="nil"/>
              <w:left w:val="nil"/>
              <w:bottom w:val="nil"/>
              <w:right w:val="nil"/>
            </w:tcBorders>
          </w:tcPr>
          <w:p w14:paraId="3E5487DD"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1276" w:type="dxa"/>
            <w:tcBorders>
              <w:top w:val="nil"/>
              <w:left w:val="nil"/>
              <w:bottom w:val="nil"/>
              <w:right w:val="nil"/>
            </w:tcBorders>
          </w:tcPr>
          <w:p w14:paraId="4BED07D8"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5F52CC26" w14:textId="77777777"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066EB01D" w14:textId="70F59A46"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(0.810)</w:t>
            </w:r>
          </w:p>
        </w:tc>
        <w:tc>
          <w:tcPr>
            <w:tcW w:w="992" w:type="dxa"/>
            <w:tcBorders>
              <w:top w:val="nil"/>
              <w:left w:val="nil"/>
              <w:bottom w:val="nil"/>
              <w:right w:val="nil"/>
            </w:tcBorders>
          </w:tcPr>
          <w:p w14:paraId="5F6707FF" w14:textId="360BD300" w:rsidR="00022AF4" w:rsidRPr="00CF3C36" w:rsidRDefault="00022AF4" w:rsidP="00022AF4">
            <w:pPr>
              <w:widowControl w:val="0"/>
              <w:autoSpaceDE w:val="0"/>
              <w:autoSpaceDN w:val="0"/>
              <w:adjustRightInd w:val="0"/>
              <w:spacing w:after="0" w:line="240" w:lineRule="auto"/>
              <w:jc w:val="center"/>
              <w:rPr>
                <w:rFonts w:ascii="Times New Roman" w:hAnsi="Times New Roman"/>
                <w:sz w:val="18"/>
                <w:szCs w:val="18"/>
                <w:lang w:val="en-GB"/>
              </w:rPr>
            </w:pPr>
          </w:p>
        </w:tc>
      </w:tr>
      <w:tr w:rsidR="00C86433" w:rsidRPr="00CF3C36" w14:paraId="068C69F8" w14:textId="77777777" w:rsidTr="00604EA8">
        <w:trPr>
          <w:jc w:val="center"/>
        </w:trPr>
        <w:tc>
          <w:tcPr>
            <w:tcW w:w="1837" w:type="dxa"/>
            <w:tcBorders>
              <w:top w:val="nil"/>
              <w:left w:val="nil"/>
              <w:bottom w:val="nil"/>
              <w:right w:val="nil"/>
            </w:tcBorders>
          </w:tcPr>
          <w:p w14:paraId="46FDD0BC" w14:textId="77777777" w:rsidR="00C86433" w:rsidRPr="00CF3C36" w:rsidRDefault="00C86433" w:rsidP="00C86433">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Constant</w:t>
            </w:r>
          </w:p>
        </w:tc>
        <w:tc>
          <w:tcPr>
            <w:tcW w:w="993" w:type="dxa"/>
            <w:tcBorders>
              <w:top w:val="nil"/>
              <w:left w:val="nil"/>
              <w:bottom w:val="nil"/>
              <w:right w:val="nil"/>
            </w:tcBorders>
          </w:tcPr>
          <w:p w14:paraId="123DA01B" w14:textId="77777777"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11.33</w:t>
            </w:r>
          </w:p>
        </w:tc>
        <w:tc>
          <w:tcPr>
            <w:tcW w:w="1276" w:type="dxa"/>
            <w:tcBorders>
              <w:top w:val="nil"/>
              <w:left w:val="nil"/>
              <w:bottom w:val="nil"/>
              <w:right w:val="nil"/>
            </w:tcBorders>
          </w:tcPr>
          <w:p w14:paraId="6133DD2F" w14:textId="77777777"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0.932</w:t>
            </w:r>
          </w:p>
        </w:tc>
        <w:tc>
          <w:tcPr>
            <w:tcW w:w="1134" w:type="dxa"/>
            <w:tcBorders>
              <w:top w:val="nil"/>
              <w:left w:val="nil"/>
              <w:bottom w:val="nil"/>
              <w:right w:val="nil"/>
            </w:tcBorders>
          </w:tcPr>
          <w:p w14:paraId="1DB948D1" w14:textId="77777777"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14.74**</w:t>
            </w:r>
          </w:p>
        </w:tc>
        <w:tc>
          <w:tcPr>
            <w:tcW w:w="992" w:type="dxa"/>
            <w:tcBorders>
              <w:top w:val="nil"/>
              <w:left w:val="nil"/>
              <w:bottom w:val="nil"/>
              <w:right w:val="nil"/>
            </w:tcBorders>
          </w:tcPr>
          <w:p w14:paraId="682B2D40" w14:textId="4C05C9AF"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20.49</w:t>
            </w:r>
          </w:p>
        </w:tc>
        <w:tc>
          <w:tcPr>
            <w:tcW w:w="992" w:type="dxa"/>
            <w:tcBorders>
              <w:top w:val="nil"/>
              <w:left w:val="nil"/>
              <w:bottom w:val="nil"/>
              <w:right w:val="nil"/>
            </w:tcBorders>
          </w:tcPr>
          <w:p w14:paraId="5B73DA59" w14:textId="77777777"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-8.332</w:t>
            </w:r>
          </w:p>
        </w:tc>
      </w:tr>
      <w:tr w:rsidR="00C86433" w:rsidRPr="00CF3C36" w14:paraId="446478E9" w14:textId="77777777" w:rsidTr="00604EA8">
        <w:trPr>
          <w:jc w:val="center"/>
        </w:trPr>
        <w:tc>
          <w:tcPr>
            <w:tcW w:w="1837" w:type="dxa"/>
            <w:tcBorders>
              <w:top w:val="nil"/>
              <w:left w:val="nil"/>
              <w:bottom w:val="nil"/>
              <w:right w:val="nil"/>
            </w:tcBorders>
          </w:tcPr>
          <w:p w14:paraId="53C9F635" w14:textId="77777777" w:rsidR="00C86433" w:rsidRPr="00CF3C36" w:rsidRDefault="00C86433" w:rsidP="00C86433">
            <w:pPr>
              <w:widowControl w:val="0"/>
              <w:autoSpaceDE w:val="0"/>
              <w:autoSpaceDN w:val="0"/>
              <w:adjustRightInd w:val="0"/>
              <w:spacing w:after="0" w:line="240" w:lineRule="auto"/>
              <w:rPr>
                <w:rFonts w:ascii="Times New Roman" w:hAnsi="Times New Roman"/>
                <w:sz w:val="18"/>
                <w:szCs w:val="18"/>
                <w:lang w:val="en-GB"/>
              </w:rPr>
            </w:pPr>
          </w:p>
        </w:tc>
        <w:tc>
          <w:tcPr>
            <w:tcW w:w="993" w:type="dxa"/>
            <w:tcBorders>
              <w:top w:val="nil"/>
              <w:left w:val="nil"/>
              <w:bottom w:val="nil"/>
              <w:right w:val="nil"/>
            </w:tcBorders>
          </w:tcPr>
          <w:p w14:paraId="05F7220E" w14:textId="77777777"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(8.415)</w:t>
            </w:r>
          </w:p>
        </w:tc>
        <w:tc>
          <w:tcPr>
            <w:tcW w:w="1276" w:type="dxa"/>
            <w:tcBorders>
              <w:top w:val="nil"/>
              <w:left w:val="nil"/>
              <w:bottom w:val="nil"/>
              <w:right w:val="nil"/>
            </w:tcBorders>
          </w:tcPr>
          <w:p w14:paraId="74E21B8B" w14:textId="77777777"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(6.256)</w:t>
            </w:r>
          </w:p>
        </w:tc>
        <w:tc>
          <w:tcPr>
            <w:tcW w:w="1134" w:type="dxa"/>
            <w:tcBorders>
              <w:top w:val="nil"/>
              <w:left w:val="nil"/>
              <w:bottom w:val="nil"/>
              <w:right w:val="nil"/>
            </w:tcBorders>
          </w:tcPr>
          <w:p w14:paraId="2147A6FF" w14:textId="77777777"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(4.510)</w:t>
            </w:r>
          </w:p>
        </w:tc>
        <w:tc>
          <w:tcPr>
            <w:tcW w:w="992" w:type="dxa"/>
            <w:tcBorders>
              <w:top w:val="nil"/>
              <w:left w:val="nil"/>
              <w:bottom w:val="nil"/>
              <w:right w:val="nil"/>
            </w:tcBorders>
          </w:tcPr>
          <w:p w14:paraId="54DE5615" w14:textId="15172454"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(13.58)</w:t>
            </w:r>
          </w:p>
        </w:tc>
        <w:tc>
          <w:tcPr>
            <w:tcW w:w="992" w:type="dxa"/>
            <w:tcBorders>
              <w:top w:val="nil"/>
              <w:left w:val="nil"/>
              <w:bottom w:val="nil"/>
              <w:right w:val="nil"/>
            </w:tcBorders>
          </w:tcPr>
          <w:p w14:paraId="70994E79" w14:textId="77777777"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(7.585)</w:t>
            </w:r>
          </w:p>
        </w:tc>
      </w:tr>
      <w:tr w:rsidR="00C86433" w:rsidRPr="00CF3C36" w14:paraId="09C0815C" w14:textId="77777777" w:rsidTr="00604EA8">
        <w:trPr>
          <w:jc w:val="center"/>
        </w:trPr>
        <w:tc>
          <w:tcPr>
            <w:tcW w:w="1837" w:type="dxa"/>
            <w:tcBorders>
              <w:top w:val="nil"/>
              <w:left w:val="nil"/>
              <w:bottom w:val="nil"/>
              <w:right w:val="nil"/>
            </w:tcBorders>
          </w:tcPr>
          <w:p w14:paraId="5D7F4D59" w14:textId="77777777" w:rsidR="00C86433" w:rsidRPr="00CF3C36" w:rsidRDefault="00C86433" w:rsidP="00C86433">
            <w:pPr>
              <w:widowControl w:val="0"/>
              <w:autoSpaceDE w:val="0"/>
              <w:autoSpaceDN w:val="0"/>
              <w:adjustRightInd w:val="0"/>
              <w:spacing w:after="0" w:line="240" w:lineRule="auto"/>
              <w:rPr>
                <w:rFonts w:ascii="Times New Roman" w:hAnsi="Times New Roman"/>
                <w:sz w:val="18"/>
                <w:szCs w:val="18"/>
                <w:lang w:val="en-GB"/>
              </w:rPr>
            </w:pPr>
          </w:p>
        </w:tc>
        <w:tc>
          <w:tcPr>
            <w:tcW w:w="993" w:type="dxa"/>
            <w:tcBorders>
              <w:top w:val="nil"/>
              <w:left w:val="nil"/>
              <w:bottom w:val="nil"/>
              <w:right w:val="nil"/>
            </w:tcBorders>
          </w:tcPr>
          <w:p w14:paraId="77C72CD7" w14:textId="77777777"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p>
        </w:tc>
        <w:tc>
          <w:tcPr>
            <w:tcW w:w="1276" w:type="dxa"/>
            <w:tcBorders>
              <w:top w:val="nil"/>
              <w:left w:val="nil"/>
              <w:bottom w:val="nil"/>
              <w:right w:val="nil"/>
            </w:tcBorders>
          </w:tcPr>
          <w:p w14:paraId="2F102852" w14:textId="77777777"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19E7A124" w14:textId="77777777"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661DA344" w14:textId="77777777"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1A0D4298" w14:textId="77777777"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p>
        </w:tc>
      </w:tr>
      <w:tr w:rsidR="00C86433" w:rsidRPr="00CF3C36" w14:paraId="76622636" w14:textId="77777777" w:rsidTr="00604EA8">
        <w:trPr>
          <w:jc w:val="center"/>
        </w:trPr>
        <w:tc>
          <w:tcPr>
            <w:tcW w:w="1837" w:type="dxa"/>
            <w:tcBorders>
              <w:top w:val="nil"/>
              <w:left w:val="nil"/>
              <w:bottom w:val="nil"/>
              <w:right w:val="nil"/>
            </w:tcBorders>
          </w:tcPr>
          <w:p w14:paraId="392F6C7B" w14:textId="77777777" w:rsidR="00C86433" w:rsidRPr="00CF3C36" w:rsidRDefault="00C86433" w:rsidP="00C86433">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Observations</w:t>
            </w:r>
          </w:p>
        </w:tc>
        <w:tc>
          <w:tcPr>
            <w:tcW w:w="993" w:type="dxa"/>
            <w:tcBorders>
              <w:top w:val="nil"/>
              <w:left w:val="nil"/>
              <w:bottom w:val="nil"/>
              <w:right w:val="nil"/>
            </w:tcBorders>
          </w:tcPr>
          <w:p w14:paraId="6B617E27" w14:textId="77777777"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224</w:t>
            </w:r>
          </w:p>
        </w:tc>
        <w:tc>
          <w:tcPr>
            <w:tcW w:w="1276" w:type="dxa"/>
            <w:tcBorders>
              <w:top w:val="nil"/>
              <w:left w:val="nil"/>
              <w:bottom w:val="nil"/>
              <w:right w:val="nil"/>
            </w:tcBorders>
          </w:tcPr>
          <w:p w14:paraId="16318559" w14:textId="77777777"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c>
          <w:tcPr>
            <w:tcW w:w="1134" w:type="dxa"/>
            <w:tcBorders>
              <w:top w:val="nil"/>
              <w:left w:val="nil"/>
              <w:bottom w:val="nil"/>
              <w:right w:val="nil"/>
            </w:tcBorders>
          </w:tcPr>
          <w:p w14:paraId="04D55F75" w14:textId="77777777"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315</w:t>
            </w:r>
          </w:p>
        </w:tc>
        <w:tc>
          <w:tcPr>
            <w:tcW w:w="992" w:type="dxa"/>
            <w:tcBorders>
              <w:top w:val="nil"/>
              <w:left w:val="nil"/>
              <w:bottom w:val="nil"/>
              <w:right w:val="nil"/>
            </w:tcBorders>
          </w:tcPr>
          <w:p w14:paraId="08BBC0DB" w14:textId="33D9779E"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127</w:t>
            </w:r>
          </w:p>
        </w:tc>
        <w:tc>
          <w:tcPr>
            <w:tcW w:w="992" w:type="dxa"/>
            <w:tcBorders>
              <w:top w:val="nil"/>
              <w:left w:val="nil"/>
              <w:bottom w:val="nil"/>
              <w:right w:val="nil"/>
            </w:tcBorders>
          </w:tcPr>
          <w:p w14:paraId="25E251A0" w14:textId="77777777"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r>
      <w:tr w:rsidR="00C86433" w:rsidRPr="00CF3C36" w14:paraId="765C41EA" w14:textId="77777777" w:rsidTr="00604EA8">
        <w:trPr>
          <w:jc w:val="center"/>
        </w:trPr>
        <w:tc>
          <w:tcPr>
            <w:tcW w:w="1837" w:type="dxa"/>
            <w:tcBorders>
              <w:top w:val="nil"/>
              <w:left w:val="nil"/>
              <w:bottom w:val="nil"/>
              <w:right w:val="nil"/>
            </w:tcBorders>
          </w:tcPr>
          <w:p w14:paraId="2E60E393" w14:textId="7A0F7F09" w:rsidR="00C86433" w:rsidRPr="00CF3C36" w:rsidRDefault="00C86433" w:rsidP="00C86433">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R-squared</w:t>
            </w:r>
          </w:p>
        </w:tc>
        <w:tc>
          <w:tcPr>
            <w:tcW w:w="993" w:type="dxa"/>
            <w:tcBorders>
              <w:top w:val="nil"/>
              <w:left w:val="nil"/>
              <w:bottom w:val="nil"/>
              <w:right w:val="nil"/>
            </w:tcBorders>
          </w:tcPr>
          <w:p w14:paraId="56073EEA" w14:textId="5047A719"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p>
        </w:tc>
        <w:tc>
          <w:tcPr>
            <w:tcW w:w="1276" w:type="dxa"/>
            <w:tcBorders>
              <w:top w:val="nil"/>
              <w:left w:val="nil"/>
              <w:bottom w:val="nil"/>
              <w:right w:val="nil"/>
            </w:tcBorders>
          </w:tcPr>
          <w:p w14:paraId="6F057FE8" w14:textId="5E50793B"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nil"/>
              <w:right w:val="nil"/>
            </w:tcBorders>
          </w:tcPr>
          <w:p w14:paraId="4108CC82" w14:textId="3EDDCEBA"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099A805B" w14:textId="5219393B"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073AD078" w14:textId="65642DEA"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p>
        </w:tc>
      </w:tr>
      <w:tr w:rsidR="00C86433" w:rsidRPr="00CF3C36" w14:paraId="164B92F7" w14:textId="77777777" w:rsidTr="00604EA8">
        <w:trPr>
          <w:jc w:val="center"/>
        </w:trPr>
        <w:tc>
          <w:tcPr>
            <w:tcW w:w="1837" w:type="dxa"/>
            <w:tcBorders>
              <w:top w:val="nil"/>
              <w:left w:val="nil"/>
              <w:bottom w:val="single" w:sz="6" w:space="0" w:color="auto"/>
              <w:right w:val="nil"/>
            </w:tcBorders>
          </w:tcPr>
          <w:p w14:paraId="4C59A24C" w14:textId="151206D1" w:rsidR="00C86433" w:rsidRPr="00CF3C36" w:rsidRDefault="00C86433" w:rsidP="00C86433">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Number of cou1</w:t>
            </w:r>
          </w:p>
        </w:tc>
        <w:tc>
          <w:tcPr>
            <w:tcW w:w="993" w:type="dxa"/>
            <w:tcBorders>
              <w:top w:val="nil"/>
              <w:left w:val="nil"/>
              <w:bottom w:val="single" w:sz="6" w:space="0" w:color="auto"/>
              <w:right w:val="nil"/>
            </w:tcBorders>
          </w:tcPr>
          <w:p w14:paraId="25B413DB" w14:textId="6F9C4801"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1276" w:type="dxa"/>
            <w:tcBorders>
              <w:top w:val="nil"/>
              <w:left w:val="nil"/>
              <w:bottom w:val="single" w:sz="6" w:space="0" w:color="auto"/>
              <w:right w:val="nil"/>
            </w:tcBorders>
          </w:tcPr>
          <w:p w14:paraId="086A6EA9" w14:textId="59834486"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1134" w:type="dxa"/>
            <w:tcBorders>
              <w:top w:val="nil"/>
              <w:left w:val="nil"/>
              <w:bottom w:val="single" w:sz="6" w:space="0" w:color="auto"/>
              <w:right w:val="nil"/>
            </w:tcBorders>
          </w:tcPr>
          <w:p w14:paraId="76240269" w14:textId="1BE8B3C1"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55</w:t>
            </w:r>
          </w:p>
        </w:tc>
        <w:tc>
          <w:tcPr>
            <w:tcW w:w="992" w:type="dxa"/>
            <w:tcBorders>
              <w:top w:val="nil"/>
              <w:left w:val="nil"/>
              <w:bottom w:val="single" w:sz="6" w:space="0" w:color="auto"/>
              <w:right w:val="nil"/>
            </w:tcBorders>
          </w:tcPr>
          <w:p w14:paraId="5E7D7F1D" w14:textId="32B747D6"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cs="Times New Roman"/>
                <w:sz w:val="18"/>
                <w:szCs w:val="18"/>
                <w:lang w:val="en-GB"/>
              </w:rPr>
              <w:t>25</w:t>
            </w:r>
          </w:p>
        </w:tc>
        <w:tc>
          <w:tcPr>
            <w:tcW w:w="992" w:type="dxa"/>
            <w:tcBorders>
              <w:top w:val="nil"/>
              <w:left w:val="nil"/>
              <w:bottom w:val="single" w:sz="6" w:space="0" w:color="auto"/>
              <w:right w:val="nil"/>
            </w:tcBorders>
          </w:tcPr>
          <w:p w14:paraId="0F8256E0" w14:textId="6CF67B26"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r>
      <w:tr w:rsidR="00C86433" w:rsidRPr="00CF3C36" w14:paraId="5CB049A0" w14:textId="77777777" w:rsidTr="00604EA8">
        <w:tblPrEx>
          <w:tblBorders>
            <w:bottom w:val="single" w:sz="6" w:space="0" w:color="auto"/>
          </w:tblBorders>
        </w:tblPrEx>
        <w:trPr>
          <w:jc w:val="center"/>
        </w:trPr>
        <w:tc>
          <w:tcPr>
            <w:tcW w:w="1837" w:type="dxa"/>
            <w:tcBorders>
              <w:top w:val="nil"/>
              <w:left w:val="nil"/>
              <w:bottom w:val="single" w:sz="6" w:space="0" w:color="auto"/>
              <w:right w:val="nil"/>
            </w:tcBorders>
          </w:tcPr>
          <w:p w14:paraId="6C51BB0F" w14:textId="275390DC" w:rsidR="00C86433" w:rsidRPr="00CF3C36" w:rsidRDefault="00C86433" w:rsidP="00C86433">
            <w:pPr>
              <w:widowControl w:val="0"/>
              <w:autoSpaceDE w:val="0"/>
              <w:autoSpaceDN w:val="0"/>
              <w:adjustRightInd w:val="0"/>
              <w:spacing w:after="0" w:line="240" w:lineRule="auto"/>
              <w:rPr>
                <w:rFonts w:ascii="Times New Roman" w:hAnsi="Times New Roman"/>
                <w:sz w:val="18"/>
                <w:szCs w:val="18"/>
                <w:lang w:val="en-GB"/>
              </w:rPr>
            </w:pPr>
          </w:p>
        </w:tc>
        <w:tc>
          <w:tcPr>
            <w:tcW w:w="993" w:type="dxa"/>
            <w:tcBorders>
              <w:top w:val="nil"/>
              <w:left w:val="nil"/>
              <w:bottom w:val="single" w:sz="6" w:space="0" w:color="auto"/>
              <w:right w:val="nil"/>
            </w:tcBorders>
          </w:tcPr>
          <w:p w14:paraId="16822A89" w14:textId="708E8A11"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p>
        </w:tc>
        <w:tc>
          <w:tcPr>
            <w:tcW w:w="1276" w:type="dxa"/>
            <w:tcBorders>
              <w:top w:val="nil"/>
              <w:left w:val="nil"/>
              <w:bottom w:val="single" w:sz="6" w:space="0" w:color="auto"/>
              <w:right w:val="nil"/>
            </w:tcBorders>
          </w:tcPr>
          <w:p w14:paraId="1AA67575" w14:textId="6E6D421F"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p>
        </w:tc>
        <w:tc>
          <w:tcPr>
            <w:tcW w:w="1134" w:type="dxa"/>
            <w:tcBorders>
              <w:top w:val="nil"/>
              <w:left w:val="nil"/>
              <w:bottom w:val="single" w:sz="6" w:space="0" w:color="auto"/>
              <w:right w:val="nil"/>
            </w:tcBorders>
          </w:tcPr>
          <w:p w14:paraId="7EF4B901" w14:textId="04633ECF"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single" w:sz="6" w:space="0" w:color="auto"/>
              <w:right w:val="nil"/>
            </w:tcBorders>
          </w:tcPr>
          <w:p w14:paraId="0D6A61B7" w14:textId="07CC8A82"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single" w:sz="6" w:space="0" w:color="auto"/>
              <w:right w:val="nil"/>
            </w:tcBorders>
          </w:tcPr>
          <w:p w14:paraId="453350D1" w14:textId="47CF9353" w:rsidR="00C86433" w:rsidRPr="00CF3C36" w:rsidRDefault="00C86433" w:rsidP="00C86433">
            <w:pPr>
              <w:widowControl w:val="0"/>
              <w:autoSpaceDE w:val="0"/>
              <w:autoSpaceDN w:val="0"/>
              <w:adjustRightInd w:val="0"/>
              <w:spacing w:after="0" w:line="240" w:lineRule="auto"/>
              <w:jc w:val="center"/>
              <w:rPr>
                <w:rFonts w:ascii="Times New Roman" w:hAnsi="Times New Roman"/>
                <w:sz w:val="18"/>
                <w:szCs w:val="18"/>
                <w:lang w:val="en-GB"/>
              </w:rPr>
            </w:pPr>
          </w:p>
        </w:tc>
      </w:tr>
    </w:tbl>
    <w:p w14:paraId="720567F2" w14:textId="4757C2AB" w:rsidR="00967288" w:rsidRPr="00CF3C36" w:rsidRDefault="00022AF4" w:rsidP="0096728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Driscoll-Kraay s</w:t>
      </w:r>
      <w:r w:rsidR="00967288" w:rsidRPr="00CF3C36">
        <w:rPr>
          <w:rFonts w:ascii="Times New Roman" w:hAnsi="Times New Roman"/>
          <w:sz w:val="18"/>
          <w:szCs w:val="18"/>
          <w:lang w:val="en-GB"/>
        </w:rPr>
        <w:t>tandard errors in parentheses</w:t>
      </w:r>
    </w:p>
    <w:p w14:paraId="5471B389" w14:textId="77777777" w:rsidR="00967288" w:rsidRPr="00CF3C36" w:rsidRDefault="00967288" w:rsidP="0096728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 p&lt;0.01, ** p&lt;0.05, * p&lt;0.1</w:t>
      </w:r>
    </w:p>
    <w:p w14:paraId="6C0E1712" w14:textId="33B3271B" w:rsidR="002A03CF" w:rsidRPr="00CF3C36" w:rsidRDefault="002A03CF" w:rsidP="002A03CF">
      <w:pPr>
        <w:jc w:val="center"/>
        <w:rPr>
          <w:i/>
          <w:lang w:val="en-GB"/>
        </w:rPr>
      </w:pPr>
    </w:p>
    <w:p w14:paraId="7AEFF452" w14:textId="0D7E7A64" w:rsidR="002A03CF" w:rsidRPr="00CF3C36" w:rsidRDefault="002A03CF" w:rsidP="002A03CF">
      <w:pPr>
        <w:jc w:val="center"/>
        <w:rPr>
          <w:i/>
          <w:lang w:val="en-GB"/>
        </w:rPr>
      </w:pPr>
    </w:p>
    <w:p w14:paraId="4829FC2F" w14:textId="235C1BF2" w:rsidR="002A03CF" w:rsidRPr="00CF3C36" w:rsidRDefault="002A03CF" w:rsidP="002A03CF">
      <w:pPr>
        <w:jc w:val="center"/>
        <w:rPr>
          <w:i/>
          <w:lang w:val="en-GB"/>
        </w:rPr>
      </w:pPr>
    </w:p>
    <w:p w14:paraId="1FA8CE09" w14:textId="264035C4" w:rsidR="002A03CF" w:rsidRPr="00CF3C36" w:rsidRDefault="002A03CF" w:rsidP="002A03CF">
      <w:pPr>
        <w:jc w:val="center"/>
        <w:rPr>
          <w:i/>
          <w:lang w:val="en-GB"/>
        </w:rPr>
      </w:pPr>
    </w:p>
    <w:p w14:paraId="085B78B2" w14:textId="4C190D2C" w:rsidR="002A03CF" w:rsidRPr="00CF3C36" w:rsidRDefault="002A03CF" w:rsidP="002A03CF">
      <w:pPr>
        <w:jc w:val="center"/>
        <w:rPr>
          <w:i/>
          <w:lang w:val="en-GB"/>
        </w:rPr>
      </w:pPr>
    </w:p>
    <w:p w14:paraId="781B3396" w14:textId="6172189F" w:rsidR="002A03CF" w:rsidRPr="00CF3C36" w:rsidRDefault="002A03CF" w:rsidP="002A03CF">
      <w:pPr>
        <w:jc w:val="center"/>
        <w:rPr>
          <w:i/>
          <w:lang w:val="en-GB"/>
        </w:rPr>
      </w:pPr>
    </w:p>
    <w:p w14:paraId="7127819F" w14:textId="03C474A4" w:rsidR="002A03CF" w:rsidRPr="00CF3C36" w:rsidRDefault="002A03CF" w:rsidP="002A03CF">
      <w:pPr>
        <w:jc w:val="center"/>
        <w:rPr>
          <w:i/>
          <w:lang w:val="en-GB"/>
        </w:rPr>
      </w:pPr>
    </w:p>
    <w:p w14:paraId="22BB6297" w14:textId="2FBA4373" w:rsidR="002A03CF" w:rsidRPr="00CF3C36" w:rsidRDefault="002A03CF" w:rsidP="002A03CF">
      <w:pPr>
        <w:jc w:val="center"/>
        <w:rPr>
          <w:i/>
          <w:lang w:val="en-GB"/>
        </w:rPr>
      </w:pPr>
    </w:p>
    <w:p w14:paraId="17BA5072" w14:textId="41ED76B5" w:rsidR="002A03CF" w:rsidRPr="00CF3C36" w:rsidRDefault="002A03CF" w:rsidP="002A03CF">
      <w:pPr>
        <w:jc w:val="center"/>
        <w:rPr>
          <w:i/>
          <w:lang w:val="en-GB"/>
        </w:rPr>
      </w:pPr>
    </w:p>
    <w:p w14:paraId="4DEFD365" w14:textId="7AB6F141" w:rsidR="002A03CF" w:rsidRPr="00CF3C36" w:rsidRDefault="002A03CF" w:rsidP="002A03CF">
      <w:pPr>
        <w:jc w:val="center"/>
        <w:rPr>
          <w:i/>
          <w:lang w:val="en-GB"/>
        </w:rPr>
      </w:pPr>
    </w:p>
    <w:p w14:paraId="57523636" w14:textId="28700DB3" w:rsidR="002A03CF" w:rsidRPr="00CF3C36" w:rsidRDefault="002A03CF" w:rsidP="002A03CF">
      <w:pPr>
        <w:jc w:val="center"/>
        <w:rPr>
          <w:i/>
          <w:lang w:val="en-GB"/>
        </w:rPr>
      </w:pPr>
    </w:p>
    <w:p w14:paraId="0A5EA46F" w14:textId="77777777" w:rsidR="00427632" w:rsidRPr="00CF3C36" w:rsidRDefault="00427632" w:rsidP="002A03CF">
      <w:pPr>
        <w:jc w:val="center"/>
        <w:rPr>
          <w:i/>
          <w:lang w:val="en-GB"/>
        </w:rPr>
      </w:pPr>
    </w:p>
    <w:p w14:paraId="5387AF13" w14:textId="77777777" w:rsidR="00B336B1" w:rsidRPr="00CF3C36" w:rsidRDefault="00B336B1" w:rsidP="002A03CF">
      <w:pPr>
        <w:jc w:val="center"/>
        <w:rPr>
          <w:i/>
          <w:lang w:val="en-GB"/>
        </w:rPr>
      </w:pPr>
    </w:p>
    <w:p w14:paraId="26F11C46" w14:textId="6084750F" w:rsidR="00DF03FA" w:rsidRPr="00CF3C36" w:rsidRDefault="0033675A" w:rsidP="00864C4C">
      <w:pPr>
        <w:pStyle w:val="Heading5"/>
        <w:jc w:val="center"/>
        <w:rPr>
          <w:lang w:val="en-GB"/>
        </w:rPr>
      </w:pPr>
      <w:bookmarkStart w:id="49" w:name="_Toc15475681"/>
      <w:r w:rsidRPr="00CF3C36">
        <w:rPr>
          <w:lang w:val="en-GB"/>
        </w:rPr>
        <w:lastRenderedPageBreak/>
        <w:t>Table 18</w:t>
      </w:r>
      <w:r w:rsidR="00864C4C" w:rsidRPr="00CF3C36">
        <w:rPr>
          <w:lang w:val="en-GB"/>
        </w:rPr>
        <w:t xml:space="preserve">. </w:t>
      </w:r>
      <w:r w:rsidR="00DF03FA" w:rsidRPr="00CF3C36">
        <w:rPr>
          <w:lang w:val="en-GB"/>
        </w:rPr>
        <w:t>Build-up Model 1.2</w:t>
      </w:r>
      <w:bookmarkEnd w:id="49"/>
    </w:p>
    <w:tbl>
      <w:tblPr>
        <w:tblW w:w="0" w:type="auto"/>
        <w:jc w:val="center"/>
        <w:tblLayout w:type="fixed"/>
        <w:tblCellMar>
          <w:left w:w="75" w:type="dxa"/>
          <w:right w:w="75" w:type="dxa"/>
        </w:tblCellMar>
        <w:tblLook w:val="0000" w:firstRow="0" w:lastRow="0" w:firstColumn="0" w:lastColumn="0" w:noHBand="0" w:noVBand="0"/>
      </w:tblPr>
      <w:tblGrid>
        <w:gridCol w:w="1613"/>
        <w:gridCol w:w="992"/>
        <w:gridCol w:w="992"/>
        <w:gridCol w:w="992"/>
        <w:gridCol w:w="992"/>
        <w:gridCol w:w="992"/>
        <w:gridCol w:w="992"/>
      </w:tblGrid>
      <w:tr w:rsidR="00DF03FA" w:rsidRPr="00CF3C36" w14:paraId="187B5DAE" w14:textId="77777777" w:rsidTr="00585F6A">
        <w:trPr>
          <w:jc w:val="center"/>
        </w:trPr>
        <w:tc>
          <w:tcPr>
            <w:tcW w:w="1613" w:type="dxa"/>
            <w:tcBorders>
              <w:top w:val="single" w:sz="6" w:space="0" w:color="auto"/>
              <w:left w:val="nil"/>
              <w:bottom w:val="nil"/>
              <w:right w:val="nil"/>
            </w:tcBorders>
          </w:tcPr>
          <w:p w14:paraId="0AD67BDB"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single" w:sz="6" w:space="0" w:color="auto"/>
              <w:left w:val="nil"/>
              <w:bottom w:val="nil"/>
              <w:right w:val="nil"/>
            </w:tcBorders>
          </w:tcPr>
          <w:p w14:paraId="615A2C8A"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w:t>
            </w:r>
          </w:p>
        </w:tc>
        <w:tc>
          <w:tcPr>
            <w:tcW w:w="992" w:type="dxa"/>
            <w:tcBorders>
              <w:top w:val="single" w:sz="6" w:space="0" w:color="auto"/>
              <w:left w:val="nil"/>
              <w:bottom w:val="nil"/>
              <w:right w:val="nil"/>
            </w:tcBorders>
          </w:tcPr>
          <w:p w14:paraId="5B6B9BDF"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w:t>
            </w:r>
          </w:p>
        </w:tc>
        <w:tc>
          <w:tcPr>
            <w:tcW w:w="992" w:type="dxa"/>
            <w:tcBorders>
              <w:top w:val="single" w:sz="6" w:space="0" w:color="auto"/>
              <w:left w:val="nil"/>
              <w:bottom w:val="nil"/>
              <w:right w:val="nil"/>
            </w:tcBorders>
          </w:tcPr>
          <w:p w14:paraId="4A47AFE0"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(3)</w:t>
            </w:r>
          </w:p>
        </w:tc>
        <w:tc>
          <w:tcPr>
            <w:tcW w:w="992" w:type="dxa"/>
            <w:tcBorders>
              <w:top w:val="single" w:sz="6" w:space="0" w:color="auto"/>
              <w:left w:val="nil"/>
              <w:bottom w:val="nil"/>
              <w:right w:val="nil"/>
            </w:tcBorders>
          </w:tcPr>
          <w:p w14:paraId="3B32F380"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w:t>
            </w:r>
          </w:p>
        </w:tc>
        <w:tc>
          <w:tcPr>
            <w:tcW w:w="992" w:type="dxa"/>
            <w:tcBorders>
              <w:top w:val="single" w:sz="6" w:space="0" w:color="auto"/>
              <w:left w:val="nil"/>
              <w:bottom w:val="nil"/>
              <w:right w:val="nil"/>
            </w:tcBorders>
          </w:tcPr>
          <w:p w14:paraId="2CB44826"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w:t>
            </w:r>
          </w:p>
        </w:tc>
        <w:tc>
          <w:tcPr>
            <w:tcW w:w="992" w:type="dxa"/>
            <w:tcBorders>
              <w:top w:val="single" w:sz="6" w:space="0" w:color="auto"/>
              <w:left w:val="nil"/>
              <w:bottom w:val="nil"/>
              <w:right w:val="nil"/>
            </w:tcBorders>
          </w:tcPr>
          <w:p w14:paraId="1B409AB2"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(6)</w:t>
            </w:r>
          </w:p>
        </w:tc>
      </w:tr>
      <w:tr w:rsidR="00DF03FA" w:rsidRPr="00CF3C36" w14:paraId="5D1C8C73" w14:textId="77777777" w:rsidTr="00585F6A">
        <w:trPr>
          <w:jc w:val="center"/>
        </w:trPr>
        <w:tc>
          <w:tcPr>
            <w:tcW w:w="1613" w:type="dxa"/>
            <w:tcBorders>
              <w:top w:val="nil"/>
              <w:left w:val="nil"/>
              <w:bottom w:val="single" w:sz="6" w:space="0" w:color="auto"/>
              <w:right w:val="nil"/>
            </w:tcBorders>
          </w:tcPr>
          <w:p w14:paraId="4FC5ACD5"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VARIABLES</w:t>
            </w:r>
          </w:p>
        </w:tc>
        <w:tc>
          <w:tcPr>
            <w:tcW w:w="992" w:type="dxa"/>
            <w:tcBorders>
              <w:top w:val="nil"/>
              <w:left w:val="nil"/>
              <w:bottom w:val="single" w:sz="6" w:space="0" w:color="auto"/>
              <w:right w:val="nil"/>
            </w:tcBorders>
          </w:tcPr>
          <w:p w14:paraId="6D84524D"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1.2</w:t>
            </w:r>
          </w:p>
        </w:tc>
        <w:tc>
          <w:tcPr>
            <w:tcW w:w="992" w:type="dxa"/>
            <w:tcBorders>
              <w:top w:val="nil"/>
              <w:left w:val="nil"/>
              <w:bottom w:val="single" w:sz="6" w:space="0" w:color="auto"/>
              <w:right w:val="nil"/>
            </w:tcBorders>
          </w:tcPr>
          <w:p w14:paraId="08563588"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1.2</w:t>
            </w:r>
          </w:p>
        </w:tc>
        <w:tc>
          <w:tcPr>
            <w:tcW w:w="992" w:type="dxa"/>
            <w:tcBorders>
              <w:top w:val="nil"/>
              <w:left w:val="nil"/>
              <w:bottom w:val="single" w:sz="6" w:space="0" w:color="auto"/>
              <w:right w:val="nil"/>
            </w:tcBorders>
          </w:tcPr>
          <w:p w14:paraId="6E506910"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1.2</w:t>
            </w:r>
          </w:p>
        </w:tc>
        <w:tc>
          <w:tcPr>
            <w:tcW w:w="992" w:type="dxa"/>
            <w:tcBorders>
              <w:top w:val="nil"/>
              <w:left w:val="nil"/>
              <w:bottom w:val="single" w:sz="6" w:space="0" w:color="auto"/>
              <w:right w:val="nil"/>
            </w:tcBorders>
          </w:tcPr>
          <w:p w14:paraId="1DDB6FAB"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1.2</w:t>
            </w:r>
          </w:p>
        </w:tc>
        <w:tc>
          <w:tcPr>
            <w:tcW w:w="992" w:type="dxa"/>
            <w:tcBorders>
              <w:top w:val="nil"/>
              <w:left w:val="nil"/>
              <w:bottom w:val="single" w:sz="6" w:space="0" w:color="auto"/>
              <w:right w:val="nil"/>
            </w:tcBorders>
          </w:tcPr>
          <w:p w14:paraId="0657B97C"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1.2</w:t>
            </w:r>
          </w:p>
        </w:tc>
        <w:tc>
          <w:tcPr>
            <w:tcW w:w="992" w:type="dxa"/>
            <w:tcBorders>
              <w:top w:val="nil"/>
              <w:left w:val="nil"/>
              <w:bottom w:val="single" w:sz="6" w:space="0" w:color="auto"/>
              <w:right w:val="nil"/>
            </w:tcBorders>
          </w:tcPr>
          <w:p w14:paraId="6E736CA9"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1.2</w:t>
            </w:r>
          </w:p>
        </w:tc>
      </w:tr>
      <w:tr w:rsidR="00DF03FA" w:rsidRPr="00CF3C36" w14:paraId="552D250F" w14:textId="77777777" w:rsidTr="00585F6A">
        <w:trPr>
          <w:jc w:val="center"/>
        </w:trPr>
        <w:tc>
          <w:tcPr>
            <w:tcW w:w="1613" w:type="dxa"/>
            <w:tcBorders>
              <w:top w:val="nil"/>
              <w:left w:val="nil"/>
              <w:bottom w:val="nil"/>
              <w:right w:val="nil"/>
            </w:tcBorders>
          </w:tcPr>
          <w:p w14:paraId="2B44F7C3"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0FE1C178"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62C7D2F6"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26F51451"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23191EF3"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15C51A9C"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459A8D57"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r>
      <w:tr w:rsidR="00DF03FA" w:rsidRPr="00CF3C36" w14:paraId="274A6613" w14:textId="77777777" w:rsidTr="00585F6A">
        <w:trPr>
          <w:jc w:val="center"/>
        </w:trPr>
        <w:tc>
          <w:tcPr>
            <w:tcW w:w="1613" w:type="dxa"/>
            <w:tcBorders>
              <w:top w:val="nil"/>
              <w:left w:val="nil"/>
              <w:bottom w:val="nil"/>
              <w:right w:val="nil"/>
            </w:tcBorders>
          </w:tcPr>
          <w:p w14:paraId="3FF3A437"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EPI</w:t>
            </w:r>
          </w:p>
        </w:tc>
        <w:tc>
          <w:tcPr>
            <w:tcW w:w="992" w:type="dxa"/>
            <w:tcBorders>
              <w:top w:val="nil"/>
              <w:left w:val="nil"/>
              <w:bottom w:val="nil"/>
              <w:right w:val="nil"/>
            </w:tcBorders>
          </w:tcPr>
          <w:p w14:paraId="00EF9DD0"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0.0104</w:t>
            </w:r>
          </w:p>
        </w:tc>
        <w:tc>
          <w:tcPr>
            <w:tcW w:w="992" w:type="dxa"/>
            <w:tcBorders>
              <w:top w:val="nil"/>
              <w:left w:val="nil"/>
              <w:bottom w:val="nil"/>
              <w:right w:val="nil"/>
            </w:tcBorders>
          </w:tcPr>
          <w:p w14:paraId="0385E126"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0.0155</w:t>
            </w:r>
          </w:p>
        </w:tc>
        <w:tc>
          <w:tcPr>
            <w:tcW w:w="992" w:type="dxa"/>
            <w:tcBorders>
              <w:top w:val="nil"/>
              <w:left w:val="nil"/>
              <w:bottom w:val="nil"/>
              <w:right w:val="nil"/>
            </w:tcBorders>
          </w:tcPr>
          <w:p w14:paraId="421B2534"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0.0178</w:t>
            </w:r>
          </w:p>
        </w:tc>
        <w:tc>
          <w:tcPr>
            <w:tcW w:w="992" w:type="dxa"/>
            <w:tcBorders>
              <w:top w:val="nil"/>
              <w:left w:val="nil"/>
              <w:bottom w:val="nil"/>
              <w:right w:val="nil"/>
            </w:tcBorders>
          </w:tcPr>
          <w:p w14:paraId="266F1C48"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0.0157</w:t>
            </w:r>
          </w:p>
        </w:tc>
        <w:tc>
          <w:tcPr>
            <w:tcW w:w="992" w:type="dxa"/>
            <w:tcBorders>
              <w:top w:val="nil"/>
              <w:left w:val="nil"/>
              <w:bottom w:val="nil"/>
              <w:right w:val="nil"/>
            </w:tcBorders>
          </w:tcPr>
          <w:p w14:paraId="0F9CCF53"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0.0157</w:t>
            </w:r>
          </w:p>
        </w:tc>
        <w:tc>
          <w:tcPr>
            <w:tcW w:w="992" w:type="dxa"/>
            <w:tcBorders>
              <w:top w:val="nil"/>
              <w:left w:val="nil"/>
              <w:bottom w:val="nil"/>
              <w:right w:val="nil"/>
            </w:tcBorders>
          </w:tcPr>
          <w:p w14:paraId="0DCA5C7A"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0.0221</w:t>
            </w:r>
          </w:p>
        </w:tc>
      </w:tr>
      <w:tr w:rsidR="00DF03FA" w:rsidRPr="00CF3C36" w14:paraId="15CA0C43" w14:textId="77777777" w:rsidTr="00585F6A">
        <w:trPr>
          <w:jc w:val="center"/>
        </w:trPr>
        <w:tc>
          <w:tcPr>
            <w:tcW w:w="1613" w:type="dxa"/>
            <w:tcBorders>
              <w:top w:val="nil"/>
              <w:left w:val="nil"/>
              <w:bottom w:val="nil"/>
              <w:right w:val="nil"/>
            </w:tcBorders>
          </w:tcPr>
          <w:p w14:paraId="6C3AB1C1"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22C22490"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(0.0259)</w:t>
            </w:r>
          </w:p>
        </w:tc>
        <w:tc>
          <w:tcPr>
            <w:tcW w:w="992" w:type="dxa"/>
            <w:tcBorders>
              <w:top w:val="nil"/>
              <w:left w:val="nil"/>
              <w:bottom w:val="nil"/>
              <w:right w:val="nil"/>
            </w:tcBorders>
          </w:tcPr>
          <w:p w14:paraId="0D016E13"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(0.0258)</w:t>
            </w:r>
          </w:p>
        </w:tc>
        <w:tc>
          <w:tcPr>
            <w:tcW w:w="992" w:type="dxa"/>
            <w:tcBorders>
              <w:top w:val="nil"/>
              <w:left w:val="nil"/>
              <w:bottom w:val="nil"/>
              <w:right w:val="nil"/>
            </w:tcBorders>
          </w:tcPr>
          <w:p w14:paraId="0AE88681"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(0.0242)</w:t>
            </w:r>
          </w:p>
        </w:tc>
        <w:tc>
          <w:tcPr>
            <w:tcW w:w="992" w:type="dxa"/>
            <w:tcBorders>
              <w:top w:val="nil"/>
              <w:left w:val="nil"/>
              <w:bottom w:val="nil"/>
              <w:right w:val="nil"/>
            </w:tcBorders>
          </w:tcPr>
          <w:p w14:paraId="157CADCD"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(0.0224)</w:t>
            </w:r>
          </w:p>
        </w:tc>
        <w:tc>
          <w:tcPr>
            <w:tcW w:w="992" w:type="dxa"/>
            <w:tcBorders>
              <w:top w:val="nil"/>
              <w:left w:val="nil"/>
              <w:bottom w:val="nil"/>
              <w:right w:val="nil"/>
            </w:tcBorders>
          </w:tcPr>
          <w:p w14:paraId="6B244805"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(0.0222)</w:t>
            </w:r>
          </w:p>
        </w:tc>
        <w:tc>
          <w:tcPr>
            <w:tcW w:w="992" w:type="dxa"/>
            <w:tcBorders>
              <w:top w:val="nil"/>
              <w:left w:val="nil"/>
              <w:bottom w:val="nil"/>
              <w:right w:val="nil"/>
            </w:tcBorders>
          </w:tcPr>
          <w:p w14:paraId="69EBCAA5"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(0.0213)</w:t>
            </w:r>
          </w:p>
        </w:tc>
      </w:tr>
      <w:tr w:rsidR="00DF03FA" w:rsidRPr="00CF3C36" w14:paraId="33B6A8E9" w14:textId="77777777" w:rsidTr="00585F6A">
        <w:trPr>
          <w:jc w:val="center"/>
        </w:trPr>
        <w:tc>
          <w:tcPr>
            <w:tcW w:w="1613" w:type="dxa"/>
            <w:tcBorders>
              <w:top w:val="nil"/>
              <w:left w:val="nil"/>
              <w:bottom w:val="nil"/>
              <w:right w:val="nil"/>
            </w:tcBorders>
          </w:tcPr>
          <w:p w14:paraId="03452489"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ln_rgdpna</w:t>
            </w:r>
          </w:p>
        </w:tc>
        <w:tc>
          <w:tcPr>
            <w:tcW w:w="992" w:type="dxa"/>
            <w:tcBorders>
              <w:top w:val="nil"/>
              <w:left w:val="nil"/>
              <w:bottom w:val="nil"/>
              <w:right w:val="nil"/>
            </w:tcBorders>
          </w:tcPr>
          <w:p w14:paraId="0E97461B"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5C694556"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-0.405</w:t>
            </w:r>
          </w:p>
        </w:tc>
        <w:tc>
          <w:tcPr>
            <w:tcW w:w="992" w:type="dxa"/>
            <w:tcBorders>
              <w:top w:val="nil"/>
              <w:left w:val="nil"/>
              <w:bottom w:val="nil"/>
              <w:right w:val="nil"/>
            </w:tcBorders>
          </w:tcPr>
          <w:p w14:paraId="4D95E8AE"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-0.332</w:t>
            </w:r>
          </w:p>
        </w:tc>
        <w:tc>
          <w:tcPr>
            <w:tcW w:w="992" w:type="dxa"/>
            <w:tcBorders>
              <w:top w:val="nil"/>
              <w:left w:val="nil"/>
              <w:bottom w:val="nil"/>
              <w:right w:val="nil"/>
            </w:tcBorders>
          </w:tcPr>
          <w:p w14:paraId="0B0C3F65"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0.693</w:t>
            </w:r>
          </w:p>
        </w:tc>
        <w:tc>
          <w:tcPr>
            <w:tcW w:w="992" w:type="dxa"/>
            <w:tcBorders>
              <w:top w:val="nil"/>
              <w:left w:val="nil"/>
              <w:bottom w:val="nil"/>
              <w:right w:val="nil"/>
            </w:tcBorders>
          </w:tcPr>
          <w:p w14:paraId="6FE8B38C"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0.882*</w:t>
            </w:r>
          </w:p>
        </w:tc>
        <w:tc>
          <w:tcPr>
            <w:tcW w:w="992" w:type="dxa"/>
            <w:tcBorders>
              <w:top w:val="nil"/>
              <w:left w:val="nil"/>
              <w:bottom w:val="nil"/>
              <w:right w:val="nil"/>
            </w:tcBorders>
          </w:tcPr>
          <w:p w14:paraId="4D3CE1FE"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0.714</w:t>
            </w:r>
          </w:p>
        </w:tc>
      </w:tr>
      <w:tr w:rsidR="00DF03FA" w:rsidRPr="00CF3C36" w14:paraId="6BD59844" w14:textId="77777777" w:rsidTr="00585F6A">
        <w:trPr>
          <w:jc w:val="center"/>
        </w:trPr>
        <w:tc>
          <w:tcPr>
            <w:tcW w:w="1613" w:type="dxa"/>
            <w:tcBorders>
              <w:top w:val="nil"/>
              <w:left w:val="nil"/>
              <w:bottom w:val="nil"/>
              <w:right w:val="nil"/>
            </w:tcBorders>
          </w:tcPr>
          <w:p w14:paraId="017AD21B"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5FDB1905"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735BAC08"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(0.430)</w:t>
            </w:r>
          </w:p>
        </w:tc>
        <w:tc>
          <w:tcPr>
            <w:tcW w:w="992" w:type="dxa"/>
            <w:tcBorders>
              <w:top w:val="nil"/>
              <w:left w:val="nil"/>
              <w:bottom w:val="nil"/>
              <w:right w:val="nil"/>
            </w:tcBorders>
          </w:tcPr>
          <w:p w14:paraId="1EE3A4B2"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(0.491)</w:t>
            </w:r>
          </w:p>
        </w:tc>
        <w:tc>
          <w:tcPr>
            <w:tcW w:w="992" w:type="dxa"/>
            <w:tcBorders>
              <w:top w:val="nil"/>
              <w:left w:val="nil"/>
              <w:bottom w:val="nil"/>
              <w:right w:val="nil"/>
            </w:tcBorders>
          </w:tcPr>
          <w:p w14:paraId="1E3208D3"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(0.467)</w:t>
            </w:r>
          </w:p>
        </w:tc>
        <w:tc>
          <w:tcPr>
            <w:tcW w:w="992" w:type="dxa"/>
            <w:tcBorders>
              <w:top w:val="nil"/>
              <w:left w:val="nil"/>
              <w:bottom w:val="nil"/>
              <w:right w:val="nil"/>
            </w:tcBorders>
          </w:tcPr>
          <w:p w14:paraId="0089370F"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(0.508)</w:t>
            </w:r>
          </w:p>
        </w:tc>
        <w:tc>
          <w:tcPr>
            <w:tcW w:w="992" w:type="dxa"/>
            <w:tcBorders>
              <w:top w:val="nil"/>
              <w:left w:val="nil"/>
              <w:bottom w:val="nil"/>
              <w:right w:val="nil"/>
            </w:tcBorders>
          </w:tcPr>
          <w:p w14:paraId="2B11FAF7"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(0.481)</w:t>
            </w:r>
          </w:p>
        </w:tc>
      </w:tr>
      <w:tr w:rsidR="00DF03FA" w:rsidRPr="00CF3C36" w14:paraId="6D63C6F4" w14:textId="77777777" w:rsidTr="00585F6A">
        <w:trPr>
          <w:jc w:val="center"/>
        </w:trPr>
        <w:tc>
          <w:tcPr>
            <w:tcW w:w="1613" w:type="dxa"/>
            <w:tcBorders>
              <w:top w:val="nil"/>
              <w:left w:val="nil"/>
              <w:bottom w:val="nil"/>
              <w:right w:val="nil"/>
            </w:tcBorders>
          </w:tcPr>
          <w:p w14:paraId="7C3F596E"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SE_terX</w:t>
            </w:r>
          </w:p>
        </w:tc>
        <w:tc>
          <w:tcPr>
            <w:tcW w:w="992" w:type="dxa"/>
            <w:tcBorders>
              <w:top w:val="nil"/>
              <w:left w:val="nil"/>
              <w:bottom w:val="nil"/>
              <w:right w:val="nil"/>
            </w:tcBorders>
          </w:tcPr>
          <w:p w14:paraId="2556C8C6"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0D61187E"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60F554F7"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0.000589</w:t>
            </w:r>
          </w:p>
        </w:tc>
        <w:tc>
          <w:tcPr>
            <w:tcW w:w="992" w:type="dxa"/>
            <w:tcBorders>
              <w:top w:val="nil"/>
              <w:left w:val="nil"/>
              <w:bottom w:val="nil"/>
              <w:right w:val="nil"/>
            </w:tcBorders>
          </w:tcPr>
          <w:p w14:paraId="3EC9749A"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0.00500</w:t>
            </w:r>
          </w:p>
        </w:tc>
        <w:tc>
          <w:tcPr>
            <w:tcW w:w="992" w:type="dxa"/>
            <w:tcBorders>
              <w:top w:val="nil"/>
              <w:left w:val="nil"/>
              <w:bottom w:val="nil"/>
              <w:right w:val="nil"/>
            </w:tcBorders>
          </w:tcPr>
          <w:p w14:paraId="518B0EDD"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0.00471</w:t>
            </w:r>
          </w:p>
        </w:tc>
        <w:tc>
          <w:tcPr>
            <w:tcW w:w="992" w:type="dxa"/>
            <w:tcBorders>
              <w:top w:val="nil"/>
              <w:left w:val="nil"/>
              <w:bottom w:val="nil"/>
              <w:right w:val="nil"/>
            </w:tcBorders>
          </w:tcPr>
          <w:p w14:paraId="5EC602BC"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0.00593</w:t>
            </w:r>
          </w:p>
        </w:tc>
      </w:tr>
      <w:tr w:rsidR="00DF03FA" w:rsidRPr="00CF3C36" w14:paraId="11299232" w14:textId="77777777" w:rsidTr="00585F6A">
        <w:trPr>
          <w:jc w:val="center"/>
        </w:trPr>
        <w:tc>
          <w:tcPr>
            <w:tcW w:w="1613" w:type="dxa"/>
            <w:tcBorders>
              <w:top w:val="nil"/>
              <w:left w:val="nil"/>
              <w:bottom w:val="nil"/>
              <w:right w:val="nil"/>
            </w:tcBorders>
          </w:tcPr>
          <w:p w14:paraId="27D4649F"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1A24E37B"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1437B69C"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386538BE"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(0.00622)</w:t>
            </w:r>
          </w:p>
        </w:tc>
        <w:tc>
          <w:tcPr>
            <w:tcW w:w="992" w:type="dxa"/>
            <w:tcBorders>
              <w:top w:val="nil"/>
              <w:left w:val="nil"/>
              <w:bottom w:val="nil"/>
              <w:right w:val="nil"/>
            </w:tcBorders>
          </w:tcPr>
          <w:p w14:paraId="1E3EA219"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(0.00690)</w:t>
            </w:r>
          </w:p>
        </w:tc>
        <w:tc>
          <w:tcPr>
            <w:tcW w:w="992" w:type="dxa"/>
            <w:tcBorders>
              <w:top w:val="nil"/>
              <w:left w:val="nil"/>
              <w:bottom w:val="nil"/>
              <w:right w:val="nil"/>
            </w:tcBorders>
          </w:tcPr>
          <w:p w14:paraId="63DD6116"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(0.00698)</w:t>
            </w:r>
          </w:p>
        </w:tc>
        <w:tc>
          <w:tcPr>
            <w:tcW w:w="992" w:type="dxa"/>
            <w:tcBorders>
              <w:top w:val="nil"/>
              <w:left w:val="nil"/>
              <w:bottom w:val="nil"/>
              <w:right w:val="nil"/>
            </w:tcBorders>
          </w:tcPr>
          <w:p w14:paraId="3EE27830"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(0.00687)</w:t>
            </w:r>
          </w:p>
        </w:tc>
      </w:tr>
      <w:tr w:rsidR="00DF03FA" w:rsidRPr="00CF3C36" w14:paraId="6769D77E" w14:textId="77777777" w:rsidTr="00585F6A">
        <w:trPr>
          <w:jc w:val="center"/>
        </w:trPr>
        <w:tc>
          <w:tcPr>
            <w:tcW w:w="1613" w:type="dxa"/>
            <w:tcBorders>
              <w:top w:val="nil"/>
              <w:left w:val="nil"/>
              <w:bottom w:val="nil"/>
              <w:right w:val="nil"/>
            </w:tcBorders>
          </w:tcPr>
          <w:p w14:paraId="02DA49F5"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eodb1</w:t>
            </w:r>
          </w:p>
        </w:tc>
        <w:tc>
          <w:tcPr>
            <w:tcW w:w="992" w:type="dxa"/>
            <w:tcBorders>
              <w:top w:val="nil"/>
              <w:left w:val="nil"/>
              <w:bottom w:val="nil"/>
              <w:right w:val="nil"/>
            </w:tcBorders>
          </w:tcPr>
          <w:p w14:paraId="0B53DB8D"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2B1A75C3"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31247387"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-0.0280**</w:t>
            </w:r>
          </w:p>
        </w:tc>
        <w:tc>
          <w:tcPr>
            <w:tcW w:w="992" w:type="dxa"/>
            <w:tcBorders>
              <w:top w:val="nil"/>
              <w:left w:val="nil"/>
              <w:bottom w:val="nil"/>
              <w:right w:val="nil"/>
            </w:tcBorders>
          </w:tcPr>
          <w:p w14:paraId="5E70C763"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-0.00655</w:t>
            </w:r>
          </w:p>
        </w:tc>
        <w:tc>
          <w:tcPr>
            <w:tcW w:w="992" w:type="dxa"/>
            <w:tcBorders>
              <w:top w:val="nil"/>
              <w:left w:val="nil"/>
              <w:bottom w:val="nil"/>
              <w:right w:val="nil"/>
            </w:tcBorders>
          </w:tcPr>
          <w:p w14:paraId="279E1225"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-0.00476</w:t>
            </w:r>
          </w:p>
        </w:tc>
        <w:tc>
          <w:tcPr>
            <w:tcW w:w="992" w:type="dxa"/>
            <w:tcBorders>
              <w:top w:val="nil"/>
              <w:left w:val="nil"/>
              <w:bottom w:val="nil"/>
              <w:right w:val="nil"/>
            </w:tcBorders>
          </w:tcPr>
          <w:p w14:paraId="762AEA42"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-0.000308</w:t>
            </w:r>
          </w:p>
        </w:tc>
      </w:tr>
      <w:tr w:rsidR="00DF03FA" w:rsidRPr="00CF3C36" w14:paraId="1469EB46" w14:textId="77777777" w:rsidTr="00585F6A">
        <w:trPr>
          <w:jc w:val="center"/>
        </w:trPr>
        <w:tc>
          <w:tcPr>
            <w:tcW w:w="1613" w:type="dxa"/>
            <w:tcBorders>
              <w:top w:val="nil"/>
              <w:left w:val="nil"/>
              <w:bottom w:val="nil"/>
              <w:right w:val="nil"/>
            </w:tcBorders>
          </w:tcPr>
          <w:p w14:paraId="627CDDCE"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6B560A4A"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5ED5ACA5"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464D2835"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(0.0117)</w:t>
            </w:r>
          </w:p>
        </w:tc>
        <w:tc>
          <w:tcPr>
            <w:tcW w:w="992" w:type="dxa"/>
            <w:tcBorders>
              <w:top w:val="nil"/>
              <w:left w:val="nil"/>
              <w:bottom w:val="nil"/>
              <w:right w:val="nil"/>
            </w:tcBorders>
          </w:tcPr>
          <w:p w14:paraId="190C532C"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(0.0138)</w:t>
            </w:r>
          </w:p>
        </w:tc>
        <w:tc>
          <w:tcPr>
            <w:tcW w:w="992" w:type="dxa"/>
            <w:tcBorders>
              <w:top w:val="nil"/>
              <w:left w:val="nil"/>
              <w:bottom w:val="nil"/>
              <w:right w:val="nil"/>
            </w:tcBorders>
          </w:tcPr>
          <w:p w14:paraId="08DF7144"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(0.0140)</w:t>
            </w:r>
          </w:p>
        </w:tc>
        <w:tc>
          <w:tcPr>
            <w:tcW w:w="992" w:type="dxa"/>
            <w:tcBorders>
              <w:top w:val="nil"/>
              <w:left w:val="nil"/>
              <w:bottom w:val="nil"/>
              <w:right w:val="nil"/>
            </w:tcBorders>
          </w:tcPr>
          <w:p w14:paraId="7F08EC9B"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(0.0147)</w:t>
            </w:r>
          </w:p>
        </w:tc>
      </w:tr>
      <w:tr w:rsidR="00DF03FA" w:rsidRPr="00CF3C36" w14:paraId="487D134D" w14:textId="77777777" w:rsidTr="00585F6A">
        <w:trPr>
          <w:jc w:val="center"/>
        </w:trPr>
        <w:tc>
          <w:tcPr>
            <w:tcW w:w="1613" w:type="dxa"/>
            <w:tcBorders>
              <w:top w:val="nil"/>
              <w:left w:val="nil"/>
              <w:bottom w:val="nil"/>
              <w:right w:val="nil"/>
            </w:tcBorders>
          </w:tcPr>
          <w:p w14:paraId="3E73A4BC"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governance</w:t>
            </w:r>
          </w:p>
        </w:tc>
        <w:tc>
          <w:tcPr>
            <w:tcW w:w="992" w:type="dxa"/>
            <w:tcBorders>
              <w:top w:val="nil"/>
              <w:left w:val="nil"/>
              <w:bottom w:val="nil"/>
              <w:right w:val="nil"/>
            </w:tcBorders>
          </w:tcPr>
          <w:p w14:paraId="7583A4FF"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565DCFA2"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67F36393"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0.221</w:t>
            </w:r>
          </w:p>
        </w:tc>
        <w:tc>
          <w:tcPr>
            <w:tcW w:w="992" w:type="dxa"/>
            <w:tcBorders>
              <w:top w:val="nil"/>
              <w:left w:val="nil"/>
              <w:bottom w:val="nil"/>
              <w:right w:val="nil"/>
            </w:tcBorders>
          </w:tcPr>
          <w:p w14:paraId="7F3FE38D"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0.174</w:t>
            </w:r>
          </w:p>
        </w:tc>
        <w:tc>
          <w:tcPr>
            <w:tcW w:w="992" w:type="dxa"/>
            <w:tcBorders>
              <w:top w:val="nil"/>
              <w:left w:val="nil"/>
              <w:bottom w:val="nil"/>
              <w:right w:val="nil"/>
            </w:tcBorders>
          </w:tcPr>
          <w:p w14:paraId="5109A0AB"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0.189</w:t>
            </w:r>
          </w:p>
        </w:tc>
        <w:tc>
          <w:tcPr>
            <w:tcW w:w="992" w:type="dxa"/>
            <w:tcBorders>
              <w:top w:val="nil"/>
              <w:left w:val="nil"/>
              <w:bottom w:val="nil"/>
              <w:right w:val="nil"/>
            </w:tcBorders>
          </w:tcPr>
          <w:p w14:paraId="7965911E"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0.174</w:t>
            </w:r>
          </w:p>
        </w:tc>
      </w:tr>
      <w:tr w:rsidR="00DF03FA" w:rsidRPr="00CF3C36" w14:paraId="2048B7E4" w14:textId="77777777" w:rsidTr="00585F6A">
        <w:trPr>
          <w:jc w:val="center"/>
        </w:trPr>
        <w:tc>
          <w:tcPr>
            <w:tcW w:w="1613" w:type="dxa"/>
            <w:tcBorders>
              <w:top w:val="nil"/>
              <w:left w:val="nil"/>
              <w:bottom w:val="nil"/>
              <w:right w:val="nil"/>
            </w:tcBorders>
          </w:tcPr>
          <w:p w14:paraId="015A3DEE"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7E06757A"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58D5B4FE"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198D5A67"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(0.158)</w:t>
            </w:r>
          </w:p>
        </w:tc>
        <w:tc>
          <w:tcPr>
            <w:tcW w:w="992" w:type="dxa"/>
            <w:tcBorders>
              <w:top w:val="nil"/>
              <w:left w:val="nil"/>
              <w:bottom w:val="nil"/>
              <w:right w:val="nil"/>
            </w:tcBorders>
          </w:tcPr>
          <w:p w14:paraId="5ED1EAFF"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(0.143)</w:t>
            </w:r>
          </w:p>
        </w:tc>
        <w:tc>
          <w:tcPr>
            <w:tcW w:w="992" w:type="dxa"/>
            <w:tcBorders>
              <w:top w:val="nil"/>
              <w:left w:val="nil"/>
              <w:bottom w:val="nil"/>
              <w:right w:val="nil"/>
            </w:tcBorders>
          </w:tcPr>
          <w:p w14:paraId="363120B7"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(0.147)</w:t>
            </w:r>
          </w:p>
        </w:tc>
        <w:tc>
          <w:tcPr>
            <w:tcW w:w="992" w:type="dxa"/>
            <w:tcBorders>
              <w:top w:val="nil"/>
              <w:left w:val="nil"/>
              <w:bottom w:val="nil"/>
              <w:right w:val="nil"/>
            </w:tcBorders>
          </w:tcPr>
          <w:p w14:paraId="15C0CB6C"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(0.148)</w:t>
            </w:r>
          </w:p>
        </w:tc>
      </w:tr>
      <w:tr w:rsidR="00DF03FA" w:rsidRPr="00CF3C36" w14:paraId="74048314" w14:textId="77777777" w:rsidTr="00585F6A">
        <w:trPr>
          <w:jc w:val="center"/>
        </w:trPr>
        <w:tc>
          <w:tcPr>
            <w:tcW w:w="1613" w:type="dxa"/>
            <w:tcBorders>
              <w:top w:val="nil"/>
              <w:left w:val="nil"/>
              <w:bottom w:val="nil"/>
              <w:right w:val="nil"/>
            </w:tcBorders>
          </w:tcPr>
          <w:p w14:paraId="20C36E83"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ln_KL</w:t>
            </w:r>
          </w:p>
        </w:tc>
        <w:tc>
          <w:tcPr>
            <w:tcW w:w="992" w:type="dxa"/>
            <w:tcBorders>
              <w:top w:val="nil"/>
              <w:left w:val="nil"/>
              <w:bottom w:val="nil"/>
              <w:right w:val="nil"/>
            </w:tcBorders>
          </w:tcPr>
          <w:p w14:paraId="0473526A"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572D502C"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00699383"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6D4CAECD"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-1.141***</w:t>
            </w:r>
          </w:p>
        </w:tc>
        <w:tc>
          <w:tcPr>
            <w:tcW w:w="992" w:type="dxa"/>
            <w:tcBorders>
              <w:top w:val="nil"/>
              <w:left w:val="nil"/>
              <w:bottom w:val="nil"/>
              <w:right w:val="nil"/>
            </w:tcBorders>
          </w:tcPr>
          <w:p w14:paraId="31DAE0BE"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-2.190</w:t>
            </w:r>
          </w:p>
        </w:tc>
        <w:tc>
          <w:tcPr>
            <w:tcW w:w="992" w:type="dxa"/>
            <w:tcBorders>
              <w:top w:val="nil"/>
              <w:left w:val="nil"/>
              <w:bottom w:val="nil"/>
              <w:right w:val="nil"/>
            </w:tcBorders>
          </w:tcPr>
          <w:p w14:paraId="34EC9B09"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-2.096</w:t>
            </w:r>
          </w:p>
        </w:tc>
      </w:tr>
      <w:tr w:rsidR="00DF03FA" w:rsidRPr="00CF3C36" w14:paraId="5937BDD6" w14:textId="77777777" w:rsidTr="00585F6A">
        <w:trPr>
          <w:jc w:val="center"/>
        </w:trPr>
        <w:tc>
          <w:tcPr>
            <w:tcW w:w="1613" w:type="dxa"/>
            <w:tcBorders>
              <w:top w:val="nil"/>
              <w:left w:val="nil"/>
              <w:bottom w:val="nil"/>
              <w:right w:val="nil"/>
            </w:tcBorders>
          </w:tcPr>
          <w:p w14:paraId="6C259C29"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79E4C182"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57E098BA"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5E500530"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3EE3F8AD"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(0.344)</w:t>
            </w:r>
          </w:p>
        </w:tc>
        <w:tc>
          <w:tcPr>
            <w:tcW w:w="992" w:type="dxa"/>
            <w:tcBorders>
              <w:top w:val="nil"/>
              <w:left w:val="nil"/>
              <w:bottom w:val="nil"/>
              <w:right w:val="nil"/>
            </w:tcBorders>
          </w:tcPr>
          <w:p w14:paraId="4AC7D073"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(1.455)</w:t>
            </w:r>
          </w:p>
        </w:tc>
        <w:tc>
          <w:tcPr>
            <w:tcW w:w="992" w:type="dxa"/>
            <w:tcBorders>
              <w:top w:val="nil"/>
              <w:left w:val="nil"/>
              <w:bottom w:val="nil"/>
              <w:right w:val="nil"/>
            </w:tcBorders>
          </w:tcPr>
          <w:p w14:paraId="6E94B02E"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(1.871)</w:t>
            </w:r>
          </w:p>
        </w:tc>
      </w:tr>
      <w:tr w:rsidR="00DF03FA" w:rsidRPr="00CF3C36" w14:paraId="6AB8CFAA" w14:textId="77777777" w:rsidTr="00585F6A">
        <w:trPr>
          <w:jc w:val="center"/>
        </w:trPr>
        <w:tc>
          <w:tcPr>
            <w:tcW w:w="1613" w:type="dxa"/>
            <w:tcBorders>
              <w:top w:val="nil"/>
              <w:left w:val="nil"/>
              <w:bottom w:val="nil"/>
              <w:right w:val="nil"/>
            </w:tcBorders>
          </w:tcPr>
          <w:p w14:paraId="4A7A8E96"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ln_KL_2</w:t>
            </w:r>
          </w:p>
        </w:tc>
        <w:tc>
          <w:tcPr>
            <w:tcW w:w="992" w:type="dxa"/>
            <w:tcBorders>
              <w:top w:val="nil"/>
              <w:left w:val="nil"/>
              <w:bottom w:val="nil"/>
              <w:right w:val="nil"/>
            </w:tcBorders>
          </w:tcPr>
          <w:p w14:paraId="5ABCF425"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1DEF1F9D"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799C7A49"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030C41D4"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08460682"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0.104</w:t>
            </w:r>
          </w:p>
        </w:tc>
        <w:tc>
          <w:tcPr>
            <w:tcW w:w="992" w:type="dxa"/>
            <w:tcBorders>
              <w:top w:val="nil"/>
              <w:left w:val="nil"/>
              <w:bottom w:val="nil"/>
              <w:right w:val="nil"/>
            </w:tcBorders>
          </w:tcPr>
          <w:p w14:paraId="01746E51"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0.0895</w:t>
            </w:r>
          </w:p>
        </w:tc>
      </w:tr>
      <w:tr w:rsidR="00DF03FA" w:rsidRPr="00CF3C36" w14:paraId="6FA09325" w14:textId="77777777" w:rsidTr="00585F6A">
        <w:trPr>
          <w:jc w:val="center"/>
        </w:trPr>
        <w:tc>
          <w:tcPr>
            <w:tcW w:w="1613" w:type="dxa"/>
            <w:tcBorders>
              <w:top w:val="nil"/>
              <w:left w:val="nil"/>
              <w:bottom w:val="nil"/>
              <w:right w:val="nil"/>
            </w:tcBorders>
          </w:tcPr>
          <w:p w14:paraId="4F038AD2"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55F1856F"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2D98E9CA"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5E4DA487"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63ADA715"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17EFBAE1"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(0.138)</w:t>
            </w:r>
          </w:p>
        </w:tc>
        <w:tc>
          <w:tcPr>
            <w:tcW w:w="992" w:type="dxa"/>
            <w:tcBorders>
              <w:top w:val="nil"/>
              <w:left w:val="nil"/>
              <w:bottom w:val="nil"/>
              <w:right w:val="nil"/>
            </w:tcBorders>
          </w:tcPr>
          <w:p w14:paraId="62E112F1"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(0.172)</w:t>
            </w:r>
          </w:p>
        </w:tc>
      </w:tr>
      <w:tr w:rsidR="00DF03FA" w:rsidRPr="00CF3C36" w14:paraId="78684575" w14:textId="77777777" w:rsidTr="00585F6A">
        <w:trPr>
          <w:jc w:val="center"/>
        </w:trPr>
        <w:tc>
          <w:tcPr>
            <w:tcW w:w="1613" w:type="dxa"/>
            <w:tcBorders>
              <w:top w:val="nil"/>
              <w:left w:val="nil"/>
              <w:bottom w:val="nil"/>
              <w:right w:val="nil"/>
            </w:tcBorders>
          </w:tcPr>
          <w:p w14:paraId="7E39EC59"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EPI_ln_KL_cen</w:t>
            </w:r>
          </w:p>
        </w:tc>
        <w:tc>
          <w:tcPr>
            <w:tcW w:w="992" w:type="dxa"/>
            <w:tcBorders>
              <w:top w:val="nil"/>
              <w:left w:val="nil"/>
              <w:bottom w:val="nil"/>
              <w:right w:val="nil"/>
            </w:tcBorders>
          </w:tcPr>
          <w:p w14:paraId="0F2D008E"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4C7B028E"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261DD98E"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622FD980"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60B7F730"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0C92D7AA"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-0.120</w:t>
            </w:r>
          </w:p>
        </w:tc>
      </w:tr>
      <w:tr w:rsidR="00DF03FA" w:rsidRPr="00CF3C36" w14:paraId="7B165BCA" w14:textId="77777777" w:rsidTr="00585F6A">
        <w:trPr>
          <w:jc w:val="center"/>
        </w:trPr>
        <w:tc>
          <w:tcPr>
            <w:tcW w:w="1613" w:type="dxa"/>
            <w:tcBorders>
              <w:top w:val="nil"/>
              <w:left w:val="nil"/>
              <w:bottom w:val="nil"/>
              <w:right w:val="nil"/>
            </w:tcBorders>
          </w:tcPr>
          <w:p w14:paraId="533D9C41"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7DA0421A"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0814CD25"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210EB4EC"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4C3F8937"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3C7FE7C2"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11EAE315"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(0.120)</w:t>
            </w:r>
          </w:p>
        </w:tc>
      </w:tr>
      <w:tr w:rsidR="00DF03FA" w:rsidRPr="00CF3C36" w14:paraId="2860751E" w14:textId="77777777" w:rsidTr="00585F6A">
        <w:trPr>
          <w:jc w:val="center"/>
        </w:trPr>
        <w:tc>
          <w:tcPr>
            <w:tcW w:w="1613" w:type="dxa"/>
            <w:tcBorders>
              <w:top w:val="nil"/>
              <w:left w:val="nil"/>
              <w:bottom w:val="nil"/>
              <w:right w:val="nil"/>
            </w:tcBorders>
          </w:tcPr>
          <w:p w14:paraId="23CC594F"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EPI_ln_KL_2_cen</w:t>
            </w:r>
          </w:p>
        </w:tc>
        <w:tc>
          <w:tcPr>
            <w:tcW w:w="992" w:type="dxa"/>
            <w:tcBorders>
              <w:top w:val="nil"/>
              <w:left w:val="nil"/>
              <w:bottom w:val="nil"/>
              <w:right w:val="nil"/>
            </w:tcBorders>
          </w:tcPr>
          <w:p w14:paraId="718AE82A"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78F9837F"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1736A33D"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262117A1"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5E94455E"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793604BB"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0.0155</w:t>
            </w:r>
          </w:p>
        </w:tc>
      </w:tr>
      <w:tr w:rsidR="00DF03FA" w:rsidRPr="00CF3C36" w14:paraId="0C9FF7FC" w14:textId="77777777" w:rsidTr="00585F6A">
        <w:trPr>
          <w:jc w:val="center"/>
        </w:trPr>
        <w:tc>
          <w:tcPr>
            <w:tcW w:w="1613" w:type="dxa"/>
            <w:tcBorders>
              <w:top w:val="nil"/>
              <w:left w:val="nil"/>
              <w:bottom w:val="nil"/>
              <w:right w:val="nil"/>
            </w:tcBorders>
          </w:tcPr>
          <w:p w14:paraId="1779CB0E"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366F92AE"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715AF8B2"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4A03BC8D"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0C6538AE"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223C1B51"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76F0BD6D"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(0.0123)</w:t>
            </w:r>
          </w:p>
        </w:tc>
      </w:tr>
      <w:tr w:rsidR="00DF03FA" w:rsidRPr="00CF3C36" w14:paraId="1BF93B74" w14:textId="77777777" w:rsidTr="00585F6A">
        <w:trPr>
          <w:jc w:val="center"/>
        </w:trPr>
        <w:tc>
          <w:tcPr>
            <w:tcW w:w="1613" w:type="dxa"/>
            <w:tcBorders>
              <w:top w:val="nil"/>
              <w:left w:val="nil"/>
              <w:bottom w:val="nil"/>
              <w:right w:val="nil"/>
            </w:tcBorders>
          </w:tcPr>
          <w:p w14:paraId="6FF93BE9"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Constant</w:t>
            </w:r>
          </w:p>
        </w:tc>
        <w:tc>
          <w:tcPr>
            <w:tcW w:w="992" w:type="dxa"/>
            <w:tcBorders>
              <w:top w:val="nil"/>
              <w:left w:val="nil"/>
              <w:bottom w:val="nil"/>
              <w:right w:val="nil"/>
            </w:tcBorders>
          </w:tcPr>
          <w:p w14:paraId="477C50C8"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7.316***</w:t>
            </w:r>
          </w:p>
        </w:tc>
        <w:tc>
          <w:tcPr>
            <w:tcW w:w="992" w:type="dxa"/>
            <w:tcBorders>
              <w:top w:val="nil"/>
              <w:left w:val="nil"/>
              <w:bottom w:val="nil"/>
              <w:right w:val="nil"/>
            </w:tcBorders>
          </w:tcPr>
          <w:p w14:paraId="0733DB4E"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12.43**</w:t>
            </w:r>
          </w:p>
        </w:tc>
        <w:tc>
          <w:tcPr>
            <w:tcW w:w="992" w:type="dxa"/>
            <w:tcBorders>
              <w:top w:val="nil"/>
              <w:left w:val="nil"/>
              <w:bottom w:val="nil"/>
              <w:right w:val="nil"/>
            </w:tcBorders>
          </w:tcPr>
          <w:p w14:paraId="6B710039"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12.96**</w:t>
            </w:r>
          </w:p>
        </w:tc>
        <w:tc>
          <w:tcPr>
            <w:tcW w:w="992" w:type="dxa"/>
            <w:tcBorders>
              <w:top w:val="nil"/>
              <w:left w:val="nil"/>
              <w:bottom w:val="nil"/>
              <w:right w:val="nil"/>
            </w:tcBorders>
          </w:tcPr>
          <w:p w14:paraId="69227015"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3.591</w:t>
            </w:r>
          </w:p>
        </w:tc>
        <w:tc>
          <w:tcPr>
            <w:tcW w:w="992" w:type="dxa"/>
            <w:tcBorders>
              <w:top w:val="nil"/>
              <w:left w:val="nil"/>
              <w:bottom w:val="nil"/>
              <w:right w:val="nil"/>
            </w:tcBorders>
          </w:tcPr>
          <w:p w14:paraId="6932CCB0"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3.572</w:t>
            </w:r>
          </w:p>
        </w:tc>
        <w:tc>
          <w:tcPr>
            <w:tcW w:w="992" w:type="dxa"/>
            <w:tcBorders>
              <w:top w:val="nil"/>
              <w:left w:val="nil"/>
              <w:bottom w:val="nil"/>
              <w:right w:val="nil"/>
            </w:tcBorders>
          </w:tcPr>
          <w:p w14:paraId="5CE36DD4"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5.023</w:t>
            </w:r>
          </w:p>
        </w:tc>
      </w:tr>
      <w:tr w:rsidR="00DF03FA" w:rsidRPr="00CF3C36" w14:paraId="24D4567D" w14:textId="77777777" w:rsidTr="00585F6A">
        <w:trPr>
          <w:jc w:val="center"/>
        </w:trPr>
        <w:tc>
          <w:tcPr>
            <w:tcW w:w="1613" w:type="dxa"/>
            <w:tcBorders>
              <w:top w:val="nil"/>
              <w:left w:val="nil"/>
              <w:bottom w:val="nil"/>
              <w:right w:val="nil"/>
            </w:tcBorders>
          </w:tcPr>
          <w:p w14:paraId="436A9806"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6B56F193"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(0.587)</w:t>
            </w:r>
          </w:p>
        </w:tc>
        <w:tc>
          <w:tcPr>
            <w:tcW w:w="992" w:type="dxa"/>
            <w:tcBorders>
              <w:top w:val="nil"/>
              <w:left w:val="nil"/>
              <w:bottom w:val="nil"/>
              <w:right w:val="nil"/>
            </w:tcBorders>
          </w:tcPr>
          <w:p w14:paraId="017E749D"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(5.434)</w:t>
            </w:r>
          </w:p>
        </w:tc>
        <w:tc>
          <w:tcPr>
            <w:tcW w:w="992" w:type="dxa"/>
            <w:tcBorders>
              <w:top w:val="nil"/>
              <w:left w:val="nil"/>
              <w:bottom w:val="nil"/>
              <w:right w:val="nil"/>
            </w:tcBorders>
          </w:tcPr>
          <w:p w14:paraId="6B4C6733"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(5.908)</w:t>
            </w:r>
          </w:p>
        </w:tc>
        <w:tc>
          <w:tcPr>
            <w:tcW w:w="992" w:type="dxa"/>
            <w:tcBorders>
              <w:top w:val="nil"/>
              <w:left w:val="nil"/>
              <w:bottom w:val="nil"/>
              <w:right w:val="nil"/>
            </w:tcBorders>
          </w:tcPr>
          <w:p w14:paraId="6D200A42"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(5.603)</w:t>
            </w:r>
          </w:p>
        </w:tc>
        <w:tc>
          <w:tcPr>
            <w:tcW w:w="992" w:type="dxa"/>
            <w:tcBorders>
              <w:top w:val="nil"/>
              <w:left w:val="nil"/>
              <w:bottom w:val="nil"/>
              <w:right w:val="nil"/>
            </w:tcBorders>
          </w:tcPr>
          <w:p w14:paraId="01367F97"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(5.626)</w:t>
            </w:r>
          </w:p>
        </w:tc>
        <w:tc>
          <w:tcPr>
            <w:tcW w:w="992" w:type="dxa"/>
            <w:tcBorders>
              <w:top w:val="nil"/>
              <w:left w:val="nil"/>
              <w:bottom w:val="nil"/>
              <w:right w:val="nil"/>
            </w:tcBorders>
          </w:tcPr>
          <w:p w14:paraId="22C96FD7"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(6.114)</w:t>
            </w:r>
          </w:p>
        </w:tc>
      </w:tr>
      <w:tr w:rsidR="00DF03FA" w:rsidRPr="00CF3C36" w14:paraId="103A847B" w14:textId="77777777" w:rsidTr="00585F6A">
        <w:trPr>
          <w:jc w:val="center"/>
        </w:trPr>
        <w:tc>
          <w:tcPr>
            <w:tcW w:w="1613" w:type="dxa"/>
            <w:tcBorders>
              <w:top w:val="nil"/>
              <w:left w:val="nil"/>
              <w:bottom w:val="nil"/>
              <w:right w:val="nil"/>
            </w:tcBorders>
          </w:tcPr>
          <w:p w14:paraId="0106AE0D"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p>
        </w:tc>
        <w:tc>
          <w:tcPr>
            <w:tcW w:w="992" w:type="dxa"/>
            <w:tcBorders>
              <w:top w:val="nil"/>
              <w:left w:val="nil"/>
              <w:bottom w:val="nil"/>
              <w:right w:val="nil"/>
            </w:tcBorders>
          </w:tcPr>
          <w:p w14:paraId="784FE021"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2B564B6A"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2897DAAE"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64AD0F63"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5E34426C"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c>
          <w:tcPr>
            <w:tcW w:w="992" w:type="dxa"/>
            <w:tcBorders>
              <w:top w:val="nil"/>
              <w:left w:val="nil"/>
              <w:bottom w:val="nil"/>
              <w:right w:val="nil"/>
            </w:tcBorders>
          </w:tcPr>
          <w:p w14:paraId="15E513EF"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p>
        </w:tc>
      </w:tr>
      <w:tr w:rsidR="00DF03FA" w:rsidRPr="00CF3C36" w14:paraId="0B22B61A" w14:textId="77777777" w:rsidTr="00585F6A">
        <w:trPr>
          <w:jc w:val="center"/>
        </w:trPr>
        <w:tc>
          <w:tcPr>
            <w:tcW w:w="1613" w:type="dxa"/>
            <w:tcBorders>
              <w:top w:val="nil"/>
              <w:left w:val="nil"/>
              <w:bottom w:val="nil"/>
              <w:right w:val="nil"/>
            </w:tcBorders>
          </w:tcPr>
          <w:p w14:paraId="2FF90F31"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Observations</w:t>
            </w:r>
          </w:p>
        </w:tc>
        <w:tc>
          <w:tcPr>
            <w:tcW w:w="992" w:type="dxa"/>
            <w:tcBorders>
              <w:top w:val="nil"/>
              <w:left w:val="nil"/>
              <w:bottom w:val="nil"/>
              <w:right w:val="nil"/>
            </w:tcBorders>
          </w:tcPr>
          <w:p w14:paraId="00C8A099"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c>
          <w:tcPr>
            <w:tcW w:w="992" w:type="dxa"/>
            <w:tcBorders>
              <w:top w:val="nil"/>
              <w:left w:val="nil"/>
              <w:bottom w:val="nil"/>
              <w:right w:val="nil"/>
            </w:tcBorders>
          </w:tcPr>
          <w:p w14:paraId="2BC5C03C"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c>
          <w:tcPr>
            <w:tcW w:w="992" w:type="dxa"/>
            <w:tcBorders>
              <w:top w:val="nil"/>
              <w:left w:val="nil"/>
              <w:bottom w:val="nil"/>
              <w:right w:val="nil"/>
            </w:tcBorders>
          </w:tcPr>
          <w:p w14:paraId="5C6C8F8B"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c>
          <w:tcPr>
            <w:tcW w:w="992" w:type="dxa"/>
            <w:tcBorders>
              <w:top w:val="nil"/>
              <w:left w:val="nil"/>
              <w:bottom w:val="nil"/>
              <w:right w:val="nil"/>
            </w:tcBorders>
          </w:tcPr>
          <w:p w14:paraId="4BCBB35B"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c>
          <w:tcPr>
            <w:tcW w:w="992" w:type="dxa"/>
            <w:tcBorders>
              <w:top w:val="nil"/>
              <w:left w:val="nil"/>
              <w:bottom w:val="nil"/>
              <w:right w:val="nil"/>
            </w:tcBorders>
          </w:tcPr>
          <w:p w14:paraId="60AC82C6"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c>
          <w:tcPr>
            <w:tcW w:w="992" w:type="dxa"/>
            <w:tcBorders>
              <w:top w:val="nil"/>
              <w:left w:val="nil"/>
              <w:bottom w:val="nil"/>
              <w:right w:val="nil"/>
            </w:tcBorders>
          </w:tcPr>
          <w:p w14:paraId="5521C22A"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448</w:t>
            </w:r>
          </w:p>
        </w:tc>
      </w:tr>
      <w:tr w:rsidR="00DF03FA" w:rsidRPr="00CF3C36" w14:paraId="33267F15" w14:textId="77777777" w:rsidTr="00585F6A">
        <w:trPr>
          <w:jc w:val="center"/>
        </w:trPr>
        <w:tc>
          <w:tcPr>
            <w:tcW w:w="1613" w:type="dxa"/>
            <w:tcBorders>
              <w:top w:val="nil"/>
              <w:left w:val="nil"/>
              <w:bottom w:val="nil"/>
              <w:right w:val="nil"/>
            </w:tcBorders>
          </w:tcPr>
          <w:p w14:paraId="4DB0CC0D"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R-squared</w:t>
            </w:r>
          </w:p>
        </w:tc>
        <w:tc>
          <w:tcPr>
            <w:tcW w:w="992" w:type="dxa"/>
            <w:tcBorders>
              <w:top w:val="nil"/>
              <w:left w:val="nil"/>
              <w:bottom w:val="nil"/>
              <w:right w:val="nil"/>
            </w:tcBorders>
          </w:tcPr>
          <w:p w14:paraId="1290E8F0"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0.001</w:t>
            </w:r>
          </w:p>
        </w:tc>
        <w:tc>
          <w:tcPr>
            <w:tcW w:w="992" w:type="dxa"/>
            <w:tcBorders>
              <w:top w:val="nil"/>
              <w:left w:val="nil"/>
              <w:bottom w:val="nil"/>
              <w:right w:val="nil"/>
            </w:tcBorders>
          </w:tcPr>
          <w:p w14:paraId="5C450D56"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0.004</w:t>
            </w:r>
          </w:p>
        </w:tc>
        <w:tc>
          <w:tcPr>
            <w:tcW w:w="992" w:type="dxa"/>
            <w:tcBorders>
              <w:top w:val="nil"/>
              <w:left w:val="nil"/>
              <w:bottom w:val="nil"/>
              <w:right w:val="nil"/>
            </w:tcBorders>
          </w:tcPr>
          <w:p w14:paraId="601D8763"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0.022</w:t>
            </w:r>
          </w:p>
        </w:tc>
        <w:tc>
          <w:tcPr>
            <w:tcW w:w="992" w:type="dxa"/>
            <w:tcBorders>
              <w:top w:val="nil"/>
              <w:left w:val="nil"/>
              <w:bottom w:val="nil"/>
              <w:right w:val="nil"/>
            </w:tcBorders>
          </w:tcPr>
          <w:p w14:paraId="67DFD76D"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0.050</w:t>
            </w:r>
          </w:p>
        </w:tc>
        <w:tc>
          <w:tcPr>
            <w:tcW w:w="992" w:type="dxa"/>
            <w:tcBorders>
              <w:top w:val="nil"/>
              <w:left w:val="nil"/>
              <w:bottom w:val="nil"/>
              <w:right w:val="nil"/>
            </w:tcBorders>
          </w:tcPr>
          <w:p w14:paraId="1158511C"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0.051</w:t>
            </w:r>
          </w:p>
        </w:tc>
        <w:tc>
          <w:tcPr>
            <w:tcW w:w="992" w:type="dxa"/>
            <w:tcBorders>
              <w:top w:val="nil"/>
              <w:left w:val="nil"/>
              <w:bottom w:val="nil"/>
              <w:right w:val="nil"/>
            </w:tcBorders>
          </w:tcPr>
          <w:p w14:paraId="042C50DA"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0.059</w:t>
            </w:r>
          </w:p>
        </w:tc>
      </w:tr>
      <w:tr w:rsidR="00DF03FA" w:rsidRPr="00CF3C36" w14:paraId="3274B4BA" w14:textId="77777777" w:rsidTr="00585F6A">
        <w:tblPrEx>
          <w:tblBorders>
            <w:bottom w:val="single" w:sz="6" w:space="0" w:color="auto"/>
          </w:tblBorders>
        </w:tblPrEx>
        <w:trPr>
          <w:jc w:val="center"/>
        </w:trPr>
        <w:tc>
          <w:tcPr>
            <w:tcW w:w="1613" w:type="dxa"/>
            <w:tcBorders>
              <w:top w:val="nil"/>
              <w:left w:val="nil"/>
              <w:bottom w:val="single" w:sz="6" w:space="0" w:color="auto"/>
              <w:right w:val="nil"/>
            </w:tcBorders>
          </w:tcPr>
          <w:p w14:paraId="66E611D5" w14:textId="77777777" w:rsidR="00DF03FA" w:rsidRPr="00CF3C36" w:rsidRDefault="00DF03FA" w:rsidP="00585F6A">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Number of cou1</w:t>
            </w:r>
          </w:p>
        </w:tc>
        <w:tc>
          <w:tcPr>
            <w:tcW w:w="992" w:type="dxa"/>
            <w:tcBorders>
              <w:top w:val="nil"/>
              <w:left w:val="nil"/>
              <w:bottom w:val="single" w:sz="6" w:space="0" w:color="auto"/>
              <w:right w:val="nil"/>
            </w:tcBorders>
          </w:tcPr>
          <w:p w14:paraId="234703FA"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992" w:type="dxa"/>
            <w:tcBorders>
              <w:top w:val="nil"/>
              <w:left w:val="nil"/>
              <w:bottom w:val="single" w:sz="6" w:space="0" w:color="auto"/>
              <w:right w:val="nil"/>
            </w:tcBorders>
          </w:tcPr>
          <w:p w14:paraId="7670615D"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992" w:type="dxa"/>
            <w:tcBorders>
              <w:top w:val="nil"/>
              <w:left w:val="nil"/>
              <w:bottom w:val="single" w:sz="6" w:space="0" w:color="auto"/>
              <w:right w:val="nil"/>
            </w:tcBorders>
          </w:tcPr>
          <w:p w14:paraId="50541AEE"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992" w:type="dxa"/>
            <w:tcBorders>
              <w:top w:val="nil"/>
              <w:left w:val="nil"/>
              <w:bottom w:val="single" w:sz="6" w:space="0" w:color="auto"/>
              <w:right w:val="nil"/>
            </w:tcBorders>
          </w:tcPr>
          <w:p w14:paraId="4599F6E6"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992" w:type="dxa"/>
            <w:tcBorders>
              <w:top w:val="nil"/>
              <w:left w:val="nil"/>
              <w:bottom w:val="single" w:sz="6" w:space="0" w:color="auto"/>
              <w:right w:val="nil"/>
            </w:tcBorders>
          </w:tcPr>
          <w:p w14:paraId="3EA1B89C"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c>
          <w:tcPr>
            <w:tcW w:w="992" w:type="dxa"/>
            <w:tcBorders>
              <w:top w:val="nil"/>
              <w:left w:val="nil"/>
              <w:bottom w:val="single" w:sz="6" w:space="0" w:color="auto"/>
              <w:right w:val="nil"/>
            </w:tcBorders>
          </w:tcPr>
          <w:p w14:paraId="5D341774" w14:textId="77777777" w:rsidR="00DF03FA" w:rsidRPr="00CF3C36" w:rsidRDefault="00DF03FA" w:rsidP="00585F6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56</w:t>
            </w:r>
          </w:p>
        </w:tc>
      </w:tr>
    </w:tbl>
    <w:p w14:paraId="42461983" w14:textId="77777777" w:rsidR="00DF03FA" w:rsidRPr="00CF3C36" w:rsidRDefault="00DF03FA" w:rsidP="00DF03F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Robust standard errors in parentheses</w:t>
      </w:r>
    </w:p>
    <w:p w14:paraId="164D9D8B" w14:textId="77777777" w:rsidR="00DF03FA" w:rsidRPr="00CF3C36" w:rsidRDefault="00DF03FA" w:rsidP="00DF03FA">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 p&lt;0.01, ** p&lt;0.05, * p&lt;0.1</w:t>
      </w:r>
    </w:p>
    <w:p w14:paraId="1045EFB8" w14:textId="77777777" w:rsidR="00DF03FA" w:rsidRPr="00CF3C36" w:rsidRDefault="00DF03FA" w:rsidP="00DF03FA">
      <w:pPr>
        <w:widowControl w:val="0"/>
        <w:autoSpaceDE w:val="0"/>
        <w:autoSpaceDN w:val="0"/>
        <w:adjustRightInd w:val="0"/>
        <w:spacing w:after="0" w:line="240" w:lineRule="auto"/>
        <w:jc w:val="center"/>
        <w:rPr>
          <w:i/>
          <w:lang w:val="en-GB"/>
        </w:rPr>
      </w:pPr>
    </w:p>
    <w:p w14:paraId="5035A351" w14:textId="77777777" w:rsidR="00DF03FA" w:rsidRPr="00CF3C36" w:rsidRDefault="00DF03FA" w:rsidP="00DF03FA">
      <w:pPr>
        <w:widowControl w:val="0"/>
        <w:autoSpaceDE w:val="0"/>
        <w:autoSpaceDN w:val="0"/>
        <w:adjustRightInd w:val="0"/>
        <w:spacing w:after="0" w:line="240" w:lineRule="auto"/>
        <w:jc w:val="center"/>
        <w:rPr>
          <w:i/>
          <w:lang w:val="en-GB"/>
        </w:rPr>
      </w:pPr>
    </w:p>
    <w:p w14:paraId="0E333F8E" w14:textId="77777777" w:rsidR="00DF03FA" w:rsidRPr="00CF3C36" w:rsidRDefault="00DF03FA" w:rsidP="00DF03FA">
      <w:pPr>
        <w:widowControl w:val="0"/>
        <w:autoSpaceDE w:val="0"/>
        <w:autoSpaceDN w:val="0"/>
        <w:adjustRightInd w:val="0"/>
        <w:spacing w:after="0" w:line="240" w:lineRule="auto"/>
        <w:jc w:val="center"/>
        <w:rPr>
          <w:i/>
          <w:lang w:val="en-GB"/>
        </w:rPr>
      </w:pPr>
    </w:p>
    <w:p w14:paraId="75617D92" w14:textId="77777777" w:rsidR="00DF03FA" w:rsidRPr="00CF3C36" w:rsidRDefault="00DF03FA" w:rsidP="00DF03FA">
      <w:pPr>
        <w:widowControl w:val="0"/>
        <w:autoSpaceDE w:val="0"/>
        <w:autoSpaceDN w:val="0"/>
        <w:adjustRightInd w:val="0"/>
        <w:spacing w:after="0" w:line="240" w:lineRule="auto"/>
        <w:jc w:val="center"/>
        <w:rPr>
          <w:i/>
          <w:lang w:val="en-GB"/>
        </w:rPr>
      </w:pPr>
    </w:p>
    <w:p w14:paraId="7A0AD592" w14:textId="77777777" w:rsidR="00DF03FA" w:rsidRPr="00CF3C36" w:rsidRDefault="00DF03FA" w:rsidP="00DF03FA">
      <w:pPr>
        <w:widowControl w:val="0"/>
        <w:autoSpaceDE w:val="0"/>
        <w:autoSpaceDN w:val="0"/>
        <w:adjustRightInd w:val="0"/>
        <w:spacing w:after="0" w:line="240" w:lineRule="auto"/>
        <w:jc w:val="center"/>
        <w:rPr>
          <w:i/>
          <w:lang w:val="en-GB"/>
        </w:rPr>
      </w:pPr>
    </w:p>
    <w:p w14:paraId="226CE88E" w14:textId="77777777" w:rsidR="00DF03FA" w:rsidRPr="00CF3C36" w:rsidRDefault="00DF03FA" w:rsidP="00DF03FA">
      <w:pPr>
        <w:widowControl w:val="0"/>
        <w:autoSpaceDE w:val="0"/>
        <w:autoSpaceDN w:val="0"/>
        <w:adjustRightInd w:val="0"/>
        <w:spacing w:after="0" w:line="240" w:lineRule="auto"/>
        <w:jc w:val="center"/>
        <w:rPr>
          <w:i/>
          <w:lang w:val="en-GB"/>
        </w:rPr>
      </w:pPr>
    </w:p>
    <w:p w14:paraId="31F646F1" w14:textId="77777777" w:rsidR="00DF03FA" w:rsidRPr="00CF3C36" w:rsidRDefault="00DF03FA" w:rsidP="00DF03FA">
      <w:pPr>
        <w:widowControl w:val="0"/>
        <w:autoSpaceDE w:val="0"/>
        <w:autoSpaceDN w:val="0"/>
        <w:adjustRightInd w:val="0"/>
        <w:spacing w:after="0" w:line="240" w:lineRule="auto"/>
        <w:jc w:val="center"/>
        <w:rPr>
          <w:i/>
          <w:lang w:val="en-GB"/>
        </w:rPr>
      </w:pPr>
    </w:p>
    <w:p w14:paraId="7C5A75DE" w14:textId="77777777" w:rsidR="00DF03FA" w:rsidRPr="00CF3C36" w:rsidRDefault="00DF03FA" w:rsidP="00DF03FA">
      <w:pPr>
        <w:widowControl w:val="0"/>
        <w:autoSpaceDE w:val="0"/>
        <w:autoSpaceDN w:val="0"/>
        <w:adjustRightInd w:val="0"/>
        <w:spacing w:after="0" w:line="240" w:lineRule="auto"/>
        <w:jc w:val="center"/>
        <w:rPr>
          <w:i/>
          <w:lang w:val="en-GB"/>
        </w:rPr>
      </w:pPr>
    </w:p>
    <w:p w14:paraId="38381C5E" w14:textId="77777777" w:rsidR="00DF03FA" w:rsidRPr="00CF3C36" w:rsidRDefault="00DF03FA" w:rsidP="00DF03FA">
      <w:pPr>
        <w:widowControl w:val="0"/>
        <w:autoSpaceDE w:val="0"/>
        <w:autoSpaceDN w:val="0"/>
        <w:adjustRightInd w:val="0"/>
        <w:spacing w:after="0" w:line="240" w:lineRule="auto"/>
        <w:jc w:val="center"/>
        <w:rPr>
          <w:i/>
          <w:lang w:val="en-GB"/>
        </w:rPr>
      </w:pPr>
    </w:p>
    <w:p w14:paraId="3771B99D" w14:textId="77777777" w:rsidR="00DF03FA" w:rsidRPr="00CF3C36" w:rsidRDefault="00DF03FA" w:rsidP="00DF03FA">
      <w:pPr>
        <w:widowControl w:val="0"/>
        <w:autoSpaceDE w:val="0"/>
        <w:autoSpaceDN w:val="0"/>
        <w:adjustRightInd w:val="0"/>
        <w:spacing w:after="0" w:line="240" w:lineRule="auto"/>
        <w:jc w:val="center"/>
        <w:rPr>
          <w:i/>
          <w:lang w:val="en-GB"/>
        </w:rPr>
      </w:pPr>
    </w:p>
    <w:p w14:paraId="519676E3" w14:textId="77777777" w:rsidR="00DF03FA" w:rsidRPr="00CF3C36" w:rsidRDefault="00DF03FA" w:rsidP="00DF03FA">
      <w:pPr>
        <w:widowControl w:val="0"/>
        <w:autoSpaceDE w:val="0"/>
        <w:autoSpaceDN w:val="0"/>
        <w:adjustRightInd w:val="0"/>
        <w:spacing w:after="0" w:line="240" w:lineRule="auto"/>
        <w:jc w:val="center"/>
        <w:rPr>
          <w:i/>
          <w:lang w:val="en-GB"/>
        </w:rPr>
      </w:pPr>
    </w:p>
    <w:p w14:paraId="1F84AFBD" w14:textId="77777777" w:rsidR="00DF03FA" w:rsidRPr="00CF3C36" w:rsidRDefault="00DF03FA" w:rsidP="00DF03FA">
      <w:pPr>
        <w:widowControl w:val="0"/>
        <w:autoSpaceDE w:val="0"/>
        <w:autoSpaceDN w:val="0"/>
        <w:adjustRightInd w:val="0"/>
        <w:spacing w:after="0" w:line="240" w:lineRule="auto"/>
        <w:jc w:val="center"/>
        <w:rPr>
          <w:i/>
          <w:lang w:val="en-GB"/>
        </w:rPr>
      </w:pPr>
    </w:p>
    <w:p w14:paraId="235B98EC" w14:textId="77777777" w:rsidR="00DF03FA" w:rsidRPr="00CF3C36" w:rsidRDefault="00DF03FA" w:rsidP="00DF03FA">
      <w:pPr>
        <w:widowControl w:val="0"/>
        <w:autoSpaceDE w:val="0"/>
        <w:autoSpaceDN w:val="0"/>
        <w:adjustRightInd w:val="0"/>
        <w:spacing w:after="0" w:line="240" w:lineRule="auto"/>
        <w:jc w:val="center"/>
        <w:rPr>
          <w:i/>
          <w:lang w:val="en-GB"/>
        </w:rPr>
      </w:pPr>
    </w:p>
    <w:p w14:paraId="725351A3" w14:textId="77777777" w:rsidR="00DF03FA" w:rsidRPr="00CF3C36" w:rsidRDefault="00DF03FA" w:rsidP="00DF03FA">
      <w:pPr>
        <w:widowControl w:val="0"/>
        <w:autoSpaceDE w:val="0"/>
        <w:autoSpaceDN w:val="0"/>
        <w:adjustRightInd w:val="0"/>
        <w:spacing w:after="0" w:line="240" w:lineRule="auto"/>
        <w:jc w:val="center"/>
        <w:rPr>
          <w:i/>
          <w:lang w:val="en-GB"/>
        </w:rPr>
      </w:pPr>
    </w:p>
    <w:p w14:paraId="7570256A" w14:textId="77777777" w:rsidR="00DF03FA" w:rsidRPr="00CF3C36" w:rsidRDefault="00DF03FA" w:rsidP="00DF03FA">
      <w:pPr>
        <w:widowControl w:val="0"/>
        <w:autoSpaceDE w:val="0"/>
        <w:autoSpaceDN w:val="0"/>
        <w:adjustRightInd w:val="0"/>
        <w:spacing w:after="0" w:line="240" w:lineRule="auto"/>
        <w:jc w:val="center"/>
        <w:rPr>
          <w:i/>
          <w:lang w:val="en-GB"/>
        </w:rPr>
      </w:pPr>
    </w:p>
    <w:p w14:paraId="18C5994A" w14:textId="77777777" w:rsidR="00DF03FA" w:rsidRPr="00CF3C36" w:rsidRDefault="00DF03FA" w:rsidP="00DF03FA">
      <w:pPr>
        <w:widowControl w:val="0"/>
        <w:autoSpaceDE w:val="0"/>
        <w:autoSpaceDN w:val="0"/>
        <w:adjustRightInd w:val="0"/>
        <w:spacing w:after="0" w:line="240" w:lineRule="auto"/>
        <w:jc w:val="center"/>
        <w:rPr>
          <w:i/>
          <w:lang w:val="en-GB"/>
        </w:rPr>
      </w:pPr>
    </w:p>
    <w:p w14:paraId="202C8F81" w14:textId="77777777" w:rsidR="00DF03FA" w:rsidRPr="00CF3C36" w:rsidRDefault="00DF03FA" w:rsidP="00DF03FA">
      <w:pPr>
        <w:widowControl w:val="0"/>
        <w:autoSpaceDE w:val="0"/>
        <w:autoSpaceDN w:val="0"/>
        <w:adjustRightInd w:val="0"/>
        <w:spacing w:after="0" w:line="240" w:lineRule="auto"/>
        <w:jc w:val="center"/>
        <w:rPr>
          <w:i/>
          <w:lang w:val="en-GB"/>
        </w:rPr>
      </w:pPr>
    </w:p>
    <w:p w14:paraId="5660BF66" w14:textId="77777777" w:rsidR="00DF03FA" w:rsidRPr="00CF3C36" w:rsidRDefault="00DF03FA" w:rsidP="00DF03FA">
      <w:pPr>
        <w:widowControl w:val="0"/>
        <w:autoSpaceDE w:val="0"/>
        <w:autoSpaceDN w:val="0"/>
        <w:adjustRightInd w:val="0"/>
        <w:spacing w:after="0" w:line="240" w:lineRule="auto"/>
        <w:jc w:val="center"/>
        <w:rPr>
          <w:i/>
          <w:lang w:val="en-GB"/>
        </w:rPr>
      </w:pPr>
    </w:p>
    <w:p w14:paraId="6E2844D1" w14:textId="77777777" w:rsidR="00DF03FA" w:rsidRPr="00CF3C36" w:rsidRDefault="00DF03FA" w:rsidP="00DF03FA">
      <w:pPr>
        <w:widowControl w:val="0"/>
        <w:autoSpaceDE w:val="0"/>
        <w:autoSpaceDN w:val="0"/>
        <w:adjustRightInd w:val="0"/>
        <w:spacing w:after="0" w:line="240" w:lineRule="auto"/>
        <w:jc w:val="center"/>
        <w:rPr>
          <w:i/>
          <w:lang w:val="en-GB"/>
        </w:rPr>
      </w:pPr>
    </w:p>
    <w:p w14:paraId="44F635B5" w14:textId="77777777" w:rsidR="00DF03FA" w:rsidRPr="00CF3C36" w:rsidRDefault="00DF03FA" w:rsidP="00DF03FA">
      <w:pPr>
        <w:widowControl w:val="0"/>
        <w:autoSpaceDE w:val="0"/>
        <w:autoSpaceDN w:val="0"/>
        <w:adjustRightInd w:val="0"/>
        <w:spacing w:after="0" w:line="240" w:lineRule="auto"/>
        <w:jc w:val="center"/>
        <w:rPr>
          <w:i/>
          <w:lang w:val="en-GB"/>
        </w:rPr>
      </w:pPr>
    </w:p>
    <w:p w14:paraId="73D059F6" w14:textId="77777777" w:rsidR="00DF03FA" w:rsidRPr="00CF3C36" w:rsidRDefault="00DF03FA" w:rsidP="00DF03FA">
      <w:pPr>
        <w:widowControl w:val="0"/>
        <w:autoSpaceDE w:val="0"/>
        <w:autoSpaceDN w:val="0"/>
        <w:adjustRightInd w:val="0"/>
        <w:spacing w:after="0" w:line="240" w:lineRule="auto"/>
        <w:jc w:val="center"/>
        <w:rPr>
          <w:i/>
          <w:lang w:val="en-GB"/>
        </w:rPr>
      </w:pPr>
    </w:p>
    <w:p w14:paraId="00D87B68" w14:textId="77777777" w:rsidR="00DF03FA" w:rsidRPr="00CF3C36" w:rsidRDefault="00DF03FA" w:rsidP="00DF03FA">
      <w:pPr>
        <w:widowControl w:val="0"/>
        <w:autoSpaceDE w:val="0"/>
        <w:autoSpaceDN w:val="0"/>
        <w:adjustRightInd w:val="0"/>
        <w:spacing w:after="0" w:line="240" w:lineRule="auto"/>
        <w:jc w:val="center"/>
        <w:rPr>
          <w:i/>
          <w:lang w:val="en-GB"/>
        </w:rPr>
      </w:pPr>
    </w:p>
    <w:p w14:paraId="50D672F7" w14:textId="77777777" w:rsidR="00DF03FA" w:rsidRPr="00CF3C36" w:rsidRDefault="00DF03FA" w:rsidP="00DF03FA">
      <w:pPr>
        <w:widowControl w:val="0"/>
        <w:autoSpaceDE w:val="0"/>
        <w:autoSpaceDN w:val="0"/>
        <w:adjustRightInd w:val="0"/>
        <w:spacing w:after="0" w:line="240" w:lineRule="auto"/>
        <w:jc w:val="center"/>
        <w:rPr>
          <w:i/>
          <w:lang w:val="en-GB"/>
        </w:rPr>
      </w:pPr>
    </w:p>
    <w:p w14:paraId="354B60D0" w14:textId="77777777" w:rsidR="00DF03FA" w:rsidRPr="00CF3C36" w:rsidRDefault="00DF03FA" w:rsidP="00DF03FA">
      <w:pPr>
        <w:widowControl w:val="0"/>
        <w:autoSpaceDE w:val="0"/>
        <w:autoSpaceDN w:val="0"/>
        <w:adjustRightInd w:val="0"/>
        <w:spacing w:after="0" w:line="240" w:lineRule="auto"/>
        <w:jc w:val="center"/>
        <w:rPr>
          <w:i/>
          <w:lang w:val="en-GB"/>
        </w:rPr>
      </w:pPr>
    </w:p>
    <w:p w14:paraId="4A1FB27C" w14:textId="77777777" w:rsidR="00DF03FA" w:rsidRPr="00CF3C36" w:rsidRDefault="00DF03FA" w:rsidP="00DF03FA">
      <w:pPr>
        <w:widowControl w:val="0"/>
        <w:autoSpaceDE w:val="0"/>
        <w:autoSpaceDN w:val="0"/>
        <w:adjustRightInd w:val="0"/>
        <w:spacing w:after="0" w:line="240" w:lineRule="auto"/>
        <w:jc w:val="center"/>
        <w:rPr>
          <w:i/>
          <w:lang w:val="en-GB"/>
        </w:rPr>
      </w:pPr>
    </w:p>
    <w:p w14:paraId="0D9A5F2B" w14:textId="77777777" w:rsidR="00DF03FA" w:rsidRPr="00CF3C36" w:rsidRDefault="00DF03FA" w:rsidP="00DF03FA">
      <w:pPr>
        <w:widowControl w:val="0"/>
        <w:autoSpaceDE w:val="0"/>
        <w:autoSpaceDN w:val="0"/>
        <w:adjustRightInd w:val="0"/>
        <w:spacing w:after="0" w:line="240" w:lineRule="auto"/>
        <w:jc w:val="center"/>
        <w:rPr>
          <w:i/>
          <w:lang w:val="en-GB"/>
        </w:rPr>
      </w:pPr>
    </w:p>
    <w:p w14:paraId="714F0AB6" w14:textId="77777777" w:rsidR="00DF03FA" w:rsidRPr="00CF3C36" w:rsidRDefault="00DF03FA" w:rsidP="00DF03FA">
      <w:pPr>
        <w:widowControl w:val="0"/>
        <w:autoSpaceDE w:val="0"/>
        <w:autoSpaceDN w:val="0"/>
        <w:adjustRightInd w:val="0"/>
        <w:spacing w:after="0" w:line="240" w:lineRule="auto"/>
        <w:jc w:val="center"/>
        <w:rPr>
          <w:i/>
          <w:lang w:val="en-GB"/>
        </w:rPr>
      </w:pPr>
    </w:p>
    <w:p w14:paraId="7EEF7B6C" w14:textId="77777777" w:rsidR="00DF03FA" w:rsidRPr="00CF3C36" w:rsidRDefault="00DF03FA" w:rsidP="00DF03FA">
      <w:pPr>
        <w:widowControl w:val="0"/>
        <w:autoSpaceDE w:val="0"/>
        <w:autoSpaceDN w:val="0"/>
        <w:adjustRightInd w:val="0"/>
        <w:spacing w:after="0" w:line="240" w:lineRule="auto"/>
        <w:jc w:val="center"/>
        <w:rPr>
          <w:i/>
          <w:lang w:val="en-GB"/>
        </w:rPr>
      </w:pPr>
    </w:p>
    <w:p w14:paraId="0E082921" w14:textId="6D0B9DED" w:rsidR="00427632" w:rsidRPr="00CF3C36" w:rsidRDefault="0033675A" w:rsidP="00864C4C">
      <w:pPr>
        <w:pStyle w:val="Heading5"/>
        <w:jc w:val="center"/>
        <w:rPr>
          <w:lang w:val="en-GB"/>
        </w:rPr>
      </w:pPr>
      <w:bookmarkStart w:id="50" w:name="_Toc15475682"/>
      <w:r w:rsidRPr="00CF3C36">
        <w:rPr>
          <w:lang w:val="en-GB"/>
        </w:rPr>
        <w:lastRenderedPageBreak/>
        <w:t>Table 19</w:t>
      </w:r>
      <w:r w:rsidR="00864C4C" w:rsidRPr="00CF3C36">
        <w:rPr>
          <w:lang w:val="en-GB"/>
        </w:rPr>
        <w:t xml:space="preserve">. </w:t>
      </w:r>
      <w:r w:rsidR="00DF03FA" w:rsidRPr="00CF3C36">
        <w:rPr>
          <w:lang w:val="en-GB"/>
        </w:rPr>
        <w:t>Robustness-check</w:t>
      </w:r>
      <w:r w:rsidR="00943E8E" w:rsidRPr="00CF3C36">
        <w:rPr>
          <w:lang w:val="en-GB"/>
        </w:rPr>
        <w:t>s</w:t>
      </w:r>
      <w:r w:rsidR="00DF03FA" w:rsidRPr="00CF3C36">
        <w:rPr>
          <w:lang w:val="en-GB"/>
        </w:rPr>
        <w:t xml:space="preserve"> </w:t>
      </w:r>
      <w:r w:rsidR="002A03CF" w:rsidRPr="00CF3C36">
        <w:rPr>
          <w:lang w:val="en-GB"/>
        </w:rPr>
        <w:t>Model 1.2</w:t>
      </w:r>
      <w:bookmarkEnd w:id="50"/>
    </w:p>
    <w:tbl>
      <w:tblPr>
        <w:tblW w:w="7123" w:type="dxa"/>
        <w:jc w:val="center"/>
        <w:tblLayout w:type="fixed"/>
        <w:tblCellMar>
          <w:left w:w="75" w:type="dxa"/>
          <w:right w:w="75" w:type="dxa"/>
        </w:tblCellMar>
        <w:tblLook w:val="0000" w:firstRow="0" w:lastRow="0" w:firstColumn="0" w:lastColumn="0" w:noHBand="0" w:noVBand="0"/>
      </w:tblPr>
      <w:tblGrid>
        <w:gridCol w:w="1701"/>
        <w:gridCol w:w="1147"/>
        <w:gridCol w:w="1147"/>
        <w:gridCol w:w="1147"/>
        <w:gridCol w:w="989"/>
        <w:gridCol w:w="992"/>
      </w:tblGrid>
      <w:tr w:rsidR="00C21170" w:rsidRPr="00CF3C36" w14:paraId="1BDF1783" w14:textId="77777777" w:rsidTr="002D0C71">
        <w:trPr>
          <w:jc w:val="center"/>
        </w:trPr>
        <w:tc>
          <w:tcPr>
            <w:tcW w:w="1701" w:type="dxa"/>
            <w:tcBorders>
              <w:top w:val="single" w:sz="6" w:space="0" w:color="auto"/>
              <w:left w:val="nil"/>
              <w:bottom w:val="nil"/>
              <w:right w:val="nil"/>
            </w:tcBorders>
          </w:tcPr>
          <w:p w14:paraId="469F234A" w14:textId="77777777" w:rsidR="00C21170" w:rsidRPr="00CF3C36" w:rsidRDefault="00C21170" w:rsidP="00C21170">
            <w:pPr>
              <w:widowControl w:val="0"/>
              <w:autoSpaceDE w:val="0"/>
              <w:autoSpaceDN w:val="0"/>
              <w:adjustRightInd w:val="0"/>
              <w:spacing w:after="0" w:line="240" w:lineRule="auto"/>
              <w:rPr>
                <w:rFonts w:ascii="Times New Roman" w:hAnsi="Times New Roman" w:cs="Times New Roman"/>
                <w:sz w:val="18"/>
                <w:szCs w:val="18"/>
                <w:lang w:val="en-GB"/>
              </w:rPr>
            </w:pPr>
          </w:p>
        </w:tc>
        <w:tc>
          <w:tcPr>
            <w:tcW w:w="1147" w:type="dxa"/>
            <w:tcBorders>
              <w:top w:val="single" w:sz="6" w:space="0" w:color="auto"/>
              <w:left w:val="nil"/>
              <w:bottom w:val="nil"/>
              <w:right w:val="nil"/>
            </w:tcBorders>
          </w:tcPr>
          <w:p w14:paraId="42732803" w14:textId="6629BAAF"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w:t>
            </w:r>
          </w:p>
        </w:tc>
        <w:tc>
          <w:tcPr>
            <w:tcW w:w="1147" w:type="dxa"/>
            <w:tcBorders>
              <w:top w:val="single" w:sz="6" w:space="0" w:color="auto"/>
              <w:left w:val="nil"/>
              <w:bottom w:val="nil"/>
              <w:right w:val="nil"/>
            </w:tcBorders>
          </w:tcPr>
          <w:p w14:paraId="143B4A09" w14:textId="686D183D"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w:t>
            </w:r>
          </w:p>
        </w:tc>
        <w:tc>
          <w:tcPr>
            <w:tcW w:w="1147" w:type="dxa"/>
            <w:tcBorders>
              <w:top w:val="single" w:sz="6" w:space="0" w:color="auto"/>
              <w:left w:val="nil"/>
              <w:bottom w:val="nil"/>
              <w:right w:val="nil"/>
            </w:tcBorders>
          </w:tcPr>
          <w:p w14:paraId="6219A120" w14:textId="2AC11857"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w:t>
            </w:r>
          </w:p>
        </w:tc>
        <w:tc>
          <w:tcPr>
            <w:tcW w:w="989" w:type="dxa"/>
            <w:tcBorders>
              <w:top w:val="single" w:sz="6" w:space="0" w:color="auto"/>
              <w:left w:val="nil"/>
              <w:bottom w:val="nil"/>
              <w:right w:val="nil"/>
            </w:tcBorders>
          </w:tcPr>
          <w:p w14:paraId="12F57860" w14:textId="77777777"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w:t>
            </w:r>
          </w:p>
        </w:tc>
        <w:tc>
          <w:tcPr>
            <w:tcW w:w="992" w:type="dxa"/>
            <w:tcBorders>
              <w:top w:val="single" w:sz="6" w:space="0" w:color="auto"/>
              <w:left w:val="nil"/>
              <w:bottom w:val="nil"/>
              <w:right w:val="nil"/>
            </w:tcBorders>
          </w:tcPr>
          <w:p w14:paraId="6E17A342" w14:textId="77777777"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w:t>
            </w:r>
          </w:p>
        </w:tc>
      </w:tr>
      <w:tr w:rsidR="00C21170" w:rsidRPr="00CF3C36" w14:paraId="6025B46B" w14:textId="77777777" w:rsidTr="002D0C71">
        <w:trPr>
          <w:jc w:val="center"/>
        </w:trPr>
        <w:tc>
          <w:tcPr>
            <w:tcW w:w="1701" w:type="dxa"/>
            <w:tcBorders>
              <w:top w:val="nil"/>
              <w:left w:val="nil"/>
              <w:bottom w:val="single" w:sz="6" w:space="0" w:color="auto"/>
              <w:right w:val="nil"/>
            </w:tcBorders>
          </w:tcPr>
          <w:p w14:paraId="5895ABDE" w14:textId="77777777" w:rsidR="00C21170" w:rsidRPr="00CF3C36" w:rsidRDefault="00C21170" w:rsidP="00C21170">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VARIABLES</w:t>
            </w:r>
          </w:p>
        </w:tc>
        <w:tc>
          <w:tcPr>
            <w:tcW w:w="1147" w:type="dxa"/>
            <w:tcBorders>
              <w:top w:val="nil"/>
              <w:left w:val="nil"/>
              <w:bottom w:val="single" w:sz="6" w:space="0" w:color="auto"/>
              <w:right w:val="nil"/>
            </w:tcBorders>
          </w:tcPr>
          <w:p w14:paraId="72BAEF0F" w14:textId="3BBED173"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1.2 - EPI years</w:t>
            </w:r>
          </w:p>
        </w:tc>
        <w:tc>
          <w:tcPr>
            <w:tcW w:w="1147" w:type="dxa"/>
            <w:tcBorders>
              <w:top w:val="nil"/>
              <w:left w:val="nil"/>
              <w:bottom w:val="single" w:sz="6" w:space="0" w:color="auto"/>
              <w:right w:val="nil"/>
            </w:tcBorders>
          </w:tcPr>
          <w:p w14:paraId="66966063" w14:textId="46885F7C"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1.2 - no governance</w:t>
            </w:r>
          </w:p>
        </w:tc>
        <w:tc>
          <w:tcPr>
            <w:tcW w:w="1147" w:type="dxa"/>
            <w:tcBorders>
              <w:top w:val="nil"/>
              <w:left w:val="nil"/>
              <w:bottom w:val="single" w:sz="6" w:space="0" w:color="auto"/>
              <w:right w:val="nil"/>
            </w:tcBorders>
          </w:tcPr>
          <w:p w14:paraId="00EF5518" w14:textId="414333BC"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1.2 - no missings</w:t>
            </w:r>
          </w:p>
        </w:tc>
        <w:tc>
          <w:tcPr>
            <w:tcW w:w="989" w:type="dxa"/>
            <w:tcBorders>
              <w:top w:val="nil"/>
              <w:left w:val="nil"/>
              <w:bottom w:val="single" w:sz="6" w:space="0" w:color="auto"/>
              <w:right w:val="nil"/>
            </w:tcBorders>
          </w:tcPr>
          <w:p w14:paraId="5BD0D273" w14:textId="048E88FD"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1.2 - EPS</w:t>
            </w:r>
            <w:r w:rsidR="002D0C71" w:rsidRPr="00CF3C36">
              <w:rPr>
                <w:rFonts w:ascii="Times New Roman" w:hAnsi="Times New Roman" w:cs="Times New Roman"/>
                <w:sz w:val="18"/>
                <w:szCs w:val="18"/>
                <w:lang w:val="en-GB"/>
              </w:rPr>
              <w:t>I</w:t>
            </w:r>
          </w:p>
        </w:tc>
        <w:tc>
          <w:tcPr>
            <w:tcW w:w="992" w:type="dxa"/>
            <w:tcBorders>
              <w:top w:val="nil"/>
              <w:left w:val="nil"/>
              <w:bottom w:val="single" w:sz="6" w:space="0" w:color="auto"/>
              <w:right w:val="nil"/>
            </w:tcBorders>
          </w:tcPr>
          <w:p w14:paraId="75267A10" w14:textId="77777777"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1.2 - EHC</w:t>
            </w:r>
          </w:p>
        </w:tc>
      </w:tr>
      <w:tr w:rsidR="00C21170" w:rsidRPr="00CF3C36" w14:paraId="6EF8B573" w14:textId="77777777" w:rsidTr="002D0C71">
        <w:trPr>
          <w:jc w:val="center"/>
        </w:trPr>
        <w:tc>
          <w:tcPr>
            <w:tcW w:w="1701" w:type="dxa"/>
            <w:tcBorders>
              <w:top w:val="nil"/>
              <w:left w:val="nil"/>
              <w:bottom w:val="nil"/>
              <w:right w:val="nil"/>
            </w:tcBorders>
          </w:tcPr>
          <w:p w14:paraId="21874969" w14:textId="77777777" w:rsidR="00C21170" w:rsidRPr="00CF3C36" w:rsidRDefault="00C21170" w:rsidP="00C21170">
            <w:pPr>
              <w:widowControl w:val="0"/>
              <w:autoSpaceDE w:val="0"/>
              <w:autoSpaceDN w:val="0"/>
              <w:adjustRightInd w:val="0"/>
              <w:spacing w:after="0" w:line="240" w:lineRule="auto"/>
              <w:rPr>
                <w:rFonts w:ascii="Times New Roman" w:hAnsi="Times New Roman" w:cs="Times New Roman"/>
                <w:sz w:val="18"/>
                <w:szCs w:val="18"/>
                <w:lang w:val="en-GB"/>
              </w:rPr>
            </w:pPr>
          </w:p>
        </w:tc>
        <w:tc>
          <w:tcPr>
            <w:tcW w:w="1147" w:type="dxa"/>
            <w:tcBorders>
              <w:top w:val="nil"/>
              <w:left w:val="nil"/>
              <w:bottom w:val="nil"/>
              <w:right w:val="nil"/>
            </w:tcBorders>
          </w:tcPr>
          <w:p w14:paraId="1A28AF17" w14:textId="77777777"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7" w:type="dxa"/>
            <w:tcBorders>
              <w:top w:val="nil"/>
              <w:left w:val="nil"/>
              <w:bottom w:val="nil"/>
              <w:right w:val="nil"/>
            </w:tcBorders>
          </w:tcPr>
          <w:p w14:paraId="4624C9F5" w14:textId="77777777"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7" w:type="dxa"/>
            <w:tcBorders>
              <w:top w:val="nil"/>
              <w:left w:val="nil"/>
              <w:bottom w:val="nil"/>
              <w:right w:val="nil"/>
            </w:tcBorders>
          </w:tcPr>
          <w:p w14:paraId="5E180122" w14:textId="795551B8"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89" w:type="dxa"/>
            <w:tcBorders>
              <w:top w:val="nil"/>
              <w:left w:val="nil"/>
              <w:bottom w:val="nil"/>
              <w:right w:val="nil"/>
            </w:tcBorders>
          </w:tcPr>
          <w:p w14:paraId="1D968C92" w14:textId="77777777"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339B7C34" w14:textId="77777777"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C21170" w:rsidRPr="00CF3C36" w14:paraId="44A232CF" w14:textId="77777777" w:rsidTr="002D0C71">
        <w:trPr>
          <w:jc w:val="center"/>
        </w:trPr>
        <w:tc>
          <w:tcPr>
            <w:tcW w:w="1701" w:type="dxa"/>
            <w:tcBorders>
              <w:top w:val="nil"/>
              <w:left w:val="nil"/>
              <w:bottom w:val="nil"/>
              <w:right w:val="nil"/>
            </w:tcBorders>
          </w:tcPr>
          <w:p w14:paraId="5655DF75" w14:textId="77777777" w:rsidR="00C21170" w:rsidRPr="00CF3C36" w:rsidRDefault="00C21170" w:rsidP="00C21170">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w:t>
            </w:r>
          </w:p>
        </w:tc>
        <w:tc>
          <w:tcPr>
            <w:tcW w:w="1147" w:type="dxa"/>
            <w:tcBorders>
              <w:top w:val="nil"/>
              <w:left w:val="nil"/>
              <w:bottom w:val="nil"/>
              <w:right w:val="nil"/>
            </w:tcBorders>
          </w:tcPr>
          <w:p w14:paraId="7DAEC6E1" w14:textId="2276071D"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0.0170</w:t>
            </w:r>
          </w:p>
        </w:tc>
        <w:tc>
          <w:tcPr>
            <w:tcW w:w="1147" w:type="dxa"/>
            <w:tcBorders>
              <w:top w:val="nil"/>
              <w:left w:val="nil"/>
              <w:bottom w:val="nil"/>
              <w:right w:val="nil"/>
            </w:tcBorders>
          </w:tcPr>
          <w:p w14:paraId="0AE664DC" w14:textId="78C3F03C"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0.0279</w:t>
            </w:r>
          </w:p>
        </w:tc>
        <w:tc>
          <w:tcPr>
            <w:tcW w:w="1147" w:type="dxa"/>
            <w:tcBorders>
              <w:top w:val="nil"/>
              <w:left w:val="nil"/>
              <w:bottom w:val="nil"/>
              <w:right w:val="nil"/>
            </w:tcBorders>
          </w:tcPr>
          <w:p w14:paraId="376A6DE3" w14:textId="2A8DAA64"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0.0489*</w:t>
            </w:r>
          </w:p>
        </w:tc>
        <w:tc>
          <w:tcPr>
            <w:tcW w:w="989" w:type="dxa"/>
            <w:tcBorders>
              <w:top w:val="nil"/>
              <w:left w:val="nil"/>
              <w:bottom w:val="nil"/>
              <w:right w:val="nil"/>
            </w:tcBorders>
          </w:tcPr>
          <w:p w14:paraId="29F1AD70" w14:textId="77777777"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37975B9C" w14:textId="77777777"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0.0334</w:t>
            </w:r>
          </w:p>
        </w:tc>
      </w:tr>
      <w:tr w:rsidR="00C21170" w:rsidRPr="00CF3C36" w14:paraId="782E46A7" w14:textId="77777777" w:rsidTr="002D0C71">
        <w:trPr>
          <w:jc w:val="center"/>
        </w:trPr>
        <w:tc>
          <w:tcPr>
            <w:tcW w:w="1701" w:type="dxa"/>
            <w:tcBorders>
              <w:top w:val="nil"/>
              <w:left w:val="nil"/>
              <w:bottom w:val="nil"/>
              <w:right w:val="nil"/>
            </w:tcBorders>
          </w:tcPr>
          <w:p w14:paraId="1D83FF73" w14:textId="77777777" w:rsidR="00C21170" w:rsidRPr="00CF3C36" w:rsidRDefault="00C21170" w:rsidP="00C21170">
            <w:pPr>
              <w:widowControl w:val="0"/>
              <w:autoSpaceDE w:val="0"/>
              <w:autoSpaceDN w:val="0"/>
              <w:adjustRightInd w:val="0"/>
              <w:spacing w:after="0" w:line="240" w:lineRule="auto"/>
              <w:rPr>
                <w:rFonts w:ascii="Times New Roman" w:hAnsi="Times New Roman" w:cs="Times New Roman"/>
                <w:sz w:val="18"/>
                <w:szCs w:val="18"/>
                <w:lang w:val="en-GB"/>
              </w:rPr>
            </w:pPr>
          </w:p>
        </w:tc>
        <w:tc>
          <w:tcPr>
            <w:tcW w:w="1147" w:type="dxa"/>
            <w:tcBorders>
              <w:top w:val="nil"/>
              <w:left w:val="nil"/>
              <w:bottom w:val="nil"/>
              <w:right w:val="nil"/>
            </w:tcBorders>
          </w:tcPr>
          <w:p w14:paraId="58A7184C" w14:textId="24FBB150"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(0.0252)</w:t>
            </w:r>
          </w:p>
        </w:tc>
        <w:tc>
          <w:tcPr>
            <w:tcW w:w="1147" w:type="dxa"/>
            <w:tcBorders>
              <w:top w:val="nil"/>
              <w:left w:val="nil"/>
              <w:bottom w:val="nil"/>
              <w:right w:val="nil"/>
            </w:tcBorders>
          </w:tcPr>
          <w:p w14:paraId="038EAC16" w14:textId="0FE425FC"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(0.0235)</w:t>
            </w:r>
          </w:p>
        </w:tc>
        <w:tc>
          <w:tcPr>
            <w:tcW w:w="1147" w:type="dxa"/>
            <w:tcBorders>
              <w:top w:val="nil"/>
              <w:left w:val="nil"/>
              <w:bottom w:val="nil"/>
              <w:right w:val="nil"/>
            </w:tcBorders>
          </w:tcPr>
          <w:p w14:paraId="6BEBA6DB" w14:textId="6ABC2649"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(0.0254)</w:t>
            </w:r>
          </w:p>
        </w:tc>
        <w:tc>
          <w:tcPr>
            <w:tcW w:w="989" w:type="dxa"/>
            <w:tcBorders>
              <w:top w:val="nil"/>
              <w:left w:val="nil"/>
              <w:bottom w:val="nil"/>
              <w:right w:val="nil"/>
            </w:tcBorders>
          </w:tcPr>
          <w:p w14:paraId="1E99E681" w14:textId="77777777"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112CA122" w14:textId="77777777"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(0.0260)</w:t>
            </w:r>
          </w:p>
        </w:tc>
      </w:tr>
      <w:tr w:rsidR="00A46B76" w:rsidRPr="00CF3C36" w14:paraId="121E88B3" w14:textId="77777777" w:rsidTr="002D0C71">
        <w:trPr>
          <w:jc w:val="center"/>
        </w:trPr>
        <w:tc>
          <w:tcPr>
            <w:tcW w:w="1701" w:type="dxa"/>
            <w:tcBorders>
              <w:top w:val="nil"/>
              <w:left w:val="nil"/>
              <w:bottom w:val="nil"/>
              <w:right w:val="nil"/>
            </w:tcBorders>
          </w:tcPr>
          <w:p w14:paraId="22596271" w14:textId="6DF96BC0"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ln_rgdpna</w:t>
            </w:r>
          </w:p>
        </w:tc>
        <w:tc>
          <w:tcPr>
            <w:tcW w:w="1147" w:type="dxa"/>
            <w:tcBorders>
              <w:top w:val="nil"/>
              <w:left w:val="nil"/>
              <w:bottom w:val="nil"/>
              <w:right w:val="nil"/>
            </w:tcBorders>
          </w:tcPr>
          <w:p w14:paraId="6D2E9F93" w14:textId="66CE125E"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-0.0815</w:t>
            </w:r>
          </w:p>
        </w:tc>
        <w:tc>
          <w:tcPr>
            <w:tcW w:w="1147" w:type="dxa"/>
            <w:tcBorders>
              <w:top w:val="nil"/>
              <w:left w:val="nil"/>
              <w:bottom w:val="nil"/>
              <w:right w:val="nil"/>
            </w:tcBorders>
          </w:tcPr>
          <w:p w14:paraId="43482216" w14:textId="3E91F583"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0.883*</w:t>
            </w:r>
          </w:p>
        </w:tc>
        <w:tc>
          <w:tcPr>
            <w:tcW w:w="1147" w:type="dxa"/>
            <w:tcBorders>
              <w:top w:val="nil"/>
              <w:left w:val="nil"/>
              <w:bottom w:val="nil"/>
              <w:right w:val="nil"/>
            </w:tcBorders>
          </w:tcPr>
          <w:p w14:paraId="5A224092" w14:textId="0B322B35"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0.508</w:t>
            </w:r>
          </w:p>
        </w:tc>
        <w:tc>
          <w:tcPr>
            <w:tcW w:w="989" w:type="dxa"/>
            <w:tcBorders>
              <w:top w:val="nil"/>
              <w:left w:val="nil"/>
              <w:bottom w:val="nil"/>
              <w:right w:val="nil"/>
            </w:tcBorders>
          </w:tcPr>
          <w:p w14:paraId="417FCD43" w14:textId="72E4B55E"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3.585***</w:t>
            </w:r>
          </w:p>
        </w:tc>
        <w:tc>
          <w:tcPr>
            <w:tcW w:w="992" w:type="dxa"/>
            <w:tcBorders>
              <w:top w:val="nil"/>
              <w:left w:val="nil"/>
              <w:bottom w:val="nil"/>
              <w:right w:val="nil"/>
            </w:tcBorders>
          </w:tcPr>
          <w:p w14:paraId="5EF257C8" w14:textId="0CB219FC"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-0.407</w:t>
            </w:r>
          </w:p>
        </w:tc>
      </w:tr>
      <w:tr w:rsidR="00A46B76" w:rsidRPr="00CF3C36" w14:paraId="3FF38CE9" w14:textId="77777777" w:rsidTr="002D0C71">
        <w:trPr>
          <w:jc w:val="center"/>
        </w:trPr>
        <w:tc>
          <w:tcPr>
            <w:tcW w:w="1701" w:type="dxa"/>
            <w:tcBorders>
              <w:top w:val="nil"/>
              <w:left w:val="nil"/>
              <w:bottom w:val="nil"/>
              <w:right w:val="nil"/>
            </w:tcBorders>
          </w:tcPr>
          <w:p w14:paraId="386EE3DD"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p>
        </w:tc>
        <w:tc>
          <w:tcPr>
            <w:tcW w:w="1147" w:type="dxa"/>
            <w:tcBorders>
              <w:top w:val="nil"/>
              <w:left w:val="nil"/>
              <w:bottom w:val="nil"/>
              <w:right w:val="nil"/>
            </w:tcBorders>
          </w:tcPr>
          <w:p w14:paraId="6DCBE629" w14:textId="0AA384DB"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(0.750)</w:t>
            </w:r>
          </w:p>
        </w:tc>
        <w:tc>
          <w:tcPr>
            <w:tcW w:w="1147" w:type="dxa"/>
            <w:tcBorders>
              <w:top w:val="nil"/>
              <w:left w:val="nil"/>
              <w:bottom w:val="nil"/>
              <w:right w:val="nil"/>
            </w:tcBorders>
          </w:tcPr>
          <w:p w14:paraId="473F4BD2" w14:textId="00846894"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(0.473)</w:t>
            </w:r>
          </w:p>
        </w:tc>
        <w:tc>
          <w:tcPr>
            <w:tcW w:w="1147" w:type="dxa"/>
            <w:tcBorders>
              <w:top w:val="nil"/>
              <w:left w:val="nil"/>
              <w:bottom w:val="nil"/>
              <w:right w:val="nil"/>
            </w:tcBorders>
          </w:tcPr>
          <w:p w14:paraId="11286EE7" w14:textId="6DA431C3"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(0.688)</w:t>
            </w:r>
          </w:p>
        </w:tc>
        <w:tc>
          <w:tcPr>
            <w:tcW w:w="989" w:type="dxa"/>
            <w:tcBorders>
              <w:top w:val="nil"/>
              <w:left w:val="nil"/>
              <w:bottom w:val="nil"/>
              <w:right w:val="nil"/>
            </w:tcBorders>
          </w:tcPr>
          <w:p w14:paraId="5043769E" w14:textId="4B0ED028"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(1.092)</w:t>
            </w:r>
          </w:p>
        </w:tc>
        <w:tc>
          <w:tcPr>
            <w:tcW w:w="992" w:type="dxa"/>
            <w:tcBorders>
              <w:top w:val="nil"/>
              <w:left w:val="nil"/>
              <w:bottom w:val="nil"/>
              <w:right w:val="nil"/>
            </w:tcBorders>
          </w:tcPr>
          <w:p w14:paraId="472A61B7" w14:textId="279B7DA3"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(1.402)</w:t>
            </w:r>
          </w:p>
        </w:tc>
      </w:tr>
      <w:tr w:rsidR="00A46B76" w:rsidRPr="00CF3C36" w14:paraId="17E78EA9" w14:textId="77777777" w:rsidTr="002D0C71">
        <w:trPr>
          <w:jc w:val="center"/>
        </w:trPr>
        <w:tc>
          <w:tcPr>
            <w:tcW w:w="1701" w:type="dxa"/>
            <w:tcBorders>
              <w:top w:val="nil"/>
              <w:left w:val="nil"/>
              <w:bottom w:val="nil"/>
              <w:right w:val="nil"/>
            </w:tcBorders>
          </w:tcPr>
          <w:p w14:paraId="7D71A1E7"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SE_terX</w:t>
            </w:r>
          </w:p>
        </w:tc>
        <w:tc>
          <w:tcPr>
            <w:tcW w:w="1147" w:type="dxa"/>
            <w:tcBorders>
              <w:top w:val="nil"/>
              <w:left w:val="nil"/>
              <w:bottom w:val="nil"/>
              <w:right w:val="nil"/>
            </w:tcBorders>
          </w:tcPr>
          <w:p w14:paraId="20D8B2DD" w14:textId="3E2C7DD5"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0.00940</w:t>
            </w:r>
          </w:p>
        </w:tc>
        <w:tc>
          <w:tcPr>
            <w:tcW w:w="1147" w:type="dxa"/>
            <w:tcBorders>
              <w:top w:val="nil"/>
              <w:left w:val="nil"/>
              <w:bottom w:val="nil"/>
              <w:right w:val="nil"/>
            </w:tcBorders>
          </w:tcPr>
          <w:p w14:paraId="2D0CA04F" w14:textId="72AC9BE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0.00404</w:t>
            </w:r>
          </w:p>
        </w:tc>
        <w:tc>
          <w:tcPr>
            <w:tcW w:w="1147" w:type="dxa"/>
            <w:tcBorders>
              <w:top w:val="nil"/>
              <w:left w:val="nil"/>
              <w:bottom w:val="nil"/>
              <w:right w:val="nil"/>
            </w:tcBorders>
          </w:tcPr>
          <w:p w14:paraId="0B5D2444" w14:textId="1B238379"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0.00658</w:t>
            </w:r>
          </w:p>
        </w:tc>
        <w:tc>
          <w:tcPr>
            <w:tcW w:w="989" w:type="dxa"/>
            <w:tcBorders>
              <w:top w:val="nil"/>
              <w:left w:val="nil"/>
              <w:bottom w:val="nil"/>
              <w:right w:val="nil"/>
            </w:tcBorders>
          </w:tcPr>
          <w:p w14:paraId="1B609DD6" w14:textId="125475DC"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-0.00637</w:t>
            </w:r>
          </w:p>
        </w:tc>
        <w:tc>
          <w:tcPr>
            <w:tcW w:w="992" w:type="dxa"/>
            <w:tcBorders>
              <w:top w:val="nil"/>
              <w:left w:val="nil"/>
              <w:bottom w:val="nil"/>
              <w:right w:val="nil"/>
            </w:tcBorders>
          </w:tcPr>
          <w:p w14:paraId="6493DF3A"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0.0193*</w:t>
            </w:r>
          </w:p>
        </w:tc>
      </w:tr>
      <w:tr w:rsidR="00A46B76" w:rsidRPr="00CF3C36" w14:paraId="78D679D2" w14:textId="77777777" w:rsidTr="002D0C71">
        <w:trPr>
          <w:jc w:val="center"/>
        </w:trPr>
        <w:tc>
          <w:tcPr>
            <w:tcW w:w="1701" w:type="dxa"/>
            <w:tcBorders>
              <w:top w:val="nil"/>
              <w:left w:val="nil"/>
              <w:bottom w:val="nil"/>
              <w:right w:val="nil"/>
            </w:tcBorders>
          </w:tcPr>
          <w:p w14:paraId="2958B406"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p>
        </w:tc>
        <w:tc>
          <w:tcPr>
            <w:tcW w:w="1147" w:type="dxa"/>
            <w:tcBorders>
              <w:top w:val="nil"/>
              <w:left w:val="nil"/>
              <w:bottom w:val="nil"/>
              <w:right w:val="nil"/>
            </w:tcBorders>
          </w:tcPr>
          <w:p w14:paraId="5C514EC7" w14:textId="4BE417AA"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(0.00845)</w:t>
            </w:r>
          </w:p>
        </w:tc>
        <w:tc>
          <w:tcPr>
            <w:tcW w:w="1147" w:type="dxa"/>
            <w:tcBorders>
              <w:top w:val="nil"/>
              <w:left w:val="nil"/>
              <w:bottom w:val="nil"/>
              <w:right w:val="nil"/>
            </w:tcBorders>
          </w:tcPr>
          <w:p w14:paraId="2E2EF0B6" w14:textId="62E5D83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(0.00701)</w:t>
            </w:r>
          </w:p>
        </w:tc>
        <w:tc>
          <w:tcPr>
            <w:tcW w:w="1147" w:type="dxa"/>
            <w:tcBorders>
              <w:top w:val="nil"/>
              <w:left w:val="nil"/>
              <w:bottom w:val="nil"/>
              <w:right w:val="nil"/>
            </w:tcBorders>
          </w:tcPr>
          <w:p w14:paraId="4AFF20B9" w14:textId="4D764543"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(0.00818)</w:t>
            </w:r>
          </w:p>
        </w:tc>
        <w:tc>
          <w:tcPr>
            <w:tcW w:w="989" w:type="dxa"/>
            <w:tcBorders>
              <w:top w:val="nil"/>
              <w:left w:val="nil"/>
              <w:bottom w:val="nil"/>
              <w:right w:val="nil"/>
            </w:tcBorders>
          </w:tcPr>
          <w:p w14:paraId="7C4E0EC6" w14:textId="4D3A3EE8"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(0.0137)</w:t>
            </w:r>
          </w:p>
        </w:tc>
        <w:tc>
          <w:tcPr>
            <w:tcW w:w="992" w:type="dxa"/>
            <w:tcBorders>
              <w:top w:val="nil"/>
              <w:left w:val="nil"/>
              <w:bottom w:val="nil"/>
              <w:right w:val="nil"/>
            </w:tcBorders>
          </w:tcPr>
          <w:p w14:paraId="5999B58B"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(0.0111)</w:t>
            </w:r>
          </w:p>
        </w:tc>
      </w:tr>
      <w:tr w:rsidR="00A46B76" w:rsidRPr="00CF3C36" w14:paraId="7E41F081" w14:textId="77777777" w:rsidTr="002D0C71">
        <w:trPr>
          <w:jc w:val="center"/>
        </w:trPr>
        <w:tc>
          <w:tcPr>
            <w:tcW w:w="1701" w:type="dxa"/>
            <w:tcBorders>
              <w:top w:val="nil"/>
              <w:left w:val="nil"/>
              <w:bottom w:val="nil"/>
              <w:right w:val="nil"/>
            </w:tcBorders>
          </w:tcPr>
          <w:p w14:paraId="570C75CF"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eodb1</w:t>
            </w:r>
          </w:p>
        </w:tc>
        <w:tc>
          <w:tcPr>
            <w:tcW w:w="1147" w:type="dxa"/>
            <w:tcBorders>
              <w:top w:val="nil"/>
              <w:left w:val="nil"/>
              <w:bottom w:val="nil"/>
              <w:right w:val="nil"/>
            </w:tcBorders>
          </w:tcPr>
          <w:p w14:paraId="03F0FF3E" w14:textId="086CB2F2"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0.000245</w:t>
            </w:r>
          </w:p>
        </w:tc>
        <w:tc>
          <w:tcPr>
            <w:tcW w:w="1147" w:type="dxa"/>
            <w:tcBorders>
              <w:top w:val="nil"/>
              <w:left w:val="nil"/>
              <w:bottom w:val="nil"/>
              <w:right w:val="nil"/>
            </w:tcBorders>
          </w:tcPr>
          <w:p w14:paraId="65EAECE0" w14:textId="26A49F8E"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-0.000736</w:t>
            </w:r>
          </w:p>
        </w:tc>
        <w:tc>
          <w:tcPr>
            <w:tcW w:w="1147" w:type="dxa"/>
            <w:tcBorders>
              <w:top w:val="nil"/>
              <w:left w:val="nil"/>
              <w:bottom w:val="nil"/>
              <w:right w:val="nil"/>
            </w:tcBorders>
          </w:tcPr>
          <w:p w14:paraId="14105E3E" w14:textId="76741298"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0.00477</w:t>
            </w:r>
          </w:p>
        </w:tc>
        <w:tc>
          <w:tcPr>
            <w:tcW w:w="989" w:type="dxa"/>
            <w:tcBorders>
              <w:top w:val="nil"/>
              <w:left w:val="nil"/>
              <w:bottom w:val="nil"/>
              <w:right w:val="nil"/>
            </w:tcBorders>
          </w:tcPr>
          <w:p w14:paraId="569D66EE" w14:textId="4E8C16C8"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-0.00334</w:t>
            </w:r>
          </w:p>
        </w:tc>
        <w:tc>
          <w:tcPr>
            <w:tcW w:w="992" w:type="dxa"/>
            <w:tcBorders>
              <w:top w:val="nil"/>
              <w:left w:val="nil"/>
              <w:bottom w:val="nil"/>
              <w:right w:val="nil"/>
            </w:tcBorders>
          </w:tcPr>
          <w:p w14:paraId="6F828C01"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-0.0164</w:t>
            </w:r>
          </w:p>
        </w:tc>
      </w:tr>
      <w:tr w:rsidR="00A46B76" w:rsidRPr="00CF3C36" w14:paraId="2A731B0D" w14:textId="77777777" w:rsidTr="002D0C71">
        <w:trPr>
          <w:jc w:val="center"/>
        </w:trPr>
        <w:tc>
          <w:tcPr>
            <w:tcW w:w="1701" w:type="dxa"/>
            <w:tcBorders>
              <w:top w:val="nil"/>
              <w:left w:val="nil"/>
              <w:bottom w:val="nil"/>
              <w:right w:val="nil"/>
            </w:tcBorders>
          </w:tcPr>
          <w:p w14:paraId="42B485AA"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p>
        </w:tc>
        <w:tc>
          <w:tcPr>
            <w:tcW w:w="1147" w:type="dxa"/>
            <w:tcBorders>
              <w:top w:val="nil"/>
              <w:left w:val="nil"/>
              <w:bottom w:val="nil"/>
              <w:right w:val="nil"/>
            </w:tcBorders>
          </w:tcPr>
          <w:p w14:paraId="7B4D6DC3" w14:textId="4D19ADC1"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(0.0226)</w:t>
            </w:r>
          </w:p>
        </w:tc>
        <w:tc>
          <w:tcPr>
            <w:tcW w:w="1147" w:type="dxa"/>
            <w:tcBorders>
              <w:top w:val="nil"/>
              <w:left w:val="nil"/>
              <w:bottom w:val="nil"/>
              <w:right w:val="nil"/>
            </w:tcBorders>
          </w:tcPr>
          <w:p w14:paraId="6A18886A" w14:textId="1489E1CE"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(0.0150)</w:t>
            </w:r>
          </w:p>
        </w:tc>
        <w:tc>
          <w:tcPr>
            <w:tcW w:w="1147" w:type="dxa"/>
            <w:tcBorders>
              <w:top w:val="nil"/>
              <w:left w:val="nil"/>
              <w:bottom w:val="nil"/>
              <w:right w:val="nil"/>
            </w:tcBorders>
          </w:tcPr>
          <w:p w14:paraId="2278ADE4" w14:textId="67268D26"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(0.0194)</w:t>
            </w:r>
          </w:p>
        </w:tc>
        <w:tc>
          <w:tcPr>
            <w:tcW w:w="989" w:type="dxa"/>
            <w:tcBorders>
              <w:top w:val="nil"/>
              <w:left w:val="nil"/>
              <w:bottom w:val="nil"/>
              <w:right w:val="nil"/>
            </w:tcBorders>
          </w:tcPr>
          <w:p w14:paraId="3231D3BC" w14:textId="6F52E1F3"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(0.0253)</w:t>
            </w:r>
          </w:p>
        </w:tc>
        <w:tc>
          <w:tcPr>
            <w:tcW w:w="992" w:type="dxa"/>
            <w:tcBorders>
              <w:top w:val="nil"/>
              <w:left w:val="nil"/>
              <w:bottom w:val="nil"/>
              <w:right w:val="nil"/>
            </w:tcBorders>
          </w:tcPr>
          <w:p w14:paraId="3C94905D"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(0.0239)</w:t>
            </w:r>
          </w:p>
        </w:tc>
      </w:tr>
      <w:tr w:rsidR="00A46B76" w:rsidRPr="00CF3C36" w14:paraId="390050DA" w14:textId="77777777" w:rsidTr="002D0C71">
        <w:trPr>
          <w:jc w:val="center"/>
        </w:trPr>
        <w:tc>
          <w:tcPr>
            <w:tcW w:w="1701" w:type="dxa"/>
            <w:tcBorders>
              <w:top w:val="nil"/>
              <w:left w:val="nil"/>
              <w:bottom w:val="nil"/>
              <w:right w:val="nil"/>
            </w:tcBorders>
          </w:tcPr>
          <w:p w14:paraId="1CE17E58"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governance</w:t>
            </w:r>
          </w:p>
        </w:tc>
        <w:tc>
          <w:tcPr>
            <w:tcW w:w="1147" w:type="dxa"/>
            <w:tcBorders>
              <w:top w:val="nil"/>
              <w:left w:val="nil"/>
              <w:bottom w:val="nil"/>
              <w:right w:val="nil"/>
            </w:tcBorders>
          </w:tcPr>
          <w:p w14:paraId="0B7A9206" w14:textId="6D2B95A9"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0.268</w:t>
            </w:r>
          </w:p>
        </w:tc>
        <w:tc>
          <w:tcPr>
            <w:tcW w:w="1147" w:type="dxa"/>
            <w:tcBorders>
              <w:top w:val="nil"/>
              <w:left w:val="nil"/>
              <w:bottom w:val="nil"/>
              <w:right w:val="nil"/>
            </w:tcBorders>
          </w:tcPr>
          <w:p w14:paraId="1EF42FBB"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7" w:type="dxa"/>
            <w:tcBorders>
              <w:top w:val="nil"/>
              <w:left w:val="nil"/>
              <w:bottom w:val="nil"/>
              <w:right w:val="nil"/>
            </w:tcBorders>
          </w:tcPr>
          <w:p w14:paraId="11B8A76D" w14:textId="5B5437E9"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0.00340</w:t>
            </w:r>
          </w:p>
        </w:tc>
        <w:tc>
          <w:tcPr>
            <w:tcW w:w="989" w:type="dxa"/>
            <w:tcBorders>
              <w:top w:val="nil"/>
              <w:left w:val="nil"/>
              <w:bottom w:val="nil"/>
              <w:right w:val="nil"/>
            </w:tcBorders>
          </w:tcPr>
          <w:p w14:paraId="1B132581" w14:textId="59B32BAD"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-0.156</w:t>
            </w:r>
          </w:p>
        </w:tc>
        <w:tc>
          <w:tcPr>
            <w:tcW w:w="992" w:type="dxa"/>
            <w:tcBorders>
              <w:top w:val="nil"/>
              <w:left w:val="nil"/>
              <w:bottom w:val="nil"/>
              <w:right w:val="nil"/>
            </w:tcBorders>
          </w:tcPr>
          <w:p w14:paraId="48928B8C"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0.145</w:t>
            </w:r>
          </w:p>
        </w:tc>
      </w:tr>
      <w:tr w:rsidR="00A46B76" w:rsidRPr="00CF3C36" w14:paraId="00F79D17" w14:textId="77777777" w:rsidTr="002D0C71">
        <w:trPr>
          <w:jc w:val="center"/>
        </w:trPr>
        <w:tc>
          <w:tcPr>
            <w:tcW w:w="1701" w:type="dxa"/>
            <w:tcBorders>
              <w:top w:val="nil"/>
              <w:left w:val="nil"/>
              <w:bottom w:val="nil"/>
              <w:right w:val="nil"/>
            </w:tcBorders>
          </w:tcPr>
          <w:p w14:paraId="5C2A909D"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p>
        </w:tc>
        <w:tc>
          <w:tcPr>
            <w:tcW w:w="1147" w:type="dxa"/>
            <w:tcBorders>
              <w:top w:val="nil"/>
              <w:left w:val="nil"/>
              <w:bottom w:val="nil"/>
              <w:right w:val="nil"/>
            </w:tcBorders>
          </w:tcPr>
          <w:p w14:paraId="62C4D659" w14:textId="3C195859"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(0.258)</w:t>
            </w:r>
          </w:p>
        </w:tc>
        <w:tc>
          <w:tcPr>
            <w:tcW w:w="1147" w:type="dxa"/>
            <w:tcBorders>
              <w:top w:val="nil"/>
              <w:left w:val="nil"/>
              <w:bottom w:val="nil"/>
              <w:right w:val="nil"/>
            </w:tcBorders>
          </w:tcPr>
          <w:p w14:paraId="2C8CCA01"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7" w:type="dxa"/>
            <w:tcBorders>
              <w:top w:val="nil"/>
              <w:left w:val="nil"/>
              <w:bottom w:val="nil"/>
              <w:right w:val="nil"/>
            </w:tcBorders>
          </w:tcPr>
          <w:p w14:paraId="67FAB392" w14:textId="7D5A2912"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(0.155)</w:t>
            </w:r>
          </w:p>
        </w:tc>
        <w:tc>
          <w:tcPr>
            <w:tcW w:w="989" w:type="dxa"/>
            <w:tcBorders>
              <w:top w:val="nil"/>
              <w:left w:val="nil"/>
              <w:bottom w:val="nil"/>
              <w:right w:val="nil"/>
            </w:tcBorders>
          </w:tcPr>
          <w:p w14:paraId="779CF746" w14:textId="499F6430"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(0.176)</w:t>
            </w:r>
          </w:p>
        </w:tc>
        <w:tc>
          <w:tcPr>
            <w:tcW w:w="992" w:type="dxa"/>
            <w:tcBorders>
              <w:top w:val="nil"/>
              <w:left w:val="nil"/>
              <w:bottom w:val="nil"/>
              <w:right w:val="nil"/>
            </w:tcBorders>
          </w:tcPr>
          <w:p w14:paraId="5BC71EDB"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(0.181)</w:t>
            </w:r>
          </w:p>
        </w:tc>
      </w:tr>
      <w:tr w:rsidR="00A46B76" w:rsidRPr="00CF3C36" w14:paraId="10CBB7B3" w14:textId="77777777" w:rsidTr="002D0C71">
        <w:trPr>
          <w:jc w:val="center"/>
        </w:trPr>
        <w:tc>
          <w:tcPr>
            <w:tcW w:w="1701" w:type="dxa"/>
            <w:tcBorders>
              <w:top w:val="nil"/>
              <w:left w:val="nil"/>
              <w:bottom w:val="nil"/>
              <w:right w:val="nil"/>
            </w:tcBorders>
          </w:tcPr>
          <w:p w14:paraId="3652338D"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ln_KL</w:t>
            </w:r>
          </w:p>
        </w:tc>
        <w:tc>
          <w:tcPr>
            <w:tcW w:w="1147" w:type="dxa"/>
            <w:tcBorders>
              <w:top w:val="nil"/>
              <w:left w:val="nil"/>
              <w:bottom w:val="nil"/>
              <w:right w:val="nil"/>
            </w:tcBorders>
          </w:tcPr>
          <w:p w14:paraId="6248FCBD" w14:textId="335F3429"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-0.365</w:t>
            </w:r>
          </w:p>
        </w:tc>
        <w:tc>
          <w:tcPr>
            <w:tcW w:w="1147" w:type="dxa"/>
            <w:tcBorders>
              <w:top w:val="nil"/>
              <w:left w:val="nil"/>
              <w:bottom w:val="nil"/>
              <w:right w:val="nil"/>
            </w:tcBorders>
          </w:tcPr>
          <w:p w14:paraId="7BF65387" w14:textId="08A85FCD"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-2.009</w:t>
            </w:r>
          </w:p>
        </w:tc>
        <w:tc>
          <w:tcPr>
            <w:tcW w:w="1147" w:type="dxa"/>
            <w:tcBorders>
              <w:top w:val="nil"/>
              <w:left w:val="nil"/>
              <w:bottom w:val="nil"/>
              <w:right w:val="nil"/>
            </w:tcBorders>
          </w:tcPr>
          <w:p w14:paraId="0A908AE8" w14:textId="54306A2F"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-5.931*</w:t>
            </w:r>
          </w:p>
        </w:tc>
        <w:tc>
          <w:tcPr>
            <w:tcW w:w="989" w:type="dxa"/>
            <w:tcBorders>
              <w:top w:val="nil"/>
              <w:left w:val="nil"/>
              <w:bottom w:val="nil"/>
              <w:right w:val="nil"/>
            </w:tcBorders>
          </w:tcPr>
          <w:p w14:paraId="510E871C" w14:textId="02D36533"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-6.490</w:t>
            </w:r>
          </w:p>
        </w:tc>
        <w:tc>
          <w:tcPr>
            <w:tcW w:w="992" w:type="dxa"/>
            <w:tcBorders>
              <w:top w:val="nil"/>
              <w:left w:val="nil"/>
              <w:bottom w:val="nil"/>
              <w:right w:val="nil"/>
            </w:tcBorders>
          </w:tcPr>
          <w:p w14:paraId="35622254"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-12.04*</w:t>
            </w:r>
          </w:p>
        </w:tc>
      </w:tr>
      <w:tr w:rsidR="00A46B76" w:rsidRPr="00CF3C36" w14:paraId="5FA6FA38" w14:textId="77777777" w:rsidTr="002D0C71">
        <w:trPr>
          <w:jc w:val="center"/>
        </w:trPr>
        <w:tc>
          <w:tcPr>
            <w:tcW w:w="1701" w:type="dxa"/>
            <w:tcBorders>
              <w:top w:val="nil"/>
              <w:left w:val="nil"/>
              <w:bottom w:val="nil"/>
              <w:right w:val="nil"/>
            </w:tcBorders>
          </w:tcPr>
          <w:p w14:paraId="725316EE"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p>
        </w:tc>
        <w:tc>
          <w:tcPr>
            <w:tcW w:w="1147" w:type="dxa"/>
            <w:tcBorders>
              <w:top w:val="nil"/>
              <w:left w:val="nil"/>
              <w:bottom w:val="nil"/>
              <w:right w:val="nil"/>
            </w:tcBorders>
          </w:tcPr>
          <w:p w14:paraId="26DFD935" w14:textId="6660DCF6"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(2.533)</w:t>
            </w:r>
          </w:p>
        </w:tc>
        <w:tc>
          <w:tcPr>
            <w:tcW w:w="1147" w:type="dxa"/>
            <w:tcBorders>
              <w:top w:val="nil"/>
              <w:left w:val="nil"/>
              <w:bottom w:val="nil"/>
              <w:right w:val="nil"/>
            </w:tcBorders>
          </w:tcPr>
          <w:p w14:paraId="01E39946" w14:textId="3E6FE548"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(1.907)</w:t>
            </w:r>
          </w:p>
        </w:tc>
        <w:tc>
          <w:tcPr>
            <w:tcW w:w="1147" w:type="dxa"/>
            <w:tcBorders>
              <w:top w:val="nil"/>
              <w:left w:val="nil"/>
              <w:bottom w:val="nil"/>
              <w:right w:val="nil"/>
            </w:tcBorders>
          </w:tcPr>
          <w:p w14:paraId="78A39E8B" w14:textId="569D6D1D"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(3.201)</w:t>
            </w:r>
          </w:p>
        </w:tc>
        <w:tc>
          <w:tcPr>
            <w:tcW w:w="989" w:type="dxa"/>
            <w:tcBorders>
              <w:top w:val="nil"/>
              <w:left w:val="nil"/>
              <w:bottom w:val="nil"/>
              <w:right w:val="nil"/>
            </w:tcBorders>
          </w:tcPr>
          <w:p w14:paraId="4C06EB6B" w14:textId="02DE0E41"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(4.034)</w:t>
            </w:r>
          </w:p>
        </w:tc>
        <w:tc>
          <w:tcPr>
            <w:tcW w:w="992" w:type="dxa"/>
            <w:tcBorders>
              <w:top w:val="nil"/>
              <w:left w:val="nil"/>
              <w:bottom w:val="nil"/>
              <w:right w:val="nil"/>
            </w:tcBorders>
          </w:tcPr>
          <w:p w14:paraId="40823E90"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(6.498)</w:t>
            </w:r>
          </w:p>
        </w:tc>
      </w:tr>
      <w:tr w:rsidR="00A46B76" w:rsidRPr="00CF3C36" w14:paraId="08E0F0D0" w14:textId="77777777" w:rsidTr="002D0C71">
        <w:trPr>
          <w:jc w:val="center"/>
        </w:trPr>
        <w:tc>
          <w:tcPr>
            <w:tcW w:w="1701" w:type="dxa"/>
            <w:tcBorders>
              <w:top w:val="nil"/>
              <w:left w:val="nil"/>
              <w:bottom w:val="nil"/>
              <w:right w:val="nil"/>
            </w:tcBorders>
          </w:tcPr>
          <w:p w14:paraId="23DA235E"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ln_KL_2</w:t>
            </w:r>
          </w:p>
        </w:tc>
        <w:tc>
          <w:tcPr>
            <w:tcW w:w="1147" w:type="dxa"/>
            <w:tcBorders>
              <w:top w:val="nil"/>
              <w:left w:val="nil"/>
              <w:bottom w:val="nil"/>
              <w:right w:val="nil"/>
            </w:tcBorders>
          </w:tcPr>
          <w:p w14:paraId="36D6547B" w14:textId="2D09C1EE"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-0.0890</w:t>
            </w:r>
          </w:p>
        </w:tc>
        <w:tc>
          <w:tcPr>
            <w:tcW w:w="1147" w:type="dxa"/>
            <w:tcBorders>
              <w:top w:val="nil"/>
              <w:left w:val="nil"/>
              <w:bottom w:val="nil"/>
              <w:right w:val="nil"/>
            </w:tcBorders>
          </w:tcPr>
          <w:p w14:paraId="108EEE00" w14:textId="65BBE2A1"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0.0756</w:t>
            </w:r>
          </w:p>
        </w:tc>
        <w:tc>
          <w:tcPr>
            <w:tcW w:w="1147" w:type="dxa"/>
            <w:tcBorders>
              <w:top w:val="nil"/>
              <w:left w:val="nil"/>
              <w:bottom w:val="nil"/>
              <w:right w:val="nil"/>
            </w:tcBorders>
          </w:tcPr>
          <w:p w14:paraId="028B8BA5" w14:textId="0E6C35EF"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0.446</w:t>
            </w:r>
          </w:p>
        </w:tc>
        <w:tc>
          <w:tcPr>
            <w:tcW w:w="989" w:type="dxa"/>
            <w:tcBorders>
              <w:top w:val="nil"/>
              <w:left w:val="nil"/>
              <w:bottom w:val="nil"/>
              <w:right w:val="nil"/>
            </w:tcBorders>
          </w:tcPr>
          <w:p w14:paraId="4815E389" w14:textId="1BD573FD"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0.477</w:t>
            </w:r>
          </w:p>
        </w:tc>
        <w:tc>
          <w:tcPr>
            <w:tcW w:w="992" w:type="dxa"/>
            <w:tcBorders>
              <w:top w:val="nil"/>
              <w:left w:val="nil"/>
              <w:bottom w:val="nil"/>
              <w:right w:val="nil"/>
            </w:tcBorders>
          </w:tcPr>
          <w:p w14:paraId="0AC6D4DE"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1.100*</w:t>
            </w:r>
          </w:p>
        </w:tc>
      </w:tr>
      <w:tr w:rsidR="00A46B76" w:rsidRPr="00CF3C36" w14:paraId="6BF3BCA4" w14:textId="77777777" w:rsidTr="002D0C71">
        <w:trPr>
          <w:jc w:val="center"/>
        </w:trPr>
        <w:tc>
          <w:tcPr>
            <w:tcW w:w="1701" w:type="dxa"/>
            <w:tcBorders>
              <w:top w:val="nil"/>
              <w:left w:val="nil"/>
              <w:bottom w:val="nil"/>
              <w:right w:val="nil"/>
            </w:tcBorders>
          </w:tcPr>
          <w:p w14:paraId="38831CD3"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p>
        </w:tc>
        <w:tc>
          <w:tcPr>
            <w:tcW w:w="1147" w:type="dxa"/>
            <w:tcBorders>
              <w:top w:val="nil"/>
              <w:left w:val="nil"/>
              <w:bottom w:val="nil"/>
              <w:right w:val="nil"/>
            </w:tcBorders>
          </w:tcPr>
          <w:p w14:paraId="0CD6AC42" w14:textId="6A6184E6"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(0.232)</w:t>
            </w:r>
          </w:p>
        </w:tc>
        <w:tc>
          <w:tcPr>
            <w:tcW w:w="1147" w:type="dxa"/>
            <w:tcBorders>
              <w:top w:val="nil"/>
              <w:left w:val="nil"/>
              <w:bottom w:val="nil"/>
              <w:right w:val="nil"/>
            </w:tcBorders>
          </w:tcPr>
          <w:p w14:paraId="6868488F" w14:textId="73F234C5"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(0.173)</w:t>
            </w:r>
          </w:p>
        </w:tc>
        <w:tc>
          <w:tcPr>
            <w:tcW w:w="1147" w:type="dxa"/>
            <w:tcBorders>
              <w:top w:val="nil"/>
              <w:left w:val="nil"/>
              <w:bottom w:val="nil"/>
              <w:right w:val="nil"/>
            </w:tcBorders>
          </w:tcPr>
          <w:p w14:paraId="18F5AC83" w14:textId="72A5D2C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(0.293)</w:t>
            </w:r>
          </w:p>
        </w:tc>
        <w:tc>
          <w:tcPr>
            <w:tcW w:w="989" w:type="dxa"/>
            <w:tcBorders>
              <w:top w:val="nil"/>
              <w:left w:val="nil"/>
              <w:bottom w:val="nil"/>
              <w:right w:val="nil"/>
            </w:tcBorders>
          </w:tcPr>
          <w:p w14:paraId="183B67C3" w14:textId="66CF6700"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(0.373)</w:t>
            </w:r>
          </w:p>
        </w:tc>
        <w:tc>
          <w:tcPr>
            <w:tcW w:w="992" w:type="dxa"/>
            <w:tcBorders>
              <w:top w:val="nil"/>
              <w:left w:val="nil"/>
              <w:bottom w:val="nil"/>
              <w:right w:val="nil"/>
            </w:tcBorders>
          </w:tcPr>
          <w:p w14:paraId="3A08500C"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(0.643)</w:t>
            </w:r>
          </w:p>
        </w:tc>
      </w:tr>
      <w:tr w:rsidR="00A46B76" w:rsidRPr="00CF3C36" w14:paraId="706F0ADD" w14:textId="77777777" w:rsidTr="002D0C71">
        <w:trPr>
          <w:jc w:val="center"/>
        </w:trPr>
        <w:tc>
          <w:tcPr>
            <w:tcW w:w="1701" w:type="dxa"/>
            <w:tcBorders>
              <w:top w:val="nil"/>
              <w:left w:val="nil"/>
              <w:bottom w:val="nil"/>
              <w:right w:val="nil"/>
            </w:tcBorders>
          </w:tcPr>
          <w:p w14:paraId="0098C915"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EPI_ln_KL_cen</w:t>
            </w:r>
          </w:p>
        </w:tc>
        <w:tc>
          <w:tcPr>
            <w:tcW w:w="1147" w:type="dxa"/>
            <w:tcBorders>
              <w:top w:val="nil"/>
              <w:left w:val="nil"/>
              <w:bottom w:val="nil"/>
              <w:right w:val="nil"/>
            </w:tcBorders>
          </w:tcPr>
          <w:p w14:paraId="31156886" w14:textId="3A3469A9"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-0.123</w:t>
            </w:r>
          </w:p>
        </w:tc>
        <w:tc>
          <w:tcPr>
            <w:tcW w:w="1147" w:type="dxa"/>
            <w:tcBorders>
              <w:top w:val="nil"/>
              <w:left w:val="nil"/>
              <w:bottom w:val="nil"/>
              <w:right w:val="nil"/>
            </w:tcBorders>
          </w:tcPr>
          <w:p w14:paraId="41952BFA" w14:textId="2DDF5431"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-0.134</w:t>
            </w:r>
          </w:p>
        </w:tc>
        <w:tc>
          <w:tcPr>
            <w:tcW w:w="1147" w:type="dxa"/>
            <w:tcBorders>
              <w:top w:val="nil"/>
              <w:left w:val="nil"/>
              <w:bottom w:val="nil"/>
              <w:right w:val="nil"/>
            </w:tcBorders>
          </w:tcPr>
          <w:p w14:paraId="0066D485" w14:textId="703BE6BB"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-0.663***</w:t>
            </w:r>
          </w:p>
        </w:tc>
        <w:tc>
          <w:tcPr>
            <w:tcW w:w="989" w:type="dxa"/>
            <w:tcBorders>
              <w:top w:val="nil"/>
              <w:left w:val="nil"/>
              <w:bottom w:val="nil"/>
              <w:right w:val="nil"/>
            </w:tcBorders>
          </w:tcPr>
          <w:p w14:paraId="6586B832" w14:textId="0940A08D"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7C555371"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-0.155*</w:t>
            </w:r>
          </w:p>
        </w:tc>
      </w:tr>
      <w:tr w:rsidR="00A46B76" w:rsidRPr="00CF3C36" w14:paraId="1D383DDC" w14:textId="77777777" w:rsidTr="002D0C71">
        <w:trPr>
          <w:jc w:val="center"/>
        </w:trPr>
        <w:tc>
          <w:tcPr>
            <w:tcW w:w="1701" w:type="dxa"/>
            <w:tcBorders>
              <w:top w:val="nil"/>
              <w:left w:val="nil"/>
              <w:bottom w:val="nil"/>
              <w:right w:val="nil"/>
            </w:tcBorders>
          </w:tcPr>
          <w:p w14:paraId="6F00A104"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p>
        </w:tc>
        <w:tc>
          <w:tcPr>
            <w:tcW w:w="1147" w:type="dxa"/>
            <w:tcBorders>
              <w:top w:val="nil"/>
              <w:left w:val="nil"/>
              <w:bottom w:val="nil"/>
              <w:right w:val="nil"/>
            </w:tcBorders>
          </w:tcPr>
          <w:p w14:paraId="456A075F" w14:textId="07C646C6"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(0.140)</w:t>
            </w:r>
          </w:p>
        </w:tc>
        <w:tc>
          <w:tcPr>
            <w:tcW w:w="1147" w:type="dxa"/>
            <w:tcBorders>
              <w:top w:val="nil"/>
              <w:left w:val="nil"/>
              <w:bottom w:val="nil"/>
              <w:right w:val="nil"/>
            </w:tcBorders>
          </w:tcPr>
          <w:p w14:paraId="2A9D9BE0" w14:textId="6BADA18F"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(0.124)</w:t>
            </w:r>
          </w:p>
        </w:tc>
        <w:tc>
          <w:tcPr>
            <w:tcW w:w="1147" w:type="dxa"/>
            <w:tcBorders>
              <w:top w:val="nil"/>
              <w:left w:val="nil"/>
              <w:bottom w:val="nil"/>
              <w:right w:val="nil"/>
            </w:tcBorders>
          </w:tcPr>
          <w:p w14:paraId="062E037A" w14:textId="7E90D8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(0.177)</w:t>
            </w:r>
          </w:p>
        </w:tc>
        <w:tc>
          <w:tcPr>
            <w:tcW w:w="989" w:type="dxa"/>
            <w:tcBorders>
              <w:top w:val="nil"/>
              <w:left w:val="nil"/>
              <w:bottom w:val="nil"/>
              <w:right w:val="nil"/>
            </w:tcBorders>
          </w:tcPr>
          <w:p w14:paraId="253522DE" w14:textId="0F5BE471"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02875799"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(0.0793)</w:t>
            </w:r>
          </w:p>
        </w:tc>
      </w:tr>
      <w:tr w:rsidR="00A46B76" w:rsidRPr="00CF3C36" w14:paraId="64B02E11" w14:textId="77777777" w:rsidTr="002D0C71">
        <w:trPr>
          <w:jc w:val="center"/>
        </w:trPr>
        <w:tc>
          <w:tcPr>
            <w:tcW w:w="1701" w:type="dxa"/>
            <w:tcBorders>
              <w:top w:val="nil"/>
              <w:left w:val="nil"/>
              <w:bottom w:val="nil"/>
              <w:right w:val="nil"/>
            </w:tcBorders>
          </w:tcPr>
          <w:p w14:paraId="11A9DA06"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EPI_ln_KL_2_cen</w:t>
            </w:r>
          </w:p>
        </w:tc>
        <w:tc>
          <w:tcPr>
            <w:tcW w:w="1147" w:type="dxa"/>
            <w:tcBorders>
              <w:top w:val="nil"/>
              <w:left w:val="nil"/>
              <w:bottom w:val="nil"/>
              <w:right w:val="nil"/>
            </w:tcBorders>
          </w:tcPr>
          <w:p w14:paraId="7BB6734F" w14:textId="5C95CD41"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0.0183</w:t>
            </w:r>
          </w:p>
        </w:tc>
        <w:tc>
          <w:tcPr>
            <w:tcW w:w="1147" w:type="dxa"/>
            <w:tcBorders>
              <w:top w:val="nil"/>
              <w:left w:val="nil"/>
              <w:bottom w:val="nil"/>
              <w:right w:val="nil"/>
            </w:tcBorders>
          </w:tcPr>
          <w:p w14:paraId="52893E1A" w14:textId="7F1BC8E8"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0.0168</w:t>
            </w:r>
          </w:p>
        </w:tc>
        <w:tc>
          <w:tcPr>
            <w:tcW w:w="1147" w:type="dxa"/>
            <w:tcBorders>
              <w:top w:val="nil"/>
              <w:left w:val="nil"/>
              <w:bottom w:val="nil"/>
              <w:right w:val="nil"/>
            </w:tcBorders>
          </w:tcPr>
          <w:p w14:paraId="3C1DCC08" w14:textId="7FE40FDC"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0.0679***</w:t>
            </w:r>
          </w:p>
        </w:tc>
        <w:tc>
          <w:tcPr>
            <w:tcW w:w="989" w:type="dxa"/>
            <w:tcBorders>
              <w:top w:val="nil"/>
              <w:left w:val="nil"/>
              <w:bottom w:val="nil"/>
              <w:right w:val="nil"/>
            </w:tcBorders>
          </w:tcPr>
          <w:p w14:paraId="15D306E6" w14:textId="535784C3"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5BBC5FB3"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0.00683</w:t>
            </w:r>
          </w:p>
        </w:tc>
      </w:tr>
      <w:tr w:rsidR="00A46B76" w:rsidRPr="00CF3C36" w14:paraId="5CF7D05A" w14:textId="77777777" w:rsidTr="002D0C71">
        <w:trPr>
          <w:jc w:val="center"/>
        </w:trPr>
        <w:tc>
          <w:tcPr>
            <w:tcW w:w="1701" w:type="dxa"/>
            <w:tcBorders>
              <w:top w:val="nil"/>
              <w:left w:val="nil"/>
              <w:bottom w:val="nil"/>
              <w:right w:val="nil"/>
            </w:tcBorders>
          </w:tcPr>
          <w:p w14:paraId="55E42C6C"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p>
        </w:tc>
        <w:tc>
          <w:tcPr>
            <w:tcW w:w="1147" w:type="dxa"/>
            <w:tcBorders>
              <w:top w:val="nil"/>
              <w:left w:val="nil"/>
              <w:bottom w:val="nil"/>
              <w:right w:val="nil"/>
            </w:tcBorders>
          </w:tcPr>
          <w:p w14:paraId="452BF826" w14:textId="79F020B5"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(0.0147)</w:t>
            </w:r>
          </w:p>
        </w:tc>
        <w:tc>
          <w:tcPr>
            <w:tcW w:w="1147" w:type="dxa"/>
            <w:tcBorders>
              <w:top w:val="nil"/>
              <w:left w:val="nil"/>
              <w:bottom w:val="nil"/>
              <w:right w:val="nil"/>
            </w:tcBorders>
          </w:tcPr>
          <w:p w14:paraId="52A6A9CE" w14:textId="67F7641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(0.0126)</w:t>
            </w:r>
          </w:p>
        </w:tc>
        <w:tc>
          <w:tcPr>
            <w:tcW w:w="1147" w:type="dxa"/>
            <w:tcBorders>
              <w:top w:val="nil"/>
              <w:left w:val="nil"/>
              <w:bottom w:val="nil"/>
              <w:right w:val="nil"/>
            </w:tcBorders>
          </w:tcPr>
          <w:p w14:paraId="2D891ACE" w14:textId="4575B671"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(0.0178)</w:t>
            </w:r>
          </w:p>
        </w:tc>
        <w:tc>
          <w:tcPr>
            <w:tcW w:w="989" w:type="dxa"/>
            <w:tcBorders>
              <w:top w:val="nil"/>
              <w:left w:val="nil"/>
              <w:bottom w:val="nil"/>
              <w:right w:val="nil"/>
            </w:tcBorders>
          </w:tcPr>
          <w:p w14:paraId="14ED07DA" w14:textId="5F8D1224"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6452F116"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(0.0109)</w:t>
            </w:r>
          </w:p>
        </w:tc>
      </w:tr>
      <w:tr w:rsidR="00A46B76" w:rsidRPr="00CF3C36" w14:paraId="174A35D7" w14:textId="77777777" w:rsidTr="002D0C71">
        <w:trPr>
          <w:jc w:val="center"/>
        </w:trPr>
        <w:tc>
          <w:tcPr>
            <w:tcW w:w="1701" w:type="dxa"/>
            <w:tcBorders>
              <w:top w:val="nil"/>
              <w:left w:val="nil"/>
              <w:bottom w:val="nil"/>
              <w:right w:val="nil"/>
            </w:tcBorders>
          </w:tcPr>
          <w:p w14:paraId="2A00F419" w14:textId="50AAC8BE"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EPS</w:t>
            </w:r>
            <w:r w:rsidR="002D0C71" w:rsidRPr="00CF3C36">
              <w:rPr>
                <w:rFonts w:ascii="Times New Roman" w:hAnsi="Times New Roman" w:cs="Times New Roman"/>
                <w:sz w:val="18"/>
                <w:szCs w:val="18"/>
                <w:lang w:val="en-GB"/>
              </w:rPr>
              <w:t>I</w:t>
            </w:r>
          </w:p>
        </w:tc>
        <w:tc>
          <w:tcPr>
            <w:tcW w:w="1147" w:type="dxa"/>
            <w:tcBorders>
              <w:top w:val="nil"/>
              <w:left w:val="nil"/>
              <w:bottom w:val="nil"/>
              <w:right w:val="nil"/>
            </w:tcBorders>
          </w:tcPr>
          <w:p w14:paraId="7DA373CF"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7" w:type="dxa"/>
            <w:tcBorders>
              <w:top w:val="nil"/>
              <w:left w:val="nil"/>
              <w:bottom w:val="nil"/>
              <w:right w:val="nil"/>
            </w:tcBorders>
          </w:tcPr>
          <w:p w14:paraId="01849EA8"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7" w:type="dxa"/>
            <w:tcBorders>
              <w:top w:val="nil"/>
              <w:left w:val="nil"/>
              <w:bottom w:val="nil"/>
              <w:right w:val="nil"/>
            </w:tcBorders>
          </w:tcPr>
          <w:p w14:paraId="01A1300A" w14:textId="1B2A0E20"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89" w:type="dxa"/>
            <w:tcBorders>
              <w:top w:val="nil"/>
              <w:left w:val="nil"/>
              <w:bottom w:val="nil"/>
              <w:right w:val="nil"/>
            </w:tcBorders>
          </w:tcPr>
          <w:p w14:paraId="6529F4D5" w14:textId="031AD37C"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-1.114*</w:t>
            </w:r>
          </w:p>
        </w:tc>
        <w:tc>
          <w:tcPr>
            <w:tcW w:w="992" w:type="dxa"/>
            <w:tcBorders>
              <w:top w:val="nil"/>
              <w:left w:val="nil"/>
              <w:bottom w:val="nil"/>
              <w:right w:val="nil"/>
            </w:tcBorders>
          </w:tcPr>
          <w:p w14:paraId="15A2880E"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A46B76" w:rsidRPr="00CF3C36" w14:paraId="7D4968E8" w14:textId="77777777" w:rsidTr="002D0C71">
        <w:trPr>
          <w:jc w:val="center"/>
        </w:trPr>
        <w:tc>
          <w:tcPr>
            <w:tcW w:w="1701" w:type="dxa"/>
            <w:tcBorders>
              <w:top w:val="nil"/>
              <w:left w:val="nil"/>
              <w:bottom w:val="nil"/>
              <w:right w:val="nil"/>
            </w:tcBorders>
          </w:tcPr>
          <w:p w14:paraId="150027CA"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p>
        </w:tc>
        <w:tc>
          <w:tcPr>
            <w:tcW w:w="1147" w:type="dxa"/>
            <w:tcBorders>
              <w:top w:val="nil"/>
              <w:left w:val="nil"/>
              <w:bottom w:val="nil"/>
              <w:right w:val="nil"/>
            </w:tcBorders>
          </w:tcPr>
          <w:p w14:paraId="22A9AADB"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7" w:type="dxa"/>
            <w:tcBorders>
              <w:top w:val="nil"/>
              <w:left w:val="nil"/>
              <w:bottom w:val="nil"/>
              <w:right w:val="nil"/>
            </w:tcBorders>
          </w:tcPr>
          <w:p w14:paraId="1327F80F"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7" w:type="dxa"/>
            <w:tcBorders>
              <w:top w:val="nil"/>
              <w:left w:val="nil"/>
              <w:bottom w:val="nil"/>
              <w:right w:val="nil"/>
            </w:tcBorders>
          </w:tcPr>
          <w:p w14:paraId="42032A14" w14:textId="5B9B1860"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89" w:type="dxa"/>
            <w:tcBorders>
              <w:top w:val="nil"/>
              <w:left w:val="nil"/>
              <w:bottom w:val="nil"/>
              <w:right w:val="nil"/>
            </w:tcBorders>
          </w:tcPr>
          <w:p w14:paraId="0452CFBB" w14:textId="372FF19F"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(0.578)</w:t>
            </w:r>
          </w:p>
        </w:tc>
        <w:tc>
          <w:tcPr>
            <w:tcW w:w="992" w:type="dxa"/>
            <w:tcBorders>
              <w:top w:val="nil"/>
              <w:left w:val="nil"/>
              <w:bottom w:val="nil"/>
              <w:right w:val="nil"/>
            </w:tcBorders>
          </w:tcPr>
          <w:p w14:paraId="77F7ECEE"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A46B76" w:rsidRPr="00CF3C36" w14:paraId="65F5561A" w14:textId="77777777" w:rsidTr="002D0C71">
        <w:trPr>
          <w:jc w:val="center"/>
        </w:trPr>
        <w:tc>
          <w:tcPr>
            <w:tcW w:w="1701" w:type="dxa"/>
            <w:tcBorders>
              <w:top w:val="nil"/>
              <w:left w:val="nil"/>
              <w:bottom w:val="nil"/>
              <w:right w:val="nil"/>
            </w:tcBorders>
          </w:tcPr>
          <w:p w14:paraId="044A95A1" w14:textId="5D9EFC39"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EPS</w:t>
            </w:r>
            <w:r w:rsidR="002D0C71" w:rsidRPr="00CF3C36">
              <w:rPr>
                <w:rFonts w:ascii="Times New Roman" w:hAnsi="Times New Roman" w:cs="Times New Roman"/>
                <w:sz w:val="18"/>
                <w:szCs w:val="18"/>
                <w:lang w:val="en-GB"/>
              </w:rPr>
              <w:t>I</w:t>
            </w:r>
            <w:r w:rsidRPr="00CF3C36">
              <w:rPr>
                <w:rFonts w:ascii="Times New Roman" w:hAnsi="Times New Roman" w:cs="Times New Roman"/>
                <w:sz w:val="18"/>
                <w:szCs w:val="18"/>
                <w:lang w:val="en-GB"/>
              </w:rPr>
              <w:t>_ln_KL_cen</w:t>
            </w:r>
          </w:p>
        </w:tc>
        <w:tc>
          <w:tcPr>
            <w:tcW w:w="1147" w:type="dxa"/>
            <w:tcBorders>
              <w:top w:val="nil"/>
              <w:left w:val="nil"/>
              <w:bottom w:val="nil"/>
              <w:right w:val="nil"/>
            </w:tcBorders>
          </w:tcPr>
          <w:p w14:paraId="10E4F535"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7" w:type="dxa"/>
            <w:tcBorders>
              <w:top w:val="nil"/>
              <w:left w:val="nil"/>
              <w:bottom w:val="nil"/>
              <w:right w:val="nil"/>
            </w:tcBorders>
          </w:tcPr>
          <w:p w14:paraId="3B93DCD0"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7" w:type="dxa"/>
            <w:tcBorders>
              <w:top w:val="nil"/>
              <w:left w:val="nil"/>
              <w:bottom w:val="nil"/>
              <w:right w:val="nil"/>
            </w:tcBorders>
          </w:tcPr>
          <w:p w14:paraId="3C5AF304" w14:textId="559DD4B4"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89" w:type="dxa"/>
            <w:tcBorders>
              <w:top w:val="nil"/>
              <w:left w:val="nil"/>
              <w:bottom w:val="nil"/>
              <w:right w:val="nil"/>
            </w:tcBorders>
          </w:tcPr>
          <w:p w14:paraId="3929D727" w14:textId="585A08A2"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10.86</w:t>
            </w:r>
          </w:p>
        </w:tc>
        <w:tc>
          <w:tcPr>
            <w:tcW w:w="992" w:type="dxa"/>
            <w:tcBorders>
              <w:top w:val="nil"/>
              <w:left w:val="nil"/>
              <w:bottom w:val="nil"/>
              <w:right w:val="nil"/>
            </w:tcBorders>
          </w:tcPr>
          <w:p w14:paraId="152FCDC2" w14:textId="3490926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A46B76" w:rsidRPr="00CF3C36" w14:paraId="25C94F21" w14:textId="77777777" w:rsidTr="002D0C71">
        <w:trPr>
          <w:jc w:val="center"/>
        </w:trPr>
        <w:tc>
          <w:tcPr>
            <w:tcW w:w="1701" w:type="dxa"/>
            <w:tcBorders>
              <w:top w:val="nil"/>
              <w:left w:val="nil"/>
              <w:bottom w:val="nil"/>
              <w:right w:val="nil"/>
            </w:tcBorders>
          </w:tcPr>
          <w:p w14:paraId="4E744BDD"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p>
        </w:tc>
        <w:tc>
          <w:tcPr>
            <w:tcW w:w="1147" w:type="dxa"/>
            <w:tcBorders>
              <w:top w:val="nil"/>
              <w:left w:val="nil"/>
              <w:bottom w:val="nil"/>
              <w:right w:val="nil"/>
            </w:tcBorders>
          </w:tcPr>
          <w:p w14:paraId="5E8F35EC"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7" w:type="dxa"/>
            <w:tcBorders>
              <w:top w:val="nil"/>
              <w:left w:val="nil"/>
              <w:bottom w:val="nil"/>
              <w:right w:val="nil"/>
            </w:tcBorders>
          </w:tcPr>
          <w:p w14:paraId="37149A5E"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7" w:type="dxa"/>
            <w:tcBorders>
              <w:top w:val="nil"/>
              <w:left w:val="nil"/>
              <w:bottom w:val="nil"/>
              <w:right w:val="nil"/>
            </w:tcBorders>
          </w:tcPr>
          <w:p w14:paraId="2C72D6C0"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89" w:type="dxa"/>
            <w:tcBorders>
              <w:top w:val="nil"/>
              <w:left w:val="nil"/>
              <w:bottom w:val="nil"/>
              <w:right w:val="nil"/>
            </w:tcBorders>
          </w:tcPr>
          <w:p w14:paraId="4CA54BFB" w14:textId="110A0F83"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(7.062)</w:t>
            </w:r>
          </w:p>
        </w:tc>
        <w:tc>
          <w:tcPr>
            <w:tcW w:w="992" w:type="dxa"/>
            <w:tcBorders>
              <w:top w:val="nil"/>
              <w:left w:val="nil"/>
              <w:bottom w:val="nil"/>
              <w:right w:val="nil"/>
            </w:tcBorders>
          </w:tcPr>
          <w:p w14:paraId="7C60B9EA"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A46B76" w:rsidRPr="00CF3C36" w14:paraId="6BC9DB3C" w14:textId="77777777" w:rsidTr="002D0C71">
        <w:trPr>
          <w:jc w:val="center"/>
        </w:trPr>
        <w:tc>
          <w:tcPr>
            <w:tcW w:w="1701" w:type="dxa"/>
            <w:tcBorders>
              <w:top w:val="nil"/>
              <w:left w:val="nil"/>
              <w:bottom w:val="nil"/>
              <w:right w:val="nil"/>
            </w:tcBorders>
          </w:tcPr>
          <w:p w14:paraId="441375DD" w14:textId="4B5FC36F"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EPS</w:t>
            </w:r>
            <w:r w:rsidR="002D0C71" w:rsidRPr="00CF3C36">
              <w:rPr>
                <w:rFonts w:ascii="Times New Roman" w:hAnsi="Times New Roman" w:cs="Times New Roman"/>
                <w:sz w:val="18"/>
                <w:szCs w:val="18"/>
                <w:lang w:val="en-GB"/>
              </w:rPr>
              <w:t>I</w:t>
            </w:r>
            <w:r w:rsidRPr="00CF3C36">
              <w:rPr>
                <w:rFonts w:ascii="Times New Roman" w:hAnsi="Times New Roman" w:cs="Times New Roman"/>
                <w:sz w:val="18"/>
                <w:szCs w:val="18"/>
                <w:lang w:val="en-GB"/>
              </w:rPr>
              <w:t>_ln_KL_2_cen</w:t>
            </w:r>
          </w:p>
        </w:tc>
        <w:tc>
          <w:tcPr>
            <w:tcW w:w="1147" w:type="dxa"/>
            <w:tcBorders>
              <w:top w:val="nil"/>
              <w:left w:val="nil"/>
              <w:bottom w:val="nil"/>
              <w:right w:val="nil"/>
            </w:tcBorders>
          </w:tcPr>
          <w:p w14:paraId="399D656B"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7" w:type="dxa"/>
            <w:tcBorders>
              <w:top w:val="nil"/>
              <w:left w:val="nil"/>
              <w:bottom w:val="nil"/>
              <w:right w:val="nil"/>
            </w:tcBorders>
          </w:tcPr>
          <w:p w14:paraId="6648944F"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7" w:type="dxa"/>
            <w:tcBorders>
              <w:top w:val="nil"/>
              <w:left w:val="nil"/>
              <w:bottom w:val="nil"/>
              <w:right w:val="nil"/>
            </w:tcBorders>
          </w:tcPr>
          <w:p w14:paraId="096E7DC2"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89" w:type="dxa"/>
            <w:tcBorders>
              <w:top w:val="nil"/>
              <w:left w:val="nil"/>
              <w:bottom w:val="nil"/>
              <w:right w:val="nil"/>
            </w:tcBorders>
          </w:tcPr>
          <w:p w14:paraId="6EDB33E5" w14:textId="4A01D434"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-0.989</w:t>
            </w:r>
          </w:p>
        </w:tc>
        <w:tc>
          <w:tcPr>
            <w:tcW w:w="992" w:type="dxa"/>
            <w:tcBorders>
              <w:top w:val="nil"/>
              <w:left w:val="nil"/>
              <w:bottom w:val="nil"/>
              <w:right w:val="nil"/>
            </w:tcBorders>
          </w:tcPr>
          <w:p w14:paraId="6A62CFC6"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A46B76" w:rsidRPr="00CF3C36" w14:paraId="0D675CD0" w14:textId="77777777" w:rsidTr="002D0C71">
        <w:trPr>
          <w:jc w:val="center"/>
        </w:trPr>
        <w:tc>
          <w:tcPr>
            <w:tcW w:w="1701" w:type="dxa"/>
            <w:tcBorders>
              <w:top w:val="nil"/>
              <w:left w:val="nil"/>
              <w:bottom w:val="nil"/>
              <w:right w:val="nil"/>
            </w:tcBorders>
          </w:tcPr>
          <w:p w14:paraId="0FF5205B"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p>
        </w:tc>
        <w:tc>
          <w:tcPr>
            <w:tcW w:w="1147" w:type="dxa"/>
            <w:tcBorders>
              <w:top w:val="nil"/>
              <w:left w:val="nil"/>
              <w:bottom w:val="nil"/>
              <w:right w:val="nil"/>
            </w:tcBorders>
          </w:tcPr>
          <w:p w14:paraId="1C40AA9B"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7" w:type="dxa"/>
            <w:tcBorders>
              <w:top w:val="nil"/>
              <w:left w:val="nil"/>
              <w:bottom w:val="nil"/>
              <w:right w:val="nil"/>
            </w:tcBorders>
          </w:tcPr>
          <w:p w14:paraId="18644232"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7" w:type="dxa"/>
            <w:tcBorders>
              <w:top w:val="nil"/>
              <w:left w:val="nil"/>
              <w:bottom w:val="nil"/>
              <w:right w:val="nil"/>
            </w:tcBorders>
          </w:tcPr>
          <w:p w14:paraId="49E6EEAB" w14:textId="4B409043"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89" w:type="dxa"/>
            <w:tcBorders>
              <w:top w:val="nil"/>
              <w:left w:val="nil"/>
              <w:bottom w:val="nil"/>
              <w:right w:val="nil"/>
            </w:tcBorders>
          </w:tcPr>
          <w:p w14:paraId="7CE92EFB" w14:textId="4336B0E6"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(0.689)</w:t>
            </w:r>
          </w:p>
        </w:tc>
        <w:tc>
          <w:tcPr>
            <w:tcW w:w="992" w:type="dxa"/>
            <w:tcBorders>
              <w:top w:val="nil"/>
              <w:left w:val="nil"/>
              <w:bottom w:val="nil"/>
              <w:right w:val="nil"/>
            </w:tcBorders>
          </w:tcPr>
          <w:p w14:paraId="18BC5DCE" w14:textId="294D59B4"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A46B76" w:rsidRPr="00CF3C36" w14:paraId="2DD1DD6F" w14:textId="77777777" w:rsidTr="002D0C71">
        <w:trPr>
          <w:jc w:val="center"/>
        </w:trPr>
        <w:tc>
          <w:tcPr>
            <w:tcW w:w="1701" w:type="dxa"/>
            <w:tcBorders>
              <w:top w:val="nil"/>
              <w:left w:val="nil"/>
              <w:bottom w:val="nil"/>
              <w:right w:val="nil"/>
            </w:tcBorders>
          </w:tcPr>
          <w:p w14:paraId="51605B26"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Constant</w:t>
            </w:r>
          </w:p>
        </w:tc>
        <w:tc>
          <w:tcPr>
            <w:tcW w:w="1147" w:type="dxa"/>
            <w:tcBorders>
              <w:top w:val="nil"/>
              <w:left w:val="nil"/>
              <w:bottom w:val="nil"/>
              <w:right w:val="nil"/>
            </w:tcBorders>
          </w:tcPr>
          <w:p w14:paraId="0F0F3F4C" w14:textId="0C23C7C1"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10.77</w:t>
            </w:r>
          </w:p>
        </w:tc>
        <w:tc>
          <w:tcPr>
            <w:tcW w:w="1147" w:type="dxa"/>
            <w:tcBorders>
              <w:top w:val="nil"/>
              <w:left w:val="nil"/>
              <w:bottom w:val="nil"/>
              <w:right w:val="nil"/>
            </w:tcBorders>
          </w:tcPr>
          <w:p w14:paraId="5ACE3D44" w14:textId="18C7B148"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3.111</w:t>
            </w:r>
          </w:p>
        </w:tc>
        <w:tc>
          <w:tcPr>
            <w:tcW w:w="1147" w:type="dxa"/>
            <w:tcBorders>
              <w:top w:val="nil"/>
              <w:left w:val="nil"/>
              <w:bottom w:val="nil"/>
              <w:right w:val="nil"/>
            </w:tcBorders>
          </w:tcPr>
          <w:p w14:paraId="7895947F" w14:textId="08BC14B2"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17.29*</w:t>
            </w:r>
          </w:p>
        </w:tc>
        <w:tc>
          <w:tcPr>
            <w:tcW w:w="989" w:type="dxa"/>
            <w:tcBorders>
              <w:top w:val="nil"/>
              <w:left w:val="nil"/>
              <w:bottom w:val="nil"/>
              <w:right w:val="nil"/>
            </w:tcBorders>
          </w:tcPr>
          <w:p w14:paraId="35777832" w14:textId="553784DE"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-15.51</w:t>
            </w:r>
          </w:p>
        </w:tc>
        <w:tc>
          <w:tcPr>
            <w:tcW w:w="992" w:type="dxa"/>
            <w:tcBorders>
              <w:top w:val="nil"/>
              <w:left w:val="nil"/>
              <w:bottom w:val="nil"/>
              <w:right w:val="nil"/>
            </w:tcBorders>
          </w:tcPr>
          <w:p w14:paraId="434AF626"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43.90**</w:t>
            </w:r>
          </w:p>
        </w:tc>
      </w:tr>
      <w:tr w:rsidR="00A46B76" w:rsidRPr="00CF3C36" w14:paraId="57C72879" w14:textId="77777777" w:rsidTr="002D0C71">
        <w:trPr>
          <w:jc w:val="center"/>
        </w:trPr>
        <w:tc>
          <w:tcPr>
            <w:tcW w:w="1701" w:type="dxa"/>
            <w:tcBorders>
              <w:top w:val="nil"/>
              <w:left w:val="nil"/>
              <w:bottom w:val="nil"/>
              <w:right w:val="nil"/>
            </w:tcBorders>
          </w:tcPr>
          <w:p w14:paraId="6728A5B1"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p>
        </w:tc>
        <w:tc>
          <w:tcPr>
            <w:tcW w:w="1147" w:type="dxa"/>
            <w:tcBorders>
              <w:top w:val="nil"/>
              <w:left w:val="nil"/>
              <w:bottom w:val="nil"/>
              <w:right w:val="nil"/>
            </w:tcBorders>
          </w:tcPr>
          <w:p w14:paraId="1DA4596C" w14:textId="53B2DE4D"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(8.464)</w:t>
            </w:r>
          </w:p>
        </w:tc>
        <w:tc>
          <w:tcPr>
            <w:tcW w:w="1147" w:type="dxa"/>
            <w:tcBorders>
              <w:top w:val="nil"/>
              <w:left w:val="nil"/>
              <w:bottom w:val="nil"/>
              <w:right w:val="nil"/>
            </w:tcBorders>
          </w:tcPr>
          <w:p w14:paraId="710720C0" w14:textId="3FE8D25A"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(5.939)</w:t>
            </w:r>
          </w:p>
        </w:tc>
        <w:tc>
          <w:tcPr>
            <w:tcW w:w="1147" w:type="dxa"/>
            <w:tcBorders>
              <w:top w:val="nil"/>
              <w:left w:val="nil"/>
              <w:bottom w:val="nil"/>
              <w:right w:val="nil"/>
            </w:tcBorders>
          </w:tcPr>
          <w:p w14:paraId="1D696440" w14:textId="7490F96B"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(9.481)</w:t>
            </w:r>
          </w:p>
        </w:tc>
        <w:tc>
          <w:tcPr>
            <w:tcW w:w="989" w:type="dxa"/>
            <w:tcBorders>
              <w:top w:val="nil"/>
              <w:left w:val="nil"/>
              <w:bottom w:val="nil"/>
              <w:right w:val="nil"/>
            </w:tcBorders>
          </w:tcPr>
          <w:p w14:paraId="0A4FD503" w14:textId="4DF10D2B"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(15.12)</w:t>
            </w:r>
          </w:p>
        </w:tc>
        <w:tc>
          <w:tcPr>
            <w:tcW w:w="992" w:type="dxa"/>
            <w:tcBorders>
              <w:top w:val="nil"/>
              <w:left w:val="nil"/>
              <w:bottom w:val="nil"/>
              <w:right w:val="nil"/>
            </w:tcBorders>
          </w:tcPr>
          <w:p w14:paraId="33AB902F"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(20.16)</w:t>
            </w:r>
          </w:p>
        </w:tc>
      </w:tr>
      <w:tr w:rsidR="00A46B76" w:rsidRPr="00CF3C36" w14:paraId="4971995E" w14:textId="77777777" w:rsidTr="002D0C71">
        <w:trPr>
          <w:jc w:val="center"/>
        </w:trPr>
        <w:tc>
          <w:tcPr>
            <w:tcW w:w="1701" w:type="dxa"/>
            <w:tcBorders>
              <w:top w:val="nil"/>
              <w:left w:val="nil"/>
              <w:bottom w:val="nil"/>
              <w:right w:val="nil"/>
            </w:tcBorders>
          </w:tcPr>
          <w:p w14:paraId="0E689C27"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p>
        </w:tc>
        <w:tc>
          <w:tcPr>
            <w:tcW w:w="1147" w:type="dxa"/>
            <w:tcBorders>
              <w:top w:val="nil"/>
              <w:left w:val="nil"/>
              <w:bottom w:val="nil"/>
              <w:right w:val="nil"/>
            </w:tcBorders>
          </w:tcPr>
          <w:p w14:paraId="43E230E8"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7" w:type="dxa"/>
            <w:tcBorders>
              <w:top w:val="nil"/>
              <w:left w:val="nil"/>
              <w:bottom w:val="nil"/>
              <w:right w:val="nil"/>
            </w:tcBorders>
          </w:tcPr>
          <w:p w14:paraId="0BF6E8DC"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7" w:type="dxa"/>
            <w:tcBorders>
              <w:top w:val="nil"/>
              <w:left w:val="nil"/>
              <w:bottom w:val="nil"/>
              <w:right w:val="nil"/>
            </w:tcBorders>
          </w:tcPr>
          <w:p w14:paraId="5E3B30C0" w14:textId="16448B8D"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89" w:type="dxa"/>
            <w:tcBorders>
              <w:top w:val="nil"/>
              <w:left w:val="nil"/>
              <w:bottom w:val="nil"/>
              <w:right w:val="nil"/>
            </w:tcBorders>
          </w:tcPr>
          <w:p w14:paraId="5A60672B"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3F62B975"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A46B76" w:rsidRPr="00CF3C36" w14:paraId="1C9CFC8D" w14:textId="77777777" w:rsidTr="002D0C71">
        <w:trPr>
          <w:jc w:val="center"/>
        </w:trPr>
        <w:tc>
          <w:tcPr>
            <w:tcW w:w="1701" w:type="dxa"/>
            <w:tcBorders>
              <w:top w:val="nil"/>
              <w:left w:val="nil"/>
              <w:bottom w:val="nil"/>
              <w:right w:val="nil"/>
            </w:tcBorders>
          </w:tcPr>
          <w:p w14:paraId="26157927"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Observations</w:t>
            </w:r>
          </w:p>
        </w:tc>
        <w:tc>
          <w:tcPr>
            <w:tcW w:w="1147" w:type="dxa"/>
            <w:tcBorders>
              <w:top w:val="nil"/>
              <w:left w:val="nil"/>
              <w:bottom w:val="nil"/>
              <w:right w:val="nil"/>
            </w:tcBorders>
          </w:tcPr>
          <w:p w14:paraId="25F39748" w14:textId="100709BD"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224</w:t>
            </w:r>
          </w:p>
        </w:tc>
        <w:tc>
          <w:tcPr>
            <w:tcW w:w="1147" w:type="dxa"/>
            <w:tcBorders>
              <w:top w:val="nil"/>
              <w:left w:val="nil"/>
              <w:bottom w:val="nil"/>
              <w:right w:val="nil"/>
            </w:tcBorders>
          </w:tcPr>
          <w:p w14:paraId="083C419A" w14:textId="61DA8D33"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448</w:t>
            </w:r>
          </w:p>
        </w:tc>
        <w:tc>
          <w:tcPr>
            <w:tcW w:w="1147" w:type="dxa"/>
            <w:tcBorders>
              <w:top w:val="nil"/>
              <w:left w:val="nil"/>
              <w:bottom w:val="nil"/>
              <w:right w:val="nil"/>
            </w:tcBorders>
          </w:tcPr>
          <w:p w14:paraId="20D58405" w14:textId="4A50A98F"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315</w:t>
            </w:r>
          </w:p>
        </w:tc>
        <w:tc>
          <w:tcPr>
            <w:tcW w:w="989" w:type="dxa"/>
            <w:tcBorders>
              <w:top w:val="nil"/>
              <w:left w:val="nil"/>
              <w:bottom w:val="nil"/>
              <w:right w:val="nil"/>
            </w:tcBorders>
          </w:tcPr>
          <w:p w14:paraId="1F42BFF3" w14:textId="33930044"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127</w:t>
            </w:r>
          </w:p>
        </w:tc>
        <w:tc>
          <w:tcPr>
            <w:tcW w:w="992" w:type="dxa"/>
            <w:tcBorders>
              <w:top w:val="nil"/>
              <w:left w:val="nil"/>
              <w:bottom w:val="nil"/>
              <w:right w:val="nil"/>
            </w:tcBorders>
          </w:tcPr>
          <w:p w14:paraId="5ECA9402"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448</w:t>
            </w:r>
          </w:p>
        </w:tc>
      </w:tr>
      <w:tr w:rsidR="00A46B76" w:rsidRPr="00CF3C36" w14:paraId="7F6447D7" w14:textId="77777777" w:rsidTr="002D0C71">
        <w:trPr>
          <w:jc w:val="center"/>
        </w:trPr>
        <w:tc>
          <w:tcPr>
            <w:tcW w:w="1701" w:type="dxa"/>
            <w:tcBorders>
              <w:top w:val="nil"/>
              <w:left w:val="nil"/>
              <w:bottom w:val="nil"/>
              <w:right w:val="nil"/>
            </w:tcBorders>
          </w:tcPr>
          <w:p w14:paraId="4D916F4F"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R-squared</w:t>
            </w:r>
          </w:p>
        </w:tc>
        <w:tc>
          <w:tcPr>
            <w:tcW w:w="1147" w:type="dxa"/>
            <w:tcBorders>
              <w:top w:val="nil"/>
              <w:left w:val="nil"/>
              <w:bottom w:val="nil"/>
              <w:right w:val="nil"/>
            </w:tcBorders>
          </w:tcPr>
          <w:p w14:paraId="3E50A9FC" w14:textId="790D625C"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0.096</w:t>
            </w:r>
          </w:p>
        </w:tc>
        <w:tc>
          <w:tcPr>
            <w:tcW w:w="1147" w:type="dxa"/>
            <w:tcBorders>
              <w:top w:val="nil"/>
              <w:left w:val="nil"/>
              <w:bottom w:val="nil"/>
              <w:right w:val="nil"/>
            </w:tcBorders>
          </w:tcPr>
          <w:p w14:paraId="3842FCCC" w14:textId="1867DACF"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0.055</w:t>
            </w:r>
          </w:p>
        </w:tc>
        <w:tc>
          <w:tcPr>
            <w:tcW w:w="1147" w:type="dxa"/>
            <w:tcBorders>
              <w:top w:val="nil"/>
              <w:left w:val="nil"/>
              <w:bottom w:val="nil"/>
              <w:right w:val="nil"/>
            </w:tcBorders>
          </w:tcPr>
          <w:p w14:paraId="5F680B7B" w14:textId="08206BA1"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0.059</w:t>
            </w:r>
          </w:p>
        </w:tc>
        <w:tc>
          <w:tcPr>
            <w:tcW w:w="989" w:type="dxa"/>
            <w:tcBorders>
              <w:top w:val="nil"/>
              <w:left w:val="nil"/>
              <w:bottom w:val="nil"/>
              <w:right w:val="nil"/>
            </w:tcBorders>
          </w:tcPr>
          <w:p w14:paraId="365052CA" w14:textId="297DFBC8"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0.234</w:t>
            </w:r>
          </w:p>
        </w:tc>
        <w:tc>
          <w:tcPr>
            <w:tcW w:w="992" w:type="dxa"/>
            <w:tcBorders>
              <w:top w:val="nil"/>
              <w:left w:val="nil"/>
              <w:bottom w:val="nil"/>
              <w:right w:val="nil"/>
            </w:tcBorders>
          </w:tcPr>
          <w:p w14:paraId="4284E57A"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0.129</w:t>
            </w:r>
          </w:p>
        </w:tc>
      </w:tr>
      <w:tr w:rsidR="00A46B76" w:rsidRPr="00CF3C36" w14:paraId="6A7BEA49" w14:textId="77777777" w:rsidTr="002D0C71">
        <w:tblPrEx>
          <w:tblBorders>
            <w:bottom w:val="single" w:sz="6" w:space="0" w:color="auto"/>
          </w:tblBorders>
        </w:tblPrEx>
        <w:trPr>
          <w:jc w:val="center"/>
        </w:trPr>
        <w:tc>
          <w:tcPr>
            <w:tcW w:w="1701" w:type="dxa"/>
            <w:tcBorders>
              <w:top w:val="nil"/>
              <w:left w:val="nil"/>
              <w:bottom w:val="single" w:sz="6" w:space="0" w:color="auto"/>
              <w:right w:val="nil"/>
            </w:tcBorders>
          </w:tcPr>
          <w:p w14:paraId="45251118" w14:textId="77777777" w:rsidR="00A46B76" w:rsidRPr="00CF3C36" w:rsidRDefault="00A46B76" w:rsidP="00A46B76">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Number of cou1</w:t>
            </w:r>
          </w:p>
        </w:tc>
        <w:tc>
          <w:tcPr>
            <w:tcW w:w="1147" w:type="dxa"/>
            <w:tcBorders>
              <w:top w:val="nil"/>
              <w:left w:val="nil"/>
              <w:bottom w:val="single" w:sz="6" w:space="0" w:color="auto"/>
              <w:right w:val="nil"/>
            </w:tcBorders>
          </w:tcPr>
          <w:p w14:paraId="10C3E331" w14:textId="1183674C"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56</w:t>
            </w:r>
          </w:p>
        </w:tc>
        <w:tc>
          <w:tcPr>
            <w:tcW w:w="1147" w:type="dxa"/>
            <w:tcBorders>
              <w:top w:val="nil"/>
              <w:left w:val="nil"/>
              <w:bottom w:val="single" w:sz="6" w:space="0" w:color="auto"/>
              <w:right w:val="nil"/>
            </w:tcBorders>
          </w:tcPr>
          <w:p w14:paraId="0DD97558" w14:textId="634205A6"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56</w:t>
            </w:r>
          </w:p>
        </w:tc>
        <w:tc>
          <w:tcPr>
            <w:tcW w:w="1147" w:type="dxa"/>
            <w:tcBorders>
              <w:top w:val="nil"/>
              <w:left w:val="nil"/>
              <w:bottom w:val="single" w:sz="6" w:space="0" w:color="auto"/>
              <w:right w:val="nil"/>
            </w:tcBorders>
          </w:tcPr>
          <w:p w14:paraId="3A0DA7A7" w14:textId="16A1E506"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55</w:t>
            </w:r>
          </w:p>
        </w:tc>
        <w:tc>
          <w:tcPr>
            <w:tcW w:w="989" w:type="dxa"/>
            <w:tcBorders>
              <w:top w:val="nil"/>
              <w:left w:val="nil"/>
              <w:bottom w:val="single" w:sz="6" w:space="0" w:color="auto"/>
              <w:right w:val="nil"/>
            </w:tcBorders>
          </w:tcPr>
          <w:p w14:paraId="3827E74B" w14:textId="613101A5"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25</w:t>
            </w:r>
          </w:p>
        </w:tc>
        <w:tc>
          <w:tcPr>
            <w:tcW w:w="992" w:type="dxa"/>
            <w:tcBorders>
              <w:top w:val="nil"/>
              <w:left w:val="nil"/>
              <w:bottom w:val="single" w:sz="6" w:space="0" w:color="auto"/>
              <w:right w:val="nil"/>
            </w:tcBorders>
          </w:tcPr>
          <w:p w14:paraId="6DE0F74B" w14:textId="77777777" w:rsidR="00A46B76" w:rsidRPr="00CF3C36" w:rsidRDefault="00A46B76" w:rsidP="00A46B7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56</w:t>
            </w:r>
          </w:p>
        </w:tc>
      </w:tr>
    </w:tbl>
    <w:p w14:paraId="2ED7DE0B" w14:textId="77777777"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Robust standard errors in parentheses</w:t>
      </w:r>
    </w:p>
    <w:p w14:paraId="2A6E1893" w14:textId="77777777" w:rsidR="00C21170" w:rsidRPr="00CF3C36" w:rsidRDefault="00C21170" w:rsidP="00C21170">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 p&lt;0.01, ** p&lt;0.05, * p&lt;0.1</w:t>
      </w:r>
    </w:p>
    <w:p w14:paraId="71529A06" w14:textId="7A3F90BF" w:rsidR="002A03CF" w:rsidRPr="00CF3C36" w:rsidRDefault="002A03CF" w:rsidP="002A03CF">
      <w:pPr>
        <w:jc w:val="center"/>
        <w:rPr>
          <w:i/>
          <w:lang w:val="en-GB"/>
        </w:rPr>
      </w:pPr>
    </w:p>
    <w:p w14:paraId="73A0E266" w14:textId="40EFD157" w:rsidR="00C81704" w:rsidRPr="00CF3C36" w:rsidRDefault="00C81704" w:rsidP="002A03CF">
      <w:pPr>
        <w:jc w:val="center"/>
        <w:rPr>
          <w:i/>
          <w:lang w:val="en-GB"/>
        </w:rPr>
      </w:pPr>
    </w:p>
    <w:p w14:paraId="4B3EC941" w14:textId="090946CC" w:rsidR="00C81704" w:rsidRPr="00CF3C36" w:rsidRDefault="00C81704" w:rsidP="002A03CF">
      <w:pPr>
        <w:jc w:val="center"/>
        <w:rPr>
          <w:i/>
          <w:lang w:val="en-GB"/>
        </w:rPr>
      </w:pPr>
    </w:p>
    <w:p w14:paraId="43EDC498" w14:textId="576C0B8F" w:rsidR="00C81704" w:rsidRPr="00CF3C36" w:rsidRDefault="00C81704" w:rsidP="002A03CF">
      <w:pPr>
        <w:jc w:val="center"/>
        <w:rPr>
          <w:i/>
          <w:lang w:val="en-GB"/>
        </w:rPr>
      </w:pPr>
    </w:p>
    <w:p w14:paraId="67043EEB" w14:textId="26C18842" w:rsidR="00C81704" w:rsidRPr="00CF3C36" w:rsidRDefault="00C81704" w:rsidP="002A03CF">
      <w:pPr>
        <w:jc w:val="center"/>
        <w:rPr>
          <w:i/>
          <w:lang w:val="en-GB"/>
        </w:rPr>
      </w:pPr>
    </w:p>
    <w:p w14:paraId="699509DD" w14:textId="14B4650E" w:rsidR="00C81704" w:rsidRPr="00CF3C36" w:rsidRDefault="00C81704" w:rsidP="002A03CF">
      <w:pPr>
        <w:jc w:val="center"/>
        <w:rPr>
          <w:i/>
          <w:lang w:val="en-GB"/>
        </w:rPr>
      </w:pPr>
    </w:p>
    <w:p w14:paraId="679578C4" w14:textId="10CD2284" w:rsidR="00C81704" w:rsidRPr="00CF3C36" w:rsidRDefault="00C81704" w:rsidP="002A03CF">
      <w:pPr>
        <w:jc w:val="center"/>
        <w:rPr>
          <w:i/>
          <w:lang w:val="en-GB"/>
        </w:rPr>
      </w:pPr>
    </w:p>
    <w:p w14:paraId="28B1C998" w14:textId="18F4D6B7" w:rsidR="00C81704" w:rsidRPr="00CF3C36" w:rsidRDefault="00C81704" w:rsidP="002A03CF">
      <w:pPr>
        <w:jc w:val="center"/>
        <w:rPr>
          <w:i/>
          <w:lang w:val="en-GB"/>
        </w:rPr>
      </w:pPr>
    </w:p>
    <w:p w14:paraId="501C8AB9" w14:textId="602ED5AC" w:rsidR="00C81704" w:rsidRPr="00CF3C36" w:rsidRDefault="00C81704" w:rsidP="003E087F">
      <w:pPr>
        <w:rPr>
          <w:i/>
          <w:lang w:val="en-GB"/>
        </w:rPr>
      </w:pPr>
    </w:p>
    <w:p w14:paraId="7CD9C9F7" w14:textId="77777777" w:rsidR="00EB469A" w:rsidRPr="00CF3C36" w:rsidRDefault="00EB469A" w:rsidP="003E087F">
      <w:pPr>
        <w:rPr>
          <w:i/>
          <w:lang w:val="en-GB"/>
        </w:rPr>
      </w:pPr>
    </w:p>
    <w:p w14:paraId="7FC818FF" w14:textId="77777777" w:rsidR="003E087F" w:rsidRPr="00CF3C36" w:rsidRDefault="003E087F" w:rsidP="003E087F">
      <w:pPr>
        <w:rPr>
          <w:i/>
          <w:lang w:val="en-GB"/>
        </w:rPr>
      </w:pPr>
    </w:p>
    <w:p w14:paraId="1754479E" w14:textId="77777777" w:rsidR="00B336B1" w:rsidRPr="00CF3C36" w:rsidRDefault="00B336B1" w:rsidP="003E087F">
      <w:pPr>
        <w:rPr>
          <w:i/>
          <w:lang w:val="en-GB"/>
        </w:rPr>
      </w:pPr>
    </w:p>
    <w:p w14:paraId="174C3877" w14:textId="77777777" w:rsidR="00B336B1" w:rsidRPr="00CF3C36" w:rsidRDefault="00B336B1" w:rsidP="003E087F">
      <w:pPr>
        <w:rPr>
          <w:i/>
          <w:lang w:val="en-GB"/>
        </w:rPr>
      </w:pPr>
    </w:p>
    <w:p w14:paraId="183314D2" w14:textId="7210AC22" w:rsidR="00EB469A" w:rsidRPr="00CF3C36" w:rsidRDefault="0033675A" w:rsidP="00864C4C">
      <w:pPr>
        <w:pStyle w:val="Heading5"/>
        <w:jc w:val="center"/>
        <w:rPr>
          <w:lang w:val="en-GB"/>
        </w:rPr>
      </w:pPr>
      <w:bookmarkStart w:id="51" w:name="_Toc15475683"/>
      <w:r w:rsidRPr="00CF3C36">
        <w:rPr>
          <w:lang w:val="en-GB"/>
        </w:rPr>
        <w:lastRenderedPageBreak/>
        <w:t>Table 20</w:t>
      </w:r>
      <w:r w:rsidR="00864C4C" w:rsidRPr="00CF3C36">
        <w:rPr>
          <w:lang w:val="en-GB"/>
        </w:rPr>
        <w:t xml:space="preserve">. </w:t>
      </w:r>
      <w:r w:rsidR="00EB469A" w:rsidRPr="00CF3C36">
        <w:rPr>
          <w:lang w:val="en-GB"/>
        </w:rPr>
        <w:t>Build-up Model 2 with Driscoll-Kraay standard errors (xtscc, fe)</w:t>
      </w:r>
      <w:bookmarkEnd w:id="51"/>
    </w:p>
    <w:tbl>
      <w:tblPr>
        <w:tblW w:w="0" w:type="auto"/>
        <w:jc w:val="center"/>
        <w:tblLayout w:type="fixed"/>
        <w:tblCellMar>
          <w:left w:w="75" w:type="dxa"/>
          <w:right w:w="75" w:type="dxa"/>
        </w:tblCellMar>
        <w:tblLook w:val="0000" w:firstRow="0" w:lastRow="0" w:firstColumn="0" w:lastColumn="0" w:noHBand="0" w:noVBand="0"/>
      </w:tblPr>
      <w:tblGrid>
        <w:gridCol w:w="1559"/>
        <w:gridCol w:w="948"/>
        <w:gridCol w:w="948"/>
        <w:gridCol w:w="948"/>
        <w:gridCol w:w="948"/>
        <w:gridCol w:w="948"/>
        <w:gridCol w:w="982"/>
      </w:tblGrid>
      <w:tr w:rsidR="00E900DB" w:rsidRPr="00CF3C36" w14:paraId="4E8EAB0C" w14:textId="77777777" w:rsidTr="00415E7F">
        <w:trPr>
          <w:jc w:val="center"/>
        </w:trPr>
        <w:tc>
          <w:tcPr>
            <w:tcW w:w="1559" w:type="dxa"/>
            <w:tcBorders>
              <w:top w:val="single" w:sz="6" w:space="0" w:color="auto"/>
              <w:left w:val="nil"/>
              <w:bottom w:val="nil"/>
              <w:right w:val="nil"/>
            </w:tcBorders>
          </w:tcPr>
          <w:p w14:paraId="6EC45EB2"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948" w:type="dxa"/>
            <w:tcBorders>
              <w:top w:val="single" w:sz="6" w:space="0" w:color="auto"/>
              <w:left w:val="nil"/>
              <w:bottom w:val="nil"/>
              <w:right w:val="nil"/>
            </w:tcBorders>
          </w:tcPr>
          <w:p w14:paraId="7E71B2B8"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w:t>
            </w:r>
          </w:p>
        </w:tc>
        <w:tc>
          <w:tcPr>
            <w:tcW w:w="948" w:type="dxa"/>
            <w:tcBorders>
              <w:top w:val="single" w:sz="6" w:space="0" w:color="auto"/>
              <w:left w:val="nil"/>
              <w:bottom w:val="nil"/>
              <w:right w:val="nil"/>
            </w:tcBorders>
          </w:tcPr>
          <w:p w14:paraId="6AE237F3"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w:t>
            </w:r>
          </w:p>
        </w:tc>
        <w:tc>
          <w:tcPr>
            <w:tcW w:w="948" w:type="dxa"/>
            <w:tcBorders>
              <w:top w:val="single" w:sz="6" w:space="0" w:color="auto"/>
              <w:left w:val="nil"/>
              <w:bottom w:val="nil"/>
              <w:right w:val="nil"/>
            </w:tcBorders>
          </w:tcPr>
          <w:p w14:paraId="03894FE8"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w:t>
            </w:r>
          </w:p>
        </w:tc>
        <w:tc>
          <w:tcPr>
            <w:tcW w:w="948" w:type="dxa"/>
            <w:tcBorders>
              <w:top w:val="single" w:sz="6" w:space="0" w:color="auto"/>
              <w:left w:val="nil"/>
              <w:bottom w:val="nil"/>
              <w:right w:val="nil"/>
            </w:tcBorders>
          </w:tcPr>
          <w:p w14:paraId="45CB16AD"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w:t>
            </w:r>
          </w:p>
        </w:tc>
        <w:tc>
          <w:tcPr>
            <w:tcW w:w="948" w:type="dxa"/>
            <w:tcBorders>
              <w:top w:val="single" w:sz="6" w:space="0" w:color="auto"/>
              <w:left w:val="nil"/>
              <w:bottom w:val="nil"/>
              <w:right w:val="nil"/>
            </w:tcBorders>
          </w:tcPr>
          <w:p w14:paraId="1B31C8CF"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w:t>
            </w:r>
          </w:p>
        </w:tc>
        <w:tc>
          <w:tcPr>
            <w:tcW w:w="982" w:type="dxa"/>
            <w:tcBorders>
              <w:top w:val="single" w:sz="6" w:space="0" w:color="auto"/>
              <w:left w:val="nil"/>
              <w:bottom w:val="nil"/>
              <w:right w:val="nil"/>
            </w:tcBorders>
          </w:tcPr>
          <w:p w14:paraId="5FF17E7F"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w:t>
            </w:r>
          </w:p>
        </w:tc>
      </w:tr>
      <w:tr w:rsidR="00E900DB" w:rsidRPr="00CF3C36" w14:paraId="46482670" w14:textId="77777777" w:rsidTr="00415E7F">
        <w:trPr>
          <w:jc w:val="center"/>
        </w:trPr>
        <w:tc>
          <w:tcPr>
            <w:tcW w:w="1559" w:type="dxa"/>
            <w:tcBorders>
              <w:top w:val="nil"/>
              <w:left w:val="nil"/>
              <w:bottom w:val="single" w:sz="6" w:space="0" w:color="auto"/>
              <w:right w:val="nil"/>
            </w:tcBorders>
          </w:tcPr>
          <w:p w14:paraId="5244CE30"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VARIABLES</w:t>
            </w:r>
          </w:p>
        </w:tc>
        <w:tc>
          <w:tcPr>
            <w:tcW w:w="948" w:type="dxa"/>
            <w:tcBorders>
              <w:top w:val="nil"/>
              <w:left w:val="nil"/>
              <w:bottom w:val="single" w:sz="6" w:space="0" w:color="auto"/>
              <w:right w:val="nil"/>
            </w:tcBorders>
          </w:tcPr>
          <w:p w14:paraId="34A6F7AE"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w:t>
            </w:r>
          </w:p>
        </w:tc>
        <w:tc>
          <w:tcPr>
            <w:tcW w:w="948" w:type="dxa"/>
            <w:tcBorders>
              <w:top w:val="nil"/>
              <w:left w:val="nil"/>
              <w:bottom w:val="single" w:sz="6" w:space="0" w:color="auto"/>
              <w:right w:val="nil"/>
            </w:tcBorders>
          </w:tcPr>
          <w:p w14:paraId="0478ABCD"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w:t>
            </w:r>
          </w:p>
        </w:tc>
        <w:tc>
          <w:tcPr>
            <w:tcW w:w="948" w:type="dxa"/>
            <w:tcBorders>
              <w:top w:val="nil"/>
              <w:left w:val="nil"/>
              <w:bottom w:val="single" w:sz="6" w:space="0" w:color="auto"/>
              <w:right w:val="nil"/>
            </w:tcBorders>
          </w:tcPr>
          <w:p w14:paraId="246385EE"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w:t>
            </w:r>
          </w:p>
        </w:tc>
        <w:tc>
          <w:tcPr>
            <w:tcW w:w="948" w:type="dxa"/>
            <w:tcBorders>
              <w:top w:val="nil"/>
              <w:left w:val="nil"/>
              <w:bottom w:val="single" w:sz="6" w:space="0" w:color="auto"/>
              <w:right w:val="nil"/>
            </w:tcBorders>
          </w:tcPr>
          <w:p w14:paraId="1915C69E"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w:t>
            </w:r>
          </w:p>
        </w:tc>
        <w:tc>
          <w:tcPr>
            <w:tcW w:w="948" w:type="dxa"/>
            <w:tcBorders>
              <w:top w:val="nil"/>
              <w:left w:val="nil"/>
              <w:bottom w:val="single" w:sz="6" w:space="0" w:color="auto"/>
              <w:right w:val="nil"/>
            </w:tcBorders>
          </w:tcPr>
          <w:p w14:paraId="737155FD"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w:t>
            </w:r>
          </w:p>
        </w:tc>
        <w:tc>
          <w:tcPr>
            <w:tcW w:w="982" w:type="dxa"/>
            <w:tcBorders>
              <w:top w:val="nil"/>
              <w:left w:val="nil"/>
              <w:bottom w:val="single" w:sz="6" w:space="0" w:color="auto"/>
              <w:right w:val="nil"/>
            </w:tcBorders>
          </w:tcPr>
          <w:p w14:paraId="5DFCCCC2"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w:t>
            </w:r>
          </w:p>
        </w:tc>
      </w:tr>
      <w:tr w:rsidR="00E900DB" w:rsidRPr="00CF3C36" w14:paraId="5D663217" w14:textId="77777777" w:rsidTr="00415E7F">
        <w:trPr>
          <w:jc w:val="center"/>
        </w:trPr>
        <w:tc>
          <w:tcPr>
            <w:tcW w:w="1559" w:type="dxa"/>
            <w:tcBorders>
              <w:top w:val="nil"/>
              <w:left w:val="nil"/>
              <w:bottom w:val="nil"/>
              <w:right w:val="nil"/>
            </w:tcBorders>
          </w:tcPr>
          <w:p w14:paraId="58F7691C"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948" w:type="dxa"/>
            <w:tcBorders>
              <w:top w:val="nil"/>
              <w:left w:val="nil"/>
              <w:bottom w:val="nil"/>
              <w:right w:val="nil"/>
            </w:tcBorders>
          </w:tcPr>
          <w:p w14:paraId="26882985"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50AD9EB2"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2FADE22A"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3CCA3462"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34486640"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82" w:type="dxa"/>
            <w:tcBorders>
              <w:top w:val="nil"/>
              <w:left w:val="nil"/>
              <w:bottom w:val="nil"/>
              <w:right w:val="nil"/>
            </w:tcBorders>
          </w:tcPr>
          <w:p w14:paraId="58876623"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E900DB" w:rsidRPr="00CF3C36" w14:paraId="2A52BF56" w14:textId="77777777" w:rsidTr="00415E7F">
        <w:trPr>
          <w:jc w:val="center"/>
        </w:trPr>
        <w:tc>
          <w:tcPr>
            <w:tcW w:w="1559" w:type="dxa"/>
            <w:tcBorders>
              <w:top w:val="nil"/>
              <w:left w:val="nil"/>
              <w:bottom w:val="nil"/>
              <w:right w:val="nil"/>
            </w:tcBorders>
          </w:tcPr>
          <w:p w14:paraId="349C9358"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w:t>
            </w:r>
          </w:p>
        </w:tc>
        <w:tc>
          <w:tcPr>
            <w:tcW w:w="948" w:type="dxa"/>
            <w:tcBorders>
              <w:top w:val="nil"/>
              <w:left w:val="nil"/>
              <w:bottom w:val="nil"/>
              <w:right w:val="nil"/>
            </w:tcBorders>
          </w:tcPr>
          <w:p w14:paraId="75CD5B86"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0.231**</w:t>
            </w:r>
          </w:p>
        </w:tc>
        <w:tc>
          <w:tcPr>
            <w:tcW w:w="948" w:type="dxa"/>
            <w:tcBorders>
              <w:top w:val="nil"/>
              <w:left w:val="nil"/>
              <w:bottom w:val="nil"/>
              <w:right w:val="nil"/>
            </w:tcBorders>
          </w:tcPr>
          <w:p w14:paraId="623D2B99"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0.140</w:t>
            </w:r>
          </w:p>
        </w:tc>
        <w:tc>
          <w:tcPr>
            <w:tcW w:w="948" w:type="dxa"/>
            <w:tcBorders>
              <w:top w:val="nil"/>
              <w:left w:val="nil"/>
              <w:bottom w:val="nil"/>
              <w:right w:val="nil"/>
            </w:tcBorders>
          </w:tcPr>
          <w:p w14:paraId="5FBE799A"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0.155</w:t>
            </w:r>
          </w:p>
        </w:tc>
        <w:tc>
          <w:tcPr>
            <w:tcW w:w="948" w:type="dxa"/>
            <w:tcBorders>
              <w:top w:val="nil"/>
              <w:left w:val="nil"/>
              <w:bottom w:val="nil"/>
              <w:right w:val="nil"/>
            </w:tcBorders>
          </w:tcPr>
          <w:p w14:paraId="294BEDCD"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0.160</w:t>
            </w:r>
          </w:p>
        </w:tc>
        <w:tc>
          <w:tcPr>
            <w:tcW w:w="948" w:type="dxa"/>
            <w:tcBorders>
              <w:top w:val="nil"/>
              <w:left w:val="nil"/>
              <w:bottom w:val="nil"/>
              <w:right w:val="nil"/>
            </w:tcBorders>
          </w:tcPr>
          <w:p w14:paraId="60EE97AE"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0.160</w:t>
            </w:r>
          </w:p>
        </w:tc>
        <w:tc>
          <w:tcPr>
            <w:tcW w:w="982" w:type="dxa"/>
            <w:tcBorders>
              <w:top w:val="nil"/>
              <w:left w:val="nil"/>
              <w:bottom w:val="nil"/>
              <w:right w:val="nil"/>
            </w:tcBorders>
          </w:tcPr>
          <w:p w14:paraId="3C3DCF9E"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0.177</w:t>
            </w:r>
          </w:p>
        </w:tc>
      </w:tr>
      <w:tr w:rsidR="00E900DB" w:rsidRPr="00CF3C36" w14:paraId="74176709" w14:textId="77777777" w:rsidTr="00415E7F">
        <w:trPr>
          <w:jc w:val="center"/>
        </w:trPr>
        <w:tc>
          <w:tcPr>
            <w:tcW w:w="1559" w:type="dxa"/>
            <w:tcBorders>
              <w:top w:val="nil"/>
              <w:left w:val="nil"/>
              <w:bottom w:val="nil"/>
              <w:right w:val="nil"/>
            </w:tcBorders>
          </w:tcPr>
          <w:p w14:paraId="4382FF0A"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948" w:type="dxa"/>
            <w:tcBorders>
              <w:top w:val="nil"/>
              <w:left w:val="nil"/>
              <w:bottom w:val="nil"/>
              <w:right w:val="nil"/>
            </w:tcBorders>
          </w:tcPr>
          <w:p w14:paraId="137EF056"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(0.0778)</w:t>
            </w:r>
          </w:p>
        </w:tc>
        <w:tc>
          <w:tcPr>
            <w:tcW w:w="948" w:type="dxa"/>
            <w:tcBorders>
              <w:top w:val="nil"/>
              <w:left w:val="nil"/>
              <w:bottom w:val="nil"/>
              <w:right w:val="nil"/>
            </w:tcBorders>
          </w:tcPr>
          <w:p w14:paraId="07D6D495"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(0.0830)</w:t>
            </w:r>
          </w:p>
        </w:tc>
        <w:tc>
          <w:tcPr>
            <w:tcW w:w="948" w:type="dxa"/>
            <w:tcBorders>
              <w:top w:val="nil"/>
              <w:left w:val="nil"/>
              <w:bottom w:val="nil"/>
              <w:right w:val="nil"/>
            </w:tcBorders>
          </w:tcPr>
          <w:p w14:paraId="57A61A97"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(0.101)</w:t>
            </w:r>
          </w:p>
        </w:tc>
        <w:tc>
          <w:tcPr>
            <w:tcW w:w="948" w:type="dxa"/>
            <w:tcBorders>
              <w:top w:val="nil"/>
              <w:left w:val="nil"/>
              <w:bottom w:val="nil"/>
              <w:right w:val="nil"/>
            </w:tcBorders>
          </w:tcPr>
          <w:p w14:paraId="1A56F11E"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(0.102)</w:t>
            </w:r>
          </w:p>
        </w:tc>
        <w:tc>
          <w:tcPr>
            <w:tcW w:w="948" w:type="dxa"/>
            <w:tcBorders>
              <w:top w:val="nil"/>
              <w:left w:val="nil"/>
              <w:bottom w:val="nil"/>
              <w:right w:val="nil"/>
            </w:tcBorders>
          </w:tcPr>
          <w:p w14:paraId="146CD2B5"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(0.100)</w:t>
            </w:r>
          </w:p>
        </w:tc>
        <w:tc>
          <w:tcPr>
            <w:tcW w:w="982" w:type="dxa"/>
            <w:tcBorders>
              <w:top w:val="nil"/>
              <w:left w:val="nil"/>
              <w:bottom w:val="nil"/>
              <w:right w:val="nil"/>
            </w:tcBorders>
          </w:tcPr>
          <w:p w14:paraId="2DDC362F"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(0.107)</w:t>
            </w:r>
          </w:p>
        </w:tc>
      </w:tr>
      <w:tr w:rsidR="00E900DB" w:rsidRPr="00CF3C36" w14:paraId="2FCF1D1B" w14:textId="77777777" w:rsidTr="00415E7F">
        <w:trPr>
          <w:jc w:val="center"/>
        </w:trPr>
        <w:tc>
          <w:tcPr>
            <w:tcW w:w="1559" w:type="dxa"/>
            <w:tcBorders>
              <w:top w:val="nil"/>
              <w:left w:val="nil"/>
              <w:bottom w:val="nil"/>
              <w:right w:val="nil"/>
            </w:tcBorders>
          </w:tcPr>
          <w:p w14:paraId="40D8CCCA"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ln_rgdpna</w:t>
            </w:r>
          </w:p>
        </w:tc>
        <w:tc>
          <w:tcPr>
            <w:tcW w:w="948" w:type="dxa"/>
            <w:tcBorders>
              <w:top w:val="nil"/>
              <w:left w:val="nil"/>
              <w:bottom w:val="nil"/>
              <w:right w:val="nil"/>
            </w:tcBorders>
          </w:tcPr>
          <w:p w14:paraId="5835396C"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0CE8CE7C"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5.820***</w:t>
            </w:r>
          </w:p>
        </w:tc>
        <w:tc>
          <w:tcPr>
            <w:tcW w:w="948" w:type="dxa"/>
            <w:tcBorders>
              <w:top w:val="nil"/>
              <w:left w:val="nil"/>
              <w:bottom w:val="nil"/>
              <w:right w:val="nil"/>
            </w:tcBorders>
          </w:tcPr>
          <w:p w14:paraId="5A463440"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5.600***</w:t>
            </w:r>
          </w:p>
        </w:tc>
        <w:tc>
          <w:tcPr>
            <w:tcW w:w="948" w:type="dxa"/>
            <w:tcBorders>
              <w:top w:val="nil"/>
              <w:left w:val="nil"/>
              <w:bottom w:val="nil"/>
              <w:right w:val="nil"/>
            </w:tcBorders>
          </w:tcPr>
          <w:p w14:paraId="524F66D9"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7.216***</w:t>
            </w:r>
          </w:p>
        </w:tc>
        <w:tc>
          <w:tcPr>
            <w:tcW w:w="948" w:type="dxa"/>
            <w:tcBorders>
              <w:top w:val="nil"/>
              <w:left w:val="nil"/>
              <w:bottom w:val="nil"/>
              <w:right w:val="nil"/>
            </w:tcBorders>
          </w:tcPr>
          <w:p w14:paraId="4B296660"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7.140***</w:t>
            </w:r>
          </w:p>
        </w:tc>
        <w:tc>
          <w:tcPr>
            <w:tcW w:w="982" w:type="dxa"/>
            <w:tcBorders>
              <w:top w:val="nil"/>
              <w:left w:val="nil"/>
              <w:bottom w:val="nil"/>
              <w:right w:val="nil"/>
            </w:tcBorders>
          </w:tcPr>
          <w:p w14:paraId="0E495F06"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6.736***</w:t>
            </w:r>
          </w:p>
        </w:tc>
      </w:tr>
      <w:tr w:rsidR="00E900DB" w:rsidRPr="00CF3C36" w14:paraId="200EECDF" w14:textId="77777777" w:rsidTr="00415E7F">
        <w:trPr>
          <w:jc w:val="center"/>
        </w:trPr>
        <w:tc>
          <w:tcPr>
            <w:tcW w:w="1559" w:type="dxa"/>
            <w:tcBorders>
              <w:top w:val="nil"/>
              <w:left w:val="nil"/>
              <w:bottom w:val="nil"/>
              <w:right w:val="nil"/>
            </w:tcBorders>
          </w:tcPr>
          <w:p w14:paraId="379C69EE"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948" w:type="dxa"/>
            <w:tcBorders>
              <w:top w:val="nil"/>
              <w:left w:val="nil"/>
              <w:bottom w:val="nil"/>
              <w:right w:val="nil"/>
            </w:tcBorders>
          </w:tcPr>
          <w:p w14:paraId="06989021"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25DDEC1A"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(0.708)</w:t>
            </w:r>
          </w:p>
        </w:tc>
        <w:tc>
          <w:tcPr>
            <w:tcW w:w="948" w:type="dxa"/>
            <w:tcBorders>
              <w:top w:val="nil"/>
              <w:left w:val="nil"/>
              <w:bottom w:val="nil"/>
              <w:right w:val="nil"/>
            </w:tcBorders>
          </w:tcPr>
          <w:p w14:paraId="4DB75811"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(0.812)</w:t>
            </w:r>
          </w:p>
        </w:tc>
        <w:tc>
          <w:tcPr>
            <w:tcW w:w="948" w:type="dxa"/>
            <w:tcBorders>
              <w:top w:val="nil"/>
              <w:left w:val="nil"/>
              <w:bottom w:val="nil"/>
              <w:right w:val="nil"/>
            </w:tcBorders>
          </w:tcPr>
          <w:p w14:paraId="0DBA6DFA"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(1.381)</w:t>
            </w:r>
          </w:p>
        </w:tc>
        <w:tc>
          <w:tcPr>
            <w:tcW w:w="948" w:type="dxa"/>
            <w:tcBorders>
              <w:top w:val="nil"/>
              <w:left w:val="nil"/>
              <w:bottom w:val="nil"/>
              <w:right w:val="nil"/>
            </w:tcBorders>
          </w:tcPr>
          <w:p w14:paraId="4419D594"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(1.254)</w:t>
            </w:r>
          </w:p>
        </w:tc>
        <w:tc>
          <w:tcPr>
            <w:tcW w:w="982" w:type="dxa"/>
            <w:tcBorders>
              <w:top w:val="nil"/>
              <w:left w:val="nil"/>
              <w:bottom w:val="nil"/>
              <w:right w:val="nil"/>
            </w:tcBorders>
          </w:tcPr>
          <w:p w14:paraId="2E236CBA"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(1.304)</w:t>
            </w:r>
          </w:p>
        </w:tc>
      </w:tr>
      <w:tr w:rsidR="00E900DB" w:rsidRPr="00CF3C36" w14:paraId="2E0CA16A" w14:textId="77777777" w:rsidTr="00415E7F">
        <w:trPr>
          <w:jc w:val="center"/>
        </w:trPr>
        <w:tc>
          <w:tcPr>
            <w:tcW w:w="1559" w:type="dxa"/>
            <w:tcBorders>
              <w:top w:val="nil"/>
              <w:left w:val="nil"/>
              <w:bottom w:val="nil"/>
              <w:right w:val="nil"/>
            </w:tcBorders>
          </w:tcPr>
          <w:p w14:paraId="77A1DD8E"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SE_terX</w:t>
            </w:r>
          </w:p>
        </w:tc>
        <w:tc>
          <w:tcPr>
            <w:tcW w:w="948" w:type="dxa"/>
            <w:tcBorders>
              <w:top w:val="nil"/>
              <w:left w:val="nil"/>
              <w:bottom w:val="nil"/>
              <w:right w:val="nil"/>
            </w:tcBorders>
          </w:tcPr>
          <w:p w14:paraId="17BD99C8"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5FC1579C"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174AE03A"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0.0214</w:t>
            </w:r>
          </w:p>
        </w:tc>
        <w:tc>
          <w:tcPr>
            <w:tcW w:w="948" w:type="dxa"/>
            <w:tcBorders>
              <w:top w:val="nil"/>
              <w:left w:val="nil"/>
              <w:bottom w:val="nil"/>
              <w:right w:val="nil"/>
            </w:tcBorders>
          </w:tcPr>
          <w:p w14:paraId="2E88E1C5"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0.0270</w:t>
            </w:r>
          </w:p>
        </w:tc>
        <w:tc>
          <w:tcPr>
            <w:tcW w:w="948" w:type="dxa"/>
            <w:tcBorders>
              <w:top w:val="nil"/>
              <w:left w:val="nil"/>
              <w:bottom w:val="nil"/>
              <w:right w:val="nil"/>
            </w:tcBorders>
          </w:tcPr>
          <w:p w14:paraId="544A0E18"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0.0287</w:t>
            </w:r>
          </w:p>
        </w:tc>
        <w:tc>
          <w:tcPr>
            <w:tcW w:w="982" w:type="dxa"/>
            <w:tcBorders>
              <w:top w:val="nil"/>
              <w:left w:val="nil"/>
              <w:bottom w:val="nil"/>
              <w:right w:val="nil"/>
            </w:tcBorders>
          </w:tcPr>
          <w:p w14:paraId="380B8C28"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0.0336</w:t>
            </w:r>
          </w:p>
        </w:tc>
      </w:tr>
      <w:tr w:rsidR="00E900DB" w:rsidRPr="00CF3C36" w14:paraId="2CB98B15" w14:textId="77777777" w:rsidTr="00415E7F">
        <w:trPr>
          <w:jc w:val="center"/>
        </w:trPr>
        <w:tc>
          <w:tcPr>
            <w:tcW w:w="1559" w:type="dxa"/>
            <w:tcBorders>
              <w:top w:val="nil"/>
              <w:left w:val="nil"/>
              <w:bottom w:val="nil"/>
              <w:right w:val="nil"/>
            </w:tcBorders>
          </w:tcPr>
          <w:p w14:paraId="359932E7"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948" w:type="dxa"/>
            <w:tcBorders>
              <w:top w:val="nil"/>
              <w:left w:val="nil"/>
              <w:bottom w:val="nil"/>
              <w:right w:val="nil"/>
            </w:tcBorders>
          </w:tcPr>
          <w:p w14:paraId="5142A820"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0538B629"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6BB0F0E6"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(0.0268)</w:t>
            </w:r>
          </w:p>
        </w:tc>
        <w:tc>
          <w:tcPr>
            <w:tcW w:w="948" w:type="dxa"/>
            <w:tcBorders>
              <w:top w:val="nil"/>
              <w:left w:val="nil"/>
              <w:bottom w:val="nil"/>
              <w:right w:val="nil"/>
            </w:tcBorders>
          </w:tcPr>
          <w:p w14:paraId="7E16959F"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(0.0258)</w:t>
            </w:r>
          </w:p>
        </w:tc>
        <w:tc>
          <w:tcPr>
            <w:tcW w:w="948" w:type="dxa"/>
            <w:tcBorders>
              <w:top w:val="nil"/>
              <w:left w:val="nil"/>
              <w:bottom w:val="nil"/>
              <w:right w:val="nil"/>
            </w:tcBorders>
          </w:tcPr>
          <w:p w14:paraId="4376EE85"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(0.0264)</w:t>
            </w:r>
          </w:p>
        </w:tc>
        <w:tc>
          <w:tcPr>
            <w:tcW w:w="982" w:type="dxa"/>
            <w:tcBorders>
              <w:top w:val="nil"/>
              <w:left w:val="nil"/>
              <w:bottom w:val="nil"/>
              <w:right w:val="nil"/>
            </w:tcBorders>
          </w:tcPr>
          <w:p w14:paraId="44A94499"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(0.0223)</w:t>
            </w:r>
          </w:p>
        </w:tc>
      </w:tr>
      <w:tr w:rsidR="00E900DB" w:rsidRPr="00CF3C36" w14:paraId="5D7E88FB" w14:textId="77777777" w:rsidTr="00415E7F">
        <w:trPr>
          <w:jc w:val="center"/>
        </w:trPr>
        <w:tc>
          <w:tcPr>
            <w:tcW w:w="1559" w:type="dxa"/>
            <w:tcBorders>
              <w:top w:val="nil"/>
              <w:left w:val="nil"/>
              <w:bottom w:val="nil"/>
              <w:right w:val="nil"/>
            </w:tcBorders>
          </w:tcPr>
          <w:p w14:paraId="651974E0"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eodb1</w:t>
            </w:r>
          </w:p>
        </w:tc>
        <w:tc>
          <w:tcPr>
            <w:tcW w:w="948" w:type="dxa"/>
            <w:tcBorders>
              <w:top w:val="nil"/>
              <w:left w:val="nil"/>
              <w:bottom w:val="nil"/>
              <w:right w:val="nil"/>
            </w:tcBorders>
          </w:tcPr>
          <w:p w14:paraId="1CA5A3D2"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198A7F17"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713A59FD"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-0.0158</w:t>
            </w:r>
          </w:p>
        </w:tc>
        <w:tc>
          <w:tcPr>
            <w:tcW w:w="948" w:type="dxa"/>
            <w:tcBorders>
              <w:top w:val="nil"/>
              <w:left w:val="nil"/>
              <w:bottom w:val="nil"/>
              <w:right w:val="nil"/>
            </w:tcBorders>
          </w:tcPr>
          <w:p w14:paraId="669B276F"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-0.000640</w:t>
            </w:r>
          </w:p>
        </w:tc>
        <w:tc>
          <w:tcPr>
            <w:tcW w:w="948" w:type="dxa"/>
            <w:tcBorders>
              <w:top w:val="nil"/>
              <w:left w:val="nil"/>
              <w:bottom w:val="nil"/>
              <w:right w:val="nil"/>
            </w:tcBorders>
          </w:tcPr>
          <w:p w14:paraId="6944B626"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0.000367</w:t>
            </w:r>
          </w:p>
        </w:tc>
        <w:tc>
          <w:tcPr>
            <w:tcW w:w="982" w:type="dxa"/>
            <w:tcBorders>
              <w:top w:val="nil"/>
              <w:left w:val="nil"/>
              <w:bottom w:val="nil"/>
              <w:right w:val="nil"/>
            </w:tcBorders>
          </w:tcPr>
          <w:p w14:paraId="0C0CAE11"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0.00984</w:t>
            </w:r>
          </w:p>
        </w:tc>
      </w:tr>
      <w:tr w:rsidR="00E900DB" w:rsidRPr="00CF3C36" w14:paraId="1B86424B" w14:textId="77777777" w:rsidTr="00415E7F">
        <w:trPr>
          <w:jc w:val="center"/>
        </w:trPr>
        <w:tc>
          <w:tcPr>
            <w:tcW w:w="1559" w:type="dxa"/>
            <w:tcBorders>
              <w:top w:val="nil"/>
              <w:left w:val="nil"/>
              <w:bottom w:val="nil"/>
              <w:right w:val="nil"/>
            </w:tcBorders>
          </w:tcPr>
          <w:p w14:paraId="5A59F7F9"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948" w:type="dxa"/>
            <w:tcBorders>
              <w:top w:val="nil"/>
              <w:left w:val="nil"/>
              <w:bottom w:val="nil"/>
              <w:right w:val="nil"/>
            </w:tcBorders>
          </w:tcPr>
          <w:p w14:paraId="488AEFC9"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151DD42E"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34619A3D"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(0.0479)</w:t>
            </w:r>
          </w:p>
        </w:tc>
        <w:tc>
          <w:tcPr>
            <w:tcW w:w="948" w:type="dxa"/>
            <w:tcBorders>
              <w:top w:val="nil"/>
              <w:left w:val="nil"/>
              <w:bottom w:val="nil"/>
              <w:right w:val="nil"/>
            </w:tcBorders>
          </w:tcPr>
          <w:p w14:paraId="1F66F279"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(0.0462)</w:t>
            </w:r>
          </w:p>
        </w:tc>
        <w:tc>
          <w:tcPr>
            <w:tcW w:w="948" w:type="dxa"/>
            <w:tcBorders>
              <w:top w:val="nil"/>
              <w:left w:val="nil"/>
              <w:bottom w:val="nil"/>
              <w:right w:val="nil"/>
            </w:tcBorders>
          </w:tcPr>
          <w:p w14:paraId="4B70DD67"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(0.0469)</w:t>
            </w:r>
          </w:p>
        </w:tc>
        <w:tc>
          <w:tcPr>
            <w:tcW w:w="982" w:type="dxa"/>
            <w:tcBorders>
              <w:top w:val="nil"/>
              <w:left w:val="nil"/>
              <w:bottom w:val="nil"/>
              <w:right w:val="nil"/>
            </w:tcBorders>
          </w:tcPr>
          <w:p w14:paraId="43EAA344"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(0.0381)</w:t>
            </w:r>
          </w:p>
        </w:tc>
      </w:tr>
      <w:tr w:rsidR="00E900DB" w:rsidRPr="00CF3C36" w14:paraId="27493DD7" w14:textId="77777777" w:rsidTr="00415E7F">
        <w:trPr>
          <w:jc w:val="center"/>
        </w:trPr>
        <w:tc>
          <w:tcPr>
            <w:tcW w:w="1559" w:type="dxa"/>
            <w:tcBorders>
              <w:top w:val="nil"/>
              <w:left w:val="nil"/>
              <w:bottom w:val="nil"/>
              <w:right w:val="nil"/>
            </w:tcBorders>
          </w:tcPr>
          <w:p w14:paraId="08AA01E1"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governance</w:t>
            </w:r>
          </w:p>
        </w:tc>
        <w:tc>
          <w:tcPr>
            <w:tcW w:w="948" w:type="dxa"/>
            <w:tcBorders>
              <w:top w:val="nil"/>
              <w:left w:val="nil"/>
              <w:bottom w:val="nil"/>
              <w:right w:val="nil"/>
            </w:tcBorders>
          </w:tcPr>
          <w:p w14:paraId="7D16C4EA"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6D8D3D57"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5E772804"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-0.453</w:t>
            </w:r>
          </w:p>
        </w:tc>
        <w:tc>
          <w:tcPr>
            <w:tcW w:w="948" w:type="dxa"/>
            <w:tcBorders>
              <w:top w:val="nil"/>
              <w:left w:val="nil"/>
              <w:bottom w:val="nil"/>
              <w:right w:val="nil"/>
            </w:tcBorders>
          </w:tcPr>
          <w:p w14:paraId="1C471392"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-0.578</w:t>
            </w:r>
          </w:p>
        </w:tc>
        <w:tc>
          <w:tcPr>
            <w:tcW w:w="948" w:type="dxa"/>
            <w:tcBorders>
              <w:top w:val="nil"/>
              <w:left w:val="nil"/>
              <w:bottom w:val="nil"/>
              <w:right w:val="nil"/>
            </w:tcBorders>
          </w:tcPr>
          <w:p w14:paraId="6DC69404"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-0.558</w:t>
            </w:r>
          </w:p>
        </w:tc>
        <w:tc>
          <w:tcPr>
            <w:tcW w:w="982" w:type="dxa"/>
            <w:tcBorders>
              <w:top w:val="nil"/>
              <w:left w:val="nil"/>
              <w:bottom w:val="nil"/>
              <w:right w:val="nil"/>
            </w:tcBorders>
          </w:tcPr>
          <w:p w14:paraId="76293E55"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-0.513</w:t>
            </w:r>
          </w:p>
        </w:tc>
      </w:tr>
      <w:tr w:rsidR="00E900DB" w:rsidRPr="00CF3C36" w14:paraId="72AD83B4" w14:textId="77777777" w:rsidTr="00415E7F">
        <w:trPr>
          <w:jc w:val="center"/>
        </w:trPr>
        <w:tc>
          <w:tcPr>
            <w:tcW w:w="1559" w:type="dxa"/>
            <w:tcBorders>
              <w:top w:val="nil"/>
              <w:left w:val="nil"/>
              <w:bottom w:val="nil"/>
              <w:right w:val="nil"/>
            </w:tcBorders>
          </w:tcPr>
          <w:p w14:paraId="3FD6176E"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948" w:type="dxa"/>
            <w:tcBorders>
              <w:top w:val="nil"/>
              <w:left w:val="nil"/>
              <w:bottom w:val="nil"/>
              <w:right w:val="nil"/>
            </w:tcBorders>
          </w:tcPr>
          <w:p w14:paraId="134DA4E4"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24BB6EB6"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4592F237"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(0.384)</w:t>
            </w:r>
          </w:p>
        </w:tc>
        <w:tc>
          <w:tcPr>
            <w:tcW w:w="948" w:type="dxa"/>
            <w:tcBorders>
              <w:top w:val="nil"/>
              <w:left w:val="nil"/>
              <w:bottom w:val="nil"/>
              <w:right w:val="nil"/>
            </w:tcBorders>
          </w:tcPr>
          <w:p w14:paraId="3163075E"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(0.382)</w:t>
            </w:r>
          </w:p>
        </w:tc>
        <w:tc>
          <w:tcPr>
            <w:tcW w:w="948" w:type="dxa"/>
            <w:tcBorders>
              <w:top w:val="nil"/>
              <w:left w:val="nil"/>
              <w:bottom w:val="nil"/>
              <w:right w:val="nil"/>
            </w:tcBorders>
          </w:tcPr>
          <w:p w14:paraId="3F1E5D64"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(0.347)</w:t>
            </w:r>
          </w:p>
        </w:tc>
        <w:tc>
          <w:tcPr>
            <w:tcW w:w="982" w:type="dxa"/>
            <w:tcBorders>
              <w:top w:val="nil"/>
              <w:left w:val="nil"/>
              <w:bottom w:val="nil"/>
              <w:right w:val="nil"/>
            </w:tcBorders>
          </w:tcPr>
          <w:p w14:paraId="0AF1A0AB"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(0.346)</w:t>
            </w:r>
          </w:p>
        </w:tc>
      </w:tr>
      <w:tr w:rsidR="00E900DB" w:rsidRPr="00CF3C36" w14:paraId="0EF44E56" w14:textId="77777777" w:rsidTr="00415E7F">
        <w:trPr>
          <w:jc w:val="center"/>
        </w:trPr>
        <w:tc>
          <w:tcPr>
            <w:tcW w:w="1559" w:type="dxa"/>
            <w:tcBorders>
              <w:top w:val="nil"/>
              <w:left w:val="nil"/>
              <w:bottom w:val="nil"/>
              <w:right w:val="nil"/>
            </w:tcBorders>
          </w:tcPr>
          <w:p w14:paraId="05A28A74"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ln_KL</w:t>
            </w:r>
          </w:p>
        </w:tc>
        <w:tc>
          <w:tcPr>
            <w:tcW w:w="948" w:type="dxa"/>
            <w:tcBorders>
              <w:top w:val="nil"/>
              <w:left w:val="nil"/>
              <w:bottom w:val="nil"/>
              <w:right w:val="nil"/>
            </w:tcBorders>
          </w:tcPr>
          <w:p w14:paraId="47A63392"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4E15410E"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206D87D6"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2500D6BD"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-1.541*</w:t>
            </w:r>
          </w:p>
        </w:tc>
        <w:tc>
          <w:tcPr>
            <w:tcW w:w="948" w:type="dxa"/>
            <w:tcBorders>
              <w:top w:val="nil"/>
              <w:left w:val="nil"/>
              <w:bottom w:val="nil"/>
              <w:right w:val="nil"/>
            </w:tcBorders>
          </w:tcPr>
          <w:p w14:paraId="2C3ADAC4"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-0.998</w:t>
            </w:r>
          </w:p>
        </w:tc>
        <w:tc>
          <w:tcPr>
            <w:tcW w:w="982" w:type="dxa"/>
            <w:tcBorders>
              <w:top w:val="nil"/>
              <w:left w:val="nil"/>
              <w:bottom w:val="nil"/>
              <w:right w:val="nil"/>
            </w:tcBorders>
          </w:tcPr>
          <w:p w14:paraId="68E75D54"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-5.055</w:t>
            </w:r>
          </w:p>
        </w:tc>
      </w:tr>
      <w:tr w:rsidR="00E900DB" w:rsidRPr="00CF3C36" w14:paraId="0145F60D" w14:textId="77777777" w:rsidTr="00415E7F">
        <w:trPr>
          <w:jc w:val="center"/>
        </w:trPr>
        <w:tc>
          <w:tcPr>
            <w:tcW w:w="1559" w:type="dxa"/>
            <w:tcBorders>
              <w:top w:val="nil"/>
              <w:left w:val="nil"/>
              <w:bottom w:val="nil"/>
              <w:right w:val="nil"/>
            </w:tcBorders>
          </w:tcPr>
          <w:p w14:paraId="4D6E0585"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948" w:type="dxa"/>
            <w:tcBorders>
              <w:top w:val="nil"/>
              <w:left w:val="nil"/>
              <w:bottom w:val="nil"/>
              <w:right w:val="nil"/>
            </w:tcBorders>
          </w:tcPr>
          <w:p w14:paraId="10D695B6"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133A2B28"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39964E4F"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5647100E"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(0.669)</w:t>
            </w:r>
          </w:p>
        </w:tc>
        <w:tc>
          <w:tcPr>
            <w:tcW w:w="948" w:type="dxa"/>
            <w:tcBorders>
              <w:top w:val="nil"/>
              <w:left w:val="nil"/>
              <w:bottom w:val="nil"/>
              <w:right w:val="nil"/>
            </w:tcBorders>
          </w:tcPr>
          <w:p w14:paraId="7F3FBD60"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(1.969)</w:t>
            </w:r>
          </w:p>
        </w:tc>
        <w:tc>
          <w:tcPr>
            <w:tcW w:w="982" w:type="dxa"/>
            <w:tcBorders>
              <w:top w:val="nil"/>
              <w:left w:val="nil"/>
              <w:bottom w:val="nil"/>
              <w:right w:val="nil"/>
            </w:tcBorders>
          </w:tcPr>
          <w:p w14:paraId="4B511957"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(4.133)</w:t>
            </w:r>
          </w:p>
        </w:tc>
      </w:tr>
      <w:tr w:rsidR="00E900DB" w:rsidRPr="00CF3C36" w14:paraId="2AE546DA" w14:textId="77777777" w:rsidTr="00415E7F">
        <w:trPr>
          <w:jc w:val="center"/>
        </w:trPr>
        <w:tc>
          <w:tcPr>
            <w:tcW w:w="1559" w:type="dxa"/>
            <w:tcBorders>
              <w:top w:val="nil"/>
              <w:left w:val="nil"/>
              <w:bottom w:val="nil"/>
              <w:right w:val="nil"/>
            </w:tcBorders>
          </w:tcPr>
          <w:p w14:paraId="73FD0339"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ln_KL_2</w:t>
            </w:r>
          </w:p>
        </w:tc>
        <w:tc>
          <w:tcPr>
            <w:tcW w:w="948" w:type="dxa"/>
            <w:tcBorders>
              <w:top w:val="nil"/>
              <w:left w:val="nil"/>
              <w:bottom w:val="nil"/>
              <w:right w:val="nil"/>
            </w:tcBorders>
          </w:tcPr>
          <w:p w14:paraId="4C718BE2"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3B102AF4"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764CA1E9"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74EC6E96"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2D5B75F1"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-0.0713</w:t>
            </w:r>
          </w:p>
        </w:tc>
        <w:tc>
          <w:tcPr>
            <w:tcW w:w="982" w:type="dxa"/>
            <w:tcBorders>
              <w:top w:val="nil"/>
              <w:left w:val="nil"/>
              <w:bottom w:val="nil"/>
              <w:right w:val="nil"/>
            </w:tcBorders>
          </w:tcPr>
          <w:p w14:paraId="28C8655C"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0.325</w:t>
            </w:r>
          </w:p>
        </w:tc>
      </w:tr>
      <w:tr w:rsidR="00E900DB" w:rsidRPr="00CF3C36" w14:paraId="46B39CC0" w14:textId="77777777" w:rsidTr="00415E7F">
        <w:trPr>
          <w:jc w:val="center"/>
        </w:trPr>
        <w:tc>
          <w:tcPr>
            <w:tcW w:w="1559" w:type="dxa"/>
            <w:tcBorders>
              <w:top w:val="nil"/>
              <w:left w:val="nil"/>
              <w:bottom w:val="nil"/>
              <w:right w:val="nil"/>
            </w:tcBorders>
          </w:tcPr>
          <w:p w14:paraId="38DBD729"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948" w:type="dxa"/>
            <w:tcBorders>
              <w:top w:val="nil"/>
              <w:left w:val="nil"/>
              <w:bottom w:val="nil"/>
              <w:right w:val="nil"/>
            </w:tcBorders>
          </w:tcPr>
          <w:p w14:paraId="64DA220C"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1F59249E"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39DE7759"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269562C8"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4BFB5724"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(0.293)</w:t>
            </w:r>
          </w:p>
        </w:tc>
        <w:tc>
          <w:tcPr>
            <w:tcW w:w="982" w:type="dxa"/>
            <w:tcBorders>
              <w:top w:val="nil"/>
              <w:left w:val="nil"/>
              <w:bottom w:val="nil"/>
              <w:right w:val="nil"/>
            </w:tcBorders>
          </w:tcPr>
          <w:p w14:paraId="044ADAAC"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(0.470)</w:t>
            </w:r>
          </w:p>
        </w:tc>
      </w:tr>
      <w:tr w:rsidR="00E900DB" w:rsidRPr="00CF3C36" w14:paraId="3E1030E1" w14:textId="77777777" w:rsidTr="00415E7F">
        <w:trPr>
          <w:jc w:val="center"/>
        </w:trPr>
        <w:tc>
          <w:tcPr>
            <w:tcW w:w="1559" w:type="dxa"/>
            <w:tcBorders>
              <w:top w:val="nil"/>
              <w:left w:val="nil"/>
              <w:bottom w:val="nil"/>
              <w:right w:val="nil"/>
            </w:tcBorders>
          </w:tcPr>
          <w:p w14:paraId="7391484A"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EPI_ln_KL_cen</w:t>
            </w:r>
          </w:p>
        </w:tc>
        <w:tc>
          <w:tcPr>
            <w:tcW w:w="948" w:type="dxa"/>
            <w:tcBorders>
              <w:top w:val="nil"/>
              <w:left w:val="nil"/>
              <w:bottom w:val="nil"/>
              <w:right w:val="nil"/>
            </w:tcBorders>
          </w:tcPr>
          <w:p w14:paraId="278F3738"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3C462E65"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6B6EA45E"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0EA49586"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5B08F465"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82" w:type="dxa"/>
            <w:tcBorders>
              <w:top w:val="nil"/>
              <w:left w:val="nil"/>
              <w:bottom w:val="nil"/>
              <w:right w:val="nil"/>
            </w:tcBorders>
          </w:tcPr>
          <w:p w14:paraId="0194A1CF"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-0.517</w:t>
            </w:r>
          </w:p>
        </w:tc>
      </w:tr>
      <w:tr w:rsidR="00E900DB" w:rsidRPr="00CF3C36" w14:paraId="37D8EE43" w14:textId="77777777" w:rsidTr="00415E7F">
        <w:trPr>
          <w:jc w:val="center"/>
        </w:trPr>
        <w:tc>
          <w:tcPr>
            <w:tcW w:w="1559" w:type="dxa"/>
            <w:tcBorders>
              <w:top w:val="nil"/>
              <w:left w:val="nil"/>
              <w:bottom w:val="nil"/>
              <w:right w:val="nil"/>
            </w:tcBorders>
          </w:tcPr>
          <w:p w14:paraId="0E3007CD"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948" w:type="dxa"/>
            <w:tcBorders>
              <w:top w:val="nil"/>
              <w:left w:val="nil"/>
              <w:bottom w:val="nil"/>
              <w:right w:val="nil"/>
            </w:tcBorders>
          </w:tcPr>
          <w:p w14:paraId="63A7FD2A"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3EA82F37"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55282D97"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0169E72E"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56D683B6"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82" w:type="dxa"/>
            <w:tcBorders>
              <w:top w:val="nil"/>
              <w:left w:val="nil"/>
              <w:bottom w:val="nil"/>
              <w:right w:val="nil"/>
            </w:tcBorders>
          </w:tcPr>
          <w:p w14:paraId="7E87B934"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(0.468)</w:t>
            </w:r>
          </w:p>
        </w:tc>
      </w:tr>
      <w:tr w:rsidR="00E900DB" w:rsidRPr="00CF3C36" w14:paraId="3AA21CA2" w14:textId="77777777" w:rsidTr="00415E7F">
        <w:trPr>
          <w:jc w:val="center"/>
        </w:trPr>
        <w:tc>
          <w:tcPr>
            <w:tcW w:w="1559" w:type="dxa"/>
            <w:tcBorders>
              <w:top w:val="nil"/>
              <w:left w:val="nil"/>
              <w:bottom w:val="nil"/>
              <w:right w:val="nil"/>
            </w:tcBorders>
          </w:tcPr>
          <w:p w14:paraId="1839493F"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EPI_ln_KL_2_cen</w:t>
            </w:r>
          </w:p>
        </w:tc>
        <w:tc>
          <w:tcPr>
            <w:tcW w:w="948" w:type="dxa"/>
            <w:tcBorders>
              <w:top w:val="nil"/>
              <w:left w:val="nil"/>
              <w:bottom w:val="nil"/>
              <w:right w:val="nil"/>
            </w:tcBorders>
          </w:tcPr>
          <w:p w14:paraId="68BBC59C"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0698D5B4"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304B20AD"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4D314EDC"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77AB28BB"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82" w:type="dxa"/>
            <w:tcBorders>
              <w:top w:val="nil"/>
              <w:left w:val="nil"/>
              <w:bottom w:val="nil"/>
              <w:right w:val="nil"/>
            </w:tcBorders>
          </w:tcPr>
          <w:p w14:paraId="7C4693D4"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0.0572</w:t>
            </w:r>
          </w:p>
        </w:tc>
      </w:tr>
      <w:tr w:rsidR="00E900DB" w:rsidRPr="00CF3C36" w14:paraId="1000BB71" w14:textId="77777777" w:rsidTr="00415E7F">
        <w:trPr>
          <w:jc w:val="center"/>
        </w:trPr>
        <w:tc>
          <w:tcPr>
            <w:tcW w:w="1559" w:type="dxa"/>
            <w:tcBorders>
              <w:top w:val="nil"/>
              <w:left w:val="nil"/>
              <w:bottom w:val="nil"/>
              <w:right w:val="nil"/>
            </w:tcBorders>
          </w:tcPr>
          <w:p w14:paraId="78314CFD"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948" w:type="dxa"/>
            <w:tcBorders>
              <w:top w:val="nil"/>
              <w:left w:val="nil"/>
              <w:bottom w:val="nil"/>
              <w:right w:val="nil"/>
            </w:tcBorders>
          </w:tcPr>
          <w:p w14:paraId="16637375"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00511890"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4228039C"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141F5377"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10D1AB4A"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82" w:type="dxa"/>
            <w:tcBorders>
              <w:top w:val="nil"/>
              <w:left w:val="nil"/>
              <w:bottom w:val="nil"/>
              <w:right w:val="nil"/>
            </w:tcBorders>
          </w:tcPr>
          <w:p w14:paraId="56A4EC0E"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(0.0512)</w:t>
            </w:r>
          </w:p>
        </w:tc>
      </w:tr>
      <w:tr w:rsidR="00E900DB" w:rsidRPr="00CF3C36" w14:paraId="00B35EF5" w14:textId="77777777" w:rsidTr="00415E7F">
        <w:trPr>
          <w:jc w:val="center"/>
        </w:trPr>
        <w:tc>
          <w:tcPr>
            <w:tcW w:w="1559" w:type="dxa"/>
            <w:tcBorders>
              <w:top w:val="nil"/>
              <w:left w:val="nil"/>
              <w:bottom w:val="nil"/>
              <w:right w:val="nil"/>
            </w:tcBorders>
          </w:tcPr>
          <w:p w14:paraId="0723962D"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Constant</w:t>
            </w:r>
          </w:p>
        </w:tc>
        <w:tc>
          <w:tcPr>
            <w:tcW w:w="948" w:type="dxa"/>
            <w:tcBorders>
              <w:top w:val="nil"/>
              <w:left w:val="nil"/>
              <w:bottom w:val="nil"/>
              <w:right w:val="nil"/>
            </w:tcBorders>
          </w:tcPr>
          <w:p w14:paraId="7B44F1B1"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-4.581**</w:t>
            </w:r>
          </w:p>
        </w:tc>
        <w:tc>
          <w:tcPr>
            <w:tcW w:w="948" w:type="dxa"/>
            <w:tcBorders>
              <w:top w:val="nil"/>
              <w:left w:val="nil"/>
              <w:bottom w:val="nil"/>
              <w:right w:val="nil"/>
            </w:tcBorders>
          </w:tcPr>
          <w:p w14:paraId="1EF92018"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-78.29***</w:t>
            </w:r>
          </w:p>
        </w:tc>
        <w:tc>
          <w:tcPr>
            <w:tcW w:w="948" w:type="dxa"/>
            <w:tcBorders>
              <w:top w:val="nil"/>
              <w:left w:val="nil"/>
              <w:bottom w:val="nil"/>
              <w:right w:val="nil"/>
            </w:tcBorders>
          </w:tcPr>
          <w:p w14:paraId="5650F7E2"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-75.37***</w:t>
            </w:r>
          </w:p>
        </w:tc>
        <w:tc>
          <w:tcPr>
            <w:tcW w:w="948" w:type="dxa"/>
            <w:tcBorders>
              <w:top w:val="nil"/>
              <w:left w:val="nil"/>
              <w:bottom w:val="nil"/>
              <w:right w:val="nil"/>
            </w:tcBorders>
          </w:tcPr>
          <w:p w14:paraId="7B4277A8"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-90.71***</w:t>
            </w:r>
          </w:p>
        </w:tc>
        <w:tc>
          <w:tcPr>
            <w:tcW w:w="948" w:type="dxa"/>
            <w:tcBorders>
              <w:top w:val="nil"/>
              <w:left w:val="nil"/>
              <w:bottom w:val="nil"/>
              <w:right w:val="nil"/>
            </w:tcBorders>
          </w:tcPr>
          <w:p w14:paraId="3FF57113"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-90.80***</w:t>
            </w:r>
          </w:p>
        </w:tc>
        <w:tc>
          <w:tcPr>
            <w:tcW w:w="982" w:type="dxa"/>
            <w:tcBorders>
              <w:top w:val="nil"/>
              <w:left w:val="nil"/>
              <w:bottom w:val="nil"/>
              <w:right w:val="nil"/>
            </w:tcBorders>
          </w:tcPr>
          <w:p w14:paraId="45FFC848"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-76.95***</w:t>
            </w:r>
          </w:p>
        </w:tc>
      </w:tr>
      <w:tr w:rsidR="00E900DB" w:rsidRPr="00CF3C36" w14:paraId="1B8AC97B" w14:textId="77777777" w:rsidTr="00415E7F">
        <w:trPr>
          <w:jc w:val="center"/>
        </w:trPr>
        <w:tc>
          <w:tcPr>
            <w:tcW w:w="1559" w:type="dxa"/>
            <w:tcBorders>
              <w:top w:val="nil"/>
              <w:left w:val="nil"/>
              <w:bottom w:val="nil"/>
              <w:right w:val="nil"/>
            </w:tcBorders>
          </w:tcPr>
          <w:p w14:paraId="7C4E8696"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948" w:type="dxa"/>
            <w:tcBorders>
              <w:top w:val="nil"/>
              <w:left w:val="nil"/>
              <w:bottom w:val="nil"/>
              <w:right w:val="nil"/>
            </w:tcBorders>
          </w:tcPr>
          <w:p w14:paraId="6B8E216D"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(1.622)</w:t>
            </w:r>
          </w:p>
        </w:tc>
        <w:tc>
          <w:tcPr>
            <w:tcW w:w="948" w:type="dxa"/>
            <w:tcBorders>
              <w:top w:val="nil"/>
              <w:left w:val="nil"/>
              <w:bottom w:val="nil"/>
              <w:right w:val="nil"/>
            </w:tcBorders>
          </w:tcPr>
          <w:p w14:paraId="46A53E6B"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(9.021)</w:t>
            </w:r>
          </w:p>
        </w:tc>
        <w:tc>
          <w:tcPr>
            <w:tcW w:w="948" w:type="dxa"/>
            <w:tcBorders>
              <w:top w:val="nil"/>
              <w:left w:val="nil"/>
              <w:bottom w:val="nil"/>
              <w:right w:val="nil"/>
            </w:tcBorders>
          </w:tcPr>
          <w:p w14:paraId="4C587765"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(10.61)</w:t>
            </w:r>
          </w:p>
        </w:tc>
        <w:tc>
          <w:tcPr>
            <w:tcW w:w="948" w:type="dxa"/>
            <w:tcBorders>
              <w:top w:val="nil"/>
              <w:left w:val="nil"/>
              <w:bottom w:val="nil"/>
              <w:right w:val="nil"/>
            </w:tcBorders>
          </w:tcPr>
          <w:p w14:paraId="78E94670"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(15.59)</w:t>
            </w:r>
          </w:p>
        </w:tc>
        <w:tc>
          <w:tcPr>
            <w:tcW w:w="948" w:type="dxa"/>
            <w:tcBorders>
              <w:top w:val="nil"/>
              <w:left w:val="nil"/>
              <w:bottom w:val="nil"/>
              <w:right w:val="nil"/>
            </w:tcBorders>
          </w:tcPr>
          <w:p w14:paraId="28403458"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(15.62)</w:t>
            </w:r>
          </w:p>
        </w:tc>
        <w:tc>
          <w:tcPr>
            <w:tcW w:w="982" w:type="dxa"/>
            <w:tcBorders>
              <w:top w:val="nil"/>
              <w:left w:val="nil"/>
              <w:bottom w:val="nil"/>
              <w:right w:val="nil"/>
            </w:tcBorders>
          </w:tcPr>
          <w:p w14:paraId="4224DEF9"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(19.36)</w:t>
            </w:r>
          </w:p>
        </w:tc>
      </w:tr>
      <w:tr w:rsidR="00E900DB" w:rsidRPr="00CF3C36" w14:paraId="43C77E61" w14:textId="77777777" w:rsidTr="00415E7F">
        <w:trPr>
          <w:jc w:val="center"/>
        </w:trPr>
        <w:tc>
          <w:tcPr>
            <w:tcW w:w="1559" w:type="dxa"/>
            <w:tcBorders>
              <w:top w:val="nil"/>
              <w:left w:val="nil"/>
              <w:bottom w:val="nil"/>
              <w:right w:val="nil"/>
            </w:tcBorders>
          </w:tcPr>
          <w:p w14:paraId="3660310D"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948" w:type="dxa"/>
            <w:tcBorders>
              <w:top w:val="nil"/>
              <w:left w:val="nil"/>
              <w:bottom w:val="nil"/>
              <w:right w:val="nil"/>
            </w:tcBorders>
          </w:tcPr>
          <w:p w14:paraId="2346907F"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65222AA1"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6ACA622A"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7124D2E0"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48" w:type="dxa"/>
            <w:tcBorders>
              <w:top w:val="nil"/>
              <w:left w:val="nil"/>
              <w:bottom w:val="nil"/>
              <w:right w:val="nil"/>
            </w:tcBorders>
          </w:tcPr>
          <w:p w14:paraId="2CBAD1B0"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82" w:type="dxa"/>
            <w:tcBorders>
              <w:top w:val="nil"/>
              <w:left w:val="nil"/>
              <w:bottom w:val="nil"/>
              <w:right w:val="nil"/>
            </w:tcBorders>
          </w:tcPr>
          <w:p w14:paraId="160B1F96"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E900DB" w:rsidRPr="00CF3C36" w14:paraId="2CF6BE35" w14:textId="77777777" w:rsidTr="00415E7F">
        <w:trPr>
          <w:jc w:val="center"/>
        </w:trPr>
        <w:tc>
          <w:tcPr>
            <w:tcW w:w="1559" w:type="dxa"/>
            <w:tcBorders>
              <w:top w:val="nil"/>
              <w:left w:val="nil"/>
              <w:bottom w:val="nil"/>
              <w:right w:val="nil"/>
            </w:tcBorders>
          </w:tcPr>
          <w:p w14:paraId="5748349D"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Observations</w:t>
            </w:r>
          </w:p>
        </w:tc>
        <w:tc>
          <w:tcPr>
            <w:tcW w:w="948" w:type="dxa"/>
            <w:tcBorders>
              <w:top w:val="nil"/>
              <w:left w:val="nil"/>
              <w:bottom w:val="nil"/>
              <w:right w:val="nil"/>
            </w:tcBorders>
          </w:tcPr>
          <w:p w14:paraId="08176206"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502</w:t>
            </w:r>
          </w:p>
        </w:tc>
        <w:tc>
          <w:tcPr>
            <w:tcW w:w="948" w:type="dxa"/>
            <w:tcBorders>
              <w:top w:val="nil"/>
              <w:left w:val="nil"/>
              <w:bottom w:val="nil"/>
              <w:right w:val="nil"/>
            </w:tcBorders>
          </w:tcPr>
          <w:p w14:paraId="041844BE"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502</w:t>
            </w:r>
          </w:p>
        </w:tc>
        <w:tc>
          <w:tcPr>
            <w:tcW w:w="948" w:type="dxa"/>
            <w:tcBorders>
              <w:top w:val="nil"/>
              <w:left w:val="nil"/>
              <w:bottom w:val="nil"/>
              <w:right w:val="nil"/>
            </w:tcBorders>
          </w:tcPr>
          <w:p w14:paraId="3211E838"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502</w:t>
            </w:r>
          </w:p>
        </w:tc>
        <w:tc>
          <w:tcPr>
            <w:tcW w:w="948" w:type="dxa"/>
            <w:tcBorders>
              <w:top w:val="nil"/>
              <w:left w:val="nil"/>
              <w:bottom w:val="nil"/>
              <w:right w:val="nil"/>
            </w:tcBorders>
          </w:tcPr>
          <w:p w14:paraId="740672D9"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502</w:t>
            </w:r>
          </w:p>
        </w:tc>
        <w:tc>
          <w:tcPr>
            <w:tcW w:w="948" w:type="dxa"/>
            <w:tcBorders>
              <w:top w:val="nil"/>
              <w:left w:val="nil"/>
              <w:bottom w:val="nil"/>
              <w:right w:val="nil"/>
            </w:tcBorders>
          </w:tcPr>
          <w:p w14:paraId="3670EC1D"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502</w:t>
            </w:r>
          </w:p>
        </w:tc>
        <w:tc>
          <w:tcPr>
            <w:tcW w:w="982" w:type="dxa"/>
            <w:tcBorders>
              <w:top w:val="nil"/>
              <w:left w:val="nil"/>
              <w:bottom w:val="nil"/>
              <w:right w:val="nil"/>
            </w:tcBorders>
          </w:tcPr>
          <w:p w14:paraId="251EE2FD"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502</w:t>
            </w:r>
          </w:p>
        </w:tc>
      </w:tr>
      <w:tr w:rsidR="00E900DB" w:rsidRPr="00CF3C36" w14:paraId="4DF8F1C5" w14:textId="77777777" w:rsidTr="00415E7F">
        <w:tblPrEx>
          <w:tblBorders>
            <w:bottom w:val="single" w:sz="6" w:space="0" w:color="auto"/>
          </w:tblBorders>
        </w:tblPrEx>
        <w:trPr>
          <w:jc w:val="center"/>
        </w:trPr>
        <w:tc>
          <w:tcPr>
            <w:tcW w:w="1559" w:type="dxa"/>
            <w:tcBorders>
              <w:top w:val="nil"/>
              <w:left w:val="nil"/>
              <w:bottom w:val="single" w:sz="6" w:space="0" w:color="auto"/>
              <w:right w:val="nil"/>
            </w:tcBorders>
          </w:tcPr>
          <w:p w14:paraId="10EBB6DF" w14:textId="77777777" w:rsidR="00E900DB" w:rsidRPr="00CF3C36" w:rsidRDefault="00E900DB"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Number of groups</w:t>
            </w:r>
          </w:p>
        </w:tc>
        <w:tc>
          <w:tcPr>
            <w:tcW w:w="948" w:type="dxa"/>
            <w:tcBorders>
              <w:top w:val="nil"/>
              <w:left w:val="nil"/>
              <w:bottom w:val="single" w:sz="6" w:space="0" w:color="auto"/>
              <w:right w:val="nil"/>
            </w:tcBorders>
          </w:tcPr>
          <w:p w14:paraId="3DD344A8"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71</w:t>
            </w:r>
          </w:p>
        </w:tc>
        <w:tc>
          <w:tcPr>
            <w:tcW w:w="948" w:type="dxa"/>
            <w:tcBorders>
              <w:top w:val="nil"/>
              <w:left w:val="nil"/>
              <w:bottom w:val="single" w:sz="6" w:space="0" w:color="auto"/>
              <w:right w:val="nil"/>
            </w:tcBorders>
          </w:tcPr>
          <w:p w14:paraId="6CFDAAFC"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71</w:t>
            </w:r>
          </w:p>
        </w:tc>
        <w:tc>
          <w:tcPr>
            <w:tcW w:w="948" w:type="dxa"/>
            <w:tcBorders>
              <w:top w:val="nil"/>
              <w:left w:val="nil"/>
              <w:bottom w:val="single" w:sz="6" w:space="0" w:color="auto"/>
              <w:right w:val="nil"/>
            </w:tcBorders>
          </w:tcPr>
          <w:p w14:paraId="5A956A19"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71</w:t>
            </w:r>
          </w:p>
        </w:tc>
        <w:tc>
          <w:tcPr>
            <w:tcW w:w="948" w:type="dxa"/>
            <w:tcBorders>
              <w:top w:val="nil"/>
              <w:left w:val="nil"/>
              <w:bottom w:val="single" w:sz="6" w:space="0" w:color="auto"/>
              <w:right w:val="nil"/>
            </w:tcBorders>
          </w:tcPr>
          <w:p w14:paraId="3114384B"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71</w:t>
            </w:r>
          </w:p>
        </w:tc>
        <w:tc>
          <w:tcPr>
            <w:tcW w:w="948" w:type="dxa"/>
            <w:tcBorders>
              <w:top w:val="nil"/>
              <w:left w:val="nil"/>
              <w:bottom w:val="single" w:sz="6" w:space="0" w:color="auto"/>
              <w:right w:val="nil"/>
            </w:tcBorders>
          </w:tcPr>
          <w:p w14:paraId="6FC06EB5"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71</w:t>
            </w:r>
          </w:p>
        </w:tc>
        <w:tc>
          <w:tcPr>
            <w:tcW w:w="982" w:type="dxa"/>
            <w:tcBorders>
              <w:top w:val="nil"/>
              <w:left w:val="nil"/>
              <w:bottom w:val="single" w:sz="6" w:space="0" w:color="auto"/>
              <w:right w:val="nil"/>
            </w:tcBorders>
          </w:tcPr>
          <w:p w14:paraId="44641150" w14:textId="77777777" w:rsidR="00E900DB" w:rsidRPr="00CF3C36" w:rsidRDefault="00E900DB"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71</w:t>
            </w:r>
          </w:p>
        </w:tc>
      </w:tr>
    </w:tbl>
    <w:p w14:paraId="625FE5E3" w14:textId="77777777" w:rsidR="00E900DB" w:rsidRPr="00CF3C36" w:rsidRDefault="00E900DB" w:rsidP="00E900DB">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Driscoll-Kraay standard errors in parentheses</w:t>
      </w:r>
    </w:p>
    <w:p w14:paraId="14030EB5" w14:textId="77777777" w:rsidR="00E900DB" w:rsidRPr="00CF3C36" w:rsidRDefault="00E900DB" w:rsidP="00E900DB">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 p&lt;0.01, ** p&lt;0.05, * p&lt;0.1</w:t>
      </w:r>
    </w:p>
    <w:p w14:paraId="7BC38E32" w14:textId="77777777" w:rsidR="00EB469A" w:rsidRPr="00CF3C36" w:rsidRDefault="00EB469A" w:rsidP="002D3F4A">
      <w:pPr>
        <w:jc w:val="center"/>
        <w:rPr>
          <w:rFonts w:ascii="Times New Roman" w:hAnsi="Times New Roman" w:cs="Times New Roman"/>
          <w:sz w:val="18"/>
          <w:szCs w:val="18"/>
          <w:lang w:val="en-GB"/>
        </w:rPr>
      </w:pPr>
    </w:p>
    <w:p w14:paraId="4A2607E2" w14:textId="77777777" w:rsidR="00EB469A" w:rsidRPr="00CF3C36" w:rsidRDefault="00EB469A" w:rsidP="002D3F4A">
      <w:pPr>
        <w:jc w:val="center"/>
        <w:rPr>
          <w:rFonts w:ascii="Times New Roman" w:hAnsi="Times New Roman" w:cs="Times New Roman"/>
          <w:sz w:val="18"/>
          <w:szCs w:val="18"/>
          <w:lang w:val="en-GB"/>
        </w:rPr>
      </w:pPr>
    </w:p>
    <w:p w14:paraId="30094C62" w14:textId="77777777" w:rsidR="00EB469A" w:rsidRPr="00CF3C36" w:rsidRDefault="00EB469A" w:rsidP="002D3F4A">
      <w:pPr>
        <w:jc w:val="center"/>
        <w:rPr>
          <w:rFonts w:ascii="Times New Roman" w:hAnsi="Times New Roman" w:cs="Times New Roman"/>
          <w:sz w:val="18"/>
          <w:szCs w:val="18"/>
          <w:lang w:val="en-GB"/>
        </w:rPr>
      </w:pPr>
    </w:p>
    <w:p w14:paraId="6FC418ED" w14:textId="77777777" w:rsidR="00EB469A" w:rsidRPr="00CF3C36" w:rsidRDefault="00EB469A" w:rsidP="002D3F4A">
      <w:pPr>
        <w:jc w:val="center"/>
        <w:rPr>
          <w:rFonts w:ascii="Times New Roman" w:hAnsi="Times New Roman" w:cs="Times New Roman"/>
          <w:sz w:val="18"/>
          <w:szCs w:val="18"/>
          <w:lang w:val="en-GB"/>
        </w:rPr>
      </w:pPr>
    </w:p>
    <w:p w14:paraId="50FD2752" w14:textId="77777777" w:rsidR="00EB469A" w:rsidRPr="00CF3C36" w:rsidRDefault="00EB469A" w:rsidP="002D3F4A">
      <w:pPr>
        <w:jc w:val="center"/>
        <w:rPr>
          <w:rFonts w:ascii="Times New Roman" w:hAnsi="Times New Roman" w:cs="Times New Roman"/>
          <w:sz w:val="18"/>
          <w:szCs w:val="18"/>
          <w:lang w:val="en-GB"/>
        </w:rPr>
      </w:pPr>
    </w:p>
    <w:p w14:paraId="1ADA4BEF" w14:textId="77777777" w:rsidR="00EB469A" w:rsidRPr="00CF3C36" w:rsidRDefault="00EB469A" w:rsidP="002D3F4A">
      <w:pPr>
        <w:jc w:val="center"/>
        <w:rPr>
          <w:rFonts w:ascii="Times New Roman" w:hAnsi="Times New Roman" w:cs="Times New Roman"/>
          <w:sz w:val="18"/>
          <w:szCs w:val="18"/>
          <w:lang w:val="en-GB"/>
        </w:rPr>
      </w:pPr>
    </w:p>
    <w:p w14:paraId="439FCCD1" w14:textId="77777777" w:rsidR="00EB469A" w:rsidRPr="00CF3C36" w:rsidRDefault="00EB469A" w:rsidP="002D3F4A">
      <w:pPr>
        <w:jc w:val="center"/>
        <w:rPr>
          <w:rFonts w:ascii="Times New Roman" w:hAnsi="Times New Roman" w:cs="Times New Roman"/>
          <w:sz w:val="18"/>
          <w:szCs w:val="18"/>
          <w:lang w:val="en-GB"/>
        </w:rPr>
      </w:pPr>
    </w:p>
    <w:p w14:paraId="64814238" w14:textId="77777777" w:rsidR="00EB469A" w:rsidRPr="00CF3C36" w:rsidRDefault="00EB469A" w:rsidP="002D3F4A">
      <w:pPr>
        <w:jc w:val="center"/>
        <w:rPr>
          <w:rFonts w:ascii="Times New Roman" w:hAnsi="Times New Roman" w:cs="Times New Roman"/>
          <w:sz w:val="18"/>
          <w:szCs w:val="18"/>
          <w:lang w:val="en-GB"/>
        </w:rPr>
      </w:pPr>
    </w:p>
    <w:p w14:paraId="4DD64572" w14:textId="77777777" w:rsidR="00EB469A" w:rsidRPr="00CF3C36" w:rsidRDefault="00EB469A" w:rsidP="002D3F4A">
      <w:pPr>
        <w:jc w:val="center"/>
        <w:rPr>
          <w:rFonts w:ascii="Times New Roman" w:hAnsi="Times New Roman" w:cs="Times New Roman"/>
          <w:sz w:val="18"/>
          <w:szCs w:val="18"/>
          <w:lang w:val="en-GB"/>
        </w:rPr>
      </w:pPr>
    </w:p>
    <w:p w14:paraId="3032FDDB" w14:textId="77777777" w:rsidR="00EB469A" w:rsidRPr="00CF3C36" w:rsidRDefault="00EB469A" w:rsidP="002D3F4A">
      <w:pPr>
        <w:jc w:val="center"/>
        <w:rPr>
          <w:rFonts w:ascii="Times New Roman" w:hAnsi="Times New Roman" w:cs="Times New Roman"/>
          <w:sz w:val="18"/>
          <w:szCs w:val="18"/>
          <w:lang w:val="en-GB"/>
        </w:rPr>
      </w:pPr>
    </w:p>
    <w:p w14:paraId="2F41936D" w14:textId="77777777" w:rsidR="00EB469A" w:rsidRPr="00CF3C36" w:rsidRDefault="00EB469A" w:rsidP="002D3F4A">
      <w:pPr>
        <w:jc w:val="center"/>
        <w:rPr>
          <w:rFonts w:ascii="Times New Roman" w:hAnsi="Times New Roman" w:cs="Times New Roman"/>
          <w:sz w:val="18"/>
          <w:szCs w:val="18"/>
          <w:lang w:val="en-GB"/>
        </w:rPr>
      </w:pPr>
    </w:p>
    <w:p w14:paraId="01C18069" w14:textId="77777777" w:rsidR="00EB469A" w:rsidRPr="00CF3C36" w:rsidRDefault="00EB469A" w:rsidP="002D3F4A">
      <w:pPr>
        <w:jc w:val="center"/>
        <w:rPr>
          <w:rFonts w:ascii="Times New Roman" w:hAnsi="Times New Roman" w:cs="Times New Roman"/>
          <w:sz w:val="18"/>
          <w:szCs w:val="18"/>
          <w:lang w:val="en-GB"/>
        </w:rPr>
      </w:pPr>
    </w:p>
    <w:p w14:paraId="7767FE61" w14:textId="77777777" w:rsidR="00EB469A" w:rsidRPr="00CF3C36" w:rsidRDefault="00EB469A" w:rsidP="002D3F4A">
      <w:pPr>
        <w:jc w:val="center"/>
        <w:rPr>
          <w:rFonts w:ascii="Times New Roman" w:hAnsi="Times New Roman" w:cs="Times New Roman"/>
          <w:sz w:val="18"/>
          <w:szCs w:val="18"/>
          <w:lang w:val="en-GB"/>
        </w:rPr>
      </w:pPr>
    </w:p>
    <w:p w14:paraId="6B96BEF5" w14:textId="77777777" w:rsidR="00EB469A" w:rsidRPr="00CF3C36" w:rsidRDefault="00EB469A" w:rsidP="002D3F4A">
      <w:pPr>
        <w:jc w:val="center"/>
        <w:rPr>
          <w:rFonts w:ascii="Times New Roman" w:hAnsi="Times New Roman" w:cs="Times New Roman"/>
          <w:sz w:val="18"/>
          <w:szCs w:val="18"/>
          <w:lang w:val="en-GB"/>
        </w:rPr>
      </w:pPr>
    </w:p>
    <w:p w14:paraId="1128A72E" w14:textId="77777777" w:rsidR="00EB469A" w:rsidRPr="00CF3C36" w:rsidRDefault="00EB469A" w:rsidP="002D3F4A">
      <w:pPr>
        <w:jc w:val="center"/>
        <w:rPr>
          <w:rFonts w:ascii="Times New Roman" w:hAnsi="Times New Roman" w:cs="Times New Roman"/>
          <w:sz w:val="18"/>
          <w:szCs w:val="18"/>
          <w:lang w:val="en-GB"/>
        </w:rPr>
      </w:pPr>
    </w:p>
    <w:p w14:paraId="5FA25205" w14:textId="77777777" w:rsidR="00EB469A" w:rsidRPr="00CF3C36" w:rsidRDefault="00EB469A" w:rsidP="002D3F4A">
      <w:pPr>
        <w:jc w:val="center"/>
        <w:rPr>
          <w:rFonts w:ascii="Times New Roman" w:hAnsi="Times New Roman" w:cs="Times New Roman"/>
          <w:sz w:val="18"/>
          <w:szCs w:val="18"/>
          <w:lang w:val="en-GB"/>
        </w:rPr>
      </w:pPr>
    </w:p>
    <w:p w14:paraId="71318080" w14:textId="77777777" w:rsidR="00EB469A" w:rsidRPr="00CF3C36" w:rsidRDefault="00EB469A" w:rsidP="002D3F4A">
      <w:pPr>
        <w:jc w:val="center"/>
        <w:rPr>
          <w:rFonts w:ascii="Times New Roman" w:hAnsi="Times New Roman" w:cs="Times New Roman"/>
          <w:sz w:val="18"/>
          <w:szCs w:val="18"/>
          <w:lang w:val="en-GB"/>
        </w:rPr>
      </w:pPr>
    </w:p>
    <w:p w14:paraId="131BA3EA" w14:textId="77777777" w:rsidR="00EB469A" w:rsidRPr="00CF3C36" w:rsidRDefault="00EB469A" w:rsidP="002D3F4A">
      <w:pPr>
        <w:jc w:val="center"/>
        <w:rPr>
          <w:rFonts w:ascii="Times New Roman" w:hAnsi="Times New Roman" w:cs="Times New Roman"/>
          <w:sz w:val="18"/>
          <w:szCs w:val="18"/>
          <w:lang w:val="en-GB"/>
        </w:rPr>
      </w:pPr>
    </w:p>
    <w:p w14:paraId="266C13C3" w14:textId="77777777" w:rsidR="00EB469A" w:rsidRPr="00CF3C36" w:rsidRDefault="00EB469A" w:rsidP="002D3F4A">
      <w:pPr>
        <w:jc w:val="center"/>
        <w:rPr>
          <w:rFonts w:ascii="Times New Roman" w:hAnsi="Times New Roman" w:cs="Times New Roman"/>
          <w:sz w:val="18"/>
          <w:szCs w:val="18"/>
          <w:lang w:val="en-GB"/>
        </w:rPr>
      </w:pPr>
    </w:p>
    <w:p w14:paraId="1B3EEBD2" w14:textId="77777777" w:rsidR="00EB469A" w:rsidRPr="00CF3C36" w:rsidRDefault="00EB469A" w:rsidP="002D3F4A">
      <w:pPr>
        <w:jc w:val="center"/>
        <w:rPr>
          <w:rFonts w:ascii="Times New Roman" w:hAnsi="Times New Roman" w:cs="Times New Roman"/>
          <w:sz w:val="18"/>
          <w:szCs w:val="18"/>
          <w:lang w:val="en-GB"/>
        </w:rPr>
      </w:pPr>
    </w:p>
    <w:p w14:paraId="42026D41" w14:textId="3E25DFF8" w:rsidR="00EB469A" w:rsidRPr="00CF3C36" w:rsidRDefault="0033675A" w:rsidP="00864C4C">
      <w:pPr>
        <w:pStyle w:val="Heading5"/>
        <w:jc w:val="center"/>
        <w:rPr>
          <w:lang w:val="en-GB"/>
        </w:rPr>
      </w:pPr>
      <w:bookmarkStart w:id="52" w:name="_Toc15475684"/>
      <w:r w:rsidRPr="00CF3C36">
        <w:rPr>
          <w:lang w:val="en-GB"/>
        </w:rPr>
        <w:lastRenderedPageBreak/>
        <w:t>Table 21</w:t>
      </w:r>
      <w:r w:rsidR="00864C4C" w:rsidRPr="00CF3C36">
        <w:rPr>
          <w:lang w:val="en-GB"/>
        </w:rPr>
        <w:t xml:space="preserve">. </w:t>
      </w:r>
      <w:r w:rsidR="00EB469A" w:rsidRPr="00CF3C36">
        <w:rPr>
          <w:lang w:val="en-GB"/>
        </w:rPr>
        <w:t>Build-up Model 2 with robust standard errors (xtreg, fe vce(cluster cou1))</w:t>
      </w:r>
      <w:bookmarkEnd w:id="52"/>
    </w:p>
    <w:tbl>
      <w:tblPr>
        <w:tblW w:w="0" w:type="auto"/>
        <w:jc w:val="center"/>
        <w:tblLayout w:type="fixed"/>
        <w:tblCellMar>
          <w:left w:w="75" w:type="dxa"/>
          <w:right w:w="75" w:type="dxa"/>
        </w:tblCellMar>
        <w:tblLook w:val="0000" w:firstRow="0" w:lastRow="0" w:firstColumn="0" w:lastColumn="0" w:noHBand="0" w:noVBand="0"/>
      </w:tblPr>
      <w:tblGrid>
        <w:gridCol w:w="1559"/>
        <w:gridCol w:w="840"/>
        <w:gridCol w:w="1003"/>
        <w:gridCol w:w="993"/>
        <w:gridCol w:w="992"/>
        <w:gridCol w:w="992"/>
        <w:gridCol w:w="992"/>
      </w:tblGrid>
      <w:tr w:rsidR="002D3F4A" w:rsidRPr="00CF3C36" w14:paraId="56D8D743" w14:textId="77777777" w:rsidTr="0033505A">
        <w:trPr>
          <w:jc w:val="center"/>
        </w:trPr>
        <w:tc>
          <w:tcPr>
            <w:tcW w:w="1559" w:type="dxa"/>
            <w:tcBorders>
              <w:top w:val="single" w:sz="6" w:space="0" w:color="auto"/>
              <w:left w:val="nil"/>
              <w:bottom w:val="nil"/>
              <w:right w:val="nil"/>
            </w:tcBorders>
          </w:tcPr>
          <w:p w14:paraId="6472AADA"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840" w:type="dxa"/>
            <w:tcBorders>
              <w:top w:val="single" w:sz="6" w:space="0" w:color="auto"/>
              <w:left w:val="nil"/>
              <w:bottom w:val="nil"/>
              <w:right w:val="nil"/>
            </w:tcBorders>
          </w:tcPr>
          <w:p w14:paraId="1E114E61"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w:t>
            </w:r>
          </w:p>
        </w:tc>
        <w:tc>
          <w:tcPr>
            <w:tcW w:w="1003" w:type="dxa"/>
            <w:tcBorders>
              <w:top w:val="single" w:sz="6" w:space="0" w:color="auto"/>
              <w:left w:val="nil"/>
              <w:bottom w:val="nil"/>
              <w:right w:val="nil"/>
            </w:tcBorders>
          </w:tcPr>
          <w:p w14:paraId="18F8A945"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w:t>
            </w:r>
          </w:p>
        </w:tc>
        <w:tc>
          <w:tcPr>
            <w:tcW w:w="993" w:type="dxa"/>
            <w:tcBorders>
              <w:top w:val="single" w:sz="6" w:space="0" w:color="auto"/>
              <w:left w:val="nil"/>
              <w:bottom w:val="nil"/>
              <w:right w:val="nil"/>
            </w:tcBorders>
          </w:tcPr>
          <w:p w14:paraId="1682813A"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w:t>
            </w:r>
          </w:p>
        </w:tc>
        <w:tc>
          <w:tcPr>
            <w:tcW w:w="992" w:type="dxa"/>
            <w:tcBorders>
              <w:top w:val="single" w:sz="6" w:space="0" w:color="auto"/>
              <w:left w:val="nil"/>
              <w:bottom w:val="nil"/>
              <w:right w:val="nil"/>
            </w:tcBorders>
          </w:tcPr>
          <w:p w14:paraId="27A45AA6"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w:t>
            </w:r>
          </w:p>
        </w:tc>
        <w:tc>
          <w:tcPr>
            <w:tcW w:w="992" w:type="dxa"/>
            <w:tcBorders>
              <w:top w:val="single" w:sz="6" w:space="0" w:color="auto"/>
              <w:left w:val="nil"/>
              <w:bottom w:val="nil"/>
              <w:right w:val="nil"/>
            </w:tcBorders>
          </w:tcPr>
          <w:p w14:paraId="67365E34"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w:t>
            </w:r>
          </w:p>
        </w:tc>
        <w:tc>
          <w:tcPr>
            <w:tcW w:w="992" w:type="dxa"/>
            <w:tcBorders>
              <w:top w:val="single" w:sz="6" w:space="0" w:color="auto"/>
              <w:left w:val="nil"/>
              <w:bottom w:val="nil"/>
              <w:right w:val="nil"/>
            </w:tcBorders>
          </w:tcPr>
          <w:p w14:paraId="2BC8F12B"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w:t>
            </w:r>
          </w:p>
        </w:tc>
      </w:tr>
      <w:tr w:rsidR="002D3F4A" w:rsidRPr="00CF3C36" w14:paraId="084619E0" w14:textId="77777777" w:rsidTr="0033505A">
        <w:trPr>
          <w:jc w:val="center"/>
        </w:trPr>
        <w:tc>
          <w:tcPr>
            <w:tcW w:w="1559" w:type="dxa"/>
            <w:tcBorders>
              <w:top w:val="nil"/>
              <w:left w:val="nil"/>
              <w:bottom w:val="single" w:sz="6" w:space="0" w:color="auto"/>
              <w:right w:val="nil"/>
            </w:tcBorders>
          </w:tcPr>
          <w:p w14:paraId="57C6FA9B"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VARIABLES</w:t>
            </w:r>
          </w:p>
        </w:tc>
        <w:tc>
          <w:tcPr>
            <w:tcW w:w="840" w:type="dxa"/>
            <w:tcBorders>
              <w:top w:val="nil"/>
              <w:left w:val="nil"/>
              <w:bottom w:val="single" w:sz="6" w:space="0" w:color="auto"/>
              <w:right w:val="nil"/>
            </w:tcBorders>
          </w:tcPr>
          <w:p w14:paraId="07890147"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w:t>
            </w:r>
          </w:p>
        </w:tc>
        <w:tc>
          <w:tcPr>
            <w:tcW w:w="1003" w:type="dxa"/>
            <w:tcBorders>
              <w:top w:val="nil"/>
              <w:left w:val="nil"/>
              <w:bottom w:val="single" w:sz="6" w:space="0" w:color="auto"/>
              <w:right w:val="nil"/>
            </w:tcBorders>
          </w:tcPr>
          <w:p w14:paraId="2E02A2A9"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w:t>
            </w:r>
          </w:p>
        </w:tc>
        <w:tc>
          <w:tcPr>
            <w:tcW w:w="993" w:type="dxa"/>
            <w:tcBorders>
              <w:top w:val="nil"/>
              <w:left w:val="nil"/>
              <w:bottom w:val="single" w:sz="6" w:space="0" w:color="auto"/>
              <w:right w:val="nil"/>
            </w:tcBorders>
          </w:tcPr>
          <w:p w14:paraId="36270B21"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w:t>
            </w:r>
          </w:p>
        </w:tc>
        <w:tc>
          <w:tcPr>
            <w:tcW w:w="992" w:type="dxa"/>
            <w:tcBorders>
              <w:top w:val="nil"/>
              <w:left w:val="nil"/>
              <w:bottom w:val="single" w:sz="6" w:space="0" w:color="auto"/>
              <w:right w:val="nil"/>
            </w:tcBorders>
          </w:tcPr>
          <w:p w14:paraId="12E2D3BF"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w:t>
            </w:r>
          </w:p>
        </w:tc>
        <w:tc>
          <w:tcPr>
            <w:tcW w:w="992" w:type="dxa"/>
            <w:tcBorders>
              <w:top w:val="nil"/>
              <w:left w:val="nil"/>
              <w:bottom w:val="single" w:sz="6" w:space="0" w:color="auto"/>
              <w:right w:val="nil"/>
            </w:tcBorders>
          </w:tcPr>
          <w:p w14:paraId="22E2094D"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w:t>
            </w:r>
          </w:p>
        </w:tc>
        <w:tc>
          <w:tcPr>
            <w:tcW w:w="992" w:type="dxa"/>
            <w:tcBorders>
              <w:top w:val="nil"/>
              <w:left w:val="nil"/>
              <w:bottom w:val="single" w:sz="6" w:space="0" w:color="auto"/>
              <w:right w:val="nil"/>
            </w:tcBorders>
          </w:tcPr>
          <w:p w14:paraId="548B8A51"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w:t>
            </w:r>
          </w:p>
        </w:tc>
      </w:tr>
      <w:tr w:rsidR="002D3F4A" w:rsidRPr="00CF3C36" w14:paraId="0D092CC0" w14:textId="77777777" w:rsidTr="0033505A">
        <w:trPr>
          <w:jc w:val="center"/>
        </w:trPr>
        <w:tc>
          <w:tcPr>
            <w:tcW w:w="1559" w:type="dxa"/>
            <w:tcBorders>
              <w:top w:val="nil"/>
              <w:left w:val="nil"/>
              <w:bottom w:val="nil"/>
              <w:right w:val="nil"/>
            </w:tcBorders>
          </w:tcPr>
          <w:p w14:paraId="045B4EB1"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840" w:type="dxa"/>
            <w:tcBorders>
              <w:top w:val="nil"/>
              <w:left w:val="nil"/>
              <w:bottom w:val="nil"/>
              <w:right w:val="nil"/>
            </w:tcBorders>
          </w:tcPr>
          <w:p w14:paraId="3DE68523"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03" w:type="dxa"/>
            <w:tcBorders>
              <w:top w:val="nil"/>
              <w:left w:val="nil"/>
              <w:bottom w:val="nil"/>
              <w:right w:val="nil"/>
            </w:tcBorders>
          </w:tcPr>
          <w:p w14:paraId="4F8E6954"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3" w:type="dxa"/>
            <w:tcBorders>
              <w:top w:val="nil"/>
              <w:left w:val="nil"/>
              <w:bottom w:val="nil"/>
              <w:right w:val="nil"/>
            </w:tcBorders>
          </w:tcPr>
          <w:p w14:paraId="256B9EA6"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2CB205B2"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44914AC4"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14EE1786"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2D3F4A" w:rsidRPr="00CF3C36" w14:paraId="725B5A7B" w14:textId="77777777" w:rsidTr="0033505A">
        <w:trPr>
          <w:jc w:val="center"/>
        </w:trPr>
        <w:tc>
          <w:tcPr>
            <w:tcW w:w="1559" w:type="dxa"/>
            <w:tcBorders>
              <w:top w:val="nil"/>
              <w:left w:val="nil"/>
              <w:bottom w:val="nil"/>
              <w:right w:val="nil"/>
            </w:tcBorders>
          </w:tcPr>
          <w:p w14:paraId="340676A7"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w:t>
            </w:r>
          </w:p>
        </w:tc>
        <w:tc>
          <w:tcPr>
            <w:tcW w:w="840" w:type="dxa"/>
            <w:tcBorders>
              <w:top w:val="nil"/>
              <w:left w:val="nil"/>
              <w:bottom w:val="nil"/>
              <w:right w:val="nil"/>
            </w:tcBorders>
          </w:tcPr>
          <w:p w14:paraId="7702A148"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0.231*</w:t>
            </w:r>
          </w:p>
        </w:tc>
        <w:tc>
          <w:tcPr>
            <w:tcW w:w="1003" w:type="dxa"/>
            <w:tcBorders>
              <w:top w:val="nil"/>
              <w:left w:val="nil"/>
              <w:bottom w:val="nil"/>
              <w:right w:val="nil"/>
            </w:tcBorders>
          </w:tcPr>
          <w:p w14:paraId="3AF24556"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0.140</w:t>
            </w:r>
          </w:p>
        </w:tc>
        <w:tc>
          <w:tcPr>
            <w:tcW w:w="993" w:type="dxa"/>
            <w:tcBorders>
              <w:top w:val="nil"/>
              <w:left w:val="nil"/>
              <w:bottom w:val="nil"/>
              <w:right w:val="nil"/>
            </w:tcBorders>
          </w:tcPr>
          <w:p w14:paraId="7B5AC995"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0.155</w:t>
            </w:r>
          </w:p>
        </w:tc>
        <w:tc>
          <w:tcPr>
            <w:tcW w:w="992" w:type="dxa"/>
            <w:tcBorders>
              <w:top w:val="nil"/>
              <w:left w:val="nil"/>
              <w:bottom w:val="nil"/>
              <w:right w:val="nil"/>
            </w:tcBorders>
          </w:tcPr>
          <w:p w14:paraId="64F4550F"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0.160</w:t>
            </w:r>
          </w:p>
        </w:tc>
        <w:tc>
          <w:tcPr>
            <w:tcW w:w="992" w:type="dxa"/>
            <w:tcBorders>
              <w:top w:val="nil"/>
              <w:left w:val="nil"/>
              <w:bottom w:val="nil"/>
              <w:right w:val="nil"/>
            </w:tcBorders>
          </w:tcPr>
          <w:p w14:paraId="0C700B13"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0.160</w:t>
            </w:r>
          </w:p>
        </w:tc>
        <w:tc>
          <w:tcPr>
            <w:tcW w:w="992" w:type="dxa"/>
            <w:tcBorders>
              <w:top w:val="nil"/>
              <w:left w:val="nil"/>
              <w:bottom w:val="nil"/>
              <w:right w:val="nil"/>
            </w:tcBorders>
          </w:tcPr>
          <w:p w14:paraId="41659D96"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0.177</w:t>
            </w:r>
          </w:p>
        </w:tc>
      </w:tr>
      <w:tr w:rsidR="002D3F4A" w:rsidRPr="00CF3C36" w14:paraId="089F0197" w14:textId="77777777" w:rsidTr="0033505A">
        <w:trPr>
          <w:jc w:val="center"/>
        </w:trPr>
        <w:tc>
          <w:tcPr>
            <w:tcW w:w="1559" w:type="dxa"/>
            <w:tcBorders>
              <w:top w:val="nil"/>
              <w:left w:val="nil"/>
              <w:bottom w:val="nil"/>
              <w:right w:val="nil"/>
            </w:tcBorders>
          </w:tcPr>
          <w:p w14:paraId="35AB1C77"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840" w:type="dxa"/>
            <w:tcBorders>
              <w:top w:val="nil"/>
              <w:left w:val="nil"/>
              <w:bottom w:val="nil"/>
              <w:right w:val="nil"/>
            </w:tcBorders>
          </w:tcPr>
          <w:p w14:paraId="006FDDC5"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(0.130)</w:t>
            </w:r>
          </w:p>
        </w:tc>
        <w:tc>
          <w:tcPr>
            <w:tcW w:w="1003" w:type="dxa"/>
            <w:tcBorders>
              <w:top w:val="nil"/>
              <w:left w:val="nil"/>
              <w:bottom w:val="nil"/>
              <w:right w:val="nil"/>
            </w:tcBorders>
          </w:tcPr>
          <w:p w14:paraId="5E9B8E8E"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(0.125)</w:t>
            </w:r>
          </w:p>
        </w:tc>
        <w:tc>
          <w:tcPr>
            <w:tcW w:w="993" w:type="dxa"/>
            <w:tcBorders>
              <w:top w:val="nil"/>
              <w:left w:val="nil"/>
              <w:bottom w:val="nil"/>
              <w:right w:val="nil"/>
            </w:tcBorders>
          </w:tcPr>
          <w:p w14:paraId="10B8BC13"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(0.128)</w:t>
            </w:r>
          </w:p>
        </w:tc>
        <w:tc>
          <w:tcPr>
            <w:tcW w:w="992" w:type="dxa"/>
            <w:tcBorders>
              <w:top w:val="nil"/>
              <w:left w:val="nil"/>
              <w:bottom w:val="nil"/>
              <w:right w:val="nil"/>
            </w:tcBorders>
          </w:tcPr>
          <w:p w14:paraId="1A13E5B8"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(0.129)</w:t>
            </w:r>
          </w:p>
        </w:tc>
        <w:tc>
          <w:tcPr>
            <w:tcW w:w="992" w:type="dxa"/>
            <w:tcBorders>
              <w:top w:val="nil"/>
              <w:left w:val="nil"/>
              <w:bottom w:val="nil"/>
              <w:right w:val="nil"/>
            </w:tcBorders>
          </w:tcPr>
          <w:p w14:paraId="08607BE5"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(0.129)</w:t>
            </w:r>
          </w:p>
        </w:tc>
        <w:tc>
          <w:tcPr>
            <w:tcW w:w="992" w:type="dxa"/>
            <w:tcBorders>
              <w:top w:val="nil"/>
              <w:left w:val="nil"/>
              <w:bottom w:val="nil"/>
              <w:right w:val="nil"/>
            </w:tcBorders>
          </w:tcPr>
          <w:p w14:paraId="787DAE92"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(0.128)</w:t>
            </w:r>
          </w:p>
        </w:tc>
      </w:tr>
      <w:tr w:rsidR="002D3F4A" w:rsidRPr="00CF3C36" w14:paraId="4182A0B1" w14:textId="77777777" w:rsidTr="0033505A">
        <w:trPr>
          <w:jc w:val="center"/>
        </w:trPr>
        <w:tc>
          <w:tcPr>
            <w:tcW w:w="1559" w:type="dxa"/>
            <w:tcBorders>
              <w:top w:val="nil"/>
              <w:left w:val="nil"/>
              <w:bottom w:val="nil"/>
              <w:right w:val="nil"/>
            </w:tcBorders>
          </w:tcPr>
          <w:p w14:paraId="570CBCB8"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ln_rgdpna</w:t>
            </w:r>
          </w:p>
        </w:tc>
        <w:tc>
          <w:tcPr>
            <w:tcW w:w="840" w:type="dxa"/>
            <w:tcBorders>
              <w:top w:val="nil"/>
              <w:left w:val="nil"/>
              <w:bottom w:val="nil"/>
              <w:right w:val="nil"/>
            </w:tcBorders>
          </w:tcPr>
          <w:p w14:paraId="1EB0C7E5"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03" w:type="dxa"/>
            <w:tcBorders>
              <w:top w:val="nil"/>
              <w:left w:val="nil"/>
              <w:bottom w:val="nil"/>
              <w:right w:val="nil"/>
            </w:tcBorders>
          </w:tcPr>
          <w:p w14:paraId="7EF168FD"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5.820***</w:t>
            </w:r>
          </w:p>
        </w:tc>
        <w:tc>
          <w:tcPr>
            <w:tcW w:w="993" w:type="dxa"/>
            <w:tcBorders>
              <w:top w:val="nil"/>
              <w:left w:val="nil"/>
              <w:bottom w:val="nil"/>
              <w:right w:val="nil"/>
            </w:tcBorders>
          </w:tcPr>
          <w:p w14:paraId="0E55B916"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5.600***</w:t>
            </w:r>
          </w:p>
        </w:tc>
        <w:tc>
          <w:tcPr>
            <w:tcW w:w="992" w:type="dxa"/>
            <w:tcBorders>
              <w:top w:val="nil"/>
              <w:left w:val="nil"/>
              <w:bottom w:val="nil"/>
              <w:right w:val="nil"/>
            </w:tcBorders>
          </w:tcPr>
          <w:p w14:paraId="09AA282F"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7.216***</w:t>
            </w:r>
          </w:p>
        </w:tc>
        <w:tc>
          <w:tcPr>
            <w:tcW w:w="992" w:type="dxa"/>
            <w:tcBorders>
              <w:top w:val="nil"/>
              <w:left w:val="nil"/>
              <w:bottom w:val="nil"/>
              <w:right w:val="nil"/>
            </w:tcBorders>
          </w:tcPr>
          <w:p w14:paraId="5FD44679"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7.140***</w:t>
            </w:r>
          </w:p>
        </w:tc>
        <w:tc>
          <w:tcPr>
            <w:tcW w:w="992" w:type="dxa"/>
            <w:tcBorders>
              <w:top w:val="nil"/>
              <w:left w:val="nil"/>
              <w:bottom w:val="nil"/>
              <w:right w:val="nil"/>
            </w:tcBorders>
          </w:tcPr>
          <w:p w14:paraId="6DA08105"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6.736***</w:t>
            </w:r>
          </w:p>
        </w:tc>
      </w:tr>
      <w:tr w:rsidR="002D3F4A" w:rsidRPr="00CF3C36" w14:paraId="3130B8AA" w14:textId="77777777" w:rsidTr="0033505A">
        <w:trPr>
          <w:jc w:val="center"/>
        </w:trPr>
        <w:tc>
          <w:tcPr>
            <w:tcW w:w="1559" w:type="dxa"/>
            <w:tcBorders>
              <w:top w:val="nil"/>
              <w:left w:val="nil"/>
              <w:bottom w:val="nil"/>
              <w:right w:val="nil"/>
            </w:tcBorders>
          </w:tcPr>
          <w:p w14:paraId="4B5B7427"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840" w:type="dxa"/>
            <w:tcBorders>
              <w:top w:val="nil"/>
              <w:left w:val="nil"/>
              <w:bottom w:val="nil"/>
              <w:right w:val="nil"/>
            </w:tcBorders>
          </w:tcPr>
          <w:p w14:paraId="0E83CB72"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03" w:type="dxa"/>
            <w:tcBorders>
              <w:top w:val="nil"/>
              <w:left w:val="nil"/>
              <w:bottom w:val="nil"/>
              <w:right w:val="nil"/>
            </w:tcBorders>
          </w:tcPr>
          <w:p w14:paraId="71208EA1"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(1.420)</w:t>
            </w:r>
          </w:p>
        </w:tc>
        <w:tc>
          <w:tcPr>
            <w:tcW w:w="993" w:type="dxa"/>
            <w:tcBorders>
              <w:top w:val="nil"/>
              <w:left w:val="nil"/>
              <w:bottom w:val="nil"/>
              <w:right w:val="nil"/>
            </w:tcBorders>
          </w:tcPr>
          <w:p w14:paraId="090CBBDD"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(1.812)</w:t>
            </w:r>
          </w:p>
        </w:tc>
        <w:tc>
          <w:tcPr>
            <w:tcW w:w="992" w:type="dxa"/>
            <w:tcBorders>
              <w:top w:val="nil"/>
              <w:left w:val="nil"/>
              <w:bottom w:val="nil"/>
              <w:right w:val="nil"/>
            </w:tcBorders>
          </w:tcPr>
          <w:p w14:paraId="488FCD0D"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(2.208)</w:t>
            </w:r>
          </w:p>
        </w:tc>
        <w:tc>
          <w:tcPr>
            <w:tcW w:w="992" w:type="dxa"/>
            <w:tcBorders>
              <w:top w:val="nil"/>
              <w:left w:val="nil"/>
              <w:bottom w:val="nil"/>
              <w:right w:val="nil"/>
            </w:tcBorders>
          </w:tcPr>
          <w:p w14:paraId="4FBA354D"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(2.192)</w:t>
            </w:r>
          </w:p>
        </w:tc>
        <w:tc>
          <w:tcPr>
            <w:tcW w:w="992" w:type="dxa"/>
            <w:tcBorders>
              <w:top w:val="nil"/>
              <w:left w:val="nil"/>
              <w:bottom w:val="nil"/>
              <w:right w:val="nil"/>
            </w:tcBorders>
          </w:tcPr>
          <w:p w14:paraId="359BB30D"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(2.153)</w:t>
            </w:r>
          </w:p>
        </w:tc>
      </w:tr>
      <w:tr w:rsidR="002D3F4A" w:rsidRPr="00CF3C36" w14:paraId="630B1091" w14:textId="77777777" w:rsidTr="0033505A">
        <w:trPr>
          <w:jc w:val="center"/>
        </w:trPr>
        <w:tc>
          <w:tcPr>
            <w:tcW w:w="1559" w:type="dxa"/>
            <w:tcBorders>
              <w:top w:val="nil"/>
              <w:left w:val="nil"/>
              <w:bottom w:val="nil"/>
              <w:right w:val="nil"/>
            </w:tcBorders>
          </w:tcPr>
          <w:p w14:paraId="35291B6A"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SE_terX</w:t>
            </w:r>
          </w:p>
        </w:tc>
        <w:tc>
          <w:tcPr>
            <w:tcW w:w="840" w:type="dxa"/>
            <w:tcBorders>
              <w:top w:val="nil"/>
              <w:left w:val="nil"/>
              <w:bottom w:val="nil"/>
              <w:right w:val="nil"/>
            </w:tcBorders>
          </w:tcPr>
          <w:p w14:paraId="050D7A31"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03" w:type="dxa"/>
            <w:tcBorders>
              <w:top w:val="nil"/>
              <w:left w:val="nil"/>
              <w:bottom w:val="nil"/>
              <w:right w:val="nil"/>
            </w:tcBorders>
          </w:tcPr>
          <w:p w14:paraId="7115649E"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3" w:type="dxa"/>
            <w:tcBorders>
              <w:top w:val="nil"/>
              <w:left w:val="nil"/>
              <w:bottom w:val="nil"/>
              <w:right w:val="nil"/>
            </w:tcBorders>
          </w:tcPr>
          <w:p w14:paraId="5CC1F1CA"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0.0214</w:t>
            </w:r>
          </w:p>
        </w:tc>
        <w:tc>
          <w:tcPr>
            <w:tcW w:w="992" w:type="dxa"/>
            <w:tcBorders>
              <w:top w:val="nil"/>
              <w:left w:val="nil"/>
              <w:bottom w:val="nil"/>
              <w:right w:val="nil"/>
            </w:tcBorders>
          </w:tcPr>
          <w:p w14:paraId="1765BDE8"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0.0270</w:t>
            </w:r>
          </w:p>
        </w:tc>
        <w:tc>
          <w:tcPr>
            <w:tcW w:w="992" w:type="dxa"/>
            <w:tcBorders>
              <w:top w:val="nil"/>
              <w:left w:val="nil"/>
              <w:bottom w:val="nil"/>
              <w:right w:val="nil"/>
            </w:tcBorders>
          </w:tcPr>
          <w:p w14:paraId="353339DC"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0.0287</w:t>
            </w:r>
          </w:p>
        </w:tc>
        <w:tc>
          <w:tcPr>
            <w:tcW w:w="992" w:type="dxa"/>
            <w:tcBorders>
              <w:top w:val="nil"/>
              <w:left w:val="nil"/>
              <w:bottom w:val="nil"/>
              <w:right w:val="nil"/>
            </w:tcBorders>
          </w:tcPr>
          <w:p w14:paraId="093F78D4"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0.0336</w:t>
            </w:r>
          </w:p>
        </w:tc>
      </w:tr>
      <w:tr w:rsidR="002D3F4A" w:rsidRPr="00CF3C36" w14:paraId="2E02810A" w14:textId="77777777" w:rsidTr="0033505A">
        <w:trPr>
          <w:jc w:val="center"/>
        </w:trPr>
        <w:tc>
          <w:tcPr>
            <w:tcW w:w="1559" w:type="dxa"/>
            <w:tcBorders>
              <w:top w:val="nil"/>
              <w:left w:val="nil"/>
              <w:bottom w:val="nil"/>
              <w:right w:val="nil"/>
            </w:tcBorders>
          </w:tcPr>
          <w:p w14:paraId="3A876351"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840" w:type="dxa"/>
            <w:tcBorders>
              <w:top w:val="nil"/>
              <w:left w:val="nil"/>
              <w:bottom w:val="nil"/>
              <w:right w:val="nil"/>
            </w:tcBorders>
          </w:tcPr>
          <w:p w14:paraId="76F9EFB1"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03" w:type="dxa"/>
            <w:tcBorders>
              <w:top w:val="nil"/>
              <w:left w:val="nil"/>
              <w:bottom w:val="nil"/>
              <w:right w:val="nil"/>
            </w:tcBorders>
          </w:tcPr>
          <w:p w14:paraId="6D6D4E43"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3" w:type="dxa"/>
            <w:tcBorders>
              <w:top w:val="nil"/>
              <w:left w:val="nil"/>
              <w:bottom w:val="nil"/>
              <w:right w:val="nil"/>
            </w:tcBorders>
          </w:tcPr>
          <w:p w14:paraId="15604F03"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(0.0278)</w:t>
            </w:r>
          </w:p>
        </w:tc>
        <w:tc>
          <w:tcPr>
            <w:tcW w:w="992" w:type="dxa"/>
            <w:tcBorders>
              <w:top w:val="nil"/>
              <w:left w:val="nil"/>
              <w:bottom w:val="nil"/>
              <w:right w:val="nil"/>
            </w:tcBorders>
          </w:tcPr>
          <w:p w14:paraId="2AC3E482"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(0.0284)</w:t>
            </w:r>
          </w:p>
        </w:tc>
        <w:tc>
          <w:tcPr>
            <w:tcW w:w="992" w:type="dxa"/>
            <w:tcBorders>
              <w:top w:val="nil"/>
              <w:left w:val="nil"/>
              <w:bottom w:val="nil"/>
              <w:right w:val="nil"/>
            </w:tcBorders>
          </w:tcPr>
          <w:p w14:paraId="38220E78"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(0.0291)</w:t>
            </w:r>
          </w:p>
        </w:tc>
        <w:tc>
          <w:tcPr>
            <w:tcW w:w="992" w:type="dxa"/>
            <w:tcBorders>
              <w:top w:val="nil"/>
              <w:left w:val="nil"/>
              <w:bottom w:val="nil"/>
              <w:right w:val="nil"/>
            </w:tcBorders>
          </w:tcPr>
          <w:p w14:paraId="0D91D0C3"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(0.0290)</w:t>
            </w:r>
          </w:p>
        </w:tc>
      </w:tr>
      <w:tr w:rsidR="002D3F4A" w:rsidRPr="00CF3C36" w14:paraId="7C84D8A0" w14:textId="77777777" w:rsidTr="0033505A">
        <w:trPr>
          <w:jc w:val="center"/>
        </w:trPr>
        <w:tc>
          <w:tcPr>
            <w:tcW w:w="1559" w:type="dxa"/>
            <w:tcBorders>
              <w:top w:val="nil"/>
              <w:left w:val="nil"/>
              <w:bottom w:val="nil"/>
              <w:right w:val="nil"/>
            </w:tcBorders>
          </w:tcPr>
          <w:p w14:paraId="311D18F4"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eodb1</w:t>
            </w:r>
          </w:p>
        </w:tc>
        <w:tc>
          <w:tcPr>
            <w:tcW w:w="840" w:type="dxa"/>
            <w:tcBorders>
              <w:top w:val="nil"/>
              <w:left w:val="nil"/>
              <w:bottom w:val="nil"/>
              <w:right w:val="nil"/>
            </w:tcBorders>
          </w:tcPr>
          <w:p w14:paraId="44530495"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03" w:type="dxa"/>
            <w:tcBorders>
              <w:top w:val="nil"/>
              <w:left w:val="nil"/>
              <w:bottom w:val="nil"/>
              <w:right w:val="nil"/>
            </w:tcBorders>
          </w:tcPr>
          <w:p w14:paraId="3FE3ADF5"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3" w:type="dxa"/>
            <w:tcBorders>
              <w:top w:val="nil"/>
              <w:left w:val="nil"/>
              <w:bottom w:val="nil"/>
              <w:right w:val="nil"/>
            </w:tcBorders>
          </w:tcPr>
          <w:p w14:paraId="1C956413"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-0.0158</w:t>
            </w:r>
          </w:p>
        </w:tc>
        <w:tc>
          <w:tcPr>
            <w:tcW w:w="992" w:type="dxa"/>
            <w:tcBorders>
              <w:top w:val="nil"/>
              <w:left w:val="nil"/>
              <w:bottom w:val="nil"/>
              <w:right w:val="nil"/>
            </w:tcBorders>
          </w:tcPr>
          <w:p w14:paraId="2A2CFF1A"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-0.000640</w:t>
            </w:r>
          </w:p>
        </w:tc>
        <w:tc>
          <w:tcPr>
            <w:tcW w:w="992" w:type="dxa"/>
            <w:tcBorders>
              <w:top w:val="nil"/>
              <w:left w:val="nil"/>
              <w:bottom w:val="nil"/>
              <w:right w:val="nil"/>
            </w:tcBorders>
          </w:tcPr>
          <w:p w14:paraId="1B4345E4"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0.000367</w:t>
            </w:r>
          </w:p>
        </w:tc>
        <w:tc>
          <w:tcPr>
            <w:tcW w:w="992" w:type="dxa"/>
            <w:tcBorders>
              <w:top w:val="nil"/>
              <w:left w:val="nil"/>
              <w:bottom w:val="nil"/>
              <w:right w:val="nil"/>
            </w:tcBorders>
          </w:tcPr>
          <w:p w14:paraId="7EDCED34"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0.00984</w:t>
            </w:r>
          </w:p>
        </w:tc>
      </w:tr>
      <w:tr w:rsidR="002D3F4A" w:rsidRPr="00CF3C36" w14:paraId="215AE931" w14:textId="77777777" w:rsidTr="0033505A">
        <w:trPr>
          <w:jc w:val="center"/>
        </w:trPr>
        <w:tc>
          <w:tcPr>
            <w:tcW w:w="1559" w:type="dxa"/>
            <w:tcBorders>
              <w:top w:val="nil"/>
              <w:left w:val="nil"/>
              <w:bottom w:val="nil"/>
              <w:right w:val="nil"/>
            </w:tcBorders>
          </w:tcPr>
          <w:p w14:paraId="0F777255"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840" w:type="dxa"/>
            <w:tcBorders>
              <w:top w:val="nil"/>
              <w:left w:val="nil"/>
              <w:bottom w:val="nil"/>
              <w:right w:val="nil"/>
            </w:tcBorders>
          </w:tcPr>
          <w:p w14:paraId="7469D242"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03" w:type="dxa"/>
            <w:tcBorders>
              <w:top w:val="nil"/>
              <w:left w:val="nil"/>
              <w:bottom w:val="nil"/>
              <w:right w:val="nil"/>
            </w:tcBorders>
          </w:tcPr>
          <w:p w14:paraId="1AB434B3"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3" w:type="dxa"/>
            <w:tcBorders>
              <w:top w:val="nil"/>
              <w:left w:val="nil"/>
              <w:bottom w:val="nil"/>
              <w:right w:val="nil"/>
            </w:tcBorders>
          </w:tcPr>
          <w:p w14:paraId="0E568149"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(0.0572)</w:t>
            </w:r>
          </w:p>
        </w:tc>
        <w:tc>
          <w:tcPr>
            <w:tcW w:w="992" w:type="dxa"/>
            <w:tcBorders>
              <w:top w:val="nil"/>
              <w:left w:val="nil"/>
              <w:bottom w:val="nil"/>
              <w:right w:val="nil"/>
            </w:tcBorders>
          </w:tcPr>
          <w:p w14:paraId="27AA8139"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(0.0555)</w:t>
            </w:r>
          </w:p>
        </w:tc>
        <w:tc>
          <w:tcPr>
            <w:tcW w:w="992" w:type="dxa"/>
            <w:tcBorders>
              <w:top w:val="nil"/>
              <w:left w:val="nil"/>
              <w:bottom w:val="nil"/>
              <w:right w:val="nil"/>
            </w:tcBorders>
          </w:tcPr>
          <w:p w14:paraId="532C27EB"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(0.0561)</w:t>
            </w:r>
          </w:p>
        </w:tc>
        <w:tc>
          <w:tcPr>
            <w:tcW w:w="992" w:type="dxa"/>
            <w:tcBorders>
              <w:top w:val="nil"/>
              <w:left w:val="nil"/>
              <w:bottom w:val="nil"/>
              <w:right w:val="nil"/>
            </w:tcBorders>
          </w:tcPr>
          <w:p w14:paraId="600455C2"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(0.0609)</w:t>
            </w:r>
          </w:p>
        </w:tc>
      </w:tr>
      <w:tr w:rsidR="002D3F4A" w:rsidRPr="00CF3C36" w14:paraId="7915FCF0" w14:textId="77777777" w:rsidTr="0033505A">
        <w:trPr>
          <w:jc w:val="center"/>
        </w:trPr>
        <w:tc>
          <w:tcPr>
            <w:tcW w:w="1559" w:type="dxa"/>
            <w:tcBorders>
              <w:top w:val="nil"/>
              <w:left w:val="nil"/>
              <w:bottom w:val="nil"/>
              <w:right w:val="nil"/>
            </w:tcBorders>
          </w:tcPr>
          <w:p w14:paraId="37B0BDFD"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governance</w:t>
            </w:r>
          </w:p>
        </w:tc>
        <w:tc>
          <w:tcPr>
            <w:tcW w:w="840" w:type="dxa"/>
            <w:tcBorders>
              <w:top w:val="nil"/>
              <w:left w:val="nil"/>
              <w:bottom w:val="nil"/>
              <w:right w:val="nil"/>
            </w:tcBorders>
          </w:tcPr>
          <w:p w14:paraId="12756DCD"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03" w:type="dxa"/>
            <w:tcBorders>
              <w:top w:val="nil"/>
              <w:left w:val="nil"/>
              <w:bottom w:val="nil"/>
              <w:right w:val="nil"/>
            </w:tcBorders>
          </w:tcPr>
          <w:p w14:paraId="3E02119D"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3" w:type="dxa"/>
            <w:tcBorders>
              <w:top w:val="nil"/>
              <w:left w:val="nil"/>
              <w:bottom w:val="nil"/>
              <w:right w:val="nil"/>
            </w:tcBorders>
          </w:tcPr>
          <w:p w14:paraId="706A7A17"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-0.453</w:t>
            </w:r>
          </w:p>
        </w:tc>
        <w:tc>
          <w:tcPr>
            <w:tcW w:w="992" w:type="dxa"/>
            <w:tcBorders>
              <w:top w:val="nil"/>
              <w:left w:val="nil"/>
              <w:bottom w:val="nil"/>
              <w:right w:val="nil"/>
            </w:tcBorders>
          </w:tcPr>
          <w:p w14:paraId="3FDABE30"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-0.578</w:t>
            </w:r>
          </w:p>
        </w:tc>
        <w:tc>
          <w:tcPr>
            <w:tcW w:w="992" w:type="dxa"/>
            <w:tcBorders>
              <w:top w:val="nil"/>
              <w:left w:val="nil"/>
              <w:bottom w:val="nil"/>
              <w:right w:val="nil"/>
            </w:tcBorders>
          </w:tcPr>
          <w:p w14:paraId="45BF1EC3"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-0.558</w:t>
            </w:r>
          </w:p>
        </w:tc>
        <w:tc>
          <w:tcPr>
            <w:tcW w:w="992" w:type="dxa"/>
            <w:tcBorders>
              <w:top w:val="nil"/>
              <w:left w:val="nil"/>
              <w:bottom w:val="nil"/>
              <w:right w:val="nil"/>
            </w:tcBorders>
          </w:tcPr>
          <w:p w14:paraId="500C0B2F"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-0.513</w:t>
            </w:r>
          </w:p>
        </w:tc>
      </w:tr>
      <w:tr w:rsidR="002D3F4A" w:rsidRPr="00CF3C36" w14:paraId="6BF6AB43" w14:textId="77777777" w:rsidTr="0033505A">
        <w:trPr>
          <w:jc w:val="center"/>
        </w:trPr>
        <w:tc>
          <w:tcPr>
            <w:tcW w:w="1559" w:type="dxa"/>
            <w:tcBorders>
              <w:top w:val="nil"/>
              <w:left w:val="nil"/>
              <w:bottom w:val="nil"/>
              <w:right w:val="nil"/>
            </w:tcBorders>
          </w:tcPr>
          <w:p w14:paraId="5B956E7C"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840" w:type="dxa"/>
            <w:tcBorders>
              <w:top w:val="nil"/>
              <w:left w:val="nil"/>
              <w:bottom w:val="nil"/>
              <w:right w:val="nil"/>
            </w:tcBorders>
          </w:tcPr>
          <w:p w14:paraId="0EBC6916"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03" w:type="dxa"/>
            <w:tcBorders>
              <w:top w:val="nil"/>
              <w:left w:val="nil"/>
              <w:bottom w:val="nil"/>
              <w:right w:val="nil"/>
            </w:tcBorders>
          </w:tcPr>
          <w:p w14:paraId="6D1822E4"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3" w:type="dxa"/>
            <w:tcBorders>
              <w:top w:val="nil"/>
              <w:left w:val="nil"/>
              <w:bottom w:val="nil"/>
              <w:right w:val="nil"/>
            </w:tcBorders>
          </w:tcPr>
          <w:p w14:paraId="51FF83FB"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(0.456)</w:t>
            </w:r>
          </w:p>
        </w:tc>
        <w:tc>
          <w:tcPr>
            <w:tcW w:w="992" w:type="dxa"/>
            <w:tcBorders>
              <w:top w:val="nil"/>
              <w:left w:val="nil"/>
              <w:bottom w:val="nil"/>
              <w:right w:val="nil"/>
            </w:tcBorders>
          </w:tcPr>
          <w:p w14:paraId="52771776"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(0.457)</w:t>
            </w:r>
          </w:p>
        </w:tc>
        <w:tc>
          <w:tcPr>
            <w:tcW w:w="992" w:type="dxa"/>
            <w:tcBorders>
              <w:top w:val="nil"/>
              <w:left w:val="nil"/>
              <w:bottom w:val="nil"/>
              <w:right w:val="nil"/>
            </w:tcBorders>
          </w:tcPr>
          <w:p w14:paraId="3DCBFD8F"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(0.474)</w:t>
            </w:r>
          </w:p>
        </w:tc>
        <w:tc>
          <w:tcPr>
            <w:tcW w:w="992" w:type="dxa"/>
            <w:tcBorders>
              <w:top w:val="nil"/>
              <w:left w:val="nil"/>
              <w:bottom w:val="nil"/>
              <w:right w:val="nil"/>
            </w:tcBorders>
          </w:tcPr>
          <w:p w14:paraId="55CB1BCF"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(0.495)</w:t>
            </w:r>
          </w:p>
        </w:tc>
      </w:tr>
      <w:tr w:rsidR="002D3F4A" w:rsidRPr="00CF3C36" w14:paraId="6C8E7541" w14:textId="77777777" w:rsidTr="0033505A">
        <w:trPr>
          <w:jc w:val="center"/>
        </w:trPr>
        <w:tc>
          <w:tcPr>
            <w:tcW w:w="1559" w:type="dxa"/>
            <w:tcBorders>
              <w:top w:val="nil"/>
              <w:left w:val="nil"/>
              <w:bottom w:val="nil"/>
              <w:right w:val="nil"/>
            </w:tcBorders>
          </w:tcPr>
          <w:p w14:paraId="71152C16"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ln_KL</w:t>
            </w:r>
          </w:p>
        </w:tc>
        <w:tc>
          <w:tcPr>
            <w:tcW w:w="840" w:type="dxa"/>
            <w:tcBorders>
              <w:top w:val="nil"/>
              <w:left w:val="nil"/>
              <w:bottom w:val="nil"/>
              <w:right w:val="nil"/>
            </w:tcBorders>
          </w:tcPr>
          <w:p w14:paraId="544946D8"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03" w:type="dxa"/>
            <w:tcBorders>
              <w:top w:val="nil"/>
              <w:left w:val="nil"/>
              <w:bottom w:val="nil"/>
              <w:right w:val="nil"/>
            </w:tcBorders>
          </w:tcPr>
          <w:p w14:paraId="1A2FBA3E"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3" w:type="dxa"/>
            <w:tcBorders>
              <w:top w:val="nil"/>
              <w:left w:val="nil"/>
              <w:bottom w:val="nil"/>
              <w:right w:val="nil"/>
            </w:tcBorders>
          </w:tcPr>
          <w:p w14:paraId="340893F9"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48217AD1"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-1.541</w:t>
            </w:r>
          </w:p>
        </w:tc>
        <w:tc>
          <w:tcPr>
            <w:tcW w:w="992" w:type="dxa"/>
            <w:tcBorders>
              <w:top w:val="nil"/>
              <w:left w:val="nil"/>
              <w:bottom w:val="nil"/>
              <w:right w:val="nil"/>
            </w:tcBorders>
          </w:tcPr>
          <w:p w14:paraId="47718914"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-0.998</w:t>
            </w:r>
          </w:p>
        </w:tc>
        <w:tc>
          <w:tcPr>
            <w:tcW w:w="992" w:type="dxa"/>
            <w:tcBorders>
              <w:top w:val="nil"/>
              <w:left w:val="nil"/>
              <w:bottom w:val="nil"/>
              <w:right w:val="nil"/>
            </w:tcBorders>
          </w:tcPr>
          <w:p w14:paraId="69A4A658"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-5.055</w:t>
            </w:r>
          </w:p>
        </w:tc>
      </w:tr>
      <w:tr w:rsidR="002D3F4A" w:rsidRPr="00CF3C36" w14:paraId="3FEB1B68" w14:textId="77777777" w:rsidTr="0033505A">
        <w:trPr>
          <w:jc w:val="center"/>
        </w:trPr>
        <w:tc>
          <w:tcPr>
            <w:tcW w:w="1559" w:type="dxa"/>
            <w:tcBorders>
              <w:top w:val="nil"/>
              <w:left w:val="nil"/>
              <w:bottom w:val="nil"/>
              <w:right w:val="nil"/>
            </w:tcBorders>
          </w:tcPr>
          <w:p w14:paraId="30351F0C"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840" w:type="dxa"/>
            <w:tcBorders>
              <w:top w:val="nil"/>
              <w:left w:val="nil"/>
              <w:bottom w:val="nil"/>
              <w:right w:val="nil"/>
            </w:tcBorders>
          </w:tcPr>
          <w:p w14:paraId="00F4E083"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03" w:type="dxa"/>
            <w:tcBorders>
              <w:top w:val="nil"/>
              <w:left w:val="nil"/>
              <w:bottom w:val="nil"/>
              <w:right w:val="nil"/>
            </w:tcBorders>
          </w:tcPr>
          <w:p w14:paraId="4D55AA33"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3" w:type="dxa"/>
            <w:tcBorders>
              <w:top w:val="nil"/>
              <w:left w:val="nil"/>
              <w:bottom w:val="nil"/>
              <w:right w:val="nil"/>
            </w:tcBorders>
          </w:tcPr>
          <w:p w14:paraId="6A6F5199"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4B9A558A"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(1.384)</w:t>
            </w:r>
          </w:p>
        </w:tc>
        <w:tc>
          <w:tcPr>
            <w:tcW w:w="992" w:type="dxa"/>
            <w:tcBorders>
              <w:top w:val="nil"/>
              <w:left w:val="nil"/>
              <w:bottom w:val="nil"/>
              <w:right w:val="nil"/>
            </w:tcBorders>
          </w:tcPr>
          <w:p w14:paraId="7AD06BBE"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(2.446)</w:t>
            </w:r>
          </w:p>
        </w:tc>
        <w:tc>
          <w:tcPr>
            <w:tcW w:w="992" w:type="dxa"/>
            <w:tcBorders>
              <w:top w:val="nil"/>
              <w:left w:val="nil"/>
              <w:bottom w:val="nil"/>
              <w:right w:val="nil"/>
            </w:tcBorders>
          </w:tcPr>
          <w:p w14:paraId="28C24558"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(3.353)</w:t>
            </w:r>
          </w:p>
        </w:tc>
      </w:tr>
      <w:tr w:rsidR="002D3F4A" w:rsidRPr="00CF3C36" w14:paraId="256376FE" w14:textId="77777777" w:rsidTr="0033505A">
        <w:trPr>
          <w:jc w:val="center"/>
        </w:trPr>
        <w:tc>
          <w:tcPr>
            <w:tcW w:w="1559" w:type="dxa"/>
            <w:tcBorders>
              <w:top w:val="nil"/>
              <w:left w:val="nil"/>
              <w:bottom w:val="nil"/>
              <w:right w:val="nil"/>
            </w:tcBorders>
          </w:tcPr>
          <w:p w14:paraId="398747D6"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ln_KL_2</w:t>
            </w:r>
          </w:p>
        </w:tc>
        <w:tc>
          <w:tcPr>
            <w:tcW w:w="840" w:type="dxa"/>
            <w:tcBorders>
              <w:top w:val="nil"/>
              <w:left w:val="nil"/>
              <w:bottom w:val="nil"/>
              <w:right w:val="nil"/>
            </w:tcBorders>
          </w:tcPr>
          <w:p w14:paraId="15DBBB88"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03" w:type="dxa"/>
            <w:tcBorders>
              <w:top w:val="nil"/>
              <w:left w:val="nil"/>
              <w:bottom w:val="nil"/>
              <w:right w:val="nil"/>
            </w:tcBorders>
          </w:tcPr>
          <w:p w14:paraId="29B5FB44"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3" w:type="dxa"/>
            <w:tcBorders>
              <w:top w:val="nil"/>
              <w:left w:val="nil"/>
              <w:bottom w:val="nil"/>
              <w:right w:val="nil"/>
            </w:tcBorders>
          </w:tcPr>
          <w:p w14:paraId="457535A5"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3C97E1E5"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29C1D7B3"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-0.0713</w:t>
            </w:r>
          </w:p>
        </w:tc>
        <w:tc>
          <w:tcPr>
            <w:tcW w:w="992" w:type="dxa"/>
            <w:tcBorders>
              <w:top w:val="nil"/>
              <w:left w:val="nil"/>
              <w:bottom w:val="nil"/>
              <w:right w:val="nil"/>
            </w:tcBorders>
          </w:tcPr>
          <w:p w14:paraId="0C7CA8C6"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0.325</w:t>
            </w:r>
          </w:p>
        </w:tc>
      </w:tr>
      <w:tr w:rsidR="002D3F4A" w:rsidRPr="00CF3C36" w14:paraId="2E4B61FE" w14:textId="77777777" w:rsidTr="0033505A">
        <w:trPr>
          <w:jc w:val="center"/>
        </w:trPr>
        <w:tc>
          <w:tcPr>
            <w:tcW w:w="1559" w:type="dxa"/>
            <w:tcBorders>
              <w:top w:val="nil"/>
              <w:left w:val="nil"/>
              <w:bottom w:val="nil"/>
              <w:right w:val="nil"/>
            </w:tcBorders>
          </w:tcPr>
          <w:p w14:paraId="73D8B78D"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840" w:type="dxa"/>
            <w:tcBorders>
              <w:top w:val="nil"/>
              <w:left w:val="nil"/>
              <w:bottom w:val="nil"/>
              <w:right w:val="nil"/>
            </w:tcBorders>
          </w:tcPr>
          <w:p w14:paraId="5C068EC9"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03" w:type="dxa"/>
            <w:tcBorders>
              <w:top w:val="nil"/>
              <w:left w:val="nil"/>
              <w:bottom w:val="nil"/>
              <w:right w:val="nil"/>
            </w:tcBorders>
          </w:tcPr>
          <w:p w14:paraId="02A0AAE3"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3" w:type="dxa"/>
            <w:tcBorders>
              <w:top w:val="nil"/>
              <w:left w:val="nil"/>
              <w:bottom w:val="nil"/>
              <w:right w:val="nil"/>
            </w:tcBorders>
          </w:tcPr>
          <w:p w14:paraId="68C86F39"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6C5FD6B7"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33BD28BC"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(0.314)</w:t>
            </w:r>
          </w:p>
        </w:tc>
        <w:tc>
          <w:tcPr>
            <w:tcW w:w="992" w:type="dxa"/>
            <w:tcBorders>
              <w:top w:val="nil"/>
              <w:left w:val="nil"/>
              <w:bottom w:val="nil"/>
              <w:right w:val="nil"/>
            </w:tcBorders>
          </w:tcPr>
          <w:p w14:paraId="7AD090AE"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(0.405)</w:t>
            </w:r>
          </w:p>
        </w:tc>
      </w:tr>
      <w:tr w:rsidR="002D3F4A" w:rsidRPr="00CF3C36" w14:paraId="3E4AAC01" w14:textId="77777777" w:rsidTr="0033505A">
        <w:trPr>
          <w:jc w:val="center"/>
        </w:trPr>
        <w:tc>
          <w:tcPr>
            <w:tcW w:w="1559" w:type="dxa"/>
            <w:tcBorders>
              <w:top w:val="nil"/>
              <w:left w:val="nil"/>
              <w:bottom w:val="nil"/>
              <w:right w:val="nil"/>
            </w:tcBorders>
          </w:tcPr>
          <w:p w14:paraId="1CFB0DA4"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EPI_ln_KL_cen</w:t>
            </w:r>
          </w:p>
        </w:tc>
        <w:tc>
          <w:tcPr>
            <w:tcW w:w="840" w:type="dxa"/>
            <w:tcBorders>
              <w:top w:val="nil"/>
              <w:left w:val="nil"/>
              <w:bottom w:val="nil"/>
              <w:right w:val="nil"/>
            </w:tcBorders>
          </w:tcPr>
          <w:p w14:paraId="6647012D"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03" w:type="dxa"/>
            <w:tcBorders>
              <w:top w:val="nil"/>
              <w:left w:val="nil"/>
              <w:bottom w:val="nil"/>
              <w:right w:val="nil"/>
            </w:tcBorders>
          </w:tcPr>
          <w:p w14:paraId="4D0508D1"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3" w:type="dxa"/>
            <w:tcBorders>
              <w:top w:val="nil"/>
              <w:left w:val="nil"/>
              <w:bottom w:val="nil"/>
              <w:right w:val="nil"/>
            </w:tcBorders>
          </w:tcPr>
          <w:p w14:paraId="5530223A"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329DDEEB"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6D7D9AA9"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06A33591"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-0.517</w:t>
            </w:r>
          </w:p>
        </w:tc>
      </w:tr>
      <w:tr w:rsidR="002D3F4A" w:rsidRPr="00CF3C36" w14:paraId="3D200050" w14:textId="77777777" w:rsidTr="0033505A">
        <w:trPr>
          <w:jc w:val="center"/>
        </w:trPr>
        <w:tc>
          <w:tcPr>
            <w:tcW w:w="1559" w:type="dxa"/>
            <w:tcBorders>
              <w:top w:val="nil"/>
              <w:left w:val="nil"/>
              <w:bottom w:val="nil"/>
              <w:right w:val="nil"/>
            </w:tcBorders>
          </w:tcPr>
          <w:p w14:paraId="51B58245"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840" w:type="dxa"/>
            <w:tcBorders>
              <w:top w:val="nil"/>
              <w:left w:val="nil"/>
              <w:bottom w:val="nil"/>
              <w:right w:val="nil"/>
            </w:tcBorders>
          </w:tcPr>
          <w:p w14:paraId="3B537E16"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03" w:type="dxa"/>
            <w:tcBorders>
              <w:top w:val="nil"/>
              <w:left w:val="nil"/>
              <w:bottom w:val="nil"/>
              <w:right w:val="nil"/>
            </w:tcBorders>
          </w:tcPr>
          <w:p w14:paraId="0D18F6D9"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3" w:type="dxa"/>
            <w:tcBorders>
              <w:top w:val="nil"/>
              <w:left w:val="nil"/>
              <w:bottom w:val="nil"/>
              <w:right w:val="nil"/>
            </w:tcBorders>
          </w:tcPr>
          <w:p w14:paraId="11C2A90B"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73DBC609"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51494C91"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040B35EA"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(0.432)</w:t>
            </w:r>
          </w:p>
        </w:tc>
      </w:tr>
      <w:tr w:rsidR="002D3F4A" w:rsidRPr="00CF3C36" w14:paraId="457987C4" w14:textId="77777777" w:rsidTr="0033505A">
        <w:trPr>
          <w:jc w:val="center"/>
        </w:trPr>
        <w:tc>
          <w:tcPr>
            <w:tcW w:w="1559" w:type="dxa"/>
            <w:tcBorders>
              <w:top w:val="nil"/>
              <w:left w:val="nil"/>
              <w:bottom w:val="nil"/>
              <w:right w:val="nil"/>
            </w:tcBorders>
          </w:tcPr>
          <w:p w14:paraId="0FB8E0A5"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EPI_ln_KL_2_cen</w:t>
            </w:r>
          </w:p>
        </w:tc>
        <w:tc>
          <w:tcPr>
            <w:tcW w:w="840" w:type="dxa"/>
            <w:tcBorders>
              <w:top w:val="nil"/>
              <w:left w:val="nil"/>
              <w:bottom w:val="nil"/>
              <w:right w:val="nil"/>
            </w:tcBorders>
          </w:tcPr>
          <w:p w14:paraId="428EDCC7"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03" w:type="dxa"/>
            <w:tcBorders>
              <w:top w:val="nil"/>
              <w:left w:val="nil"/>
              <w:bottom w:val="nil"/>
              <w:right w:val="nil"/>
            </w:tcBorders>
          </w:tcPr>
          <w:p w14:paraId="7DB89907"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3" w:type="dxa"/>
            <w:tcBorders>
              <w:top w:val="nil"/>
              <w:left w:val="nil"/>
              <w:bottom w:val="nil"/>
              <w:right w:val="nil"/>
            </w:tcBorders>
          </w:tcPr>
          <w:p w14:paraId="2DD3A079"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2AC01069"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25424671"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7A951CA9"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0.0572</w:t>
            </w:r>
          </w:p>
        </w:tc>
      </w:tr>
      <w:tr w:rsidR="002D3F4A" w:rsidRPr="00CF3C36" w14:paraId="65DBF39C" w14:textId="77777777" w:rsidTr="0033505A">
        <w:trPr>
          <w:jc w:val="center"/>
        </w:trPr>
        <w:tc>
          <w:tcPr>
            <w:tcW w:w="1559" w:type="dxa"/>
            <w:tcBorders>
              <w:top w:val="nil"/>
              <w:left w:val="nil"/>
              <w:bottom w:val="nil"/>
              <w:right w:val="nil"/>
            </w:tcBorders>
          </w:tcPr>
          <w:p w14:paraId="625A3428"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840" w:type="dxa"/>
            <w:tcBorders>
              <w:top w:val="nil"/>
              <w:left w:val="nil"/>
              <w:bottom w:val="nil"/>
              <w:right w:val="nil"/>
            </w:tcBorders>
          </w:tcPr>
          <w:p w14:paraId="398FC716"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03" w:type="dxa"/>
            <w:tcBorders>
              <w:top w:val="nil"/>
              <w:left w:val="nil"/>
              <w:bottom w:val="nil"/>
              <w:right w:val="nil"/>
            </w:tcBorders>
          </w:tcPr>
          <w:p w14:paraId="5BD567B0"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3" w:type="dxa"/>
            <w:tcBorders>
              <w:top w:val="nil"/>
              <w:left w:val="nil"/>
              <w:bottom w:val="nil"/>
              <w:right w:val="nil"/>
            </w:tcBorders>
          </w:tcPr>
          <w:p w14:paraId="24F7BCD5"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4F13EE73"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4AAF9F06"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4E747C93"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(0.0499)</w:t>
            </w:r>
          </w:p>
        </w:tc>
      </w:tr>
      <w:tr w:rsidR="002D3F4A" w:rsidRPr="00CF3C36" w14:paraId="1571C37C" w14:textId="77777777" w:rsidTr="0033505A">
        <w:trPr>
          <w:jc w:val="center"/>
        </w:trPr>
        <w:tc>
          <w:tcPr>
            <w:tcW w:w="1559" w:type="dxa"/>
            <w:tcBorders>
              <w:top w:val="nil"/>
              <w:left w:val="nil"/>
              <w:bottom w:val="nil"/>
              <w:right w:val="nil"/>
            </w:tcBorders>
          </w:tcPr>
          <w:p w14:paraId="421D8A34"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Constant</w:t>
            </w:r>
          </w:p>
        </w:tc>
        <w:tc>
          <w:tcPr>
            <w:tcW w:w="840" w:type="dxa"/>
            <w:tcBorders>
              <w:top w:val="nil"/>
              <w:left w:val="nil"/>
              <w:bottom w:val="nil"/>
              <w:right w:val="nil"/>
            </w:tcBorders>
          </w:tcPr>
          <w:p w14:paraId="024BC144"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-4.581*</w:t>
            </w:r>
          </w:p>
        </w:tc>
        <w:tc>
          <w:tcPr>
            <w:tcW w:w="1003" w:type="dxa"/>
            <w:tcBorders>
              <w:top w:val="nil"/>
              <w:left w:val="nil"/>
              <w:bottom w:val="nil"/>
              <w:right w:val="nil"/>
            </w:tcBorders>
          </w:tcPr>
          <w:p w14:paraId="2F41EF0C"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-78.29***</w:t>
            </w:r>
          </w:p>
        </w:tc>
        <w:tc>
          <w:tcPr>
            <w:tcW w:w="993" w:type="dxa"/>
            <w:tcBorders>
              <w:top w:val="nil"/>
              <w:left w:val="nil"/>
              <w:bottom w:val="nil"/>
              <w:right w:val="nil"/>
            </w:tcBorders>
          </w:tcPr>
          <w:p w14:paraId="0F7C72AF"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-75.37***</w:t>
            </w:r>
          </w:p>
        </w:tc>
        <w:tc>
          <w:tcPr>
            <w:tcW w:w="992" w:type="dxa"/>
            <w:tcBorders>
              <w:top w:val="nil"/>
              <w:left w:val="nil"/>
              <w:bottom w:val="nil"/>
              <w:right w:val="nil"/>
            </w:tcBorders>
          </w:tcPr>
          <w:p w14:paraId="34486D74"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-90.71***</w:t>
            </w:r>
          </w:p>
        </w:tc>
        <w:tc>
          <w:tcPr>
            <w:tcW w:w="992" w:type="dxa"/>
            <w:tcBorders>
              <w:top w:val="nil"/>
              <w:left w:val="nil"/>
              <w:bottom w:val="nil"/>
              <w:right w:val="nil"/>
            </w:tcBorders>
          </w:tcPr>
          <w:p w14:paraId="599BD8BA"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-90.80***</w:t>
            </w:r>
          </w:p>
        </w:tc>
        <w:tc>
          <w:tcPr>
            <w:tcW w:w="992" w:type="dxa"/>
            <w:tcBorders>
              <w:top w:val="nil"/>
              <w:left w:val="nil"/>
              <w:bottom w:val="nil"/>
              <w:right w:val="nil"/>
            </w:tcBorders>
          </w:tcPr>
          <w:p w14:paraId="4AD62C64"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-76.95***</w:t>
            </w:r>
          </w:p>
        </w:tc>
      </w:tr>
      <w:tr w:rsidR="002D3F4A" w:rsidRPr="00CF3C36" w14:paraId="12C74919" w14:textId="77777777" w:rsidTr="0033505A">
        <w:trPr>
          <w:jc w:val="center"/>
        </w:trPr>
        <w:tc>
          <w:tcPr>
            <w:tcW w:w="1559" w:type="dxa"/>
            <w:tcBorders>
              <w:top w:val="nil"/>
              <w:left w:val="nil"/>
              <w:bottom w:val="nil"/>
              <w:right w:val="nil"/>
            </w:tcBorders>
          </w:tcPr>
          <w:p w14:paraId="486526A4"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840" w:type="dxa"/>
            <w:tcBorders>
              <w:top w:val="nil"/>
              <w:left w:val="nil"/>
              <w:bottom w:val="nil"/>
              <w:right w:val="nil"/>
            </w:tcBorders>
          </w:tcPr>
          <w:p w14:paraId="6B883D10"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(2.672)</w:t>
            </w:r>
          </w:p>
        </w:tc>
        <w:tc>
          <w:tcPr>
            <w:tcW w:w="1003" w:type="dxa"/>
            <w:tcBorders>
              <w:top w:val="nil"/>
              <w:left w:val="nil"/>
              <w:bottom w:val="nil"/>
              <w:right w:val="nil"/>
            </w:tcBorders>
          </w:tcPr>
          <w:p w14:paraId="649B86B2"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(17.82)</w:t>
            </w:r>
          </w:p>
        </w:tc>
        <w:tc>
          <w:tcPr>
            <w:tcW w:w="993" w:type="dxa"/>
            <w:tcBorders>
              <w:top w:val="nil"/>
              <w:left w:val="nil"/>
              <w:bottom w:val="nil"/>
              <w:right w:val="nil"/>
            </w:tcBorders>
          </w:tcPr>
          <w:p w14:paraId="3D8B4C7B"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(21.13)</w:t>
            </w:r>
          </w:p>
        </w:tc>
        <w:tc>
          <w:tcPr>
            <w:tcW w:w="992" w:type="dxa"/>
            <w:tcBorders>
              <w:top w:val="nil"/>
              <w:left w:val="nil"/>
              <w:bottom w:val="nil"/>
              <w:right w:val="nil"/>
            </w:tcBorders>
          </w:tcPr>
          <w:p w14:paraId="2401E127"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(24.01)</w:t>
            </w:r>
          </w:p>
        </w:tc>
        <w:tc>
          <w:tcPr>
            <w:tcW w:w="992" w:type="dxa"/>
            <w:tcBorders>
              <w:top w:val="nil"/>
              <w:left w:val="nil"/>
              <w:bottom w:val="nil"/>
              <w:right w:val="nil"/>
            </w:tcBorders>
          </w:tcPr>
          <w:p w14:paraId="7727602B"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(23.95)</w:t>
            </w:r>
          </w:p>
        </w:tc>
        <w:tc>
          <w:tcPr>
            <w:tcW w:w="992" w:type="dxa"/>
            <w:tcBorders>
              <w:top w:val="nil"/>
              <w:left w:val="nil"/>
              <w:bottom w:val="nil"/>
              <w:right w:val="nil"/>
            </w:tcBorders>
          </w:tcPr>
          <w:p w14:paraId="3CA14B01"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(25.20)</w:t>
            </w:r>
          </w:p>
        </w:tc>
      </w:tr>
      <w:tr w:rsidR="002D3F4A" w:rsidRPr="00CF3C36" w14:paraId="10D0919E" w14:textId="77777777" w:rsidTr="0033505A">
        <w:trPr>
          <w:jc w:val="center"/>
        </w:trPr>
        <w:tc>
          <w:tcPr>
            <w:tcW w:w="1559" w:type="dxa"/>
            <w:tcBorders>
              <w:top w:val="nil"/>
              <w:left w:val="nil"/>
              <w:bottom w:val="nil"/>
              <w:right w:val="nil"/>
            </w:tcBorders>
          </w:tcPr>
          <w:p w14:paraId="024BEE7F"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840" w:type="dxa"/>
            <w:tcBorders>
              <w:top w:val="nil"/>
              <w:left w:val="nil"/>
              <w:bottom w:val="nil"/>
              <w:right w:val="nil"/>
            </w:tcBorders>
          </w:tcPr>
          <w:p w14:paraId="36092A45"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03" w:type="dxa"/>
            <w:tcBorders>
              <w:top w:val="nil"/>
              <w:left w:val="nil"/>
              <w:bottom w:val="nil"/>
              <w:right w:val="nil"/>
            </w:tcBorders>
          </w:tcPr>
          <w:p w14:paraId="18A77263"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3" w:type="dxa"/>
            <w:tcBorders>
              <w:top w:val="nil"/>
              <w:left w:val="nil"/>
              <w:bottom w:val="nil"/>
              <w:right w:val="nil"/>
            </w:tcBorders>
          </w:tcPr>
          <w:p w14:paraId="6ADBF7DC"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13C0A018"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5FCA8538"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7765A0A3"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2D3F4A" w:rsidRPr="00CF3C36" w14:paraId="371AEE52" w14:textId="77777777" w:rsidTr="0033505A">
        <w:trPr>
          <w:jc w:val="center"/>
        </w:trPr>
        <w:tc>
          <w:tcPr>
            <w:tcW w:w="1559" w:type="dxa"/>
            <w:tcBorders>
              <w:top w:val="nil"/>
              <w:left w:val="nil"/>
              <w:bottom w:val="nil"/>
              <w:right w:val="nil"/>
            </w:tcBorders>
          </w:tcPr>
          <w:p w14:paraId="2C6F0C61"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Observations</w:t>
            </w:r>
          </w:p>
        </w:tc>
        <w:tc>
          <w:tcPr>
            <w:tcW w:w="840" w:type="dxa"/>
            <w:tcBorders>
              <w:top w:val="nil"/>
              <w:left w:val="nil"/>
              <w:bottom w:val="nil"/>
              <w:right w:val="nil"/>
            </w:tcBorders>
          </w:tcPr>
          <w:p w14:paraId="3B3A9EA2"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502</w:t>
            </w:r>
          </w:p>
        </w:tc>
        <w:tc>
          <w:tcPr>
            <w:tcW w:w="1003" w:type="dxa"/>
            <w:tcBorders>
              <w:top w:val="nil"/>
              <w:left w:val="nil"/>
              <w:bottom w:val="nil"/>
              <w:right w:val="nil"/>
            </w:tcBorders>
          </w:tcPr>
          <w:p w14:paraId="52E48BEF"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502</w:t>
            </w:r>
          </w:p>
        </w:tc>
        <w:tc>
          <w:tcPr>
            <w:tcW w:w="993" w:type="dxa"/>
            <w:tcBorders>
              <w:top w:val="nil"/>
              <w:left w:val="nil"/>
              <w:bottom w:val="nil"/>
              <w:right w:val="nil"/>
            </w:tcBorders>
          </w:tcPr>
          <w:p w14:paraId="24D93CEC"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502</w:t>
            </w:r>
          </w:p>
        </w:tc>
        <w:tc>
          <w:tcPr>
            <w:tcW w:w="992" w:type="dxa"/>
            <w:tcBorders>
              <w:top w:val="nil"/>
              <w:left w:val="nil"/>
              <w:bottom w:val="nil"/>
              <w:right w:val="nil"/>
            </w:tcBorders>
          </w:tcPr>
          <w:p w14:paraId="3D02EF32"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502</w:t>
            </w:r>
          </w:p>
        </w:tc>
        <w:tc>
          <w:tcPr>
            <w:tcW w:w="992" w:type="dxa"/>
            <w:tcBorders>
              <w:top w:val="nil"/>
              <w:left w:val="nil"/>
              <w:bottom w:val="nil"/>
              <w:right w:val="nil"/>
            </w:tcBorders>
          </w:tcPr>
          <w:p w14:paraId="349F1340"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502</w:t>
            </w:r>
          </w:p>
        </w:tc>
        <w:tc>
          <w:tcPr>
            <w:tcW w:w="992" w:type="dxa"/>
            <w:tcBorders>
              <w:top w:val="nil"/>
              <w:left w:val="nil"/>
              <w:bottom w:val="nil"/>
              <w:right w:val="nil"/>
            </w:tcBorders>
          </w:tcPr>
          <w:p w14:paraId="55B26008"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502</w:t>
            </w:r>
          </w:p>
        </w:tc>
      </w:tr>
      <w:tr w:rsidR="002D3F4A" w:rsidRPr="00CF3C36" w14:paraId="3CC0B8B0" w14:textId="77777777" w:rsidTr="0033505A">
        <w:trPr>
          <w:jc w:val="center"/>
        </w:trPr>
        <w:tc>
          <w:tcPr>
            <w:tcW w:w="1559" w:type="dxa"/>
            <w:tcBorders>
              <w:top w:val="nil"/>
              <w:left w:val="nil"/>
              <w:bottom w:val="nil"/>
              <w:right w:val="nil"/>
            </w:tcBorders>
          </w:tcPr>
          <w:p w14:paraId="1F358A58"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R-squared</w:t>
            </w:r>
          </w:p>
        </w:tc>
        <w:tc>
          <w:tcPr>
            <w:tcW w:w="840" w:type="dxa"/>
            <w:tcBorders>
              <w:top w:val="nil"/>
              <w:left w:val="nil"/>
              <w:bottom w:val="nil"/>
              <w:right w:val="nil"/>
            </w:tcBorders>
          </w:tcPr>
          <w:p w14:paraId="6409218A"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0.012</w:t>
            </w:r>
          </w:p>
        </w:tc>
        <w:tc>
          <w:tcPr>
            <w:tcW w:w="1003" w:type="dxa"/>
            <w:tcBorders>
              <w:top w:val="nil"/>
              <w:left w:val="nil"/>
              <w:bottom w:val="nil"/>
              <w:right w:val="nil"/>
            </w:tcBorders>
          </w:tcPr>
          <w:p w14:paraId="4D58A797"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0.039</w:t>
            </w:r>
          </w:p>
        </w:tc>
        <w:tc>
          <w:tcPr>
            <w:tcW w:w="993" w:type="dxa"/>
            <w:tcBorders>
              <w:top w:val="nil"/>
              <w:left w:val="nil"/>
              <w:bottom w:val="nil"/>
              <w:right w:val="nil"/>
            </w:tcBorders>
          </w:tcPr>
          <w:p w14:paraId="5D221A61"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0.042</w:t>
            </w:r>
          </w:p>
        </w:tc>
        <w:tc>
          <w:tcPr>
            <w:tcW w:w="992" w:type="dxa"/>
            <w:tcBorders>
              <w:top w:val="nil"/>
              <w:left w:val="nil"/>
              <w:bottom w:val="nil"/>
              <w:right w:val="nil"/>
            </w:tcBorders>
          </w:tcPr>
          <w:p w14:paraId="005AE2DE"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0.044</w:t>
            </w:r>
          </w:p>
        </w:tc>
        <w:tc>
          <w:tcPr>
            <w:tcW w:w="992" w:type="dxa"/>
            <w:tcBorders>
              <w:top w:val="nil"/>
              <w:left w:val="nil"/>
              <w:bottom w:val="nil"/>
              <w:right w:val="nil"/>
            </w:tcBorders>
          </w:tcPr>
          <w:p w14:paraId="39BE1A24"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0.044</w:t>
            </w:r>
          </w:p>
        </w:tc>
        <w:tc>
          <w:tcPr>
            <w:tcW w:w="992" w:type="dxa"/>
            <w:tcBorders>
              <w:top w:val="nil"/>
              <w:left w:val="nil"/>
              <w:bottom w:val="nil"/>
              <w:right w:val="nil"/>
            </w:tcBorders>
          </w:tcPr>
          <w:p w14:paraId="4CFDB976"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0.048</w:t>
            </w:r>
          </w:p>
        </w:tc>
      </w:tr>
      <w:tr w:rsidR="002D3F4A" w:rsidRPr="00CF3C36" w14:paraId="41EFA6CD" w14:textId="77777777" w:rsidTr="0033505A">
        <w:tblPrEx>
          <w:tblBorders>
            <w:bottom w:val="single" w:sz="6" w:space="0" w:color="auto"/>
          </w:tblBorders>
        </w:tblPrEx>
        <w:trPr>
          <w:jc w:val="center"/>
        </w:trPr>
        <w:tc>
          <w:tcPr>
            <w:tcW w:w="1559" w:type="dxa"/>
            <w:tcBorders>
              <w:top w:val="nil"/>
              <w:left w:val="nil"/>
              <w:bottom w:val="single" w:sz="6" w:space="0" w:color="auto"/>
              <w:right w:val="nil"/>
            </w:tcBorders>
          </w:tcPr>
          <w:p w14:paraId="487A0317" w14:textId="77777777" w:rsidR="002D3F4A" w:rsidRPr="00CF3C36" w:rsidRDefault="002D3F4A"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Number of cou1</w:t>
            </w:r>
          </w:p>
        </w:tc>
        <w:tc>
          <w:tcPr>
            <w:tcW w:w="840" w:type="dxa"/>
            <w:tcBorders>
              <w:top w:val="nil"/>
              <w:left w:val="nil"/>
              <w:bottom w:val="single" w:sz="6" w:space="0" w:color="auto"/>
              <w:right w:val="nil"/>
            </w:tcBorders>
          </w:tcPr>
          <w:p w14:paraId="0BD56A51"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71</w:t>
            </w:r>
          </w:p>
        </w:tc>
        <w:tc>
          <w:tcPr>
            <w:tcW w:w="1003" w:type="dxa"/>
            <w:tcBorders>
              <w:top w:val="nil"/>
              <w:left w:val="nil"/>
              <w:bottom w:val="single" w:sz="6" w:space="0" w:color="auto"/>
              <w:right w:val="nil"/>
            </w:tcBorders>
          </w:tcPr>
          <w:p w14:paraId="155C5A8E"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71</w:t>
            </w:r>
          </w:p>
        </w:tc>
        <w:tc>
          <w:tcPr>
            <w:tcW w:w="993" w:type="dxa"/>
            <w:tcBorders>
              <w:top w:val="nil"/>
              <w:left w:val="nil"/>
              <w:bottom w:val="single" w:sz="6" w:space="0" w:color="auto"/>
              <w:right w:val="nil"/>
            </w:tcBorders>
          </w:tcPr>
          <w:p w14:paraId="130AA4BF"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71</w:t>
            </w:r>
          </w:p>
        </w:tc>
        <w:tc>
          <w:tcPr>
            <w:tcW w:w="992" w:type="dxa"/>
            <w:tcBorders>
              <w:top w:val="nil"/>
              <w:left w:val="nil"/>
              <w:bottom w:val="single" w:sz="6" w:space="0" w:color="auto"/>
              <w:right w:val="nil"/>
            </w:tcBorders>
          </w:tcPr>
          <w:p w14:paraId="1A5EFED8"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71</w:t>
            </w:r>
          </w:p>
        </w:tc>
        <w:tc>
          <w:tcPr>
            <w:tcW w:w="992" w:type="dxa"/>
            <w:tcBorders>
              <w:top w:val="nil"/>
              <w:left w:val="nil"/>
              <w:bottom w:val="single" w:sz="6" w:space="0" w:color="auto"/>
              <w:right w:val="nil"/>
            </w:tcBorders>
          </w:tcPr>
          <w:p w14:paraId="49635493"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71</w:t>
            </w:r>
          </w:p>
        </w:tc>
        <w:tc>
          <w:tcPr>
            <w:tcW w:w="992" w:type="dxa"/>
            <w:tcBorders>
              <w:top w:val="nil"/>
              <w:left w:val="nil"/>
              <w:bottom w:val="single" w:sz="6" w:space="0" w:color="auto"/>
              <w:right w:val="nil"/>
            </w:tcBorders>
          </w:tcPr>
          <w:p w14:paraId="02B05669" w14:textId="77777777" w:rsidR="002D3F4A" w:rsidRPr="00CF3C36" w:rsidRDefault="002D3F4A"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71</w:t>
            </w:r>
          </w:p>
        </w:tc>
      </w:tr>
    </w:tbl>
    <w:p w14:paraId="21DEEA35" w14:textId="77777777" w:rsidR="002D3F4A" w:rsidRPr="00CF3C36" w:rsidRDefault="002D3F4A" w:rsidP="002D3F4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Robust standard errors in parentheses</w:t>
      </w:r>
    </w:p>
    <w:p w14:paraId="7FCBB4AA" w14:textId="77777777" w:rsidR="002D3F4A" w:rsidRPr="00CF3C36" w:rsidRDefault="002D3F4A" w:rsidP="002D3F4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 p&lt;0.01, ** p&lt;0.05, * p&lt;0.1</w:t>
      </w:r>
    </w:p>
    <w:p w14:paraId="2B7C3B7D" w14:textId="77777777" w:rsidR="002D3F4A" w:rsidRPr="00CF3C36" w:rsidRDefault="002D3F4A" w:rsidP="00C81704">
      <w:pPr>
        <w:jc w:val="center"/>
        <w:rPr>
          <w:i/>
          <w:lang w:val="en-GB"/>
        </w:rPr>
      </w:pPr>
    </w:p>
    <w:p w14:paraId="3812A613" w14:textId="77777777" w:rsidR="003E087F" w:rsidRPr="00CF3C36" w:rsidRDefault="003E087F" w:rsidP="003E087F">
      <w:pPr>
        <w:widowControl w:val="0"/>
        <w:autoSpaceDE w:val="0"/>
        <w:autoSpaceDN w:val="0"/>
        <w:adjustRightInd w:val="0"/>
        <w:spacing w:after="0" w:line="240" w:lineRule="auto"/>
        <w:jc w:val="center"/>
        <w:rPr>
          <w:i/>
          <w:lang w:val="en-GB"/>
        </w:rPr>
      </w:pPr>
    </w:p>
    <w:p w14:paraId="0129C3C9" w14:textId="77777777" w:rsidR="003E087F" w:rsidRPr="00CF3C36" w:rsidRDefault="003E087F" w:rsidP="003E087F">
      <w:pPr>
        <w:widowControl w:val="0"/>
        <w:autoSpaceDE w:val="0"/>
        <w:autoSpaceDN w:val="0"/>
        <w:adjustRightInd w:val="0"/>
        <w:spacing w:after="0" w:line="240" w:lineRule="auto"/>
        <w:jc w:val="center"/>
        <w:rPr>
          <w:i/>
          <w:lang w:val="en-GB"/>
        </w:rPr>
      </w:pPr>
    </w:p>
    <w:p w14:paraId="45BC8690" w14:textId="77777777" w:rsidR="003E087F" w:rsidRPr="00CF3C36" w:rsidRDefault="003E087F" w:rsidP="003E087F">
      <w:pPr>
        <w:widowControl w:val="0"/>
        <w:autoSpaceDE w:val="0"/>
        <w:autoSpaceDN w:val="0"/>
        <w:adjustRightInd w:val="0"/>
        <w:spacing w:after="0" w:line="240" w:lineRule="auto"/>
        <w:jc w:val="center"/>
        <w:rPr>
          <w:i/>
          <w:lang w:val="en-GB"/>
        </w:rPr>
      </w:pPr>
    </w:p>
    <w:p w14:paraId="5C13F7E2" w14:textId="77777777" w:rsidR="003E087F" w:rsidRPr="00CF3C36" w:rsidRDefault="003E087F" w:rsidP="003E087F">
      <w:pPr>
        <w:widowControl w:val="0"/>
        <w:autoSpaceDE w:val="0"/>
        <w:autoSpaceDN w:val="0"/>
        <w:adjustRightInd w:val="0"/>
        <w:spacing w:after="0" w:line="240" w:lineRule="auto"/>
        <w:jc w:val="center"/>
        <w:rPr>
          <w:i/>
          <w:lang w:val="en-GB"/>
        </w:rPr>
      </w:pPr>
    </w:p>
    <w:p w14:paraId="31FE2CB9" w14:textId="77777777" w:rsidR="003E087F" w:rsidRPr="00CF3C36" w:rsidRDefault="003E087F" w:rsidP="003E087F">
      <w:pPr>
        <w:widowControl w:val="0"/>
        <w:autoSpaceDE w:val="0"/>
        <w:autoSpaceDN w:val="0"/>
        <w:adjustRightInd w:val="0"/>
        <w:spacing w:after="0" w:line="240" w:lineRule="auto"/>
        <w:jc w:val="center"/>
        <w:rPr>
          <w:i/>
          <w:lang w:val="en-GB"/>
        </w:rPr>
      </w:pPr>
    </w:p>
    <w:p w14:paraId="256FEF82" w14:textId="77777777" w:rsidR="003E087F" w:rsidRPr="00CF3C36" w:rsidRDefault="003E087F" w:rsidP="003E087F">
      <w:pPr>
        <w:widowControl w:val="0"/>
        <w:autoSpaceDE w:val="0"/>
        <w:autoSpaceDN w:val="0"/>
        <w:adjustRightInd w:val="0"/>
        <w:spacing w:after="0" w:line="240" w:lineRule="auto"/>
        <w:jc w:val="center"/>
        <w:rPr>
          <w:i/>
          <w:lang w:val="en-GB"/>
        </w:rPr>
      </w:pPr>
    </w:p>
    <w:p w14:paraId="7965265F" w14:textId="77777777" w:rsidR="003E087F" w:rsidRPr="00CF3C36" w:rsidRDefault="003E087F" w:rsidP="003E087F">
      <w:pPr>
        <w:widowControl w:val="0"/>
        <w:autoSpaceDE w:val="0"/>
        <w:autoSpaceDN w:val="0"/>
        <w:adjustRightInd w:val="0"/>
        <w:spacing w:after="0" w:line="240" w:lineRule="auto"/>
        <w:jc w:val="center"/>
        <w:rPr>
          <w:i/>
          <w:lang w:val="en-GB"/>
        </w:rPr>
      </w:pPr>
    </w:p>
    <w:p w14:paraId="5A1EFD68" w14:textId="77777777" w:rsidR="003E087F" w:rsidRPr="00CF3C36" w:rsidRDefault="003E087F" w:rsidP="003E087F">
      <w:pPr>
        <w:widowControl w:val="0"/>
        <w:autoSpaceDE w:val="0"/>
        <w:autoSpaceDN w:val="0"/>
        <w:adjustRightInd w:val="0"/>
        <w:spacing w:after="0" w:line="240" w:lineRule="auto"/>
        <w:jc w:val="center"/>
        <w:rPr>
          <w:i/>
          <w:lang w:val="en-GB"/>
        </w:rPr>
      </w:pPr>
    </w:p>
    <w:p w14:paraId="58C4CF09" w14:textId="77777777" w:rsidR="003E087F" w:rsidRPr="00CF3C36" w:rsidRDefault="003E087F" w:rsidP="003E087F">
      <w:pPr>
        <w:widowControl w:val="0"/>
        <w:autoSpaceDE w:val="0"/>
        <w:autoSpaceDN w:val="0"/>
        <w:adjustRightInd w:val="0"/>
        <w:spacing w:after="0" w:line="240" w:lineRule="auto"/>
        <w:jc w:val="center"/>
        <w:rPr>
          <w:i/>
          <w:lang w:val="en-GB"/>
        </w:rPr>
      </w:pPr>
    </w:p>
    <w:p w14:paraId="7D34AA77" w14:textId="77777777" w:rsidR="003E087F" w:rsidRPr="00CF3C36" w:rsidRDefault="003E087F" w:rsidP="003E087F">
      <w:pPr>
        <w:widowControl w:val="0"/>
        <w:autoSpaceDE w:val="0"/>
        <w:autoSpaceDN w:val="0"/>
        <w:adjustRightInd w:val="0"/>
        <w:spacing w:after="0" w:line="240" w:lineRule="auto"/>
        <w:jc w:val="center"/>
        <w:rPr>
          <w:i/>
          <w:lang w:val="en-GB"/>
        </w:rPr>
      </w:pPr>
    </w:p>
    <w:p w14:paraId="2858C8A9" w14:textId="77777777" w:rsidR="003E087F" w:rsidRPr="00CF3C36" w:rsidRDefault="003E087F" w:rsidP="003E087F">
      <w:pPr>
        <w:widowControl w:val="0"/>
        <w:autoSpaceDE w:val="0"/>
        <w:autoSpaceDN w:val="0"/>
        <w:adjustRightInd w:val="0"/>
        <w:spacing w:after="0" w:line="240" w:lineRule="auto"/>
        <w:jc w:val="center"/>
        <w:rPr>
          <w:i/>
          <w:lang w:val="en-GB"/>
        </w:rPr>
      </w:pPr>
    </w:p>
    <w:p w14:paraId="456A4EBF" w14:textId="77777777" w:rsidR="003E087F" w:rsidRPr="00CF3C36" w:rsidRDefault="003E087F" w:rsidP="003E087F">
      <w:pPr>
        <w:widowControl w:val="0"/>
        <w:autoSpaceDE w:val="0"/>
        <w:autoSpaceDN w:val="0"/>
        <w:adjustRightInd w:val="0"/>
        <w:spacing w:after="0" w:line="240" w:lineRule="auto"/>
        <w:jc w:val="center"/>
        <w:rPr>
          <w:i/>
          <w:lang w:val="en-GB"/>
        </w:rPr>
      </w:pPr>
    </w:p>
    <w:p w14:paraId="7DEB0ECB" w14:textId="77777777" w:rsidR="003E087F" w:rsidRPr="00CF3C36" w:rsidRDefault="003E087F" w:rsidP="003E087F">
      <w:pPr>
        <w:widowControl w:val="0"/>
        <w:autoSpaceDE w:val="0"/>
        <w:autoSpaceDN w:val="0"/>
        <w:adjustRightInd w:val="0"/>
        <w:spacing w:after="0" w:line="240" w:lineRule="auto"/>
        <w:jc w:val="center"/>
        <w:rPr>
          <w:i/>
          <w:lang w:val="en-GB"/>
        </w:rPr>
      </w:pPr>
    </w:p>
    <w:p w14:paraId="0D017E35" w14:textId="77777777" w:rsidR="003E087F" w:rsidRPr="00CF3C36" w:rsidRDefault="003E087F" w:rsidP="003E087F">
      <w:pPr>
        <w:widowControl w:val="0"/>
        <w:autoSpaceDE w:val="0"/>
        <w:autoSpaceDN w:val="0"/>
        <w:adjustRightInd w:val="0"/>
        <w:spacing w:after="0" w:line="240" w:lineRule="auto"/>
        <w:jc w:val="center"/>
        <w:rPr>
          <w:i/>
          <w:lang w:val="en-GB"/>
        </w:rPr>
      </w:pPr>
    </w:p>
    <w:p w14:paraId="42D42B48" w14:textId="77777777" w:rsidR="003E087F" w:rsidRPr="00CF3C36" w:rsidRDefault="003E087F" w:rsidP="003E087F">
      <w:pPr>
        <w:widowControl w:val="0"/>
        <w:autoSpaceDE w:val="0"/>
        <w:autoSpaceDN w:val="0"/>
        <w:adjustRightInd w:val="0"/>
        <w:spacing w:after="0" w:line="240" w:lineRule="auto"/>
        <w:jc w:val="center"/>
        <w:rPr>
          <w:i/>
          <w:lang w:val="en-GB"/>
        </w:rPr>
      </w:pPr>
    </w:p>
    <w:p w14:paraId="6B2099B3" w14:textId="77777777" w:rsidR="003E087F" w:rsidRPr="00CF3C36" w:rsidRDefault="003E087F" w:rsidP="003E087F">
      <w:pPr>
        <w:widowControl w:val="0"/>
        <w:autoSpaceDE w:val="0"/>
        <w:autoSpaceDN w:val="0"/>
        <w:adjustRightInd w:val="0"/>
        <w:spacing w:after="0" w:line="240" w:lineRule="auto"/>
        <w:jc w:val="center"/>
        <w:rPr>
          <w:i/>
          <w:lang w:val="en-GB"/>
        </w:rPr>
      </w:pPr>
    </w:p>
    <w:p w14:paraId="222A0CEC" w14:textId="77777777" w:rsidR="003E087F" w:rsidRPr="00CF3C36" w:rsidRDefault="003E087F" w:rsidP="003E087F">
      <w:pPr>
        <w:widowControl w:val="0"/>
        <w:autoSpaceDE w:val="0"/>
        <w:autoSpaceDN w:val="0"/>
        <w:adjustRightInd w:val="0"/>
        <w:spacing w:after="0" w:line="240" w:lineRule="auto"/>
        <w:jc w:val="center"/>
        <w:rPr>
          <w:i/>
          <w:lang w:val="en-GB"/>
        </w:rPr>
      </w:pPr>
    </w:p>
    <w:p w14:paraId="05A46D16" w14:textId="77777777" w:rsidR="003E087F" w:rsidRPr="00CF3C36" w:rsidRDefault="003E087F" w:rsidP="003E087F">
      <w:pPr>
        <w:widowControl w:val="0"/>
        <w:autoSpaceDE w:val="0"/>
        <w:autoSpaceDN w:val="0"/>
        <w:adjustRightInd w:val="0"/>
        <w:spacing w:after="0" w:line="240" w:lineRule="auto"/>
        <w:jc w:val="center"/>
        <w:rPr>
          <w:i/>
          <w:lang w:val="en-GB"/>
        </w:rPr>
      </w:pPr>
    </w:p>
    <w:p w14:paraId="1F5748BC" w14:textId="77777777" w:rsidR="003E087F" w:rsidRPr="00CF3C36" w:rsidRDefault="003E087F" w:rsidP="003E087F">
      <w:pPr>
        <w:widowControl w:val="0"/>
        <w:autoSpaceDE w:val="0"/>
        <w:autoSpaceDN w:val="0"/>
        <w:adjustRightInd w:val="0"/>
        <w:spacing w:after="0" w:line="240" w:lineRule="auto"/>
        <w:jc w:val="center"/>
        <w:rPr>
          <w:i/>
          <w:lang w:val="en-GB"/>
        </w:rPr>
      </w:pPr>
    </w:p>
    <w:p w14:paraId="561353D4" w14:textId="77777777" w:rsidR="003E087F" w:rsidRPr="00CF3C36" w:rsidRDefault="003E087F" w:rsidP="003E087F">
      <w:pPr>
        <w:widowControl w:val="0"/>
        <w:autoSpaceDE w:val="0"/>
        <w:autoSpaceDN w:val="0"/>
        <w:adjustRightInd w:val="0"/>
        <w:spacing w:after="0" w:line="240" w:lineRule="auto"/>
        <w:jc w:val="center"/>
        <w:rPr>
          <w:i/>
          <w:lang w:val="en-GB"/>
        </w:rPr>
      </w:pPr>
    </w:p>
    <w:p w14:paraId="1BD5C738" w14:textId="77777777" w:rsidR="003E087F" w:rsidRPr="00CF3C36" w:rsidRDefault="003E087F" w:rsidP="003E087F">
      <w:pPr>
        <w:widowControl w:val="0"/>
        <w:autoSpaceDE w:val="0"/>
        <w:autoSpaceDN w:val="0"/>
        <w:adjustRightInd w:val="0"/>
        <w:spacing w:after="0" w:line="240" w:lineRule="auto"/>
        <w:jc w:val="center"/>
        <w:rPr>
          <w:i/>
          <w:lang w:val="en-GB"/>
        </w:rPr>
      </w:pPr>
    </w:p>
    <w:p w14:paraId="5FB1B88B" w14:textId="77777777" w:rsidR="003E087F" w:rsidRPr="00CF3C36" w:rsidRDefault="003E087F" w:rsidP="003E087F">
      <w:pPr>
        <w:widowControl w:val="0"/>
        <w:autoSpaceDE w:val="0"/>
        <w:autoSpaceDN w:val="0"/>
        <w:adjustRightInd w:val="0"/>
        <w:spacing w:after="0" w:line="240" w:lineRule="auto"/>
        <w:jc w:val="center"/>
        <w:rPr>
          <w:i/>
          <w:lang w:val="en-GB"/>
        </w:rPr>
      </w:pPr>
    </w:p>
    <w:p w14:paraId="291234DD" w14:textId="77777777" w:rsidR="003E087F" w:rsidRPr="00CF3C36" w:rsidRDefault="003E087F" w:rsidP="003E087F">
      <w:pPr>
        <w:widowControl w:val="0"/>
        <w:autoSpaceDE w:val="0"/>
        <w:autoSpaceDN w:val="0"/>
        <w:adjustRightInd w:val="0"/>
        <w:spacing w:after="0" w:line="240" w:lineRule="auto"/>
        <w:jc w:val="center"/>
        <w:rPr>
          <w:i/>
          <w:lang w:val="en-GB"/>
        </w:rPr>
      </w:pPr>
    </w:p>
    <w:p w14:paraId="5791ED79" w14:textId="2A239AE6" w:rsidR="003E087F" w:rsidRPr="00CF3C36" w:rsidRDefault="003E087F" w:rsidP="002D3F4A">
      <w:pPr>
        <w:widowControl w:val="0"/>
        <w:autoSpaceDE w:val="0"/>
        <w:autoSpaceDN w:val="0"/>
        <w:adjustRightInd w:val="0"/>
        <w:spacing w:after="0" w:line="240" w:lineRule="auto"/>
        <w:rPr>
          <w:i/>
          <w:lang w:val="en-GB"/>
        </w:rPr>
      </w:pPr>
    </w:p>
    <w:p w14:paraId="32FA384E" w14:textId="3D33945D" w:rsidR="002D3F4A" w:rsidRPr="00CF3C36" w:rsidRDefault="002D3F4A" w:rsidP="002D3F4A">
      <w:pPr>
        <w:widowControl w:val="0"/>
        <w:autoSpaceDE w:val="0"/>
        <w:autoSpaceDN w:val="0"/>
        <w:adjustRightInd w:val="0"/>
        <w:spacing w:after="0" w:line="240" w:lineRule="auto"/>
        <w:rPr>
          <w:i/>
          <w:lang w:val="en-GB"/>
        </w:rPr>
      </w:pPr>
    </w:p>
    <w:p w14:paraId="7ECF7D36" w14:textId="77777777" w:rsidR="002D3F4A" w:rsidRPr="00CF3C36" w:rsidRDefault="002D3F4A" w:rsidP="002D3F4A">
      <w:pPr>
        <w:widowControl w:val="0"/>
        <w:autoSpaceDE w:val="0"/>
        <w:autoSpaceDN w:val="0"/>
        <w:adjustRightInd w:val="0"/>
        <w:spacing w:after="0" w:line="240" w:lineRule="auto"/>
        <w:rPr>
          <w:i/>
          <w:lang w:val="en-GB"/>
        </w:rPr>
      </w:pPr>
    </w:p>
    <w:p w14:paraId="5F526785" w14:textId="253701F0" w:rsidR="00846572" w:rsidRPr="00CF3C36" w:rsidRDefault="0033675A" w:rsidP="00864C4C">
      <w:pPr>
        <w:pStyle w:val="Heading5"/>
        <w:jc w:val="center"/>
        <w:rPr>
          <w:lang w:val="en-GB"/>
        </w:rPr>
      </w:pPr>
      <w:bookmarkStart w:id="53" w:name="_Toc15475685"/>
      <w:r w:rsidRPr="00CF3C36">
        <w:rPr>
          <w:lang w:val="en-GB"/>
        </w:rPr>
        <w:lastRenderedPageBreak/>
        <w:t>Table 22</w:t>
      </w:r>
      <w:r w:rsidR="00864C4C" w:rsidRPr="00CF3C36">
        <w:rPr>
          <w:lang w:val="en-GB"/>
        </w:rPr>
        <w:t xml:space="preserve">. </w:t>
      </w:r>
      <w:r w:rsidR="003E087F" w:rsidRPr="00CF3C36">
        <w:rPr>
          <w:lang w:val="en-GB"/>
        </w:rPr>
        <w:t>Robustness-checks Model 2</w:t>
      </w:r>
      <w:bookmarkEnd w:id="53"/>
    </w:p>
    <w:tbl>
      <w:tblPr>
        <w:tblW w:w="6149" w:type="dxa"/>
        <w:jc w:val="center"/>
        <w:tblLayout w:type="fixed"/>
        <w:tblCellMar>
          <w:left w:w="75" w:type="dxa"/>
          <w:right w:w="75" w:type="dxa"/>
        </w:tblCellMar>
        <w:tblLook w:val="0000" w:firstRow="0" w:lastRow="0" w:firstColumn="0" w:lastColumn="0" w:noHBand="0" w:noVBand="0"/>
      </w:tblPr>
      <w:tblGrid>
        <w:gridCol w:w="1701"/>
        <w:gridCol w:w="1134"/>
        <w:gridCol w:w="1134"/>
        <w:gridCol w:w="1145"/>
        <w:gridCol w:w="1035"/>
      </w:tblGrid>
      <w:tr w:rsidR="003E087F" w:rsidRPr="00CF3C36" w14:paraId="59BFBDC3" w14:textId="77777777" w:rsidTr="007F7204">
        <w:trPr>
          <w:jc w:val="center"/>
        </w:trPr>
        <w:tc>
          <w:tcPr>
            <w:tcW w:w="1701" w:type="dxa"/>
            <w:tcBorders>
              <w:top w:val="single" w:sz="6" w:space="0" w:color="auto"/>
              <w:left w:val="nil"/>
              <w:bottom w:val="nil"/>
              <w:right w:val="nil"/>
            </w:tcBorders>
          </w:tcPr>
          <w:p w14:paraId="4D41D8C7"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single" w:sz="6" w:space="0" w:color="auto"/>
              <w:left w:val="nil"/>
              <w:bottom w:val="nil"/>
              <w:right w:val="nil"/>
            </w:tcBorders>
          </w:tcPr>
          <w:p w14:paraId="722629AD"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w:t>
            </w:r>
          </w:p>
        </w:tc>
        <w:tc>
          <w:tcPr>
            <w:tcW w:w="1134" w:type="dxa"/>
            <w:tcBorders>
              <w:top w:val="single" w:sz="6" w:space="0" w:color="auto"/>
              <w:left w:val="nil"/>
              <w:bottom w:val="nil"/>
              <w:right w:val="nil"/>
            </w:tcBorders>
          </w:tcPr>
          <w:p w14:paraId="3D19B474"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w:t>
            </w:r>
          </w:p>
        </w:tc>
        <w:tc>
          <w:tcPr>
            <w:tcW w:w="1145" w:type="dxa"/>
            <w:tcBorders>
              <w:top w:val="single" w:sz="6" w:space="0" w:color="auto"/>
              <w:left w:val="nil"/>
              <w:bottom w:val="nil"/>
              <w:right w:val="nil"/>
            </w:tcBorders>
          </w:tcPr>
          <w:p w14:paraId="1E2CA17B"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w:t>
            </w:r>
          </w:p>
        </w:tc>
        <w:tc>
          <w:tcPr>
            <w:tcW w:w="1035" w:type="dxa"/>
            <w:tcBorders>
              <w:top w:val="single" w:sz="6" w:space="0" w:color="auto"/>
              <w:left w:val="nil"/>
              <w:bottom w:val="nil"/>
              <w:right w:val="nil"/>
            </w:tcBorders>
          </w:tcPr>
          <w:p w14:paraId="313BAF45"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w:t>
            </w:r>
          </w:p>
        </w:tc>
      </w:tr>
      <w:tr w:rsidR="003E087F" w:rsidRPr="00CF3C36" w14:paraId="799C1D3C" w14:textId="77777777" w:rsidTr="007F7204">
        <w:trPr>
          <w:jc w:val="center"/>
        </w:trPr>
        <w:tc>
          <w:tcPr>
            <w:tcW w:w="1701" w:type="dxa"/>
            <w:tcBorders>
              <w:top w:val="nil"/>
              <w:left w:val="nil"/>
              <w:bottom w:val="single" w:sz="6" w:space="0" w:color="auto"/>
              <w:right w:val="nil"/>
            </w:tcBorders>
          </w:tcPr>
          <w:p w14:paraId="2BDFB78F"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VARIABLES</w:t>
            </w:r>
          </w:p>
        </w:tc>
        <w:tc>
          <w:tcPr>
            <w:tcW w:w="1134" w:type="dxa"/>
            <w:tcBorders>
              <w:top w:val="nil"/>
              <w:left w:val="nil"/>
              <w:bottom w:val="single" w:sz="6" w:space="0" w:color="auto"/>
              <w:right w:val="nil"/>
            </w:tcBorders>
          </w:tcPr>
          <w:p w14:paraId="4091BAFF"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2 - EPI years</w:t>
            </w:r>
          </w:p>
        </w:tc>
        <w:tc>
          <w:tcPr>
            <w:tcW w:w="1134" w:type="dxa"/>
            <w:tcBorders>
              <w:top w:val="nil"/>
              <w:left w:val="nil"/>
              <w:bottom w:val="single" w:sz="6" w:space="0" w:color="auto"/>
              <w:right w:val="nil"/>
            </w:tcBorders>
          </w:tcPr>
          <w:p w14:paraId="31BF9E81"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2 - no governance</w:t>
            </w:r>
          </w:p>
        </w:tc>
        <w:tc>
          <w:tcPr>
            <w:tcW w:w="1145" w:type="dxa"/>
            <w:tcBorders>
              <w:top w:val="nil"/>
              <w:left w:val="nil"/>
              <w:bottom w:val="single" w:sz="6" w:space="0" w:color="auto"/>
              <w:right w:val="nil"/>
            </w:tcBorders>
          </w:tcPr>
          <w:p w14:paraId="1F309AD9"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2 - no missings</w:t>
            </w:r>
          </w:p>
        </w:tc>
        <w:tc>
          <w:tcPr>
            <w:tcW w:w="1035" w:type="dxa"/>
            <w:tcBorders>
              <w:top w:val="nil"/>
              <w:left w:val="nil"/>
              <w:bottom w:val="single" w:sz="6" w:space="0" w:color="auto"/>
              <w:right w:val="nil"/>
            </w:tcBorders>
          </w:tcPr>
          <w:p w14:paraId="26B14476" w14:textId="486003BD"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2 - EPS</w:t>
            </w:r>
            <w:r w:rsidR="002D0C71" w:rsidRPr="00CF3C36">
              <w:rPr>
                <w:rFonts w:ascii="Times New Roman" w:hAnsi="Times New Roman" w:cs="Times New Roman"/>
                <w:sz w:val="18"/>
                <w:szCs w:val="18"/>
                <w:lang w:val="en-GB"/>
              </w:rPr>
              <w:t>I</w:t>
            </w:r>
          </w:p>
        </w:tc>
      </w:tr>
      <w:tr w:rsidR="003E087F" w:rsidRPr="00CF3C36" w14:paraId="65F3C3FD" w14:textId="77777777" w:rsidTr="007F7204">
        <w:trPr>
          <w:jc w:val="center"/>
        </w:trPr>
        <w:tc>
          <w:tcPr>
            <w:tcW w:w="1701" w:type="dxa"/>
            <w:tcBorders>
              <w:top w:val="nil"/>
              <w:left w:val="nil"/>
              <w:bottom w:val="nil"/>
              <w:right w:val="nil"/>
            </w:tcBorders>
          </w:tcPr>
          <w:p w14:paraId="751A73BD"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12D71E10"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34" w:type="dxa"/>
            <w:tcBorders>
              <w:top w:val="nil"/>
              <w:left w:val="nil"/>
              <w:bottom w:val="nil"/>
              <w:right w:val="nil"/>
            </w:tcBorders>
          </w:tcPr>
          <w:p w14:paraId="61A8FDCA"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5" w:type="dxa"/>
            <w:tcBorders>
              <w:top w:val="nil"/>
              <w:left w:val="nil"/>
              <w:bottom w:val="nil"/>
              <w:right w:val="nil"/>
            </w:tcBorders>
          </w:tcPr>
          <w:p w14:paraId="2B1D0E25"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35" w:type="dxa"/>
            <w:tcBorders>
              <w:top w:val="nil"/>
              <w:left w:val="nil"/>
              <w:bottom w:val="nil"/>
              <w:right w:val="nil"/>
            </w:tcBorders>
          </w:tcPr>
          <w:p w14:paraId="14B45A2A"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3E087F" w:rsidRPr="00CF3C36" w14:paraId="51B8FDCD" w14:textId="77777777" w:rsidTr="007F7204">
        <w:trPr>
          <w:jc w:val="center"/>
        </w:trPr>
        <w:tc>
          <w:tcPr>
            <w:tcW w:w="1701" w:type="dxa"/>
            <w:tcBorders>
              <w:top w:val="nil"/>
              <w:left w:val="nil"/>
              <w:bottom w:val="nil"/>
              <w:right w:val="nil"/>
            </w:tcBorders>
          </w:tcPr>
          <w:p w14:paraId="53B2ACBB"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w:t>
            </w:r>
          </w:p>
        </w:tc>
        <w:tc>
          <w:tcPr>
            <w:tcW w:w="1134" w:type="dxa"/>
            <w:tcBorders>
              <w:top w:val="nil"/>
              <w:left w:val="nil"/>
              <w:bottom w:val="nil"/>
              <w:right w:val="nil"/>
            </w:tcBorders>
          </w:tcPr>
          <w:p w14:paraId="08996A63"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0.0943</w:t>
            </w:r>
          </w:p>
        </w:tc>
        <w:tc>
          <w:tcPr>
            <w:tcW w:w="1134" w:type="dxa"/>
            <w:tcBorders>
              <w:top w:val="nil"/>
              <w:left w:val="nil"/>
              <w:bottom w:val="nil"/>
              <w:right w:val="nil"/>
            </w:tcBorders>
          </w:tcPr>
          <w:p w14:paraId="00931363"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0.160</w:t>
            </w:r>
          </w:p>
        </w:tc>
        <w:tc>
          <w:tcPr>
            <w:tcW w:w="1145" w:type="dxa"/>
            <w:tcBorders>
              <w:top w:val="nil"/>
              <w:left w:val="nil"/>
              <w:bottom w:val="nil"/>
              <w:right w:val="nil"/>
            </w:tcBorders>
          </w:tcPr>
          <w:p w14:paraId="255B7204"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0.173</w:t>
            </w:r>
          </w:p>
        </w:tc>
        <w:tc>
          <w:tcPr>
            <w:tcW w:w="1035" w:type="dxa"/>
            <w:tcBorders>
              <w:top w:val="nil"/>
              <w:left w:val="nil"/>
              <w:bottom w:val="nil"/>
              <w:right w:val="nil"/>
            </w:tcBorders>
          </w:tcPr>
          <w:p w14:paraId="4031CE02"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3E087F" w:rsidRPr="00CF3C36" w14:paraId="5E9E9748" w14:textId="77777777" w:rsidTr="007F7204">
        <w:trPr>
          <w:jc w:val="center"/>
        </w:trPr>
        <w:tc>
          <w:tcPr>
            <w:tcW w:w="1701" w:type="dxa"/>
            <w:tcBorders>
              <w:top w:val="nil"/>
              <w:left w:val="nil"/>
              <w:bottom w:val="nil"/>
              <w:right w:val="nil"/>
            </w:tcBorders>
          </w:tcPr>
          <w:p w14:paraId="40ED862D"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73414AFB"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(0.176)</w:t>
            </w:r>
          </w:p>
        </w:tc>
        <w:tc>
          <w:tcPr>
            <w:tcW w:w="1134" w:type="dxa"/>
            <w:tcBorders>
              <w:top w:val="nil"/>
              <w:left w:val="nil"/>
              <w:bottom w:val="nil"/>
              <w:right w:val="nil"/>
            </w:tcBorders>
          </w:tcPr>
          <w:p w14:paraId="2AE668D6"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(0.128)</w:t>
            </w:r>
          </w:p>
        </w:tc>
        <w:tc>
          <w:tcPr>
            <w:tcW w:w="1145" w:type="dxa"/>
            <w:tcBorders>
              <w:top w:val="nil"/>
              <w:left w:val="nil"/>
              <w:bottom w:val="nil"/>
              <w:right w:val="nil"/>
            </w:tcBorders>
          </w:tcPr>
          <w:p w14:paraId="645091B6"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(0.254)</w:t>
            </w:r>
          </w:p>
        </w:tc>
        <w:tc>
          <w:tcPr>
            <w:tcW w:w="1035" w:type="dxa"/>
            <w:tcBorders>
              <w:top w:val="nil"/>
              <w:left w:val="nil"/>
              <w:bottom w:val="nil"/>
              <w:right w:val="nil"/>
            </w:tcBorders>
          </w:tcPr>
          <w:p w14:paraId="01F2E743"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3E087F" w:rsidRPr="00CF3C36" w14:paraId="734160AF" w14:textId="77777777" w:rsidTr="007F7204">
        <w:trPr>
          <w:jc w:val="center"/>
        </w:trPr>
        <w:tc>
          <w:tcPr>
            <w:tcW w:w="1701" w:type="dxa"/>
            <w:tcBorders>
              <w:top w:val="nil"/>
              <w:left w:val="nil"/>
              <w:bottom w:val="nil"/>
              <w:right w:val="nil"/>
            </w:tcBorders>
          </w:tcPr>
          <w:p w14:paraId="051E89DE"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ln_rgdpna</w:t>
            </w:r>
          </w:p>
        </w:tc>
        <w:tc>
          <w:tcPr>
            <w:tcW w:w="1134" w:type="dxa"/>
            <w:tcBorders>
              <w:top w:val="nil"/>
              <w:left w:val="nil"/>
              <w:bottom w:val="nil"/>
              <w:right w:val="nil"/>
            </w:tcBorders>
          </w:tcPr>
          <w:p w14:paraId="7F9BB28E"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8.524**</w:t>
            </w:r>
          </w:p>
        </w:tc>
        <w:tc>
          <w:tcPr>
            <w:tcW w:w="1134" w:type="dxa"/>
            <w:tcBorders>
              <w:top w:val="nil"/>
              <w:left w:val="nil"/>
              <w:bottom w:val="nil"/>
              <w:right w:val="nil"/>
            </w:tcBorders>
          </w:tcPr>
          <w:p w14:paraId="131DF889"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5.973***</w:t>
            </w:r>
          </w:p>
        </w:tc>
        <w:tc>
          <w:tcPr>
            <w:tcW w:w="1145" w:type="dxa"/>
            <w:tcBorders>
              <w:top w:val="nil"/>
              <w:left w:val="nil"/>
              <w:bottom w:val="nil"/>
              <w:right w:val="nil"/>
            </w:tcBorders>
          </w:tcPr>
          <w:p w14:paraId="7FD4587D"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1.210</w:t>
            </w:r>
          </w:p>
        </w:tc>
        <w:tc>
          <w:tcPr>
            <w:tcW w:w="1035" w:type="dxa"/>
            <w:tcBorders>
              <w:top w:val="nil"/>
              <w:left w:val="nil"/>
              <w:bottom w:val="nil"/>
              <w:right w:val="nil"/>
            </w:tcBorders>
          </w:tcPr>
          <w:p w14:paraId="1053A082"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7.389</w:t>
            </w:r>
          </w:p>
        </w:tc>
      </w:tr>
      <w:tr w:rsidR="003E087F" w:rsidRPr="00CF3C36" w14:paraId="415FE2A2" w14:textId="77777777" w:rsidTr="007F7204">
        <w:trPr>
          <w:jc w:val="center"/>
        </w:trPr>
        <w:tc>
          <w:tcPr>
            <w:tcW w:w="1701" w:type="dxa"/>
            <w:tcBorders>
              <w:top w:val="nil"/>
              <w:left w:val="nil"/>
              <w:bottom w:val="nil"/>
              <w:right w:val="nil"/>
            </w:tcBorders>
          </w:tcPr>
          <w:p w14:paraId="2E270207"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2985821D"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(3.249)</w:t>
            </w:r>
          </w:p>
        </w:tc>
        <w:tc>
          <w:tcPr>
            <w:tcW w:w="1134" w:type="dxa"/>
            <w:tcBorders>
              <w:top w:val="nil"/>
              <w:left w:val="nil"/>
              <w:bottom w:val="nil"/>
              <w:right w:val="nil"/>
            </w:tcBorders>
          </w:tcPr>
          <w:p w14:paraId="01DD5586"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(2.179)</w:t>
            </w:r>
          </w:p>
        </w:tc>
        <w:tc>
          <w:tcPr>
            <w:tcW w:w="1145" w:type="dxa"/>
            <w:tcBorders>
              <w:top w:val="nil"/>
              <w:left w:val="nil"/>
              <w:bottom w:val="nil"/>
              <w:right w:val="nil"/>
            </w:tcBorders>
          </w:tcPr>
          <w:p w14:paraId="2326B7FE"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(4.147)</w:t>
            </w:r>
          </w:p>
        </w:tc>
        <w:tc>
          <w:tcPr>
            <w:tcW w:w="1035" w:type="dxa"/>
            <w:tcBorders>
              <w:top w:val="nil"/>
              <w:left w:val="nil"/>
              <w:bottom w:val="nil"/>
              <w:right w:val="nil"/>
            </w:tcBorders>
          </w:tcPr>
          <w:p w14:paraId="1F6D5B9A"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(11.43)</w:t>
            </w:r>
          </w:p>
        </w:tc>
      </w:tr>
      <w:tr w:rsidR="003E087F" w:rsidRPr="00CF3C36" w14:paraId="40B911F8" w14:textId="77777777" w:rsidTr="007F7204">
        <w:trPr>
          <w:jc w:val="center"/>
        </w:trPr>
        <w:tc>
          <w:tcPr>
            <w:tcW w:w="1701" w:type="dxa"/>
            <w:tcBorders>
              <w:top w:val="nil"/>
              <w:left w:val="nil"/>
              <w:bottom w:val="nil"/>
              <w:right w:val="nil"/>
            </w:tcBorders>
          </w:tcPr>
          <w:p w14:paraId="168649D4"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SE_terX</w:t>
            </w:r>
          </w:p>
        </w:tc>
        <w:tc>
          <w:tcPr>
            <w:tcW w:w="1134" w:type="dxa"/>
            <w:tcBorders>
              <w:top w:val="nil"/>
              <w:left w:val="nil"/>
              <w:bottom w:val="nil"/>
              <w:right w:val="nil"/>
            </w:tcBorders>
          </w:tcPr>
          <w:p w14:paraId="38CB0FD9"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0.0492</w:t>
            </w:r>
          </w:p>
        </w:tc>
        <w:tc>
          <w:tcPr>
            <w:tcW w:w="1134" w:type="dxa"/>
            <w:tcBorders>
              <w:top w:val="nil"/>
              <w:left w:val="nil"/>
              <w:bottom w:val="nil"/>
              <w:right w:val="nil"/>
            </w:tcBorders>
          </w:tcPr>
          <w:p w14:paraId="612BDCC2"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0.0354</w:t>
            </w:r>
          </w:p>
        </w:tc>
        <w:tc>
          <w:tcPr>
            <w:tcW w:w="1145" w:type="dxa"/>
            <w:tcBorders>
              <w:top w:val="nil"/>
              <w:left w:val="nil"/>
              <w:bottom w:val="nil"/>
              <w:right w:val="nil"/>
            </w:tcBorders>
          </w:tcPr>
          <w:p w14:paraId="6AC0F204"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0.106**</w:t>
            </w:r>
          </w:p>
        </w:tc>
        <w:tc>
          <w:tcPr>
            <w:tcW w:w="1035" w:type="dxa"/>
            <w:tcBorders>
              <w:top w:val="nil"/>
              <w:left w:val="nil"/>
              <w:bottom w:val="nil"/>
              <w:right w:val="nil"/>
            </w:tcBorders>
          </w:tcPr>
          <w:p w14:paraId="071160BE"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0.118</w:t>
            </w:r>
          </w:p>
        </w:tc>
      </w:tr>
      <w:tr w:rsidR="003E087F" w:rsidRPr="00CF3C36" w14:paraId="6F780C05" w14:textId="77777777" w:rsidTr="007F7204">
        <w:trPr>
          <w:jc w:val="center"/>
        </w:trPr>
        <w:tc>
          <w:tcPr>
            <w:tcW w:w="1701" w:type="dxa"/>
            <w:tcBorders>
              <w:top w:val="nil"/>
              <w:left w:val="nil"/>
              <w:bottom w:val="nil"/>
              <w:right w:val="nil"/>
            </w:tcBorders>
          </w:tcPr>
          <w:p w14:paraId="16F332BC"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0AEE0F65"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(0.0450)</w:t>
            </w:r>
          </w:p>
        </w:tc>
        <w:tc>
          <w:tcPr>
            <w:tcW w:w="1134" w:type="dxa"/>
            <w:tcBorders>
              <w:top w:val="nil"/>
              <w:left w:val="nil"/>
              <w:bottom w:val="nil"/>
              <w:right w:val="nil"/>
            </w:tcBorders>
          </w:tcPr>
          <w:p w14:paraId="69D158E6"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(0.0289)</w:t>
            </w:r>
          </w:p>
        </w:tc>
        <w:tc>
          <w:tcPr>
            <w:tcW w:w="1145" w:type="dxa"/>
            <w:tcBorders>
              <w:top w:val="nil"/>
              <w:left w:val="nil"/>
              <w:bottom w:val="nil"/>
              <w:right w:val="nil"/>
            </w:tcBorders>
          </w:tcPr>
          <w:p w14:paraId="1F4C6D23"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(0.0419)</w:t>
            </w:r>
          </w:p>
        </w:tc>
        <w:tc>
          <w:tcPr>
            <w:tcW w:w="1035" w:type="dxa"/>
            <w:tcBorders>
              <w:top w:val="nil"/>
              <w:left w:val="nil"/>
              <w:bottom w:val="nil"/>
              <w:right w:val="nil"/>
            </w:tcBorders>
          </w:tcPr>
          <w:p w14:paraId="52039BAD"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(0.140)</w:t>
            </w:r>
          </w:p>
        </w:tc>
      </w:tr>
      <w:tr w:rsidR="003E087F" w:rsidRPr="00CF3C36" w14:paraId="29147A15" w14:textId="77777777" w:rsidTr="007F7204">
        <w:trPr>
          <w:jc w:val="center"/>
        </w:trPr>
        <w:tc>
          <w:tcPr>
            <w:tcW w:w="1701" w:type="dxa"/>
            <w:tcBorders>
              <w:top w:val="nil"/>
              <w:left w:val="nil"/>
              <w:bottom w:val="nil"/>
              <w:right w:val="nil"/>
            </w:tcBorders>
          </w:tcPr>
          <w:p w14:paraId="6B72034A"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eodb1</w:t>
            </w:r>
          </w:p>
        </w:tc>
        <w:tc>
          <w:tcPr>
            <w:tcW w:w="1134" w:type="dxa"/>
            <w:tcBorders>
              <w:top w:val="nil"/>
              <w:left w:val="nil"/>
              <w:bottom w:val="nil"/>
              <w:right w:val="nil"/>
            </w:tcBorders>
          </w:tcPr>
          <w:p w14:paraId="0FF5283E"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0.00228</w:t>
            </w:r>
          </w:p>
        </w:tc>
        <w:tc>
          <w:tcPr>
            <w:tcW w:w="1134" w:type="dxa"/>
            <w:tcBorders>
              <w:top w:val="nil"/>
              <w:left w:val="nil"/>
              <w:bottom w:val="nil"/>
              <w:right w:val="nil"/>
            </w:tcBorders>
          </w:tcPr>
          <w:p w14:paraId="4B159DD3"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0.0165</w:t>
            </w:r>
          </w:p>
        </w:tc>
        <w:tc>
          <w:tcPr>
            <w:tcW w:w="1145" w:type="dxa"/>
            <w:tcBorders>
              <w:top w:val="nil"/>
              <w:left w:val="nil"/>
              <w:bottom w:val="nil"/>
              <w:right w:val="nil"/>
            </w:tcBorders>
          </w:tcPr>
          <w:p w14:paraId="1754968D"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-0.0738</w:t>
            </w:r>
          </w:p>
        </w:tc>
        <w:tc>
          <w:tcPr>
            <w:tcW w:w="1035" w:type="dxa"/>
            <w:tcBorders>
              <w:top w:val="nil"/>
              <w:left w:val="nil"/>
              <w:bottom w:val="nil"/>
              <w:right w:val="nil"/>
            </w:tcBorders>
          </w:tcPr>
          <w:p w14:paraId="23204C1B"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0.0285</w:t>
            </w:r>
          </w:p>
        </w:tc>
      </w:tr>
      <w:tr w:rsidR="003E087F" w:rsidRPr="00CF3C36" w14:paraId="6C3E8198" w14:textId="77777777" w:rsidTr="007F7204">
        <w:trPr>
          <w:jc w:val="center"/>
        </w:trPr>
        <w:tc>
          <w:tcPr>
            <w:tcW w:w="1701" w:type="dxa"/>
            <w:tcBorders>
              <w:top w:val="nil"/>
              <w:left w:val="nil"/>
              <w:bottom w:val="nil"/>
              <w:right w:val="nil"/>
            </w:tcBorders>
          </w:tcPr>
          <w:p w14:paraId="119C3C0B"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31B81F41"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(0.0715)</w:t>
            </w:r>
          </w:p>
        </w:tc>
        <w:tc>
          <w:tcPr>
            <w:tcW w:w="1134" w:type="dxa"/>
            <w:tcBorders>
              <w:top w:val="nil"/>
              <w:left w:val="nil"/>
              <w:bottom w:val="nil"/>
              <w:right w:val="nil"/>
            </w:tcBorders>
          </w:tcPr>
          <w:p w14:paraId="7F93CF5C"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(0.0635)</w:t>
            </w:r>
          </w:p>
        </w:tc>
        <w:tc>
          <w:tcPr>
            <w:tcW w:w="1145" w:type="dxa"/>
            <w:tcBorders>
              <w:top w:val="nil"/>
              <w:left w:val="nil"/>
              <w:bottom w:val="nil"/>
              <w:right w:val="nil"/>
            </w:tcBorders>
          </w:tcPr>
          <w:p w14:paraId="6486F8F3"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(0.176)</w:t>
            </w:r>
          </w:p>
        </w:tc>
        <w:tc>
          <w:tcPr>
            <w:tcW w:w="1035" w:type="dxa"/>
            <w:tcBorders>
              <w:top w:val="nil"/>
              <w:left w:val="nil"/>
              <w:bottom w:val="nil"/>
              <w:right w:val="nil"/>
            </w:tcBorders>
          </w:tcPr>
          <w:p w14:paraId="29097E49"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(0.264)</w:t>
            </w:r>
          </w:p>
        </w:tc>
      </w:tr>
      <w:tr w:rsidR="003E087F" w:rsidRPr="00CF3C36" w14:paraId="32AEDA2C" w14:textId="77777777" w:rsidTr="007F7204">
        <w:trPr>
          <w:jc w:val="center"/>
        </w:trPr>
        <w:tc>
          <w:tcPr>
            <w:tcW w:w="1701" w:type="dxa"/>
            <w:tcBorders>
              <w:top w:val="nil"/>
              <w:left w:val="nil"/>
              <w:bottom w:val="nil"/>
              <w:right w:val="nil"/>
            </w:tcBorders>
          </w:tcPr>
          <w:p w14:paraId="34FEA492"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governance</w:t>
            </w:r>
          </w:p>
        </w:tc>
        <w:tc>
          <w:tcPr>
            <w:tcW w:w="1134" w:type="dxa"/>
            <w:tcBorders>
              <w:top w:val="nil"/>
              <w:left w:val="nil"/>
              <w:bottom w:val="nil"/>
              <w:right w:val="nil"/>
            </w:tcBorders>
          </w:tcPr>
          <w:p w14:paraId="27FC54B9"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0.608</w:t>
            </w:r>
          </w:p>
        </w:tc>
        <w:tc>
          <w:tcPr>
            <w:tcW w:w="1134" w:type="dxa"/>
            <w:tcBorders>
              <w:top w:val="nil"/>
              <w:left w:val="nil"/>
              <w:bottom w:val="nil"/>
              <w:right w:val="nil"/>
            </w:tcBorders>
          </w:tcPr>
          <w:p w14:paraId="164B1553"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5" w:type="dxa"/>
            <w:tcBorders>
              <w:top w:val="nil"/>
              <w:left w:val="nil"/>
              <w:bottom w:val="nil"/>
              <w:right w:val="nil"/>
            </w:tcBorders>
          </w:tcPr>
          <w:p w14:paraId="597DDC01"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-0.483</w:t>
            </w:r>
          </w:p>
        </w:tc>
        <w:tc>
          <w:tcPr>
            <w:tcW w:w="1035" w:type="dxa"/>
            <w:tcBorders>
              <w:top w:val="nil"/>
              <w:left w:val="nil"/>
              <w:bottom w:val="nil"/>
              <w:right w:val="nil"/>
            </w:tcBorders>
          </w:tcPr>
          <w:p w14:paraId="4C6DFDCF"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2.888</w:t>
            </w:r>
          </w:p>
        </w:tc>
      </w:tr>
      <w:tr w:rsidR="003E087F" w:rsidRPr="00CF3C36" w14:paraId="6388A6CD" w14:textId="77777777" w:rsidTr="007F7204">
        <w:trPr>
          <w:jc w:val="center"/>
        </w:trPr>
        <w:tc>
          <w:tcPr>
            <w:tcW w:w="1701" w:type="dxa"/>
            <w:tcBorders>
              <w:top w:val="nil"/>
              <w:left w:val="nil"/>
              <w:bottom w:val="nil"/>
              <w:right w:val="nil"/>
            </w:tcBorders>
          </w:tcPr>
          <w:p w14:paraId="78F49A01"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5AC51844"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(0.664)</w:t>
            </w:r>
          </w:p>
        </w:tc>
        <w:tc>
          <w:tcPr>
            <w:tcW w:w="1134" w:type="dxa"/>
            <w:tcBorders>
              <w:top w:val="nil"/>
              <w:left w:val="nil"/>
              <w:bottom w:val="nil"/>
              <w:right w:val="nil"/>
            </w:tcBorders>
          </w:tcPr>
          <w:p w14:paraId="5640C4F0"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5" w:type="dxa"/>
            <w:tcBorders>
              <w:top w:val="nil"/>
              <w:left w:val="nil"/>
              <w:bottom w:val="nil"/>
              <w:right w:val="nil"/>
            </w:tcBorders>
          </w:tcPr>
          <w:p w14:paraId="0DD01C08"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(0.907)</w:t>
            </w:r>
          </w:p>
        </w:tc>
        <w:tc>
          <w:tcPr>
            <w:tcW w:w="1035" w:type="dxa"/>
            <w:tcBorders>
              <w:top w:val="nil"/>
              <w:left w:val="nil"/>
              <w:bottom w:val="nil"/>
              <w:right w:val="nil"/>
            </w:tcBorders>
          </w:tcPr>
          <w:p w14:paraId="03D02784"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(2.069)</w:t>
            </w:r>
          </w:p>
        </w:tc>
      </w:tr>
      <w:tr w:rsidR="003E087F" w:rsidRPr="00CF3C36" w14:paraId="71F269C2" w14:textId="77777777" w:rsidTr="007F7204">
        <w:trPr>
          <w:jc w:val="center"/>
        </w:trPr>
        <w:tc>
          <w:tcPr>
            <w:tcW w:w="1701" w:type="dxa"/>
            <w:tcBorders>
              <w:top w:val="nil"/>
              <w:left w:val="nil"/>
              <w:bottom w:val="nil"/>
              <w:right w:val="nil"/>
            </w:tcBorders>
          </w:tcPr>
          <w:p w14:paraId="0C73FAFD"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ln_KL</w:t>
            </w:r>
          </w:p>
        </w:tc>
        <w:tc>
          <w:tcPr>
            <w:tcW w:w="1134" w:type="dxa"/>
            <w:tcBorders>
              <w:top w:val="nil"/>
              <w:left w:val="nil"/>
              <w:bottom w:val="nil"/>
              <w:right w:val="nil"/>
            </w:tcBorders>
          </w:tcPr>
          <w:p w14:paraId="587080B1"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-3.359</w:t>
            </w:r>
          </w:p>
        </w:tc>
        <w:tc>
          <w:tcPr>
            <w:tcW w:w="1134" w:type="dxa"/>
            <w:tcBorders>
              <w:top w:val="nil"/>
              <w:left w:val="nil"/>
              <w:bottom w:val="nil"/>
              <w:right w:val="nil"/>
            </w:tcBorders>
          </w:tcPr>
          <w:p w14:paraId="6F05FCC3"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-4.169</w:t>
            </w:r>
          </w:p>
        </w:tc>
        <w:tc>
          <w:tcPr>
            <w:tcW w:w="1145" w:type="dxa"/>
            <w:tcBorders>
              <w:top w:val="nil"/>
              <w:left w:val="nil"/>
              <w:bottom w:val="nil"/>
              <w:right w:val="nil"/>
            </w:tcBorders>
          </w:tcPr>
          <w:p w14:paraId="53BEA559"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2.749</w:t>
            </w:r>
          </w:p>
        </w:tc>
        <w:tc>
          <w:tcPr>
            <w:tcW w:w="1035" w:type="dxa"/>
            <w:tcBorders>
              <w:top w:val="nil"/>
              <w:left w:val="nil"/>
              <w:bottom w:val="nil"/>
              <w:right w:val="nil"/>
            </w:tcBorders>
          </w:tcPr>
          <w:p w14:paraId="53DA1F5F"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-8.648</w:t>
            </w:r>
          </w:p>
        </w:tc>
      </w:tr>
      <w:tr w:rsidR="003E087F" w:rsidRPr="00CF3C36" w14:paraId="1BCCD553" w14:textId="77777777" w:rsidTr="007F7204">
        <w:trPr>
          <w:jc w:val="center"/>
        </w:trPr>
        <w:tc>
          <w:tcPr>
            <w:tcW w:w="1701" w:type="dxa"/>
            <w:tcBorders>
              <w:top w:val="nil"/>
              <w:left w:val="nil"/>
              <w:bottom w:val="nil"/>
              <w:right w:val="nil"/>
            </w:tcBorders>
          </w:tcPr>
          <w:p w14:paraId="7BD0270B"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7B76BCAA"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(4.639)</w:t>
            </w:r>
          </w:p>
        </w:tc>
        <w:tc>
          <w:tcPr>
            <w:tcW w:w="1134" w:type="dxa"/>
            <w:tcBorders>
              <w:top w:val="nil"/>
              <w:left w:val="nil"/>
              <w:bottom w:val="nil"/>
              <w:right w:val="nil"/>
            </w:tcBorders>
          </w:tcPr>
          <w:p w14:paraId="1530C6B6"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(3.171)</w:t>
            </w:r>
          </w:p>
        </w:tc>
        <w:tc>
          <w:tcPr>
            <w:tcW w:w="1145" w:type="dxa"/>
            <w:tcBorders>
              <w:top w:val="nil"/>
              <w:left w:val="nil"/>
              <w:bottom w:val="nil"/>
              <w:right w:val="nil"/>
            </w:tcBorders>
          </w:tcPr>
          <w:p w14:paraId="0B43FED3"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(15.52)</w:t>
            </w:r>
          </w:p>
        </w:tc>
        <w:tc>
          <w:tcPr>
            <w:tcW w:w="1035" w:type="dxa"/>
            <w:tcBorders>
              <w:top w:val="nil"/>
              <w:left w:val="nil"/>
              <w:bottom w:val="nil"/>
              <w:right w:val="nil"/>
            </w:tcBorders>
          </w:tcPr>
          <w:p w14:paraId="4A939BCD"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(29.33)</w:t>
            </w:r>
          </w:p>
        </w:tc>
      </w:tr>
      <w:tr w:rsidR="003E087F" w:rsidRPr="00CF3C36" w14:paraId="3B7DF07F" w14:textId="77777777" w:rsidTr="007F7204">
        <w:trPr>
          <w:jc w:val="center"/>
        </w:trPr>
        <w:tc>
          <w:tcPr>
            <w:tcW w:w="1701" w:type="dxa"/>
            <w:tcBorders>
              <w:top w:val="nil"/>
              <w:left w:val="nil"/>
              <w:bottom w:val="nil"/>
              <w:right w:val="nil"/>
            </w:tcBorders>
          </w:tcPr>
          <w:p w14:paraId="1C20A06E"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ln_KL_2</w:t>
            </w:r>
          </w:p>
        </w:tc>
        <w:tc>
          <w:tcPr>
            <w:tcW w:w="1134" w:type="dxa"/>
            <w:tcBorders>
              <w:top w:val="nil"/>
              <w:left w:val="nil"/>
              <w:bottom w:val="nil"/>
              <w:right w:val="nil"/>
            </w:tcBorders>
          </w:tcPr>
          <w:p w14:paraId="2AB7562F"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0.0171</w:t>
            </w:r>
          </w:p>
        </w:tc>
        <w:tc>
          <w:tcPr>
            <w:tcW w:w="1134" w:type="dxa"/>
            <w:tcBorders>
              <w:top w:val="nil"/>
              <w:left w:val="nil"/>
              <w:bottom w:val="nil"/>
              <w:right w:val="nil"/>
            </w:tcBorders>
          </w:tcPr>
          <w:p w14:paraId="567201B8"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0.262</w:t>
            </w:r>
          </w:p>
        </w:tc>
        <w:tc>
          <w:tcPr>
            <w:tcW w:w="1145" w:type="dxa"/>
            <w:tcBorders>
              <w:top w:val="nil"/>
              <w:left w:val="nil"/>
              <w:bottom w:val="nil"/>
              <w:right w:val="nil"/>
            </w:tcBorders>
          </w:tcPr>
          <w:p w14:paraId="6EB8D5F8"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-0.459</w:t>
            </w:r>
          </w:p>
        </w:tc>
        <w:tc>
          <w:tcPr>
            <w:tcW w:w="1035" w:type="dxa"/>
            <w:tcBorders>
              <w:top w:val="nil"/>
              <w:left w:val="nil"/>
              <w:bottom w:val="nil"/>
              <w:right w:val="nil"/>
            </w:tcBorders>
          </w:tcPr>
          <w:p w14:paraId="43F57B09"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0.690</w:t>
            </w:r>
          </w:p>
        </w:tc>
      </w:tr>
      <w:tr w:rsidR="003E087F" w:rsidRPr="00CF3C36" w14:paraId="5AF3DA81" w14:textId="77777777" w:rsidTr="007F7204">
        <w:trPr>
          <w:jc w:val="center"/>
        </w:trPr>
        <w:tc>
          <w:tcPr>
            <w:tcW w:w="1701" w:type="dxa"/>
            <w:tcBorders>
              <w:top w:val="nil"/>
              <w:left w:val="nil"/>
              <w:bottom w:val="nil"/>
              <w:right w:val="nil"/>
            </w:tcBorders>
          </w:tcPr>
          <w:p w14:paraId="69800503"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6F4D2BDD"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(0.498)</w:t>
            </w:r>
          </w:p>
        </w:tc>
        <w:tc>
          <w:tcPr>
            <w:tcW w:w="1134" w:type="dxa"/>
            <w:tcBorders>
              <w:top w:val="nil"/>
              <w:left w:val="nil"/>
              <w:bottom w:val="nil"/>
              <w:right w:val="nil"/>
            </w:tcBorders>
          </w:tcPr>
          <w:p w14:paraId="7E98AD13"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(0.390)</w:t>
            </w:r>
          </w:p>
        </w:tc>
        <w:tc>
          <w:tcPr>
            <w:tcW w:w="1145" w:type="dxa"/>
            <w:tcBorders>
              <w:top w:val="nil"/>
              <w:left w:val="nil"/>
              <w:bottom w:val="nil"/>
              <w:right w:val="nil"/>
            </w:tcBorders>
          </w:tcPr>
          <w:p w14:paraId="4234B268"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(1.367)</w:t>
            </w:r>
          </w:p>
        </w:tc>
        <w:tc>
          <w:tcPr>
            <w:tcW w:w="1035" w:type="dxa"/>
            <w:tcBorders>
              <w:top w:val="nil"/>
              <w:left w:val="nil"/>
              <w:bottom w:val="nil"/>
              <w:right w:val="nil"/>
            </w:tcBorders>
          </w:tcPr>
          <w:p w14:paraId="7AAD0709"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(2.591)</w:t>
            </w:r>
          </w:p>
        </w:tc>
      </w:tr>
      <w:tr w:rsidR="003E087F" w:rsidRPr="00CF3C36" w14:paraId="75285954" w14:textId="77777777" w:rsidTr="007F7204">
        <w:trPr>
          <w:jc w:val="center"/>
        </w:trPr>
        <w:tc>
          <w:tcPr>
            <w:tcW w:w="1701" w:type="dxa"/>
            <w:tcBorders>
              <w:top w:val="nil"/>
              <w:left w:val="nil"/>
              <w:bottom w:val="nil"/>
              <w:right w:val="nil"/>
            </w:tcBorders>
          </w:tcPr>
          <w:p w14:paraId="581278FA"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EPI_ln_KL_cen</w:t>
            </w:r>
          </w:p>
        </w:tc>
        <w:tc>
          <w:tcPr>
            <w:tcW w:w="1134" w:type="dxa"/>
            <w:tcBorders>
              <w:top w:val="nil"/>
              <w:left w:val="nil"/>
              <w:bottom w:val="nil"/>
              <w:right w:val="nil"/>
            </w:tcBorders>
          </w:tcPr>
          <w:p w14:paraId="57B80129"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-0.439</w:t>
            </w:r>
          </w:p>
        </w:tc>
        <w:tc>
          <w:tcPr>
            <w:tcW w:w="1134" w:type="dxa"/>
            <w:tcBorders>
              <w:top w:val="nil"/>
              <w:left w:val="nil"/>
              <w:bottom w:val="nil"/>
              <w:right w:val="nil"/>
            </w:tcBorders>
          </w:tcPr>
          <w:p w14:paraId="491162C7"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-0.536</w:t>
            </w:r>
          </w:p>
        </w:tc>
        <w:tc>
          <w:tcPr>
            <w:tcW w:w="1145" w:type="dxa"/>
            <w:tcBorders>
              <w:top w:val="nil"/>
              <w:left w:val="nil"/>
              <w:bottom w:val="nil"/>
              <w:right w:val="nil"/>
            </w:tcBorders>
          </w:tcPr>
          <w:p w14:paraId="3B0740D0"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-1.777</w:t>
            </w:r>
          </w:p>
        </w:tc>
        <w:tc>
          <w:tcPr>
            <w:tcW w:w="1035" w:type="dxa"/>
            <w:tcBorders>
              <w:top w:val="nil"/>
              <w:left w:val="nil"/>
              <w:bottom w:val="nil"/>
              <w:right w:val="nil"/>
            </w:tcBorders>
          </w:tcPr>
          <w:p w14:paraId="204E4135"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3E087F" w:rsidRPr="00CF3C36" w14:paraId="7579AB87" w14:textId="77777777" w:rsidTr="007F7204">
        <w:trPr>
          <w:jc w:val="center"/>
        </w:trPr>
        <w:tc>
          <w:tcPr>
            <w:tcW w:w="1701" w:type="dxa"/>
            <w:tcBorders>
              <w:top w:val="nil"/>
              <w:left w:val="nil"/>
              <w:bottom w:val="nil"/>
              <w:right w:val="nil"/>
            </w:tcBorders>
          </w:tcPr>
          <w:p w14:paraId="27F7EBDF"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6D208354"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(0.543)</w:t>
            </w:r>
          </w:p>
        </w:tc>
        <w:tc>
          <w:tcPr>
            <w:tcW w:w="1134" w:type="dxa"/>
            <w:tcBorders>
              <w:top w:val="nil"/>
              <w:left w:val="nil"/>
              <w:bottom w:val="nil"/>
              <w:right w:val="nil"/>
            </w:tcBorders>
          </w:tcPr>
          <w:p w14:paraId="135B2BFF"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(0.423)</w:t>
            </w:r>
          </w:p>
        </w:tc>
        <w:tc>
          <w:tcPr>
            <w:tcW w:w="1145" w:type="dxa"/>
            <w:tcBorders>
              <w:top w:val="nil"/>
              <w:left w:val="nil"/>
              <w:bottom w:val="nil"/>
              <w:right w:val="nil"/>
            </w:tcBorders>
          </w:tcPr>
          <w:p w14:paraId="2BB3A07E"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(1.383)</w:t>
            </w:r>
          </w:p>
        </w:tc>
        <w:tc>
          <w:tcPr>
            <w:tcW w:w="1035" w:type="dxa"/>
            <w:tcBorders>
              <w:top w:val="nil"/>
              <w:left w:val="nil"/>
              <w:bottom w:val="nil"/>
              <w:right w:val="nil"/>
            </w:tcBorders>
          </w:tcPr>
          <w:p w14:paraId="2520C6DC"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3E087F" w:rsidRPr="00CF3C36" w14:paraId="44F46875" w14:textId="77777777" w:rsidTr="007F7204">
        <w:trPr>
          <w:jc w:val="center"/>
        </w:trPr>
        <w:tc>
          <w:tcPr>
            <w:tcW w:w="1701" w:type="dxa"/>
            <w:tcBorders>
              <w:top w:val="nil"/>
              <w:left w:val="nil"/>
              <w:bottom w:val="nil"/>
              <w:right w:val="nil"/>
            </w:tcBorders>
          </w:tcPr>
          <w:p w14:paraId="57B6506E"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EPI_ln_KL_2_cen</w:t>
            </w:r>
          </w:p>
        </w:tc>
        <w:tc>
          <w:tcPr>
            <w:tcW w:w="1134" w:type="dxa"/>
            <w:tcBorders>
              <w:top w:val="nil"/>
              <w:left w:val="nil"/>
              <w:bottom w:val="nil"/>
              <w:right w:val="nil"/>
            </w:tcBorders>
          </w:tcPr>
          <w:p w14:paraId="08386581"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0.0512</w:t>
            </w:r>
          </w:p>
        </w:tc>
        <w:tc>
          <w:tcPr>
            <w:tcW w:w="1134" w:type="dxa"/>
            <w:tcBorders>
              <w:top w:val="nil"/>
              <w:left w:val="nil"/>
              <w:bottom w:val="nil"/>
              <w:right w:val="nil"/>
            </w:tcBorders>
          </w:tcPr>
          <w:p w14:paraId="769ABBA9"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0.0604</w:t>
            </w:r>
          </w:p>
        </w:tc>
        <w:tc>
          <w:tcPr>
            <w:tcW w:w="1145" w:type="dxa"/>
            <w:tcBorders>
              <w:top w:val="nil"/>
              <w:left w:val="nil"/>
              <w:bottom w:val="nil"/>
              <w:right w:val="nil"/>
            </w:tcBorders>
          </w:tcPr>
          <w:p w14:paraId="291E2C45"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0.200</w:t>
            </w:r>
          </w:p>
        </w:tc>
        <w:tc>
          <w:tcPr>
            <w:tcW w:w="1035" w:type="dxa"/>
            <w:tcBorders>
              <w:top w:val="nil"/>
              <w:left w:val="nil"/>
              <w:bottom w:val="nil"/>
              <w:right w:val="nil"/>
            </w:tcBorders>
          </w:tcPr>
          <w:p w14:paraId="05951FDF"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3E087F" w:rsidRPr="00CF3C36" w14:paraId="75F98C38" w14:textId="77777777" w:rsidTr="007F7204">
        <w:trPr>
          <w:jc w:val="center"/>
        </w:trPr>
        <w:tc>
          <w:tcPr>
            <w:tcW w:w="1701" w:type="dxa"/>
            <w:tcBorders>
              <w:top w:val="nil"/>
              <w:left w:val="nil"/>
              <w:bottom w:val="nil"/>
              <w:right w:val="nil"/>
            </w:tcBorders>
          </w:tcPr>
          <w:p w14:paraId="6F581E0D"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2285D8DA"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(0.0613)</w:t>
            </w:r>
          </w:p>
        </w:tc>
        <w:tc>
          <w:tcPr>
            <w:tcW w:w="1134" w:type="dxa"/>
            <w:tcBorders>
              <w:top w:val="nil"/>
              <w:left w:val="nil"/>
              <w:bottom w:val="nil"/>
              <w:right w:val="nil"/>
            </w:tcBorders>
          </w:tcPr>
          <w:p w14:paraId="03DCEE0D"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(0.0486)</w:t>
            </w:r>
          </w:p>
        </w:tc>
        <w:tc>
          <w:tcPr>
            <w:tcW w:w="1145" w:type="dxa"/>
            <w:tcBorders>
              <w:top w:val="nil"/>
              <w:left w:val="nil"/>
              <w:bottom w:val="nil"/>
              <w:right w:val="nil"/>
            </w:tcBorders>
          </w:tcPr>
          <w:p w14:paraId="4DA52DCE"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(0.144)</w:t>
            </w:r>
          </w:p>
        </w:tc>
        <w:tc>
          <w:tcPr>
            <w:tcW w:w="1035" w:type="dxa"/>
            <w:tcBorders>
              <w:top w:val="nil"/>
              <w:left w:val="nil"/>
              <w:bottom w:val="nil"/>
              <w:right w:val="nil"/>
            </w:tcBorders>
          </w:tcPr>
          <w:p w14:paraId="54DB23CF"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3E087F" w:rsidRPr="00CF3C36" w14:paraId="47AB0585" w14:textId="77777777" w:rsidTr="007F7204">
        <w:trPr>
          <w:jc w:val="center"/>
        </w:trPr>
        <w:tc>
          <w:tcPr>
            <w:tcW w:w="1701" w:type="dxa"/>
            <w:tcBorders>
              <w:top w:val="nil"/>
              <w:left w:val="nil"/>
              <w:bottom w:val="nil"/>
              <w:right w:val="nil"/>
            </w:tcBorders>
          </w:tcPr>
          <w:p w14:paraId="01854040" w14:textId="0795E896"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EPS</w:t>
            </w:r>
            <w:r w:rsidR="007F7204" w:rsidRPr="00CF3C36">
              <w:rPr>
                <w:rFonts w:ascii="Times New Roman" w:hAnsi="Times New Roman" w:cs="Times New Roman"/>
                <w:sz w:val="18"/>
                <w:szCs w:val="18"/>
                <w:lang w:val="en-GB"/>
              </w:rPr>
              <w:t>I</w:t>
            </w:r>
          </w:p>
        </w:tc>
        <w:tc>
          <w:tcPr>
            <w:tcW w:w="1134" w:type="dxa"/>
            <w:tcBorders>
              <w:top w:val="nil"/>
              <w:left w:val="nil"/>
              <w:bottom w:val="nil"/>
              <w:right w:val="nil"/>
            </w:tcBorders>
          </w:tcPr>
          <w:p w14:paraId="6FFE8D1F"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34" w:type="dxa"/>
            <w:tcBorders>
              <w:top w:val="nil"/>
              <w:left w:val="nil"/>
              <w:bottom w:val="nil"/>
              <w:right w:val="nil"/>
            </w:tcBorders>
          </w:tcPr>
          <w:p w14:paraId="1378CF1C"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5" w:type="dxa"/>
            <w:tcBorders>
              <w:top w:val="nil"/>
              <w:left w:val="nil"/>
              <w:bottom w:val="nil"/>
              <w:right w:val="nil"/>
            </w:tcBorders>
          </w:tcPr>
          <w:p w14:paraId="1CAE12F5"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35" w:type="dxa"/>
            <w:tcBorders>
              <w:top w:val="nil"/>
              <w:left w:val="nil"/>
              <w:bottom w:val="nil"/>
              <w:right w:val="nil"/>
            </w:tcBorders>
          </w:tcPr>
          <w:p w14:paraId="5D19F3CE"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-10.08</w:t>
            </w:r>
          </w:p>
        </w:tc>
      </w:tr>
      <w:tr w:rsidR="003E087F" w:rsidRPr="00CF3C36" w14:paraId="4C761C30" w14:textId="77777777" w:rsidTr="007F7204">
        <w:trPr>
          <w:jc w:val="center"/>
        </w:trPr>
        <w:tc>
          <w:tcPr>
            <w:tcW w:w="1701" w:type="dxa"/>
            <w:tcBorders>
              <w:top w:val="nil"/>
              <w:left w:val="nil"/>
              <w:bottom w:val="nil"/>
              <w:right w:val="nil"/>
            </w:tcBorders>
          </w:tcPr>
          <w:p w14:paraId="06FF9770"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1661482E"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34" w:type="dxa"/>
            <w:tcBorders>
              <w:top w:val="nil"/>
              <w:left w:val="nil"/>
              <w:bottom w:val="nil"/>
              <w:right w:val="nil"/>
            </w:tcBorders>
          </w:tcPr>
          <w:p w14:paraId="2D1AD1CC"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5" w:type="dxa"/>
            <w:tcBorders>
              <w:top w:val="nil"/>
              <w:left w:val="nil"/>
              <w:bottom w:val="nil"/>
              <w:right w:val="nil"/>
            </w:tcBorders>
          </w:tcPr>
          <w:p w14:paraId="78EF44B7"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35" w:type="dxa"/>
            <w:tcBorders>
              <w:top w:val="nil"/>
              <w:left w:val="nil"/>
              <w:bottom w:val="nil"/>
              <w:right w:val="nil"/>
            </w:tcBorders>
          </w:tcPr>
          <w:p w14:paraId="0E2C16DF"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(6.204)</w:t>
            </w:r>
          </w:p>
        </w:tc>
      </w:tr>
      <w:tr w:rsidR="003E087F" w:rsidRPr="00CF3C36" w14:paraId="171F5FFD" w14:textId="77777777" w:rsidTr="007F7204">
        <w:trPr>
          <w:jc w:val="center"/>
        </w:trPr>
        <w:tc>
          <w:tcPr>
            <w:tcW w:w="1701" w:type="dxa"/>
            <w:tcBorders>
              <w:top w:val="nil"/>
              <w:left w:val="nil"/>
              <w:bottom w:val="nil"/>
              <w:right w:val="nil"/>
            </w:tcBorders>
          </w:tcPr>
          <w:p w14:paraId="6A243999" w14:textId="3556495B"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EPS</w:t>
            </w:r>
            <w:r w:rsidR="007F7204" w:rsidRPr="00CF3C36">
              <w:rPr>
                <w:rFonts w:ascii="Times New Roman" w:hAnsi="Times New Roman" w:cs="Times New Roman"/>
                <w:sz w:val="18"/>
                <w:szCs w:val="18"/>
                <w:lang w:val="en-GB"/>
              </w:rPr>
              <w:t>I</w:t>
            </w:r>
            <w:r w:rsidRPr="00CF3C36">
              <w:rPr>
                <w:rFonts w:ascii="Times New Roman" w:hAnsi="Times New Roman" w:cs="Times New Roman"/>
                <w:sz w:val="18"/>
                <w:szCs w:val="18"/>
                <w:lang w:val="en-GB"/>
              </w:rPr>
              <w:t>_ln_KL_cen</w:t>
            </w:r>
          </w:p>
        </w:tc>
        <w:tc>
          <w:tcPr>
            <w:tcW w:w="1134" w:type="dxa"/>
            <w:tcBorders>
              <w:top w:val="nil"/>
              <w:left w:val="nil"/>
              <w:bottom w:val="nil"/>
              <w:right w:val="nil"/>
            </w:tcBorders>
          </w:tcPr>
          <w:p w14:paraId="0AC28C76"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34" w:type="dxa"/>
            <w:tcBorders>
              <w:top w:val="nil"/>
              <w:left w:val="nil"/>
              <w:bottom w:val="nil"/>
              <w:right w:val="nil"/>
            </w:tcBorders>
          </w:tcPr>
          <w:p w14:paraId="6493313B"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5" w:type="dxa"/>
            <w:tcBorders>
              <w:top w:val="nil"/>
              <w:left w:val="nil"/>
              <w:bottom w:val="nil"/>
              <w:right w:val="nil"/>
            </w:tcBorders>
          </w:tcPr>
          <w:p w14:paraId="7DD47E45"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35" w:type="dxa"/>
            <w:tcBorders>
              <w:top w:val="nil"/>
              <w:left w:val="nil"/>
              <w:bottom w:val="nil"/>
              <w:right w:val="nil"/>
            </w:tcBorders>
          </w:tcPr>
          <w:p w14:paraId="5BFD151A"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82.10*</w:t>
            </w:r>
          </w:p>
        </w:tc>
      </w:tr>
      <w:tr w:rsidR="003E087F" w:rsidRPr="00CF3C36" w14:paraId="31B8BEC2" w14:textId="77777777" w:rsidTr="007F7204">
        <w:trPr>
          <w:jc w:val="center"/>
        </w:trPr>
        <w:tc>
          <w:tcPr>
            <w:tcW w:w="1701" w:type="dxa"/>
            <w:tcBorders>
              <w:top w:val="nil"/>
              <w:left w:val="nil"/>
              <w:bottom w:val="nil"/>
              <w:right w:val="nil"/>
            </w:tcBorders>
          </w:tcPr>
          <w:p w14:paraId="29B222B6"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31EA63A1"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34" w:type="dxa"/>
            <w:tcBorders>
              <w:top w:val="nil"/>
              <w:left w:val="nil"/>
              <w:bottom w:val="nil"/>
              <w:right w:val="nil"/>
            </w:tcBorders>
          </w:tcPr>
          <w:p w14:paraId="07FCE438"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5" w:type="dxa"/>
            <w:tcBorders>
              <w:top w:val="nil"/>
              <w:left w:val="nil"/>
              <w:bottom w:val="nil"/>
              <w:right w:val="nil"/>
            </w:tcBorders>
          </w:tcPr>
          <w:p w14:paraId="0BCBEBD3"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35" w:type="dxa"/>
            <w:tcBorders>
              <w:top w:val="nil"/>
              <w:left w:val="nil"/>
              <w:bottom w:val="nil"/>
              <w:right w:val="nil"/>
            </w:tcBorders>
          </w:tcPr>
          <w:p w14:paraId="2922A8F6"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(40.70)</w:t>
            </w:r>
          </w:p>
        </w:tc>
      </w:tr>
      <w:tr w:rsidR="003E087F" w:rsidRPr="00CF3C36" w14:paraId="5245437E" w14:textId="77777777" w:rsidTr="007F7204">
        <w:trPr>
          <w:jc w:val="center"/>
        </w:trPr>
        <w:tc>
          <w:tcPr>
            <w:tcW w:w="1701" w:type="dxa"/>
            <w:tcBorders>
              <w:top w:val="nil"/>
              <w:left w:val="nil"/>
              <w:bottom w:val="nil"/>
              <w:right w:val="nil"/>
            </w:tcBorders>
          </w:tcPr>
          <w:p w14:paraId="177AE6B4" w14:textId="6D72301E"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EPS</w:t>
            </w:r>
            <w:r w:rsidR="007F7204" w:rsidRPr="00CF3C36">
              <w:rPr>
                <w:rFonts w:ascii="Times New Roman" w:hAnsi="Times New Roman" w:cs="Times New Roman"/>
                <w:sz w:val="18"/>
                <w:szCs w:val="18"/>
                <w:lang w:val="en-GB"/>
              </w:rPr>
              <w:t>I</w:t>
            </w:r>
            <w:r w:rsidRPr="00CF3C36">
              <w:rPr>
                <w:rFonts w:ascii="Times New Roman" w:hAnsi="Times New Roman" w:cs="Times New Roman"/>
                <w:sz w:val="18"/>
                <w:szCs w:val="18"/>
                <w:lang w:val="en-GB"/>
              </w:rPr>
              <w:t>_ln_KL_2_cen</w:t>
            </w:r>
          </w:p>
        </w:tc>
        <w:tc>
          <w:tcPr>
            <w:tcW w:w="1134" w:type="dxa"/>
            <w:tcBorders>
              <w:top w:val="nil"/>
              <w:left w:val="nil"/>
              <w:bottom w:val="nil"/>
              <w:right w:val="nil"/>
            </w:tcBorders>
          </w:tcPr>
          <w:p w14:paraId="60F15324"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34" w:type="dxa"/>
            <w:tcBorders>
              <w:top w:val="nil"/>
              <w:left w:val="nil"/>
              <w:bottom w:val="nil"/>
              <w:right w:val="nil"/>
            </w:tcBorders>
          </w:tcPr>
          <w:p w14:paraId="250F7E6C"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5" w:type="dxa"/>
            <w:tcBorders>
              <w:top w:val="nil"/>
              <w:left w:val="nil"/>
              <w:bottom w:val="nil"/>
              <w:right w:val="nil"/>
            </w:tcBorders>
          </w:tcPr>
          <w:p w14:paraId="5E71AFC0"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35" w:type="dxa"/>
            <w:tcBorders>
              <w:top w:val="nil"/>
              <w:left w:val="nil"/>
              <w:bottom w:val="nil"/>
              <w:right w:val="nil"/>
            </w:tcBorders>
          </w:tcPr>
          <w:p w14:paraId="4A7053A2"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-8.120**</w:t>
            </w:r>
          </w:p>
        </w:tc>
      </w:tr>
      <w:tr w:rsidR="003E087F" w:rsidRPr="00CF3C36" w14:paraId="5D41CFE1" w14:textId="77777777" w:rsidTr="007F7204">
        <w:trPr>
          <w:jc w:val="center"/>
        </w:trPr>
        <w:tc>
          <w:tcPr>
            <w:tcW w:w="1701" w:type="dxa"/>
            <w:tcBorders>
              <w:top w:val="nil"/>
              <w:left w:val="nil"/>
              <w:bottom w:val="nil"/>
              <w:right w:val="nil"/>
            </w:tcBorders>
          </w:tcPr>
          <w:p w14:paraId="463B2A37"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66CF59F8"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34" w:type="dxa"/>
            <w:tcBorders>
              <w:top w:val="nil"/>
              <w:left w:val="nil"/>
              <w:bottom w:val="nil"/>
              <w:right w:val="nil"/>
            </w:tcBorders>
          </w:tcPr>
          <w:p w14:paraId="3BBB5EB4"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5" w:type="dxa"/>
            <w:tcBorders>
              <w:top w:val="nil"/>
              <w:left w:val="nil"/>
              <w:bottom w:val="nil"/>
              <w:right w:val="nil"/>
            </w:tcBorders>
          </w:tcPr>
          <w:p w14:paraId="1E2CF08A"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35" w:type="dxa"/>
            <w:tcBorders>
              <w:top w:val="nil"/>
              <w:left w:val="nil"/>
              <w:bottom w:val="nil"/>
              <w:right w:val="nil"/>
            </w:tcBorders>
          </w:tcPr>
          <w:p w14:paraId="3D14AD1C"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(3.927)</w:t>
            </w:r>
          </w:p>
        </w:tc>
      </w:tr>
      <w:tr w:rsidR="003E087F" w:rsidRPr="00CF3C36" w14:paraId="1B0829FC" w14:textId="77777777" w:rsidTr="007F7204">
        <w:trPr>
          <w:jc w:val="center"/>
        </w:trPr>
        <w:tc>
          <w:tcPr>
            <w:tcW w:w="1701" w:type="dxa"/>
            <w:tcBorders>
              <w:top w:val="nil"/>
              <w:left w:val="nil"/>
              <w:bottom w:val="nil"/>
              <w:right w:val="nil"/>
            </w:tcBorders>
          </w:tcPr>
          <w:p w14:paraId="40D0DA3B"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Constant</w:t>
            </w:r>
          </w:p>
        </w:tc>
        <w:tc>
          <w:tcPr>
            <w:tcW w:w="1134" w:type="dxa"/>
            <w:tcBorders>
              <w:top w:val="nil"/>
              <w:left w:val="nil"/>
              <w:bottom w:val="nil"/>
              <w:right w:val="nil"/>
            </w:tcBorders>
          </w:tcPr>
          <w:p w14:paraId="2750EE10"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-101.4***</w:t>
            </w:r>
          </w:p>
        </w:tc>
        <w:tc>
          <w:tcPr>
            <w:tcW w:w="1134" w:type="dxa"/>
            <w:tcBorders>
              <w:top w:val="nil"/>
              <w:left w:val="nil"/>
              <w:bottom w:val="nil"/>
              <w:right w:val="nil"/>
            </w:tcBorders>
          </w:tcPr>
          <w:p w14:paraId="66C9B37A"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-70.54***</w:t>
            </w:r>
          </w:p>
        </w:tc>
        <w:tc>
          <w:tcPr>
            <w:tcW w:w="1145" w:type="dxa"/>
            <w:tcBorders>
              <w:top w:val="nil"/>
              <w:left w:val="nil"/>
              <w:bottom w:val="nil"/>
              <w:right w:val="nil"/>
            </w:tcBorders>
          </w:tcPr>
          <w:p w14:paraId="62F73D17"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-22.30</w:t>
            </w:r>
          </w:p>
        </w:tc>
        <w:tc>
          <w:tcPr>
            <w:tcW w:w="1035" w:type="dxa"/>
            <w:tcBorders>
              <w:top w:val="nil"/>
              <w:left w:val="nil"/>
              <w:bottom w:val="nil"/>
              <w:right w:val="nil"/>
            </w:tcBorders>
          </w:tcPr>
          <w:p w14:paraId="41EF792A"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-66.05</w:t>
            </w:r>
          </w:p>
        </w:tc>
      </w:tr>
      <w:tr w:rsidR="003E087F" w:rsidRPr="00CF3C36" w14:paraId="4CFE056E" w14:textId="77777777" w:rsidTr="007F7204">
        <w:trPr>
          <w:jc w:val="center"/>
        </w:trPr>
        <w:tc>
          <w:tcPr>
            <w:tcW w:w="1701" w:type="dxa"/>
            <w:tcBorders>
              <w:top w:val="nil"/>
              <w:left w:val="nil"/>
              <w:bottom w:val="nil"/>
              <w:right w:val="nil"/>
            </w:tcBorders>
          </w:tcPr>
          <w:p w14:paraId="233F6757"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526C3053"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(36.88)</w:t>
            </w:r>
          </w:p>
        </w:tc>
        <w:tc>
          <w:tcPr>
            <w:tcW w:w="1134" w:type="dxa"/>
            <w:tcBorders>
              <w:top w:val="nil"/>
              <w:left w:val="nil"/>
              <w:bottom w:val="nil"/>
              <w:right w:val="nil"/>
            </w:tcBorders>
          </w:tcPr>
          <w:p w14:paraId="1B86B114"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(25.80)</w:t>
            </w:r>
          </w:p>
        </w:tc>
        <w:tc>
          <w:tcPr>
            <w:tcW w:w="1145" w:type="dxa"/>
            <w:tcBorders>
              <w:top w:val="nil"/>
              <w:left w:val="nil"/>
              <w:bottom w:val="nil"/>
              <w:right w:val="nil"/>
            </w:tcBorders>
          </w:tcPr>
          <w:p w14:paraId="19440656"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(57.45)</w:t>
            </w:r>
          </w:p>
        </w:tc>
        <w:tc>
          <w:tcPr>
            <w:tcW w:w="1035" w:type="dxa"/>
            <w:tcBorders>
              <w:top w:val="nil"/>
              <w:left w:val="nil"/>
              <w:bottom w:val="nil"/>
              <w:right w:val="nil"/>
            </w:tcBorders>
          </w:tcPr>
          <w:p w14:paraId="61B3E250"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(128.1)</w:t>
            </w:r>
          </w:p>
        </w:tc>
      </w:tr>
      <w:tr w:rsidR="003E087F" w:rsidRPr="00CF3C36" w14:paraId="7C93E91F" w14:textId="77777777" w:rsidTr="007F7204">
        <w:trPr>
          <w:jc w:val="center"/>
        </w:trPr>
        <w:tc>
          <w:tcPr>
            <w:tcW w:w="1701" w:type="dxa"/>
            <w:tcBorders>
              <w:top w:val="nil"/>
              <w:left w:val="nil"/>
              <w:bottom w:val="nil"/>
              <w:right w:val="nil"/>
            </w:tcBorders>
          </w:tcPr>
          <w:p w14:paraId="48233C28"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0AC7934A"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34" w:type="dxa"/>
            <w:tcBorders>
              <w:top w:val="nil"/>
              <w:left w:val="nil"/>
              <w:bottom w:val="nil"/>
              <w:right w:val="nil"/>
            </w:tcBorders>
          </w:tcPr>
          <w:p w14:paraId="256A3FAC"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145" w:type="dxa"/>
            <w:tcBorders>
              <w:top w:val="nil"/>
              <w:left w:val="nil"/>
              <w:bottom w:val="nil"/>
              <w:right w:val="nil"/>
            </w:tcBorders>
          </w:tcPr>
          <w:p w14:paraId="78196F64"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35" w:type="dxa"/>
            <w:tcBorders>
              <w:top w:val="nil"/>
              <w:left w:val="nil"/>
              <w:bottom w:val="nil"/>
              <w:right w:val="nil"/>
            </w:tcBorders>
          </w:tcPr>
          <w:p w14:paraId="02D33B3B"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3E087F" w:rsidRPr="00CF3C36" w14:paraId="5ABBBB0D" w14:textId="77777777" w:rsidTr="007F7204">
        <w:trPr>
          <w:jc w:val="center"/>
        </w:trPr>
        <w:tc>
          <w:tcPr>
            <w:tcW w:w="1701" w:type="dxa"/>
            <w:tcBorders>
              <w:top w:val="nil"/>
              <w:left w:val="nil"/>
              <w:bottom w:val="nil"/>
              <w:right w:val="nil"/>
            </w:tcBorders>
          </w:tcPr>
          <w:p w14:paraId="51634E49"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Observations</w:t>
            </w:r>
          </w:p>
        </w:tc>
        <w:tc>
          <w:tcPr>
            <w:tcW w:w="1134" w:type="dxa"/>
            <w:tcBorders>
              <w:top w:val="nil"/>
              <w:left w:val="nil"/>
              <w:bottom w:val="nil"/>
              <w:right w:val="nil"/>
            </w:tcBorders>
          </w:tcPr>
          <w:p w14:paraId="69BF3962"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276</w:t>
            </w:r>
          </w:p>
        </w:tc>
        <w:tc>
          <w:tcPr>
            <w:tcW w:w="1134" w:type="dxa"/>
            <w:tcBorders>
              <w:top w:val="nil"/>
              <w:left w:val="nil"/>
              <w:bottom w:val="nil"/>
              <w:right w:val="nil"/>
            </w:tcBorders>
          </w:tcPr>
          <w:p w14:paraId="68094FE6"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502</w:t>
            </w:r>
          </w:p>
        </w:tc>
        <w:tc>
          <w:tcPr>
            <w:tcW w:w="1145" w:type="dxa"/>
            <w:tcBorders>
              <w:top w:val="nil"/>
              <w:left w:val="nil"/>
              <w:bottom w:val="nil"/>
              <w:right w:val="nil"/>
            </w:tcBorders>
          </w:tcPr>
          <w:p w14:paraId="484B0897"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235</w:t>
            </w:r>
          </w:p>
        </w:tc>
        <w:tc>
          <w:tcPr>
            <w:tcW w:w="1035" w:type="dxa"/>
            <w:tcBorders>
              <w:top w:val="nil"/>
              <w:left w:val="nil"/>
              <w:bottom w:val="nil"/>
              <w:right w:val="nil"/>
            </w:tcBorders>
          </w:tcPr>
          <w:p w14:paraId="01956120"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120</w:t>
            </w:r>
          </w:p>
        </w:tc>
      </w:tr>
      <w:tr w:rsidR="003E087F" w:rsidRPr="00CF3C36" w14:paraId="2BC425F9" w14:textId="77777777" w:rsidTr="007F7204">
        <w:trPr>
          <w:jc w:val="center"/>
        </w:trPr>
        <w:tc>
          <w:tcPr>
            <w:tcW w:w="1701" w:type="dxa"/>
            <w:tcBorders>
              <w:top w:val="nil"/>
              <w:left w:val="nil"/>
              <w:bottom w:val="nil"/>
              <w:right w:val="nil"/>
            </w:tcBorders>
          </w:tcPr>
          <w:p w14:paraId="6F03C4ED"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R-squared</w:t>
            </w:r>
          </w:p>
        </w:tc>
        <w:tc>
          <w:tcPr>
            <w:tcW w:w="1134" w:type="dxa"/>
            <w:tcBorders>
              <w:top w:val="nil"/>
              <w:left w:val="nil"/>
              <w:bottom w:val="nil"/>
              <w:right w:val="nil"/>
            </w:tcBorders>
          </w:tcPr>
          <w:p w14:paraId="7EA6B047"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0.077</w:t>
            </w:r>
          </w:p>
        </w:tc>
        <w:tc>
          <w:tcPr>
            <w:tcW w:w="1134" w:type="dxa"/>
            <w:tcBorders>
              <w:top w:val="nil"/>
              <w:left w:val="nil"/>
              <w:bottom w:val="nil"/>
              <w:right w:val="nil"/>
            </w:tcBorders>
          </w:tcPr>
          <w:p w14:paraId="5BC5A17B"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0.046</w:t>
            </w:r>
          </w:p>
        </w:tc>
        <w:tc>
          <w:tcPr>
            <w:tcW w:w="1145" w:type="dxa"/>
            <w:tcBorders>
              <w:top w:val="nil"/>
              <w:left w:val="nil"/>
              <w:bottom w:val="nil"/>
              <w:right w:val="nil"/>
            </w:tcBorders>
          </w:tcPr>
          <w:p w14:paraId="47D0D81B"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0.056</w:t>
            </w:r>
          </w:p>
        </w:tc>
        <w:tc>
          <w:tcPr>
            <w:tcW w:w="1035" w:type="dxa"/>
            <w:tcBorders>
              <w:top w:val="nil"/>
              <w:left w:val="nil"/>
              <w:bottom w:val="nil"/>
              <w:right w:val="nil"/>
            </w:tcBorders>
          </w:tcPr>
          <w:p w14:paraId="31FF5748"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0.120</w:t>
            </w:r>
          </w:p>
        </w:tc>
      </w:tr>
      <w:tr w:rsidR="003E087F" w:rsidRPr="00CF3C36" w14:paraId="3E94AB8F" w14:textId="77777777" w:rsidTr="007F7204">
        <w:tblPrEx>
          <w:tblBorders>
            <w:bottom w:val="single" w:sz="6" w:space="0" w:color="auto"/>
          </w:tblBorders>
        </w:tblPrEx>
        <w:trPr>
          <w:jc w:val="center"/>
        </w:trPr>
        <w:tc>
          <w:tcPr>
            <w:tcW w:w="1701" w:type="dxa"/>
            <w:tcBorders>
              <w:top w:val="nil"/>
              <w:left w:val="nil"/>
              <w:bottom w:val="single" w:sz="6" w:space="0" w:color="auto"/>
              <w:right w:val="nil"/>
            </w:tcBorders>
          </w:tcPr>
          <w:p w14:paraId="1EF17981" w14:textId="77777777" w:rsidR="003E087F" w:rsidRPr="00CF3C36" w:rsidRDefault="003E087F" w:rsidP="0033505A">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Number of cou1</w:t>
            </w:r>
          </w:p>
        </w:tc>
        <w:tc>
          <w:tcPr>
            <w:tcW w:w="1134" w:type="dxa"/>
            <w:tcBorders>
              <w:top w:val="nil"/>
              <w:left w:val="nil"/>
              <w:bottom w:val="single" w:sz="6" w:space="0" w:color="auto"/>
              <w:right w:val="nil"/>
            </w:tcBorders>
          </w:tcPr>
          <w:p w14:paraId="30CF1E9C"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69</w:t>
            </w:r>
          </w:p>
        </w:tc>
        <w:tc>
          <w:tcPr>
            <w:tcW w:w="1134" w:type="dxa"/>
            <w:tcBorders>
              <w:top w:val="nil"/>
              <w:left w:val="nil"/>
              <w:bottom w:val="single" w:sz="6" w:space="0" w:color="auto"/>
              <w:right w:val="nil"/>
            </w:tcBorders>
          </w:tcPr>
          <w:p w14:paraId="14D60ADC"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71</w:t>
            </w:r>
          </w:p>
        </w:tc>
        <w:tc>
          <w:tcPr>
            <w:tcW w:w="1145" w:type="dxa"/>
            <w:tcBorders>
              <w:top w:val="nil"/>
              <w:left w:val="nil"/>
              <w:bottom w:val="single" w:sz="6" w:space="0" w:color="auto"/>
              <w:right w:val="nil"/>
            </w:tcBorders>
          </w:tcPr>
          <w:p w14:paraId="726B58A2"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49</w:t>
            </w:r>
          </w:p>
        </w:tc>
        <w:tc>
          <w:tcPr>
            <w:tcW w:w="1035" w:type="dxa"/>
            <w:tcBorders>
              <w:top w:val="nil"/>
              <w:left w:val="nil"/>
              <w:bottom w:val="single" w:sz="6" w:space="0" w:color="auto"/>
              <w:right w:val="nil"/>
            </w:tcBorders>
          </w:tcPr>
          <w:p w14:paraId="1B344055" w14:textId="77777777" w:rsidR="003E087F" w:rsidRPr="00CF3C36" w:rsidRDefault="003E087F" w:rsidP="0033505A">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25</w:t>
            </w:r>
          </w:p>
        </w:tc>
      </w:tr>
    </w:tbl>
    <w:p w14:paraId="68866D01" w14:textId="77777777" w:rsidR="003E087F" w:rsidRPr="00CF3C36" w:rsidRDefault="003E087F" w:rsidP="003E08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Robust standard errors in parentheses</w:t>
      </w:r>
    </w:p>
    <w:p w14:paraId="0810BA53" w14:textId="77777777" w:rsidR="003E087F" w:rsidRPr="00CF3C36" w:rsidRDefault="003E087F" w:rsidP="003E08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 p&lt;0.01, ** p&lt;0.05, * p&lt;0.1</w:t>
      </w:r>
    </w:p>
    <w:p w14:paraId="04A360B6" w14:textId="77777777" w:rsidR="00846572" w:rsidRPr="00CF3C36" w:rsidRDefault="00846572" w:rsidP="00C81704">
      <w:pPr>
        <w:jc w:val="center"/>
        <w:rPr>
          <w:i/>
          <w:lang w:val="en-GB"/>
        </w:rPr>
      </w:pPr>
    </w:p>
    <w:p w14:paraId="0A7A5657" w14:textId="77777777" w:rsidR="00846572" w:rsidRPr="00CF3C36" w:rsidRDefault="00846572" w:rsidP="00C81704">
      <w:pPr>
        <w:jc w:val="center"/>
        <w:rPr>
          <w:i/>
          <w:lang w:val="en-GB"/>
        </w:rPr>
      </w:pPr>
    </w:p>
    <w:p w14:paraId="50BC6917" w14:textId="77777777" w:rsidR="00846572" w:rsidRPr="00CF3C36" w:rsidRDefault="00846572" w:rsidP="00C81704">
      <w:pPr>
        <w:jc w:val="center"/>
        <w:rPr>
          <w:i/>
          <w:lang w:val="en-GB"/>
        </w:rPr>
      </w:pPr>
    </w:p>
    <w:p w14:paraId="08825522" w14:textId="77777777" w:rsidR="00846572" w:rsidRPr="00CF3C36" w:rsidRDefault="00846572" w:rsidP="00C81704">
      <w:pPr>
        <w:jc w:val="center"/>
        <w:rPr>
          <w:i/>
          <w:lang w:val="en-GB"/>
        </w:rPr>
      </w:pPr>
    </w:p>
    <w:p w14:paraId="0ED6C854" w14:textId="77777777" w:rsidR="00846572" w:rsidRPr="00CF3C36" w:rsidRDefault="00846572" w:rsidP="00C81704">
      <w:pPr>
        <w:jc w:val="center"/>
        <w:rPr>
          <w:i/>
          <w:lang w:val="en-GB"/>
        </w:rPr>
      </w:pPr>
    </w:p>
    <w:p w14:paraId="371B88B2" w14:textId="77777777" w:rsidR="00846572" w:rsidRPr="00CF3C36" w:rsidRDefault="00846572" w:rsidP="00C81704">
      <w:pPr>
        <w:jc w:val="center"/>
        <w:rPr>
          <w:i/>
          <w:lang w:val="en-GB"/>
        </w:rPr>
      </w:pPr>
    </w:p>
    <w:p w14:paraId="4C779A2F" w14:textId="77777777" w:rsidR="00846572" w:rsidRPr="00CF3C36" w:rsidRDefault="00846572" w:rsidP="00C81704">
      <w:pPr>
        <w:jc w:val="center"/>
        <w:rPr>
          <w:i/>
          <w:lang w:val="en-GB"/>
        </w:rPr>
      </w:pPr>
    </w:p>
    <w:p w14:paraId="6BD8ACD7" w14:textId="77777777" w:rsidR="00846572" w:rsidRPr="00CF3C36" w:rsidRDefault="00846572" w:rsidP="00C81704">
      <w:pPr>
        <w:jc w:val="center"/>
        <w:rPr>
          <w:i/>
          <w:lang w:val="en-GB"/>
        </w:rPr>
      </w:pPr>
    </w:p>
    <w:p w14:paraId="2C635C8D" w14:textId="77777777" w:rsidR="00846572" w:rsidRPr="00CF3C36" w:rsidRDefault="00846572" w:rsidP="00C81704">
      <w:pPr>
        <w:jc w:val="center"/>
        <w:rPr>
          <w:i/>
          <w:lang w:val="en-GB"/>
        </w:rPr>
      </w:pPr>
    </w:p>
    <w:p w14:paraId="156B3069" w14:textId="77777777" w:rsidR="00846572" w:rsidRPr="00CF3C36" w:rsidRDefault="00846572" w:rsidP="00C81704">
      <w:pPr>
        <w:jc w:val="center"/>
        <w:rPr>
          <w:i/>
          <w:lang w:val="en-GB"/>
        </w:rPr>
      </w:pPr>
    </w:p>
    <w:p w14:paraId="268A98C4" w14:textId="77777777" w:rsidR="00846572" w:rsidRPr="00CF3C36" w:rsidRDefault="00846572" w:rsidP="00C81704">
      <w:pPr>
        <w:jc w:val="center"/>
        <w:rPr>
          <w:i/>
          <w:lang w:val="en-GB"/>
        </w:rPr>
      </w:pPr>
    </w:p>
    <w:p w14:paraId="65E31BF2" w14:textId="3852F6A3" w:rsidR="00846572" w:rsidRPr="00CF3C36" w:rsidRDefault="00846572" w:rsidP="00F162BA">
      <w:pPr>
        <w:rPr>
          <w:i/>
          <w:lang w:val="en-GB"/>
        </w:rPr>
      </w:pPr>
    </w:p>
    <w:p w14:paraId="61CC9E62" w14:textId="1A7EB288" w:rsidR="00F162BA" w:rsidRPr="00CF3C36" w:rsidRDefault="00F162BA" w:rsidP="00F162BA">
      <w:pPr>
        <w:rPr>
          <w:i/>
          <w:lang w:val="en-GB"/>
        </w:rPr>
      </w:pPr>
    </w:p>
    <w:p w14:paraId="0993D883" w14:textId="77777777" w:rsidR="00F162BA" w:rsidRPr="00CF3C36" w:rsidRDefault="00F162BA" w:rsidP="00F162BA">
      <w:pPr>
        <w:rPr>
          <w:i/>
          <w:lang w:val="en-GB"/>
        </w:rPr>
      </w:pPr>
    </w:p>
    <w:p w14:paraId="37FA2126" w14:textId="62AF00D5" w:rsidR="00B8066D" w:rsidRPr="00CF3C36" w:rsidRDefault="0033675A" w:rsidP="00B8066D">
      <w:pPr>
        <w:pStyle w:val="Heading5"/>
        <w:jc w:val="center"/>
        <w:rPr>
          <w:lang w:val="en-GB"/>
        </w:rPr>
      </w:pPr>
      <w:bookmarkStart w:id="54" w:name="_Toc15475686"/>
      <w:r w:rsidRPr="00CF3C36">
        <w:rPr>
          <w:lang w:val="en-GB"/>
        </w:rPr>
        <w:lastRenderedPageBreak/>
        <w:t>Table 23</w:t>
      </w:r>
      <w:r w:rsidR="00B8066D" w:rsidRPr="00CF3C36">
        <w:rPr>
          <w:lang w:val="en-GB"/>
        </w:rPr>
        <w:t>. Build-up Model 2.1</w:t>
      </w:r>
      <w:bookmarkEnd w:id="54"/>
    </w:p>
    <w:tbl>
      <w:tblPr>
        <w:tblW w:w="0" w:type="auto"/>
        <w:jc w:val="center"/>
        <w:tblLayout w:type="fixed"/>
        <w:tblCellMar>
          <w:left w:w="75" w:type="dxa"/>
          <w:right w:w="75" w:type="dxa"/>
        </w:tblCellMar>
        <w:tblLook w:val="0000" w:firstRow="0" w:lastRow="0" w:firstColumn="0" w:lastColumn="0" w:noHBand="0" w:noVBand="0"/>
      </w:tblPr>
      <w:tblGrid>
        <w:gridCol w:w="1547"/>
        <w:gridCol w:w="926"/>
        <w:gridCol w:w="926"/>
        <w:gridCol w:w="926"/>
        <w:gridCol w:w="926"/>
        <w:gridCol w:w="926"/>
        <w:gridCol w:w="992"/>
      </w:tblGrid>
      <w:tr w:rsidR="00B8066D" w:rsidRPr="00CF3C36" w14:paraId="05E0572C" w14:textId="77777777" w:rsidTr="00776DF1">
        <w:trPr>
          <w:jc w:val="center"/>
        </w:trPr>
        <w:tc>
          <w:tcPr>
            <w:tcW w:w="1547" w:type="dxa"/>
            <w:tcBorders>
              <w:top w:val="single" w:sz="6" w:space="0" w:color="auto"/>
              <w:left w:val="nil"/>
              <w:bottom w:val="nil"/>
              <w:right w:val="nil"/>
            </w:tcBorders>
          </w:tcPr>
          <w:p w14:paraId="11D67AC9"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p>
        </w:tc>
        <w:tc>
          <w:tcPr>
            <w:tcW w:w="926" w:type="dxa"/>
            <w:tcBorders>
              <w:top w:val="single" w:sz="6" w:space="0" w:color="auto"/>
              <w:left w:val="nil"/>
              <w:bottom w:val="nil"/>
              <w:right w:val="nil"/>
            </w:tcBorders>
          </w:tcPr>
          <w:p w14:paraId="6C312B89"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w:t>
            </w:r>
          </w:p>
        </w:tc>
        <w:tc>
          <w:tcPr>
            <w:tcW w:w="926" w:type="dxa"/>
            <w:tcBorders>
              <w:top w:val="single" w:sz="6" w:space="0" w:color="auto"/>
              <w:left w:val="nil"/>
              <w:bottom w:val="nil"/>
              <w:right w:val="nil"/>
            </w:tcBorders>
          </w:tcPr>
          <w:p w14:paraId="356021A7"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w:t>
            </w:r>
          </w:p>
        </w:tc>
        <w:tc>
          <w:tcPr>
            <w:tcW w:w="926" w:type="dxa"/>
            <w:tcBorders>
              <w:top w:val="single" w:sz="6" w:space="0" w:color="auto"/>
              <w:left w:val="nil"/>
              <w:bottom w:val="nil"/>
              <w:right w:val="nil"/>
            </w:tcBorders>
          </w:tcPr>
          <w:p w14:paraId="43F7D95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w:t>
            </w:r>
          </w:p>
        </w:tc>
        <w:tc>
          <w:tcPr>
            <w:tcW w:w="926" w:type="dxa"/>
            <w:tcBorders>
              <w:top w:val="single" w:sz="6" w:space="0" w:color="auto"/>
              <w:left w:val="nil"/>
              <w:bottom w:val="nil"/>
              <w:right w:val="nil"/>
            </w:tcBorders>
          </w:tcPr>
          <w:p w14:paraId="16589D25"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w:t>
            </w:r>
          </w:p>
        </w:tc>
        <w:tc>
          <w:tcPr>
            <w:tcW w:w="926" w:type="dxa"/>
            <w:tcBorders>
              <w:top w:val="single" w:sz="6" w:space="0" w:color="auto"/>
              <w:left w:val="nil"/>
              <w:bottom w:val="nil"/>
              <w:right w:val="nil"/>
            </w:tcBorders>
          </w:tcPr>
          <w:p w14:paraId="60914811"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w:t>
            </w:r>
          </w:p>
        </w:tc>
        <w:tc>
          <w:tcPr>
            <w:tcW w:w="992" w:type="dxa"/>
            <w:tcBorders>
              <w:top w:val="single" w:sz="6" w:space="0" w:color="auto"/>
              <w:left w:val="nil"/>
              <w:bottom w:val="nil"/>
              <w:right w:val="nil"/>
            </w:tcBorders>
          </w:tcPr>
          <w:p w14:paraId="408693C9"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w:t>
            </w:r>
          </w:p>
        </w:tc>
      </w:tr>
      <w:tr w:rsidR="00B8066D" w:rsidRPr="00CF3C36" w14:paraId="5E6C8D3C" w14:textId="77777777" w:rsidTr="00776DF1">
        <w:trPr>
          <w:jc w:val="center"/>
        </w:trPr>
        <w:tc>
          <w:tcPr>
            <w:tcW w:w="1547" w:type="dxa"/>
            <w:tcBorders>
              <w:top w:val="nil"/>
              <w:left w:val="nil"/>
              <w:bottom w:val="single" w:sz="6" w:space="0" w:color="auto"/>
              <w:right w:val="nil"/>
            </w:tcBorders>
          </w:tcPr>
          <w:p w14:paraId="0A7CDB99"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VARIABLES</w:t>
            </w:r>
          </w:p>
        </w:tc>
        <w:tc>
          <w:tcPr>
            <w:tcW w:w="926" w:type="dxa"/>
            <w:tcBorders>
              <w:top w:val="nil"/>
              <w:left w:val="nil"/>
              <w:bottom w:val="single" w:sz="6" w:space="0" w:color="auto"/>
              <w:right w:val="nil"/>
            </w:tcBorders>
          </w:tcPr>
          <w:p w14:paraId="7301414A"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2.1</w:t>
            </w:r>
          </w:p>
        </w:tc>
        <w:tc>
          <w:tcPr>
            <w:tcW w:w="926" w:type="dxa"/>
            <w:tcBorders>
              <w:top w:val="nil"/>
              <w:left w:val="nil"/>
              <w:bottom w:val="single" w:sz="6" w:space="0" w:color="auto"/>
              <w:right w:val="nil"/>
            </w:tcBorders>
          </w:tcPr>
          <w:p w14:paraId="1232A361"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2.1</w:t>
            </w:r>
          </w:p>
        </w:tc>
        <w:tc>
          <w:tcPr>
            <w:tcW w:w="926" w:type="dxa"/>
            <w:tcBorders>
              <w:top w:val="nil"/>
              <w:left w:val="nil"/>
              <w:bottom w:val="single" w:sz="6" w:space="0" w:color="auto"/>
              <w:right w:val="nil"/>
            </w:tcBorders>
          </w:tcPr>
          <w:p w14:paraId="3BB27E81"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2.1</w:t>
            </w:r>
          </w:p>
        </w:tc>
        <w:tc>
          <w:tcPr>
            <w:tcW w:w="926" w:type="dxa"/>
            <w:tcBorders>
              <w:top w:val="nil"/>
              <w:left w:val="nil"/>
              <w:bottom w:val="single" w:sz="6" w:space="0" w:color="auto"/>
              <w:right w:val="nil"/>
            </w:tcBorders>
          </w:tcPr>
          <w:p w14:paraId="49ABF287"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2.1</w:t>
            </w:r>
          </w:p>
        </w:tc>
        <w:tc>
          <w:tcPr>
            <w:tcW w:w="926" w:type="dxa"/>
            <w:tcBorders>
              <w:top w:val="nil"/>
              <w:left w:val="nil"/>
              <w:bottom w:val="single" w:sz="6" w:space="0" w:color="auto"/>
              <w:right w:val="nil"/>
            </w:tcBorders>
          </w:tcPr>
          <w:p w14:paraId="648412D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2.1</w:t>
            </w:r>
          </w:p>
        </w:tc>
        <w:tc>
          <w:tcPr>
            <w:tcW w:w="992" w:type="dxa"/>
            <w:tcBorders>
              <w:top w:val="nil"/>
              <w:left w:val="nil"/>
              <w:bottom w:val="single" w:sz="6" w:space="0" w:color="auto"/>
              <w:right w:val="nil"/>
            </w:tcBorders>
          </w:tcPr>
          <w:p w14:paraId="39D2936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2.1</w:t>
            </w:r>
          </w:p>
        </w:tc>
      </w:tr>
      <w:tr w:rsidR="00B8066D" w:rsidRPr="00CF3C36" w14:paraId="0144B70A" w14:textId="77777777" w:rsidTr="00776DF1">
        <w:trPr>
          <w:jc w:val="center"/>
        </w:trPr>
        <w:tc>
          <w:tcPr>
            <w:tcW w:w="1547" w:type="dxa"/>
            <w:tcBorders>
              <w:top w:val="nil"/>
              <w:left w:val="nil"/>
              <w:bottom w:val="nil"/>
              <w:right w:val="nil"/>
            </w:tcBorders>
          </w:tcPr>
          <w:p w14:paraId="05731BF4"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p>
        </w:tc>
        <w:tc>
          <w:tcPr>
            <w:tcW w:w="926" w:type="dxa"/>
            <w:tcBorders>
              <w:top w:val="nil"/>
              <w:left w:val="nil"/>
              <w:bottom w:val="nil"/>
              <w:right w:val="nil"/>
            </w:tcBorders>
          </w:tcPr>
          <w:p w14:paraId="2C041B5C"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349A6958"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22C83567"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75B5817D"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4F3586C7"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53806F9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B8066D" w:rsidRPr="00CF3C36" w14:paraId="08F3D3CE" w14:textId="77777777" w:rsidTr="00776DF1">
        <w:trPr>
          <w:jc w:val="center"/>
        </w:trPr>
        <w:tc>
          <w:tcPr>
            <w:tcW w:w="1547" w:type="dxa"/>
            <w:tcBorders>
              <w:top w:val="nil"/>
              <w:left w:val="nil"/>
              <w:bottom w:val="nil"/>
              <w:right w:val="nil"/>
            </w:tcBorders>
          </w:tcPr>
          <w:p w14:paraId="442EB84D"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w:t>
            </w:r>
          </w:p>
        </w:tc>
        <w:tc>
          <w:tcPr>
            <w:tcW w:w="926" w:type="dxa"/>
            <w:tcBorders>
              <w:top w:val="nil"/>
              <w:left w:val="nil"/>
              <w:bottom w:val="nil"/>
              <w:right w:val="nil"/>
            </w:tcBorders>
          </w:tcPr>
          <w:p w14:paraId="4F612842"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-0.0822**</w:t>
            </w:r>
          </w:p>
        </w:tc>
        <w:tc>
          <w:tcPr>
            <w:tcW w:w="926" w:type="dxa"/>
            <w:tcBorders>
              <w:top w:val="nil"/>
              <w:left w:val="nil"/>
              <w:bottom w:val="nil"/>
              <w:right w:val="nil"/>
            </w:tcBorders>
          </w:tcPr>
          <w:p w14:paraId="5D523973"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0.00130</w:t>
            </w:r>
          </w:p>
        </w:tc>
        <w:tc>
          <w:tcPr>
            <w:tcW w:w="926" w:type="dxa"/>
            <w:tcBorders>
              <w:top w:val="nil"/>
              <w:left w:val="nil"/>
              <w:bottom w:val="nil"/>
              <w:right w:val="nil"/>
            </w:tcBorders>
          </w:tcPr>
          <w:p w14:paraId="3672E9F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0.0237</w:t>
            </w:r>
          </w:p>
        </w:tc>
        <w:tc>
          <w:tcPr>
            <w:tcW w:w="926" w:type="dxa"/>
            <w:tcBorders>
              <w:top w:val="nil"/>
              <w:left w:val="nil"/>
              <w:bottom w:val="nil"/>
              <w:right w:val="nil"/>
            </w:tcBorders>
          </w:tcPr>
          <w:p w14:paraId="71856B02"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0.0238</w:t>
            </w:r>
          </w:p>
        </w:tc>
        <w:tc>
          <w:tcPr>
            <w:tcW w:w="926" w:type="dxa"/>
            <w:tcBorders>
              <w:top w:val="nil"/>
              <w:left w:val="nil"/>
              <w:bottom w:val="nil"/>
              <w:right w:val="nil"/>
            </w:tcBorders>
          </w:tcPr>
          <w:p w14:paraId="26672F3A"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0.0205</w:t>
            </w:r>
          </w:p>
        </w:tc>
        <w:tc>
          <w:tcPr>
            <w:tcW w:w="992" w:type="dxa"/>
            <w:tcBorders>
              <w:top w:val="nil"/>
              <w:left w:val="nil"/>
              <w:bottom w:val="nil"/>
              <w:right w:val="nil"/>
            </w:tcBorders>
          </w:tcPr>
          <w:p w14:paraId="5F8B9584"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0.0106</w:t>
            </w:r>
          </w:p>
        </w:tc>
      </w:tr>
      <w:tr w:rsidR="00B8066D" w:rsidRPr="00CF3C36" w14:paraId="2A3EF29B" w14:textId="77777777" w:rsidTr="00776DF1">
        <w:trPr>
          <w:jc w:val="center"/>
        </w:trPr>
        <w:tc>
          <w:tcPr>
            <w:tcW w:w="1547" w:type="dxa"/>
            <w:tcBorders>
              <w:top w:val="nil"/>
              <w:left w:val="nil"/>
              <w:bottom w:val="nil"/>
              <w:right w:val="nil"/>
            </w:tcBorders>
          </w:tcPr>
          <w:p w14:paraId="0D113A10"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p>
        </w:tc>
        <w:tc>
          <w:tcPr>
            <w:tcW w:w="926" w:type="dxa"/>
            <w:tcBorders>
              <w:top w:val="nil"/>
              <w:left w:val="nil"/>
              <w:bottom w:val="nil"/>
              <w:right w:val="nil"/>
            </w:tcBorders>
          </w:tcPr>
          <w:p w14:paraId="68ED427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(0.0305)</w:t>
            </w:r>
          </w:p>
        </w:tc>
        <w:tc>
          <w:tcPr>
            <w:tcW w:w="926" w:type="dxa"/>
            <w:tcBorders>
              <w:top w:val="nil"/>
              <w:left w:val="nil"/>
              <w:bottom w:val="nil"/>
              <w:right w:val="nil"/>
            </w:tcBorders>
          </w:tcPr>
          <w:p w14:paraId="711ABF97"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(0.0310)</w:t>
            </w:r>
          </w:p>
        </w:tc>
        <w:tc>
          <w:tcPr>
            <w:tcW w:w="926" w:type="dxa"/>
            <w:tcBorders>
              <w:top w:val="nil"/>
              <w:left w:val="nil"/>
              <w:bottom w:val="nil"/>
              <w:right w:val="nil"/>
            </w:tcBorders>
          </w:tcPr>
          <w:p w14:paraId="2A34FC31"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(0.0272)</w:t>
            </w:r>
          </w:p>
        </w:tc>
        <w:tc>
          <w:tcPr>
            <w:tcW w:w="926" w:type="dxa"/>
            <w:tcBorders>
              <w:top w:val="nil"/>
              <w:left w:val="nil"/>
              <w:bottom w:val="nil"/>
              <w:right w:val="nil"/>
            </w:tcBorders>
          </w:tcPr>
          <w:p w14:paraId="4DBBB2DA"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(0.0276)</w:t>
            </w:r>
          </w:p>
        </w:tc>
        <w:tc>
          <w:tcPr>
            <w:tcW w:w="926" w:type="dxa"/>
            <w:tcBorders>
              <w:top w:val="nil"/>
              <w:left w:val="nil"/>
              <w:bottom w:val="nil"/>
              <w:right w:val="nil"/>
            </w:tcBorders>
          </w:tcPr>
          <w:p w14:paraId="34C920E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(0.0263)</w:t>
            </w:r>
          </w:p>
        </w:tc>
        <w:tc>
          <w:tcPr>
            <w:tcW w:w="992" w:type="dxa"/>
            <w:tcBorders>
              <w:top w:val="nil"/>
              <w:left w:val="nil"/>
              <w:bottom w:val="nil"/>
              <w:right w:val="nil"/>
            </w:tcBorders>
          </w:tcPr>
          <w:p w14:paraId="22FEF663"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(0.0258)</w:t>
            </w:r>
          </w:p>
        </w:tc>
      </w:tr>
      <w:tr w:rsidR="00B8066D" w:rsidRPr="00CF3C36" w14:paraId="663C6A5D" w14:textId="77777777" w:rsidTr="00776DF1">
        <w:trPr>
          <w:jc w:val="center"/>
        </w:trPr>
        <w:tc>
          <w:tcPr>
            <w:tcW w:w="1547" w:type="dxa"/>
            <w:tcBorders>
              <w:top w:val="nil"/>
              <w:left w:val="nil"/>
              <w:bottom w:val="nil"/>
              <w:right w:val="nil"/>
            </w:tcBorders>
          </w:tcPr>
          <w:p w14:paraId="4BEDF874"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ln_rgdpna</w:t>
            </w:r>
          </w:p>
        </w:tc>
        <w:tc>
          <w:tcPr>
            <w:tcW w:w="926" w:type="dxa"/>
            <w:tcBorders>
              <w:top w:val="nil"/>
              <w:left w:val="nil"/>
              <w:bottom w:val="nil"/>
              <w:right w:val="nil"/>
            </w:tcBorders>
          </w:tcPr>
          <w:p w14:paraId="0361534F"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47C5B705"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-5.289***</w:t>
            </w:r>
          </w:p>
        </w:tc>
        <w:tc>
          <w:tcPr>
            <w:tcW w:w="926" w:type="dxa"/>
            <w:tcBorders>
              <w:top w:val="nil"/>
              <w:left w:val="nil"/>
              <w:bottom w:val="nil"/>
              <w:right w:val="nil"/>
            </w:tcBorders>
          </w:tcPr>
          <w:p w14:paraId="070B12F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-4.205***</w:t>
            </w:r>
          </w:p>
        </w:tc>
        <w:tc>
          <w:tcPr>
            <w:tcW w:w="926" w:type="dxa"/>
            <w:tcBorders>
              <w:top w:val="nil"/>
              <w:left w:val="nil"/>
              <w:bottom w:val="nil"/>
              <w:right w:val="nil"/>
            </w:tcBorders>
          </w:tcPr>
          <w:p w14:paraId="4EE225AD"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-2.623***</w:t>
            </w:r>
          </w:p>
        </w:tc>
        <w:tc>
          <w:tcPr>
            <w:tcW w:w="926" w:type="dxa"/>
            <w:tcBorders>
              <w:top w:val="nil"/>
              <w:left w:val="nil"/>
              <w:bottom w:val="nil"/>
              <w:right w:val="nil"/>
            </w:tcBorders>
          </w:tcPr>
          <w:p w14:paraId="54CC494B"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-2.891***</w:t>
            </w:r>
          </w:p>
        </w:tc>
        <w:tc>
          <w:tcPr>
            <w:tcW w:w="992" w:type="dxa"/>
            <w:tcBorders>
              <w:top w:val="nil"/>
              <w:left w:val="nil"/>
              <w:bottom w:val="nil"/>
              <w:right w:val="nil"/>
            </w:tcBorders>
          </w:tcPr>
          <w:p w14:paraId="3C24AE38"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-2.846***</w:t>
            </w:r>
          </w:p>
        </w:tc>
      </w:tr>
      <w:tr w:rsidR="00B8066D" w:rsidRPr="00CF3C36" w14:paraId="59E4E677" w14:textId="77777777" w:rsidTr="00776DF1">
        <w:trPr>
          <w:jc w:val="center"/>
        </w:trPr>
        <w:tc>
          <w:tcPr>
            <w:tcW w:w="1547" w:type="dxa"/>
            <w:tcBorders>
              <w:top w:val="nil"/>
              <w:left w:val="nil"/>
              <w:bottom w:val="nil"/>
              <w:right w:val="nil"/>
            </w:tcBorders>
          </w:tcPr>
          <w:p w14:paraId="36C971B0"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p>
        </w:tc>
        <w:tc>
          <w:tcPr>
            <w:tcW w:w="926" w:type="dxa"/>
            <w:tcBorders>
              <w:top w:val="nil"/>
              <w:left w:val="nil"/>
              <w:bottom w:val="nil"/>
              <w:right w:val="nil"/>
            </w:tcBorders>
          </w:tcPr>
          <w:p w14:paraId="691B4919"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56D02DF4"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(1.006)</w:t>
            </w:r>
          </w:p>
        </w:tc>
        <w:tc>
          <w:tcPr>
            <w:tcW w:w="926" w:type="dxa"/>
            <w:tcBorders>
              <w:top w:val="nil"/>
              <w:left w:val="nil"/>
              <w:bottom w:val="nil"/>
              <w:right w:val="nil"/>
            </w:tcBorders>
          </w:tcPr>
          <w:p w14:paraId="0B7FDCBC"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(0.769)</w:t>
            </w:r>
          </w:p>
        </w:tc>
        <w:tc>
          <w:tcPr>
            <w:tcW w:w="926" w:type="dxa"/>
            <w:tcBorders>
              <w:top w:val="nil"/>
              <w:left w:val="nil"/>
              <w:bottom w:val="nil"/>
              <w:right w:val="nil"/>
            </w:tcBorders>
          </w:tcPr>
          <w:p w14:paraId="4343CBC6"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(0.353)</w:t>
            </w:r>
          </w:p>
        </w:tc>
        <w:tc>
          <w:tcPr>
            <w:tcW w:w="926" w:type="dxa"/>
            <w:tcBorders>
              <w:top w:val="nil"/>
              <w:left w:val="nil"/>
              <w:bottom w:val="nil"/>
              <w:right w:val="nil"/>
            </w:tcBorders>
          </w:tcPr>
          <w:p w14:paraId="1AED3C9B"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(0.388)</w:t>
            </w:r>
          </w:p>
        </w:tc>
        <w:tc>
          <w:tcPr>
            <w:tcW w:w="992" w:type="dxa"/>
            <w:tcBorders>
              <w:top w:val="nil"/>
              <w:left w:val="nil"/>
              <w:bottom w:val="nil"/>
              <w:right w:val="nil"/>
            </w:tcBorders>
          </w:tcPr>
          <w:p w14:paraId="1A3AB956"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(0.409)</w:t>
            </w:r>
          </w:p>
        </w:tc>
      </w:tr>
      <w:tr w:rsidR="00B8066D" w:rsidRPr="00CF3C36" w14:paraId="1756990C" w14:textId="77777777" w:rsidTr="00776DF1">
        <w:trPr>
          <w:jc w:val="center"/>
        </w:trPr>
        <w:tc>
          <w:tcPr>
            <w:tcW w:w="1547" w:type="dxa"/>
            <w:tcBorders>
              <w:top w:val="nil"/>
              <w:left w:val="nil"/>
              <w:bottom w:val="nil"/>
              <w:right w:val="nil"/>
            </w:tcBorders>
          </w:tcPr>
          <w:p w14:paraId="3D6A5559"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SE_terX</w:t>
            </w:r>
          </w:p>
        </w:tc>
        <w:tc>
          <w:tcPr>
            <w:tcW w:w="926" w:type="dxa"/>
            <w:tcBorders>
              <w:top w:val="nil"/>
              <w:left w:val="nil"/>
              <w:bottom w:val="nil"/>
              <w:right w:val="nil"/>
            </w:tcBorders>
          </w:tcPr>
          <w:p w14:paraId="3359034F"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78E0CE94"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6361FEA5"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-0.0381**</w:t>
            </w:r>
          </w:p>
        </w:tc>
        <w:tc>
          <w:tcPr>
            <w:tcW w:w="926" w:type="dxa"/>
            <w:tcBorders>
              <w:top w:val="nil"/>
              <w:left w:val="nil"/>
              <w:bottom w:val="nil"/>
              <w:right w:val="nil"/>
            </w:tcBorders>
          </w:tcPr>
          <w:p w14:paraId="4172FBF3"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-0.0325**</w:t>
            </w:r>
          </w:p>
        </w:tc>
        <w:tc>
          <w:tcPr>
            <w:tcW w:w="926" w:type="dxa"/>
            <w:tcBorders>
              <w:top w:val="nil"/>
              <w:left w:val="nil"/>
              <w:bottom w:val="nil"/>
              <w:right w:val="nil"/>
            </w:tcBorders>
          </w:tcPr>
          <w:p w14:paraId="7338645A"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-0.0278**</w:t>
            </w:r>
          </w:p>
        </w:tc>
        <w:tc>
          <w:tcPr>
            <w:tcW w:w="992" w:type="dxa"/>
            <w:tcBorders>
              <w:top w:val="nil"/>
              <w:left w:val="nil"/>
              <w:bottom w:val="nil"/>
              <w:right w:val="nil"/>
            </w:tcBorders>
          </w:tcPr>
          <w:p w14:paraId="556ED10C"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-0.0294**</w:t>
            </w:r>
          </w:p>
        </w:tc>
      </w:tr>
      <w:tr w:rsidR="00B8066D" w:rsidRPr="00CF3C36" w14:paraId="3CC07E01" w14:textId="77777777" w:rsidTr="00776DF1">
        <w:trPr>
          <w:jc w:val="center"/>
        </w:trPr>
        <w:tc>
          <w:tcPr>
            <w:tcW w:w="1547" w:type="dxa"/>
            <w:tcBorders>
              <w:top w:val="nil"/>
              <w:left w:val="nil"/>
              <w:bottom w:val="nil"/>
              <w:right w:val="nil"/>
            </w:tcBorders>
          </w:tcPr>
          <w:p w14:paraId="703A131C"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p>
        </w:tc>
        <w:tc>
          <w:tcPr>
            <w:tcW w:w="926" w:type="dxa"/>
            <w:tcBorders>
              <w:top w:val="nil"/>
              <w:left w:val="nil"/>
              <w:bottom w:val="nil"/>
              <w:right w:val="nil"/>
            </w:tcBorders>
          </w:tcPr>
          <w:p w14:paraId="7EFC0A63"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2627637D"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50207F1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(0.0134)</w:t>
            </w:r>
          </w:p>
        </w:tc>
        <w:tc>
          <w:tcPr>
            <w:tcW w:w="926" w:type="dxa"/>
            <w:tcBorders>
              <w:top w:val="nil"/>
              <w:left w:val="nil"/>
              <w:bottom w:val="nil"/>
              <w:right w:val="nil"/>
            </w:tcBorders>
          </w:tcPr>
          <w:p w14:paraId="09B75BB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(0.0115)</w:t>
            </w:r>
          </w:p>
        </w:tc>
        <w:tc>
          <w:tcPr>
            <w:tcW w:w="926" w:type="dxa"/>
            <w:tcBorders>
              <w:top w:val="nil"/>
              <w:left w:val="nil"/>
              <w:bottom w:val="nil"/>
              <w:right w:val="nil"/>
            </w:tcBorders>
          </w:tcPr>
          <w:p w14:paraId="5A451E5E"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(0.0108)</w:t>
            </w:r>
          </w:p>
        </w:tc>
        <w:tc>
          <w:tcPr>
            <w:tcW w:w="992" w:type="dxa"/>
            <w:tcBorders>
              <w:top w:val="nil"/>
              <w:left w:val="nil"/>
              <w:bottom w:val="nil"/>
              <w:right w:val="nil"/>
            </w:tcBorders>
          </w:tcPr>
          <w:p w14:paraId="28AAD52A"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(0.00980)</w:t>
            </w:r>
          </w:p>
        </w:tc>
      </w:tr>
      <w:tr w:rsidR="00B8066D" w:rsidRPr="00CF3C36" w14:paraId="72C71FD9" w14:textId="77777777" w:rsidTr="00776DF1">
        <w:trPr>
          <w:jc w:val="center"/>
        </w:trPr>
        <w:tc>
          <w:tcPr>
            <w:tcW w:w="1547" w:type="dxa"/>
            <w:tcBorders>
              <w:top w:val="nil"/>
              <w:left w:val="nil"/>
              <w:bottom w:val="nil"/>
              <w:right w:val="nil"/>
            </w:tcBorders>
          </w:tcPr>
          <w:p w14:paraId="3FAECCB9"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eodb1</w:t>
            </w:r>
          </w:p>
        </w:tc>
        <w:tc>
          <w:tcPr>
            <w:tcW w:w="926" w:type="dxa"/>
            <w:tcBorders>
              <w:top w:val="nil"/>
              <w:left w:val="nil"/>
              <w:bottom w:val="nil"/>
              <w:right w:val="nil"/>
            </w:tcBorders>
          </w:tcPr>
          <w:p w14:paraId="2FF09F5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3D1C8C31"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0B3AFC43"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-0.0553*</w:t>
            </w:r>
          </w:p>
        </w:tc>
        <w:tc>
          <w:tcPr>
            <w:tcW w:w="926" w:type="dxa"/>
            <w:tcBorders>
              <w:top w:val="nil"/>
              <w:left w:val="nil"/>
              <w:bottom w:val="nil"/>
              <w:right w:val="nil"/>
            </w:tcBorders>
          </w:tcPr>
          <w:p w14:paraId="70EC3C4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-0.0373</w:t>
            </w:r>
          </w:p>
        </w:tc>
        <w:tc>
          <w:tcPr>
            <w:tcW w:w="926" w:type="dxa"/>
            <w:tcBorders>
              <w:top w:val="nil"/>
              <w:left w:val="nil"/>
              <w:bottom w:val="nil"/>
              <w:right w:val="nil"/>
            </w:tcBorders>
          </w:tcPr>
          <w:p w14:paraId="31D06002"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-0.0332</w:t>
            </w:r>
          </w:p>
        </w:tc>
        <w:tc>
          <w:tcPr>
            <w:tcW w:w="992" w:type="dxa"/>
            <w:tcBorders>
              <w:top w:val="nil"/>
              <w:left w:val="nil"/>
              <w:bottom w:val="nil"/>
              <w:right w:val="nil"/>
            </w:tcBorders>
          </w:tcPr>
          <w:p w14:paraId="21FFF0D7"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-0.0398</w:t>
            </w:r>
          </w:p>
        </w:tc>
      </w:tr>
      <w:tr w:rsidR="00B8066D" w:rsidRPr="00CF3C36" w14:paraId="335B6E81" w14:textId="77777777" w:rsidTr="00776DF1">
        <w:trPr>
          <w:jc w:val="center"/>
        </w:trPr>
        <w:tc>
          <w:tcPr>
            <w:tcW w:w="1547" w:type="dxa"/>
            <w:tcBorders>
              <w:top w:val="nil"/>
              <w:left w:val="nil"/>
              <w:bottom w:val="nil"/>
              <w:right w:val="nil"/>
            </w:tcBorders>
          </w:tcPr>
          <w:p w14:paraId="5C1DCD6E"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p>
        </w:tc>
        <w:tc>
          <w:tcPr>
            <w:tcW w:w="926" w:type="dxa"/>
            <w:tcBorders>
              <w:top w:val="nil"/>
              <w:left w:val="nil"/>
              <w:bottom w:val="nil"/>
              <w:right w:val="nil"/>
            </w:tcBorders>
          </w:tcPr>
          <w:p w14:paraId="7E5EC9B4"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156CE8F1"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0E31246B"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(0.0283)</w:t>
            </w:r>
          </w:p>
        </w:tc>
        <w:tc>
          <w:tcPr>
            <w:tcW w:w="926" w:type="dxa"/>
            <w:tcBorders>
              <w:top w:val="nil"/>
              <w:left w:val="nil"/>
              <w:bottom w:val="nil"/>
              <w:right w:val="nil"/>
            </w:tcBorders>
          </w:tcPr>
          <w:p w14:paraId="0E4EDF9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(0.0327)</w:t>
            </w:r>
          </w:p>
        </w:tc>
        <w:tc>
          <w:tcPr>
            <w:tcW w:w="926" w:type="dxa"/>
            <w:tcBorders>
              <w:top w:val="nil"/>
              <w:left w:val="nil"/>
              <w:bottom w:val="nil"/>
              <w:right w:val="nil"/>
            </w:tcBorders>
          </w:tcPr>
          <w:p w14:paraId="02E33DC1"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(0.0330)</w:t>
            </w:r>
          </w:p>
        </w:tc>
        <w:tc>
          <w:tcPr>
            <w:tcW w:w="992" w:type="dxa"/>
            <w:tcBorders>
              <w:top w:val="nil"/>
              <w:left w:val="nil"/>
              <w:bottom w:val="nil"/>
              <w:right w:val="nil"/>
            </w:tcBorders>
          </w:tcPr>
          <w:p w14:paraId="62C4CF8E"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(0.0334)</w:t>
            </w:r>
          </w:p>
        </w:tc>
      </w:tr>
      <w:tr w:rsidR="00B8066D" w:rsidRPr="00CF3C36" w14:paraId="78B09602" w14:textId="77777777" w:rsidTr="00776DF1">
        <w:trPr>
          <w:jc w:val="center"/>
        </w:trPr>
        <w:tc>
          <w:tcPr>
            <w:tcW w:w="1547" w:type="dxa"/>
            <w:tcBorders>
              <w:top w:val="nil"/>
              <w:left w:val="nil"/>
              <w:bottom w:val="nil"/>
              <w:right w:val="nil"/>
            </w:tcBorders>
          </w:tcPr>
          <w:p w14:paraId="55AB1544"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governance</w:t>
            </w:r>
          </w:p>
        </w:tc>
        <w:tc>
          <w:tcPr>
            <w:tcW w:w="926" w:type="dxa"/>
            <w:tcBorders>
              <w:top w:val="nil"/>
              <w:left w:val="nil"/>
              <w:bottom w:val="nil"/>
              <w:right w:val="nil"/>
            </w:tcBorders>
          </w:tcPr>
          <w:p w14:paraId="1F5BB9B5"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1CF00CBA"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40250959"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0.0816</w:t>
            </w:r>
          </w:p>
        </w:tc>
        <w:tc>
          <w:tcPr>
            <w:tcW w:w="926" w:type="dxa"/>
            <w:tcBorders>
              <w:top w:val="nil"/>
              <w:left w:val="nil"/>
              <w:bottom w:val="nil"/>
              <w:right w:val="nil"/>
            </w:tcBorders>
          </w:tcPr>
          <w:p w14:paraId="67E463A3"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-0.0458</w:t>
            </w:r>
          </w:p>
        </w:tc>
        <w:tc>
          <w:tcPr>
            <w:tcW w:w="926" w:type="dxa"/>
            <w:tcBorders>
              <w:top w:val="nil"/>
              <w:left w:val="nil"/>
              <w:bottom w:val="nil"/>
              <w:right w:val="nil"/>
            </w:tcBorders>
          </w:tcPr>
          <w:p w14:paraId="3FCF48EB"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0.0294</w:t>
            </w:r>
          </w:p>
        </w:tc>
        <w:tc>
          <w:tcPr>
            <w:tcW w:w="992" w:type="dxa"/>
            <w:tcBorders>
              <w:top w:val="nil"/>
              <w:left w:val="nil"/>
              <w:bottom w:val="nil"/>
              <w:right w:val="nil"/>
            </w:tcBorders>
          </w:tcPr>
          <w:p w14:paraId="0E2D3E02"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-0.00111</w:t>
            </w:r>
          </w:p>
        </w:tc>
      </w:tr>
      <w:tr w:rsidR="00B8066D" w:rsidRPr="00CF3C36" w14:paraId="4A0532A0" w14:textId="77777777" w:rsidTr="00776DF1">
        <w:trPr>
          <w:jc w:val="center"/>
        </w:trPr>
        <w:tc>
          <w:tcPr>
            <w:tcW w:w="1547" w:type="dxa"/>
            <w:tcBorders>
              <w:top w:val="nil"/>
              <w:left w:val="nil"/>
              <w:bottom w:val="nil"/>
              <w:right w:val="nil"/>
            </w:tcBorders>
          </w:tcPr>
          <w:p w14:paraId="2977CF47"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p>
        </w:tc>
        <w:tc>
          <w:tcPr>
            <w:tcW w:w="926" w:type="dxa"/>
            <w:tcBorders>
              <w:top w:val="nil"/>
              <w:left w:val="nil"/>
              <w:bottom w:val="nil"/>
              <w:right w:val="nil"/>
            </w:tcBorders>
          </w:tcPr>
          <w:p w14:paraId="745796B4"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5F3D7545"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53C8B7E6"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(0.263)</w:t>
            </w:r>
          </w:p>
        </w:tc>
        <w:tc>
          <w:tcPr>
            <w:tcW w:w="926" w:type="dxa"/>
            <w:tcBorders>
              <w:top w:val="nil"/>
              <w:left w:val="nil"/>
              <w:bottom w:val="nil"/>
              <w:right w:val="nil"/>
            </w:tcBorders>
          </w:tcPr>
          <w:p w14:paraId="5643D89B"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(0.327)</w:t>
            </w:r>
          </w:p>
        </w:tc>
        <w:tc>
          <w:tcPr>
            <w:tcW w:w="926" w:type="dxa"/>
            <w:tcBorders>
              <w:top w:val="nil"/>
              <w:left w:val="nil"/>
              <w:bottom w:val="nil"/>
              <w:right w:val="nil"/>
            </w:tcBorders>
          </w:tcPr>
          <w:p w14:paraId="03D99B4A"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(0.312)</w:t>
            </w:r>
          </w:p>
        </w:tc>
        <w:tc>
          <w:tcPr>
            <w:tcW w:w="992" w:type="dxa"/>
            <w:tcBorders>
              <w:top w:val="nil"/>
              <w:left w:val="nil"/>
              <w:bottom w:val="nil"/>
              <w:right w:val="nil"/>
            </w:tcBorders>
          </w:tcPr>
          <w:p w14:paraId="4E27055A"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(0.309)</w:t>
            </w:r>
          </w:p>
        </w:tc>
      </w:tr>
      <w:tr w:rsidR="00B8066D" w:rsidRPr="00CF3C36" w14:paraId="3FFA13AA" w14:textId="77777777" w:rsidTr="00776DF1">
        <w:trPr>
          <w:jc w:val="center"/>
        </w:trPr>
        <w:tc>
          <w:tcPr>
            <w:tcW w:w="1547" w:type="dxa"/>
            <w:tcBorders>
              <w:top w:val="nil"/>
              <w:left w:val="nil"/>
              <w:bottom w:val="nil"/>
              <w:right w:val="nil"/>
            </w:tcBorders>
          </w:tcPr>
          <w:p w14:paraId="4473F14D"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ln_KL</w:t>
            </w:r>
          </w:p>
        </w:tc>
        <w:tc>
          <w:tcPr>
            <w:tcW w:w="926" w:type="dxa"/>
            <w:tcBorders>
              <w:top w:val="nil"/>
              <w:left w:val="nil"/>
              <w:bottom w:val="nil"/>
              <w:right w:val="nil"/>
            </w:tcBorders>
          </w:tcPr>
          <w:p w14:paraId="2EFCF442"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39336749"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040E3729"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3066D8FE"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-1.560**</w:t>
            </w:r>
          </w:p>
        </w:tc>
        <w:tc>
          <w:tcPr>
            <w:tcW w:w="926" w:type="dxa"/>
            <w:tcBorders>
              <w:top w:val="nil"/>
              <w:left w:val="nil"/>
              <w:bottom w:val="nil"/>
              <w:right w:val="nil"/>
            </w:tcBorders>
          </w:tcPr>
          <w:p w14:paraId="749F4B7B"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0.858</w:t>
            </w:r>
          </w:p>
        </w:tc>
        <w:tc>
          <w:tcPr>
            <w:tcW w:w="992" w:type="dxa"/>
            <w:tcBorders>
              <w:top w:val="nil"/>
              <w:left w:val="nil"/>
              <w:bottom w:val="nil"/>
              <w:right w:val="nil"/>
            </w:tcBorders>
          </w:tcPr>
          <w:p w14:paraId="1E1FAB44"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2.049</w:t>
            </w:r>
          </w:p>
        </w:tc>
      </w:tr>
      <w:tr w:rsidR="00B8066D" w:rsidRPr="00CF3C36" w14:paraId="7075BCAC" w14:textId="77777777" w:rsidTr="00776DF1">
        <w:trPr>
          <w:jc w:val="center"/>
        </w:trPr>
        <w:tc>
          <w:tcPr>
            <w:tcW w:w="1547" w:type="dxa"/>
            <w:tcBorders>
              <w:top w:val="nil"/>
              <w:left w:val="nil"/>
              <w:bottom w:val="nil"/>
              <w:right w:val="nil"/>
            </w:tcBorders>
          </w:tcPr>
          <w:p w14:paraId="77D130EE"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p>
        </w:tc>
        <w:tc>
          <w:tcPr>
            <w:tcW w:w="926" w:type="dxa"/>
            <w:tcBorders>
              <w:top w:val="nil"/>
              <w:left w:val="nil"/>
              <w:bottom w:val="nil"/>
              <w:right w:val="nil"/>
            </w:tcBorders>
          </w:tcPr>
          <w:p w14:paraId="2F4F01F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050A283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71B45E4D"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2F9297E6"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(0.624)</w:t>
            </w:r>
          </w:p>
        </w:tc>
        <w:tc>
          <w:tcPr>
            <w:tcW w:w="926" w:type="dxa"/>
            <w:tcBorders>
              <w:top w:val="nil"/>
              <w:left w:val="nil"/>
              <w:bottom w:val="nil"/>
              <w:right w:val="nil"/>
            </w:tcBorders>
          </w:tcPr>
          <w:p w14:paraId="25DA29FF"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(0.952)</w:t>
            </w:r>
          </w:p>
        </w:tc>
        <w:tc>
          <w:tcPr>
            <w:tcW w:w="992" w:type="dxa"/>
            <w:tcBorders>
              <w:top w:val="nil"/>
              <w:left w:val="nil"/>
              <w:bottom w:val="nil"/>
              <w:right w:val="nil"/>
            </w:tcBorders>
          </w:tcPr>
          <w:p w14:paraId="3D89F481"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(1.528)</w:t>
            </w:r>
          </w:p>
        </w:tc>
      </w:tr>
      <w:tr w:rsidR="00B8066D" w:rsidRPr="00CF3C36" w14:paraId="6C36820B" w14:textId="77777777" w:rsidTr="00776DF1">
        <w:trPr>
          <w:jc w:val="center"/>
        </w:trPr>
        <w:tc>
          <w:tcPr>
            <w:tcW w:w="1547" w:type="dxa"/>
            <w:tcBorders>
              <w:top w:val="nil"/>
              <w:left w:val="nil"/>
              <w:bottom w:val="nil"/>
              <w:right w:val="nil"/>
            </w:tcBorders>
          </w:tcPr>
          <w:p w14:paraId="6FD3FB15"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ln_KL_2</w:t>
            </w:r>
          </w:p>
        </w:tc>
        <w:tc>
          <w:tcPr>
            <w:tcW w:w="926" w:type="dxa"/>
            <w:tcBorders>
              <w:top w:val="nil"/>
              <w:left w:val="nil"/>
              <w:bottom w:val="nil"/>
              <w:right w:val="nil"/>
            </w:tcBorders>
          </w:tcPr>
          <w:p w14:paraId="32544459"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65CEDD93"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4C174909"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3459C90B"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73827E9D"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-0.304**</w:t>
            </w:r>
          </w:p>
        </w:tc>
        <w:tc>
          <w:tcPr>
            <w:tcW w:w="992" w:type="dxa"/>
            <w:tcBorders>
              <w:top w:val="nil"/>
              <w:left w:val="nil"/>
              <w:bottom w:val="nil"/>
              <w:right w:val="nil"/>
            </w:tcBorders>
          </w:tcPr>
          <w:p w14:paraId="70404225"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-0.407**</w:t>
            </w:r>
          </w:p>
        </w:tc>
      </w:tr>
      <w:tr w:rsidR="00B8066D" w:rsidRPr="00CF3C36" w14:paraId="1610A656" w14:textId="77777777" w:rsidTr="00776DF1">
        <w:trPr>
          <w:jc w:val="center"/>
        </w:trPr>
        <w:tc>
          <w:tcPr>
            <w:tcW w:w="1547" w:type="dxa"/>
            <w:tcBorders>
              <w:top w:val="nil"/>
              <w:left w:val="nil"/>
              <w:bottom w:val="nil"/>
              <w:right w:val="nil"/>
            </w:tcBorders>
          </w:tcPr>
          <w:p w14:paraId="0227E2E6"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p>
        </w:tc>
        <w:tc>
          <w:tcPr>
            <w:tcW w:w="926" w:type="dxa"/>
            <w:tcBorders>
              <w:top w:val="nil"/>
              <w:left w:val="nil"/>
              <w:bottom w:val="nil"/>
              <w:right w:val="nil"/>
            </w:tcBorders>
          </w:tcPr>
          <w:p w14:paraId="4F38519E"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3E9FFFDB"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1B273CCB"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4B53EF1E"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6E0934A7"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(0.102)</w:t>
            </w:r>
          </w:p>
        </w:tc>
        <w:tc>
          <w:tcPr>
            <w:tcW w:w="992" w:type="dxa"/>
            <w:tcBorders>
              <w:top w:val="nil"/>
              <w:left w:val="nil"/>
              <w:bottom w:val="nil"/>
              <w:right w:val="nil"/>
            </w:tcBorders>
          </w:tcPr>
          <w:p w14:paraId="7235D3F1"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(0.131)</w:t>
            </w:r>
          </w:p>
        </w:tc>
      </w:tr>
      <w:tr w:rsidR="00B8066D" w:rsidRPr="00CF3C36" w14:paraId="50B3FEB3" w14:textId="77777777" w:rsidTr="00776DF1">
        <w:trPr>
          <w:jc w:val="center"/>
        </w:trPr>
        <w:tc>
          <w:tcPr>
            <w:tcW w:w="1547" w:type="dxa"/>
            <w:tcBorders>
              <w:top w:val="nil"/>
              <w:left w:val="nil"/>
              <w:bottom w:val="nil"/>
              <w:right w:val="nil"/>
            </w:tcBorders>
          </w:tcPr>
          <w:p w14:paraId="17C9E65E"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EPI_ln_KL_cen</w:t>
            </w:r>
          </w:p>
        </w:tc>
        <w:tc>
          <w:tcPr>
            <w:tcW w:w="926" w:type="dxa"/>
            <w:tcBorders>
              <w:top w:val="nil"/>
              <w:left w:val="nil"/>
              <w:bottom w:val="nil"/>
              <w:right w:val="nil"/>
            </w:tcBorders>
          </w:tcPr>
          <w:p w14:paraId="379775AC"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488A12F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740557A7"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0C00930A"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0D15935E"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0FC3417C"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0.217</w:t>
            </w:r>
          </w:p>
        </w:tc>
      </w:tr>
      <w:tr w:rsidR="00B8066D" w:rsidRPr="00CF3C36" w14:paraId="785AC9C4" w14:textId="77777777" w:rsidTr="00776DF1">
        <w:trPr>
          <w:jc w:val="center"/>
        </w:trPr>
        <w:tc>
          <w:tcPr>
            <w:tcW w:w="1547" w:type="dxa"/>
            <w:tcBorders>
              <w:top w:val="nil"/>
              <w:left w:val="nil"/>
              <w:bottom w:val="nil"/>
              <w:right w:val="nil"/>
            </w:tcBorders>
          </w:tcPr>
          <w:p w14:paraId="243EEBE6"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p>
        </w:tc>
        <w:tc>
          <w:tcPr>
            <w:tcW w:w="926" w:type="dxa"/>
            <w:tcBorders>
              <w:top w:val="nil"/>
              <w:left w:val="nil"/>
              <w:bottom w:val="nil"/>
              <w:right w:val="nil"/>
            </w:tcBorders>
          </w:tcPr>
          <w:p w14:paraId="1CECAC5A"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3E9CAB59"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1B664715"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3DC1AAA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49BB863B"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3A19519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(0.129)</w:t>
            </w:r>
          </w:p>
        </w:tc>
      </w:tr>
      <w:tr w:rsidR="00B8066D" w:rsidRPr="00CF3C36" w14:paraId="139FBF2B" w14:textId="77777777" w:rsidTr="00776DF1">
        <w:trPr>
          <w:jc w:val="center"/>
        </w:trPr>
        <w:tc>
          <w:tcPr>
            <w:tcW w:w="1547" w:type="dxa"/>
            <w:tcBorders>
              <w:top w:val="nil"/>
              <w:left w:val="nil"/>
              <w:bottom w:val="nil"/>
              <w:right w:val="nil"/>
            </w:tcBorders>
          </w:tcPr>
          <w:p w14:paraId="4DFB56D8"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EPI_ln_KL_2_cen</w:t>
            </w:r>
          </w:p>
        </w:tc>
        <w:tc>
          <w:tcPr>
            <w:tcW w:w="926" w:type="dxa"/>
            <w:tcBorders>
              <w:top w:val="nil"/>
              <w:left w:val="nil"/>
              <w:bottom w:val="nil"/>
              <w:right w:val="nil"/>
            </w:tcBorders>
          </w:tcPr>
          <w:p w14:paraId="3E3F7303"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232C0C1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6BD790B6"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47D77A39"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3078A9F6"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201D0043"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-0.0270</w:t>
            </w:r>
          </w:p>
        </w:tc>
      </w:tr>
      <w:tr w:rsidR="00B8066D" w:rsidRPr="00CF3C36" w14:paraId="5FDF4847" w14:textId="77777777" w:rsidTr="00776DF1">
        <w:trPr>
          <w:jc w:val="center"/>
        </w:trPr>
        <w:tc>
          <w:tcPr>
            <w:tcW w:w="1547" w:type="dxa"/>
            <w:tcBorders>
              <w:top w:val="nil"/>
              <w:left w:val="nil"/>
              <w:bottom w:val="nil"/>
              <w:right w:val="nil"/>
            </w:tcBorders>
          </w:tcPr>
          <w:p w14:paraId="72758A44"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p>
        </w:tc>
        <w:tc>
          <w:tcPr>
            <w:tcW w:w="926" w:type="dxa"/>
            <w:tcBorders>
              <w:top w:val="nil"/>
              <w:left w:val="nil"/>
              <w:bottom w:val="nil"/>
              <w:right w:val="nil"/>
            </w:tcBorders>
          </w:tcPr>
          <w:p w14:paraId="22465501"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7F37DC67"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1D0F61D7"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722949D9"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3502F462"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4D661277"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(0.0152)</w:t>
            </w:r>
          </w:p>
        </w:tc>
      </w:tr>
      <w:tr w:rsidR="00B8066D" w:rsidRPr="00CF3C36" w14:paraId="688111C7" w14:textId="77777777" w:rsidTr="00776DF1">
        <w:trPr>
          <w:jc w:val="center"/>
        </w:trPr>
        <w:tc>
          <w:tcPr>
            <w:tcW w:w="1547" w:type="dxa"/>
            <w:tcBorders>
              <w:top w:val="nil"/>
              <w:left w:val="nil"/>
              <w:bottom w:val="nil"/>
              <w:right w:val="nil"/>
            </w:tcBorders>
          </w:tcPr>
          <w:p w14:paraId="13E4BEF6"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Constant</w:t>
            </w:r>
          </w:p>
        </w:tc>
        <w:tc>
          <w:tcPr>
            <w:tcW w:w="926" w:type="dxa"/>
            <w:tcBorders>
              <w:top w:val="nil"/>
              <w:left w:val="nil"/>
              <w:bottom w:val="nil"/>
              <w:right w:val="nil"/>
            </w:tcBorders>
          </w:tcPr>
          <w:p w14:paraId="497E9DD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5.002***</w:t>
            </w:r>
          </w:p>
        </w:tc>
        <w:tc>
          <w:tcPr>
            <w:tcW w:w="926" w:type="dxa"/>
            <w:tcBorders>
              <w:top w:val="nil"/>
              <w:left w:val="nil"/>
              <w:bottom w:val="nil"/>
              <w:right w:val="nil"/>
            </w:tcBorders>
          </w:tcPr>
          <w:p w14:paraId="1979021E"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69.55***</w:t>
            </w:r>
          </w:p>
        </w:tc>
        <w:tc>
          <w:tcPr>
            <w:tcW w:w="926" w:type="dxa"/>
            <w:tcBorders>
              <w:top w:val="nil"/>
              <w:left w:val="nil"/>
              <w:bottom w:val="nil"/>
              <w:right w:val="nil"/>
            </w:tcBorders>
          </w:tcPr>
          <w:p w14:paraId="5252EC4C"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61.22***</w:t>
            </w:r>
          </w:p>
        </w:tc>
        <w:tc>
          <w:tcPr>
            <w:tcW w:w="926" w:type="dxa"/>
            <w:tcBorders>
              <w:top w:val="nil"/>
              <w:left w:val="nil"/>
              <w:bottom w:val="nil"/>
              <w:right w:val="nil"/>
            </w:tcBorders>
          </w:tcPr>
          <w:p w14:paraId="524010AD"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46.97***</w:t>
            </w:r>
          </w:p>
        </w:tc>
        <w:tc>
          <w:tcPr>
            <w:tcW w:w="926" w:type="dxa"/>
            <w:tcBorders>
              <w:top w:val="nil"/>
              <w:left w:val="nil"/>
              <w:bottom w:val="nil"/>
              <w:right w:val="nil"/>
            </w:tcBorders>
          </w:tcPr>
          <w:p w14:paraId="7ECC9A5B"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45.44***</w:t>
            </w:r>
          </w:p>
        </w:tc>
        <w:tc>
          <w:tcPr>
            <w:tcW w:w="992" w:type="dxa"/>
            <w:tcBorders>
              <w:top w:val="nil"/>
              <w:left w:val="nil"/>
              <w:bottom w:val="nil"/>
              <w:right w:val="nil"/>
            </w:tcBorders>
          </w:tcPr>
          <w:p w14:paraId="0A4A8947"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42.60***</w:t>
            </w:r>
          </w:p>
        </w:tc>
      </w:tr>
      <w:tr w:rsidR="00B8066D" w:rsidRPr="00CF3C36" w14:paraId="76936853" w14:textId="77777777" w:rsidTr="00776DF1">
        <w:trPr>
          <w:jc w:val="center"/>
        </w:trPr>
        <w:tc>
          <w:tcPr>
            <w:tcW w:w="1547" w:type="dxa"/>
            <w:tcBorders>
              <w:top w:val="nil"/>
              <w:left w:val="nil"/>
              <w:bottom w:val="nil"/>
              <w:right w:val="nil"/>
            </w:tcBorders>
          </w:tcPr>
          <w:p w14:paraId="3A93E6D8"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p>
        </w:tc>
        <w:tc>
          <w:tcPr>
            <w:tcW w:w="926" w:type="dxa"/>
            <w:tcBorders>
              <w:top w:val="nil"/>
              <w:left w:val="nil"/>
              <w:bottom w:val="nil"/>
              <w:right w:val="nil"/>
            </w:tcBorders>
          </w:tcPr>
          <w:p w14:paraId="570BC75B"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(0.852)</w:t>
            </w:r>
          </w:p>
        </w:tc>
        <w:tc>
          <w:tcPr>
            <w:tcW w:w="926" w:type="dxa"/>
            <w:tcBorders>
              <w:top w:val="nil"/>
              <w:left w:val="nil"/>
              <w:bottom w:val="nil"/>
              <w:right w:val="nil"/>
            </w:tcBorders>
          </w:tcPr>
          <w:p w14:paraId="79EBD48F"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(12.24)</w:t>
            </w:r>
          </w:p>
        </w:tc>
        <w:tc>
          <w:tcPr>
            <w:tcW w:w="926" w:type="dxa"/>
            <w:tcBorders>
              <w:top w:val="nil"/>
              <w:left w:val="nil"/>
              <w:bottom w:val="nil"/>
              <w:right w:val="nil"/>
            </w:tcBorders>
          </w:tcPr>
          <w:p w14:paraId="67465E5E"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(8.920)</w:t>
            </w:r>
          </w:p>
        </w:tc>
        <w:tc>
          <w:tcPr>
            <w:tcW w:w="926" w:type="dxa"/>
            <w:tcBorders>
              <w:top w:val="nil"/>
              <w:left w:val="nil"/>
              <w:bottom w:val="nil"/>
              <w:right w:val="nil"/>
            </w:tcBorders>
          </w:tcPr>
          <w:p w14:paraId="119F360F"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(4.829)</w:t>
            </w:r>
          </w:p>
        </w:tc>
        <w:tc>
          <w:tcPr>
            <w:tcW w:w="926" w:type="dxa"/>
            <w:tcBorders>
              <w:top w:val="nil"/>
              <w:left w:val="nil"/>
              <w:bottom w:val="nil"/>
              <w:right w:val="nil"/>
            </w:tcBorders>
          </w:tcPr>
          <w:p w14:paraId="23E9A53C"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(6.035)</w:t>
            </w:r>
          </w:p>
        </w:tc>
        <w:tc>
          <w:tcPr>
            <w:tcW w:w="992" w:type="dxa"/>
            <w:tcBorders>
              <w:top w:val="nil"/>
              <w:left w:val="nil"/>
              <w:bottom w:val="nil"/>
              <w:right w:val="nil"/>
            </w:tcBorders>
          </w:tcPr>
          <w:p w14:paraId="5574A2B9"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(7.721)</w:t>
            </w:r>
          </w:p>
        </w:tc>
      </w:tr>
      <w:tr w:rsidR="00B8066D" w:rsidRPr="00CF3C36" w14:paraId="4174FC24" w14:textId="77777777" w:rsidTr="00776DF1">
        <w:trPr>
          <w:jc w:val="center"/>
        </w:trPr>
        <w:tc>
          <w:tcPr>
            <w:tcW w:w="1547" w:type="dxa"/>
            <w:tcBorders>
              <w:top w:val="nil"/>
              <w:left w:val="nil"/>
              <w:bottom w:val="nil"/>
              <w:right w:val="nil"/>
            </w:tcBorders>
          </w:tcPr>
          <w:p w14:paraId="10161F2F"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p>
        </w:tc>
        <w:tc>
          <w:tcPr>
            <w:tcW w:w="926" w:type="dxa"/>
            <w:tcBorders>
              <w:top w:val="nil"/>
              <w:left w:val="nil"/>
              <w:bottom w:val="nil"/>
              <w:right w:val="nil"/>
            </w:tcBorders>
          </w:tcPr>
          <w:p w14:paraId="3BB6F842"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755EDFEE"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53C19323"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44369249"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26" w:type="dxa"/>
            <w:tcBorders>
              <w:top w:val="nil"/>
              <w:left w:val="nil"/>
              <w:bottom w:val="nil"/>
              <w:right w:val="nil"/>
            </w:tcBorders>
          </w:tcPr>
          <w:p w14:paraId="7C96DBEC"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92" w:type="dxa"/>
            <w:tcBorders>
              <w:top w:val="nil"/>
              <w:left w:val="nil"/>
              <w:bottom w:val="nil"/>
              <w:right w:val="nil"/>
            </w:tcBorders>
          </w:tcPr>
          <w:p w14:paraId="427FF208"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B8066D" w:rsidRPr="00CF3C36" w14:paraId="0C559BDD" w14:textId="77777777" w:rsidTr="00776DF1">
        <w:trPr>
          <w:jc w:val="center"/>
        </w:trPr>
        <w:tc>
          <w:tcPr>
            <w:tcW w:w="1547" w:type="dxa"/>
            <w:tcBorders>
              <w:top w:val="nil"/>
              <w:left w:val="nil"/>
              <w:bottom w:val="nil"/>
              <w:right w:val="nil"/>
            </w:tcBorders>
          </w:tcPr>
          <w:p w14:paraId="3FF9C5BF"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Observations</w:t>
            </w:r>
          </w:p>
        </w:tc>
        <w:tc>
          <w:tcPr>
            <w:tcW w:w="926" w:type="dxa"/>
            <w:tcBorders>
              <w:top w:val="nil"/>
              <w:left w:val="nil"/>
              <w:bottom w:val="nil"/>
              <w:right w:val="nil"/>
            </w:tcBorders>
          </w:tcPr>
          <w:p w14:paraId="6C2413F7"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664</w:t>
            </w:r>
          </w:p>
        </w:tc>
        <w:tc>
          <w:tcPr>
            <w:tcW w:w="926" w:type="dxa"/>
            <w:tcBorders>
              <w:top w:val="nil"/>
              <w:left w:val="nil"/>
              <w:bottom w:val="nil"/>
              <w:right w:val="nil"/>
            </w:tcBorders>
          </w:tcPr>
          <w:p w14:paraId="3F1ED3EE"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664</w:t>
            </w:r>
          </w:p>
        </w:tc>
        <w:tc>
          <w:tcPr>
            <w:tcW w:w="926" w:type="dxa"/>
            <w:tcBorders>
              <w:top w:val="nil"/>
              <w:left w:val="nil"/>
              <w:bottom w:val="nil"/>
              <w:right w:val="nil"/>
            </w:tcBorders>
          </w:tcPr>
          <w:p w14:paraId="1CB52C34"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664</w:t>
            </w:r>
          </w:p>
        </w:tc>
        <w:tc>
          <w:tcPr>
            <w:tcW w:w="926" w:type="dxa"/>
            <w:tcBorders>
              <w:top w:val="nil"/>
              <w:left w:val="nil"/>
              <w:bottom w:val="nil"/>
              <w:right w:val="nil"/>
            </w:tcBorders>
          </w:tcPr>
          <w:p w14:paraId="6D6D7917"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664</w:t>
            </w:r>
          </w:p>
        </w:tc>
        <w:tc>
          <w:tcPr>
            <w:tcW w:w="926" w:type="dxa"/>
            <w:tcBorders>
              <w:top w:val="nil"/>
              <w:left w:val="nil"/>
              <w:bottom w:val="nil"/>
              <w:right w:val="nil"/>
            </w:tcBorders>
          </w:tcPr>
          <w:p w14:paraId="1BCB5C05"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664</w:t>
            </w:r>
          </w:p>
        </w:tc>
        <w:tc>
          <w:tcPr>
            <w:tcW w:w="992" w:type="dxa"/>
            <w:tcBorders>
              <w:top w:val="nil"/>
              <w:left w:val="nil"/>
              <w:bottom w:val="nil"/>
              <w:right w:val="nil"/>
            </w:tcBorders>
          </w:tcPr>
          <w:p w14:paraId="6395FE9C"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664</w:t>
            </w:r>
          </w:p>
        </w:tc>
      </w:tr>
      <w:tr w:rsidR="00B8066D" w:rsidRPr="00CF3C36" w14:paraId="1B3DC319" w14:textId="77777777" w:rsidTr="00776DF1">
        <w:trPr>
          <w:jc w:val="center"/>
        </w:trPr>
        <w:tc>
          <w:tcPr>
            <w:tcW w:w="1547" w:type="dxa"/>
            <w:tcBorders>
              <w:top w:val="nil"/>
              <w:left w:val="nil"/>
              <w:bottom w:val="nil"/>
              <w:right w:val="nil"/>
            </w:tcBorders>
          </w:tcPr>
          <w:p w14:paraId="4B49240F"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R-squared</w:t>
            </w:r>
          </w:p>
        </w:tc>
        <w:tc>
          <w:tcPr>
            <w:tcW w:w="926" w:type="dxa"/>
            <w:tcBorders>
              <w:top w:val="nil"/>
              <w:left w:val="nil"/>
              <w:bottom w:val="nil"/>
              <w:right w:val="nil"/>
            </w:tcBorders>
          </w:tcPr>
          <w:p w14:paraId="4FF924D2"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0.0046</w:t>
            </w:r>
          </w:p>
        </w:tc>
        <w:tc>
          <w:tcPr>
            <w:tcW w:w="926" w:type="dxa"/>
            <w:tcBorders>
              <w:top w:val="nil"/>
              <w:left w:val="nil"/>
              <w:bottom w:val="nil"/>
              <w:right w:val="nil"/>
            </w:tcBorders>
          </w:tcPr>
          <w:p w14:paraId="2406702C"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0.0585</w:t>
            </w:r>
          </w:p>
        </w:tc>
        <w:tc>
          <w:tcPr>
            <w:tcW w:w="926" w:type="dxa"/>
            <w:tcBorders>
              <w:top w:val="nil"/>
              <w:left w:val="nil"/>
              <w:bottom w:val="nil"/>
              <w:right w:val="nil"/>
            </w:tcBorders>
          </w:tcPr>
          <w:p w14:paraId="260A0055"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0.0701</w:t>
            </w:r>
          </w:p>
        </w:tc>
        <w:tc>
          <w:tcPr>
            <w:tcW w:w="926" w:type="dxa"/>
            <w:tcBorders>
              <w:top w:val="nil"/>
              <w:left w:val="nil"/>
              <w:bottom w:val="nil"/>
              <w:right w:val="nil"/>
            </w:tcBorders>
          </w:tcPr>
          <w:p w14:paraId="68BB8721"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0.0743</w:t>
            </w:r>
          </w:p>
        </w:tc>
        <w:tc>
          <w:tcPr>
            <w:tcW w:w="926" w:type="dxa"/>
            <w:tcBorders>
              <w:top w:val="nil"/>
              <w:left w:val="nil"/>
              <w:bottom w:val="nil"/>
              <w:right w:val="nil"/>
            </w:tcBorders>
          </w:tcPr>
          <w:p w14:paraId="7D3BFD69"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0.0776</w:t>
            </w:r>
          </w:p>
        </w:tc>
        <w:tc>
          <w:tcPr>
            <w:tcW w:w="992" w:type="dxa"/>
            <w:tcBorders>
              <w:top w:val="nil"/>
              <w:left w:val="nil"/>
              <w:bottom w:val="nil"/>
              <w:right w:val="nil"/>
            </w:tcBorders>
          </w:tcPr>
          <w:p w14:paraId="0175B217"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0.0804</w:t>
            </w:r>
          </w:p>
        </w:tc>
      </w:tr>
      <w:tr w:rsidR="00B8066D" w:rsidRPr="00CF3C36" w14:paraId="5F4363C6" w14:textId="77777777" w:rsidTr="00776DF1">
        <w:tblPrEx>
          <w:tblBorders>
            <w:bottom w:val="single" w:sz="6" w:space="0" w:color="auto"/>
          </w:tblBorders>
        </w:tblPrEx>
        <w:trPr>
          <w:jc w:val="center"/>
        </w:trPr>
        <w:tc>
          <w:tcPr>
            <w:tcW w:w="1547" w:type="dxa"/>
            <w:tcBorders>
              <w:top w:val="nil"/>
              <w:left w:val="nil"/>
              <w:bottom w:val="single" w:sz="6" w:space="0" w:color="auto"/>
              <w:right w:val="nil"/>
            </w:tcBorders>
          </w:tcPr>
          <w:p w14:paraId="2B72460A" w14:textId="77777777" w:rsidR="00B8066D" w:rsidRPr="00CF3C36" w:rsidRDefault="00B8066D" w:rsidP="00776DF1">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Number of groups</w:t>
            </w:r>
          </w:p>
        </w:tc>
        <w:tc>
          <w:tcPr>
            <w:tcW w:w="926" w:type="dxa"/>
            <w:tcBorders>
              <w:top w:val="nil"/>
              <w:left w:val="nil"/>
              <w:bottom w:val="single" w:sz="6" w:space="0" w:color="auto"/>
              <w:right w:val="nil"/>
            </w:tcBorders>
          </w:tcPr>
          <w:p w14:paraId="59F5B633"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74</w:t>
            </w:r>
          </w:p>
        </w:tc>
        <w:tc>
          <w:tcPr>
            <w:tcW w:w="926" w:type="dxa"/>
            <w:tcBorders>
              <w:top w:val="nil"/>
              <w:left w:val="nil"/>
              <w:bottom w:val="single" w:sz="6" w:space="0" w:color="auto"/>
              <w:right w:val="nil"/>
            </w:tcBorders>
          </w:tcPr>
          <w:p w14:paraId="425BAC70"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74</w:t>
            </w:r>
          </w:p>
        </w:tc>
        <w:tc>
          <w:tcPr>
            <w:tcW w:w="926" w:type="dxa"/>
            <w:tcBorders>
              <w:top w:val="nil"/>
              <w:left w:val="nil"/>
              <w:bottom w:val="single" w:sz="6" w:space="0" w:color="auto"/>
              <w:right w:val="nil"/>
            </w:tcBorders>
          </w:tcPr>
          <w:p w14:paraId="51F3280B"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74</w:t>
            </w:r>
          </w:p>
        </w:tc>
        <w:tc>
          <w:tcPr>
            <w:tcW w:w="926" w:type="dxa"/>
            <w:tcBorders>
              <w:top w:val="nil"/>
              <w:left w:val="nil"/>
              <w:bottom w:val="single" w:sz="6" w:space="0" w:color="auto"/>
              <w:right w:val="nil"/>
            </w:tcBorders>
          </w:tcPr>
          <w:p w14:paraId="7854024A"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74</w:t>
            </w:r>
          </w:p>
        </w:tc>
        <w:tc>
          <w:tcPr>
            <w:tcW w:w="926" w:type="dxa"/>
            <w:tcBorders>
              <w:top w:val="nil"/>
              <w:left w:val="nil"/>
              <w:bottom w:val="single" w:sz="6" w:space="0" w:color="auto"/>
              <w:right w:val="nil"/>
            </w:tcBorders>
          </w:tcPr>
          <w:p w14:paraId="49E8B7FC"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74</w:t>
            </w:r>
          </w:p>
        </w:tc>
        <w:tc>
          <w:tcPr>
            <w:tcW w:w="992" w:type="dxa"/>
            <w:tcBorders>
              <w:top w:val="nil"/>
              <w:left w:val="nil"/>
              <w:bottom w:val="single" w:sz="6" w:space="0" w:color="auto"/>
              <w:right w:val="nil"/>
            </w:tcBorders>
          </w:tcPr>
          <w:p w14:paraId="7FE715FC" w14:textId="77777777" w:rsidR="00B8066D" w:rsidRPr="00CF3C36" w:rsidRDefault="00B8066D" w:rsidP="00776DF1">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74</w:t>
            </w:r>
          </w:p>
        </w:tc>
      </w:tr>
    </w:tbl>
    <w:p w14:paraId="37578D41" w14:textId="77777777" w:rsidR="00B8066D" w:rsidRPr="00CF3C36" w:rsidRDefault="00B8066D" w:rsidP="00B8066D">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Driscoll-Kraay standard errors in parentheses</w:t>
      </w:r>
    </w:p>
    <w:p w14:paraId="3573FDD0" w14:textId="5C958D7E" w:rsidR="00B8066D" w:rsidRPr="00CF3C36" w:rsidRDefault="00B8066D" w:rsidP="002B3906">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 p&lt;0.01, ** p&lt;0.05, * p&lt;0.1</w:t>
      </w:r>
    </w:p>
    <w:p w14:paraId="2D92F640" w14:textId="64372BD6" w:rsidR="00B8066D" w:rsidRPr="00CF3C36" w:rsidRDefault="00B8066D" w:rsidP="00B8066D">
      <w:pPr>
        <w:rPr>
          <w:lang w:val="en-GB"/>
        </w:rPr>
      </w:pPr>
    </w:p>
    <w:p w14:paraId="33998D94" w14:textId="1AAD0FD9" w:rsidR="00B8066D" w:rsidRPr="00CF3C36" w:rsidRDefault="00B8066D" w:rsidP="00B8066D">
      <w:pPr>
        <w:rPr>
          <w:lang w:val="en-GB"/>
        </w:rPr>
      </w:pPr>
    </w:p>
    <w:p w14:paraId="7C45A77C" w14:textId="0AB68E8C" w:rsidR="00B8066D" w:rsidRPr="00CF3C36" w:rsidRDefault="00B8066D" w:rsidP="00B8066D">
      <w:pPr>
        <w:rPr>
          <w:lang w:val="en-GB"/>
        </w:rPr>
      </w:pPr>
    </w:p>
    <w:p w14:paraId="188751C0" w14:textId="6CD46ED6" w:rsidR="00B8066D" w:rsidRPr="00CF3C36" w:rsidRDefault="00B8066D" w:rsidP="00B8066D">
      <w:pPr>
        <w:rPr>
          <w:lang w:val="en-GB"/>
        </w:rPr>
      </w:pPr>
    </w:p>
    <w:p w14:paraId="2CAD05B3" w14:textId="639EE504" w:rsidR="00B8066D" w:rsidRPr="00CF3C36" w:rsidRDefault="00B8066D" w:rsidP="00B8066D">
      <w:pPr>
        <w:rPr>
          <w:lang w:val="en-GB"/>
        </w:rPr>
      </w:pPr>
    </w:p>
    <w:p w14:paraId="61C4AB55" w14:textId="78F70B4A" w:rsidR="00B8066D" w:rsidRPr="00CF3C36" w:rsidRDefault="00B8066D" w:rsidP="00B8066D">
      <w:pPr>
        <w:rPr>
          <w:lang w:val="en-GB"/>
        </w:rPr>
      </w:pPr>
    </w:p>
    <w:p w14:paraId="38790347" w14:textId="791ECD9D" w:rsidR="00B8066D" w:rsidRPr="00CF3C36" w:rsidRDefault="00B8066D" w:rsidP="00B8066D">
      <w:pPr>
        <w:rPr>
          <w:lang w:val="en-GB"/>
        </w:rPr>
      </w:pPr>
    </w:p>
    <w:p w14:paraId="2DC30A0E" w14:textId="427A0E35" w:rsidR="00B8066D" w:rsidRPr="00CF3C36" w:rsidRDefault="00B8066D" w:rsidP="00B8066D">
      <w:pPr>
        <w:rPr>
          <w:lang w:val="en-GB"/>
        </w:rPr>
      </w:pPr>
    </w:p>
    <w:p w14:paraId="5F7FEDFB" w14:textId="2E725BC2" w:rsidR="00B8066D" w:rsidRPr="00CF3C36" w:rsidRDefault="00B8066D" w:rsidP="00B8066D">
      <w:pPr>
        <w:rPr>
          <w:lang w:val="en-GB"/>
        </w:rPr>
      </w:pPr>
    </w:p>
    <w:p w14:paraId="7436EFB3" w14:textId="2C9CCB19" w:rsidR="00B8066D" w:rsidRPr="00CF3C36" w:rsidRDefault="00B8066D" w:rsidP="00B8066D">
      <w:pPr>
        <w:rPr>
          <w:lang w:val="en-GB"/>
        </w:rPr>
      </w:pPr>
    </w:p>
    <w:p w14:paraId="162850E1" w14:textId="46F7E1B6" w:rsidR="00B8066D" w:rsidRPr="00CF3C36" w:rsidRDefault="00B8066D" w:rsidP="00B8066D">
      <w:pPr>
        <w:rPr>
          <w:lang w:val="en-GB"/>
        </w:rPr>
      </w:pPr>
    </w:p>
    <w:p w14:paraId="2E9AEA4B" w14:textId="657D839B" w:rsidR="00B8066D" w:rsidRPr="00CF3C36" w:rsidRDefault="00B8066D" w:rsidP="00B8066D">
      <w:pPr>
        <w:rPr>
          <w:lang w:val="en-GB"/>
        </w:rPr>
      </w:pPr>
    </w:p>
    <w:p w14:paraId="1B2EAFCC" w14:textId="13B4AAC4" w:rsidR="00B8066D" w:rsidRPr="00CF3C36" w:rsidRDefault="00B8066D" w:rsidP="00B8066D">
      <w:pPr>
        <w:rPr>
          <w:lang w:val="en-GB"/>
        </w:rPr>
      </w:pPr>
    </w:p>
    <w:p w14:paraId="1507E5EA" w14:textId="5D86EF23" w:rsidR="00B8066D" w:rsidRPr="00CF3C36" w:rsidRDefault="00B8066D" w:rsidP="00B8066D">
      <w:pPr>
        <w:rPr>
          <w:lang w:val="en-GB"/>
        </w:rPr>
      </w:pPr>
    </w:p>
    <w:p w14:paraId="1C910555" w14:textId="1E1260E2" w:rsidR="00B8066D" w:rsidRPr="00CF3C36" w:rsidRDefault="00B8066D" w:rsidP="00B8066D">
      <w:pPr>
        <w:rPr>
          <w:lang w:val="en-GB"/>
        </w:rPr>
      </w:pPr>
    </w:p>
    <w:p w14:paraId="3FEB66D9" w14:textId="55D88BDF" w:rsidR="00B8066D" w:rsidRPr="00CF3C36" w:rsidRDefault="00B8066D" w:rsidP="00B8066D">
      <w:pPr>
        <w:rPr>
          <w:lang w:val="en-GB"/>
        </w:rPr>
      </w:pPr>
    </w:p>
    <w:p w14:paraId="2622FEA8" w14:textId="3966AC0A" w:rsidR="00C81704" w:rsidRPr="00CF3C36" w:rsidRDefault="00C86351" w:rsidP="00864C4C">
      <w:pPr>
        <w:pStyle w:val="Heading5"/>
        <w:jc w:val="center"/>
        <w:rPr>
          <w:lang w:val="en-GB"/>
        </w:rPr>
      </w:pPr>
      <w:bookmarkStart w:id="55" w:name="_Toc15475687"/>
      <w:r w:rsidRPr="00CF3C36">
        <w:rPr>
          <w:lang w:val="en-GB"/>
        </w:rPr>
        <w:lastRenderedPageBreak/>
        <w:t>Table 2</w:t>
      </w:r>
      <w:r w:rsidR="0033675A" w:rsidRPr="00CF3C36">
        <w:rPr>
          <w:lang w:val="en-GB"/>
        </w:rPr>
        <w:t>4</w:t>
      </w:r>
      <w:r w:rsidR="00864C4C" w:rsidRPr="00CF3C36">
        <w:rPr>
          <w:lang w:val="en-GB"/>
        </w:rPr>
        <w:t xml:space="preserve">. </w:t>
      </w:r>
      <w:r w:rsidR="00B13383" w:rsidRPr="00CF3C36">
        <w:rPr>
          <w:lang w:val="en-GB"/>
        </w:rPr>
        <w:t xml:space="preserve">Robustness checks </w:t>
      </w:r>
      <w:r w:rsidR="00C81704" w:rsidRPr="00CF3C36">
        <w:rPr>
          <w:lang w:val="en-GB"/>
        </w:rPr>
        <w:t>Model 2.1</w:t>
      </w:r>
      <w:bookmarkEnd w:id="55"/>
    </w:p>
    <w:tbl>
      <w:tblPr>
        <w:tblW w:w="6663" w:type="dxa"/>
        <w:jc w:val="center"/>
        <w:tblLayout w:type="fixed"/>
        <w:tblCellMar>
          <w:left w:w="75" w:type="dxa"/>
          <w:right w:w="75" w:type="dxa"/>
        </w:tblCellMar>
        <w:tblLook w:val="0000" w:firstRow="0" w:lastRow="0" w:firstColumn="0" w:lastColumn="0" w:noHBand="0" w:noVBand="0"/>
      </w:tblPr>
      <w:tblGrid>
        <w:gridCol w:w="1701"/>
        <w:gridCol w:w="1134"/>
        <w:gridCol w:w="1276"/>
        <w:gridCol w:w="1276"/>
        <w:gridCol w:w="1276"/>
      </w:tblGrid>
      <w:tr w:rsidR="00C81704" w:rsidRPr="00CF3C36" w14:paraId="1DAAE799" w14:textId="77777777" w:rsidTr="007F7204">
        <w:trPr>
          <w:jc w:val="center"/>
        </w:trPr>
        <w:tc>
          <w:tcPr>
            <w:tcW w:w="1701" w:type="dxa"/>
            <w:tcBorders>
              <w:top w:val="single" w:sz="6" w:space="0" w:color="auto"/>
              <w:left w:val="nil"/>
              <w:bottom w:val="nil"/>
              <w:right w:val="nil"/>
            </w:tcBorders>
          </w:tcPr>
          <w:p w14:paraId="49787066" w14:textId="77777777" w:rsidR="00C81704" w:rsidRPr="00CF3C36" w:rsidRDefault="00C81704" w:rsidP="00446374">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single" w:sz="6" w:space="0" w:color="auto"/>
              <w:left w:val="nil"/>
              <w:bottom w:val="nil"/>
              <w:right w:val="nil"/>
            </w:tcBorders>
          </w:tcPr>
          <w:p w14:paraId="2C7CCC27" w14:textId="77777777"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w:t>
            </w:r>
          </w:p>
        </w:tc>
        <w:tc>
          <w:tcPr>
            <w:tcW w:w="1276" w:type="dxa"/>
            <w:tcBorders>
              <w:top w:val="single" w:sz="6" w:space="0" w:color="auto"/>
              <w:left w:val="nil"/>
              <w:bottom w:val="nil"/>
              <w:right w:val="nil"/>
            </w:tcBorders>
          </w:tcPr>
          <w:p w14:paraId="4AB0B881" w14:textId="77777777"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w:t>
            </w:r>
          </w:p>
        </w:tc>
        <w:tc>
          <w:tcPr>
            <w:tcW w:w="1276" w:type="dxa"/>
            <w:tcBorders>
              <w:top w:val="single" w:sz="6" w:space="0" w:color="auto"/>
              <w:left w:val="nil"/>
              <w:bottom w:val="nil"/>
              <w:right w:val="nil"/>
            </w:tcBorders>
          </w:tcPr>
          <w:p w14:paraId="78A2F983" w14:textId="77777777"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w:t>
            </w:r>
          </w:p>
        </w:tc>
        <w:tc>
          <w:tcPr>
            <w:tcW w:w="1276" w:type="dxa"/>
            <w:tcBorders>
              <w:top w:val="single" w:sz="6" w:space="0" w:color="auto"/>
              <w:left w:val="nil"/>
              <w:bottom w:val="nil"/>
              <w:right w:val="nil"/>
            </w:tcBorders>
          </w:tcPr>
          <w:p w14:paraId="1F4B0FD3" w14:textId="77777777"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w:t>
            </w:r>
          </w:p>
        </w:tc>
      </w:tr>
      <w:tr w:rsidR="00C81704" w:rsidRPr="00CF3C36" w14:paraId="31195F85" w14:textId="77777777" w:rsidTr="007F7204">
        <w:trPr>
          <w:jc w:val="center"/>
        </w:trPr>
        <w:tc>
          <w:tcPr>
            <w:tcW w:w="1701" w:type="dxa"/>
            <w:tcBorders>
              <w:top w:val="nil"/>
              <w:left w:val="nil"/>
              <w:bottom w:val="single" w:sz="6" w:space="0" w:color="auto"/>
              <w:right w:val="nil"/>
            </w:tcBorders>
          </w:tcPr>
          <w:p w14:paraId="4083992C" w14:textId="77777777" w:rsidR="00C81704" w:rsidRPr="00CF3C36" w:rsidRDefault="00C81704" w:rsidP="00446374">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VARIABLES</w:t>
            </w:r>
          </w:p>
        </w:tc>
        <w:tc>
          <w:tcPr>
            <w:tcW w:w="1134" w:type="dxa"/>
            <w:tcBorders>
              <w:top w:val="nil"/>
              <w:left w:val="nil"/>
              <w:bottom w:val="single" w:sz="6" w:space="0" w:color="auto"/>
              <w:right w:val="nil"/>
            </w:tcBorders>
          </w:tcPr>
          <w:p w14:paraId="1397F67E" w14:textId="77777777"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2.1 - EPI years</w:t>
            </w:r>
          </w:p>
        </w:tc>
        <w:tc>
          <w:tcPr>
            <w:tcW w:w="1276" w:type="dxa"/>
            <w:tcBorders>
              <w:top w:val="nil"/>
              <w:left w:val="nil"/>
              <w:bottom w:val="single" w:sz="6" w:space="0" w:color="auto"/>
              <w:right w:val="nil"/>
            </w:tcBorders>
          </w:tcPr>
          <w:p w14:paraId="47D7FA84" w14:textId="77777777"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2.1 - no governance</w:t>
            </w:r>
          </w:p>
        </w:tc>
        <w:tc>
          <w:tcPr>
            <w:tcW w:w="1276" w:type="dxa"/>
            <w:tcBorders>
              <w:top w:val="nil"/>
              <w:left w:val="nil"/>
              <w:bottom w:val="single" w:sz="6" w:space="0" w:color="auto"/>
              <w:right w:val="nil"/>
            </w:tcBorders>
          </w:tcPr>
          <w:p w14:paraId="43B28361" w14:textId="77777777"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2.1 - no missings</w:t>
            </w:r>
          </w:p>
        </w:tc>
        <w:tc>
          <w:tcPr>
            <w:tcW w:w="1276" w:type="dxa"/>
            <w:tcBorders>
              <w:top w:val="nil"/>
              <w:left w:val="nil"/>
              <w:bottom w:val="single" w:sz="6" w:space="0" w:color="auto"/>
              <w:right w:val="nil"/>
            </w:tcBorders>
          </w:tcPr>
          <w:p w14:paraId="3266E985" w14:textId="5EE03A2A"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2.1 - EPS</w:t>
            </w:r>
            <w:r w:rsidR="002D0C71" w:rsidRPr="00CF3C36">
              <w:rPr>
                <w:rFonts w:ascii="Times New Roman" w:hAnsi="Times New Roman" w:cs="Times New Roman"/>
                <w:sz w:val="18"/>
                <w:szCs w:val="18"/>
                <w:lang w:val="en-GB"/>
              </w:rPr>
              <w:t>I</w:t>
            </w:r>
          </w:p>
        </w:tc>
      </w:tr>
      <w:tr w:rsidR="00C81704" w:rsidRPr="00CF3C36" w14:paraId="119368D3" w14:textId="77777777" w:rsidTr="007F7204">
        <w:trPr>
          <w:jc w:val="center"/>
        </w:trPr>
        <w:tc>
          <w:tcPr>
            <w:tcW w:w="1701" w:type="dxa"/>
            <w:tcBorders>
              <w:top w:val="nil"/>
              <w:left w:val="nil"/>
              <w:bottom w:val="nil"/>
              <w:right w:val="nil"/>
            </w:tcBorders>
          </w:tcPr>
          <w:p w14:paraId="357240BE" w14:textId="77777777" w:rsidR="00C81704" w:rsidRPr="00CF3C36" w:rsidRDefault="00C81704" w:rsidP="00446374">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7B2A812D" w14:textId="77777777"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28AA987B" w14:textId="77777777"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33A86759" w14:textId="77777777"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5E9191CE" w14:textId="77777777"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C81704" w:rsidRPr="00CF3C36" w14:paraId="061D0CA2" w14:textId="77777777" w:rsidTr="007F7204">
        <w:trPr>
          <w:jc w:val="center"/>
        </w:trPr>
        <w:tc>
          <w:tcPr>
            <w:tcW w:w="1701" w:type="dxa"/>
            <w:tcBorders>
              <w:top w:val="nil"/>
              <w:left w:val="nil"/>
              <w:bottom w:val="nil"/>
              <w:right w:val="nil"/>
            </w:tcBorders>
          </w:tcPr>
          <w:p w14:paraId="5F292A16" w14:textId="77777777" w:rsidR="00C81704" w:rsidRPr="00CF3C36" w:rsidRDefault="00C81704" w:rsidP="00446374">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w:t>
            </w:r>
          </w:p>
        </w:tc>
        <w:tc>
          <w:tcPr>
            <w:tcW w:w="1134" w:type="dxa"/>
            <w:tcBorders>
              <w:top w:val="nil"/>
              <w:left w:val="nil"/>
              <w:bottom w:val="nil"/>
              <w:right w:val="nil"/>
            </w:tcBorders>
          </w:tcPr>
          <w:p w14:paraId="49407A1D" w14:textId="77777777"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0.0246</w:t>
            </w:r>
          </w:p>
        </w:tc>
        <w:tc>
          <w:tcPr>
            <w:tcW w:w="1276" w:type="dxa"/>
            <w:tcBorders>
              <w:top w:val="nil"/>
              <w:left w:val="nil"/>
              <w:bottom w:val="nil"/>
              <w:right w:val="nil"/>
            </w:tcBorders>
          </w:tcPr>
          <w:p w14:paraId="4999887F" w14:textId="77777777"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0.0106</w:t>
            </w:r>
          </w:p>
        </w:tc>
        <w:tc>
          <w:tcPr>
            <w:tcW w:w="1276" w:type="dxa"/>
            <w:tcBorders>
              <w:top w:val="nil"/>
              <w:left w:val="nil"/>
              <w:bottom w:val="nil"/>
              <w:right w:val="nil"/>
            </w:tcBorders>
          </w:tcPr>
          <w:p w14:paraId="22164170" w14:textId="77777777"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-0.0285</w:t>
            </w:r>
          </w:p>
        </w:tc>
        <w:tc>
          <w:tcPr>
            <w:tcW w:w="1276" w:type="dxa"/>
            <w:tcBorders>
              <w:top w:val="nil"/>
              <w:left w:val="nil"/>
              <w:bottom w:val="nil"/>
              <w:right w:val="nil"/>
            </w:tcBorders>
          </w:tcPr>
          <w:p w14:paraId="4AD91C3C" w14:textId="77777777"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C81704" w:rsidRPr="00CF3C36" w14:paraId="5105E5D9" w14:textId="77777777" w:rsidTr="007F7204">
        <w:trPr>
          <w:jc w:val="center"/>
        </w:trPr>
        <w:tc>
          <w:tcPr>
            <w:tcW w:w="1701" w:type="dxa"/>
            <w:tcBorders>
              <w:top w:val="nil"/>
              <w:left w:val="nil"/>
              <w:bottom w:val="nil"/>
              <w:right w:val="nil"/>
            </w:tcBorders>
          </w:tcPr>
          <w:p w14:paraId="237A465F" w14:textId="77777777" w:rsidR="00C81704" w:rsidRPr="00CF3C36" w:rsidRDefault="00C81704" w:rsidP="00446374">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24EA61BC" w14:textId="77777777"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(0.0562)</w:t>
            </w:r>
          </w:p>
        </w:tc>
        <w:tc>
          <w:tcPr>
            <w:tcW w:w="1276" w:type="dxa"/>
            <w:tcBorders>
              <w:top w:val="nil"/>
              <w:left w:val="nil"/>
              <w:bottom w:val="nil"/>
              <w:right w:val="nil"/>
            </w:tcBorders>
          </w:tcPr>
          <w:p w14:paraId="4EB43E1D" w14:textId="77777777"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(0.0216)</w:t>
            </w:r>
          </w:p>
        </w:tc>
        <w:tc>
          <w:tcPr>
            <w:tcW w:w="1276" w:type="dxa"/>
            <w:tcBorders>
              <w:top w:val="nil"/>
              <w:left w:val="nil"/>
              <w:bottom w:val="nil"/>
              <w:right w:val="nil"/>
            </w:tcBorders>
          </w:tcPr>
          <w:p w14:paraId="73BFD00C" w14:textId="77777777"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(0.147)</w:t>
            </w:r>
          </w:p>
        </w:tc>
        <w:tc>
          <w:tcPr>
            <w:tcW w:w="1276" w:type="dxa"/>
            <w:tcBorders>
              <w:top w:val="nil"/>
              <w:left w:val="nil"/>
              <w:bottom w:val="nil"/>
              <w:right w:val="nil"/>
            </w:tcBorders>
          </w:tcPr>
          <w:p w14:paraId="209D63AF" w14:textId="77777777" w:rsidR="00C81704" w:rsidRPr="00CF3C36" w:rsidRDefault="00C81704"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E32C4F" w:rsidRPr="00CF3C36" w14:paraId="3F63E139" w14:textId="77777777" w:rsidTr="007F7204">
        <w:trPr>
          <w:jc w:val="center"/>
        </w:trPr>
        <w:tc>
          <w:tcPr>
            <w:tcW w:w="1701" w:type="dxa"/>
            <w:tcBorders>
              <w:top w:val="nil"/>
              <w:left w:val="nil"/>
              <w:bottom w:val="nil"/>
              <w:right w:val="nil"/>
            </w:tcBorders>
          </w:tcPr>
          <w:p w14:paraId="6A4F954A"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ln_rgdpna</w:t>
            </w:r>
          </w:p>
        </w:tc>
        <w:tc>
          <w:tcPr>
            <w:tcW w:w="1134" w:type="dxa"/>
            <w:tcBorders>
              <w:top w:val="nil"/>
              <w:left w:val="nil"/>
              <w:bottom w:val="nil"/>
              <w:right w:val="nil"/>
            </w:tcBorders>
          </w:tcPr>
          <w:p w14:paraId="0A1F2176"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-2.558**</w:t>
            </w:r>
          </w:p>
        </w:tc>
        <w:tc>
          <w:tcPr>
            <w:tcW w:w="1276" w:type="dxa"/>
            <w:tcBorders>
              <w:top w:val="nil"/>
              <w:left w:val="nil"/>
              <w:bottom w:val="nil"/>
              <w:right w:val="nil"/>
            </w:tcBorders>
          </w:tcPr>
          <w:p w14:paraId="67535CB8"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-2.848***</w:t>
            </w:r>
          </w:p>
        </w:tc>
        <w:tc>
          <w:tcPr>
            <w:tcW w:w="1276" w:type="dxa"/>
            <w:tcBorders>
              <w:top w:val="nil"/>
              <w:left w:val="nil"/>
              <w:bottom w:val="nil"/>
              <w:right w:val="nil"/>
            </w:tcBorders>
          </w:tcPr>
          <w:p w14:paraId="0418E92C"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-2.515*</w:t>
            </w:r>
          </w:p>
        </w:tc>
        <w:tc>
          <w:tcPr>
            <w:tcW w:w="1276" w:type="dxa"/>
            <w:tcBorders>
              <w:top w:val="nil"/>
              <w:left w:val="nil"/>
              <w:bottom w:val="nil"/>
              <w:right w:val="nil"/>
            </w:tcBorders>
          </w:tcPr>
          <w:p w14:paraId="4AB5E6CB" w14:textId="7A353DD5"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-9.946*</w:t>
            </w:r>
          </w:p>
        </w:tc>
      </w:tr>
      <w:tr w:rsidR="00E32C4F" w:rsidRPr="00CF3C36" w14:paraId="5FBDE819" w14:textId="77777777" w:rsidTr="007F7204">
        <w:trPr>
          <w:jc w:val="center"/>
        </w:trPr>
        <w:tc>
          <w:tcPr>
            <w:tcW w:w="1701" w:type="dxa"/>
            <w:tcBorders>
              <w:top w:val="nil"/>
              <w:left w:val="nil"/>
              <w:bottom w:val="nil"/>
              <w:right w:val="nil"/>
            </w:tcBorders>
          </w:tcPr>
          <w:p w14:paraId="75C41BA0"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7F64B3BF"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(0.687)</w:t>
            </w:r>
          </w:p>
        </w:tc>
        <w:tc>
          <w:tcPr>
            <w:tcW w:w="1276" w:type="dxa"/>
            <w:tcBorders>
              <w:top w:val="nil"/>
              <w:left w:val="nil"/>
              <w:bottom w:val="nil"/>
              <w:right w:val="nil"/>
            </w:tcBorders>
          </w:tcPr>
          <w:p w14:paraId="55509282"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(0.713)</w:t>
            </w:r>
          </w:p>
        </w:tc>
        <w:tc>
          <w:tcPr>
            <w:tcW w:w="1276" w:type="dxa"/>
            <w:tcBorders>
              <w:top w:val="nil"/>
              <w:left w:val="nil"/>
              <w:bottom w:val="nil"/>
              <w:right w:val="nil"/>
            </w:tcBorders>
          </w:tcPr>
          <w:p w14:paraId="0F116344"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(1.109)</w:t>
            </w:r>
          </w:p>
        </w:tc>
        <w:tc>
          <w:tcPr>
            <w:tcW w:w="1276" w:type="dxa"/>
            <w:tcBorders>
              <w:top w:val="nil"/>
              <w:left w:val="nil"/>
              <w:bottom w:val="nil"/>
              <w:right w:val="nil"/>
            </w:tcBorders>
          </w:tcPr>
          <w:p w14:paraId="2919D99B" w14:textId="67920A1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(4.975)</w:t>
            </w:r>
          </w:p>
        </w:tc>
      </w:tr>
      <w:tr w:rsidR="00E32C4F" w:rsidRPr="00CF3C36" w14:paraId="00692ACC" w14:textId="77777777" w:rsidTr="007F7204">
        <w:trPr>
          <w:jc w:val="center"/>
        </w:trPr>
        <w:tc>
          <w:tcPr>
            <w:tcW w:w="1701" w:type="dxa"/>
            <w:tcBorders>
              <w:top w:val="nil"/>
              <w:left w:val="nil"/>
              <w:bottom w:val="nil"/>
              <w:right w:val="nil"/>
            </w:tcBorders>
          </w:tcPr>
          <w:p w14:paraId="137DEA4A"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SE_terX</w:t>
            </w:r>
          </w:p>
        </w:tc>
        <w:tc>
          <w:tcPr>
            <w:tcW w:w="1134" w:type="dxa"/>
            <w:tcBorders>
              <w:top w:val="nil"/>
              <w:left w:val="nil"/>
              <w:bottom w:val="nil"/>
              <w:right w:val="nil"/>
            </w:tcBorders>
          </w:tcPr>
          <w:p w14:paraId="6091DF3D"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-0.0523***</w:t>
            </w:r>
          </w:p>
        </w:tc>
        <w:tc>
          <w:tcPr>
            <w:tcW w:w="1276" w:type="dxa"/>
            <w:tcBorders>
              <w:top w:val="nil"/>
              <w:left w:val="nil"/>
              <w:bottom w:val="nil"/>
              <w:right w:val="nil"/>
            </w:tcBorders>
          </w:tcPr>
          <w:p w14:paraId="572E1681"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-0.0294**</w:t>
            </w:r>
          </w:p>
        </w:tc>
        <w:tc>
          <w:tcPr>
            <w:tcW w:w="1276" w:type="dxa"/>
            <w:tcBorders>
              <w:top w:val="nil"/>
              <w:left w:val="nil"/>
              <w:bottom w:val="nil"/>
              <w:right w:val="nil"/>
            </w:tcBorders>
          </w:tcPr>
          <w:p w14:paraId="1E22298F"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-0.00614</w:t>
            </w:r>
          </w:p>
        </w:tc>
        <w:tc>
          <w:tcPr>
            <w:tcW w:w="1276" w:type="dxa"/>
            <w:tcBorders>
              <w:top w:val="nil"/>
              <w:left w:val="nil"/>
              <w:bottom w:val="nil"/>
              <w:right w:val="nil"/>
            </w:tcBorders>
          </w:tcPr>
          <w:p w14:paraId="1FA10C7F" w14:textId="6899FBFB"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-0.00542</w:t>
            </w:r>
          </w:p>
        </w:tc>
      </w:tr>
      <w:tr w:rsidR="00E32C4F" w:rsidRPr="00CF3C36" w14:paraId="07D3350E" w14:textId="77777777" w:rsidTr="007F7204">
        <w:trPr>
          <w:jc w:val="center"/>
        </w:trPr>
        <w:tc>
          <w:tcPr>
            <w:tcW w:w="1701" w:type="dxa"/>
            <w:tcBorders>
              <w:top w:val="nil"/>
              <w:left w:val="nil"/>
              <w:bottom w:val="nil"/>
              <w:right w:val="nil"/>
            </w:tcBorders>
          </w:tcPr>
          <w:p w14:paraId="5D9B9299"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3453E428"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(0.00564)</w:t>
            </w:r>
          </w:p>
        </w:tc>
        <w:tc>
          <w:tcPr>
            <w:tcW w:w="1276" w:type="dxa"/>
            <w:tcBorders>
              <w:top w:val="nil"/>
              <w:left w:val="nil"/>
              <w:bottom w:val="nil"/>
              <w:right w:val="nil"/>
            </w:tcBorders>
          </w:tcPr>
          <w:p w14:paraId="11649BF7"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(0.00961)</w:t>
            </w:r>
          </w:p>
        </w:tc>
        <w:tc>
          <w:tcPr>
            <w:tcW w:w="1276" w:type="dxa"/>
            <w:tcBorders>
              <w:top w:val="nil"/>
              <w:left w:val="nil"/>
              <w:bottom w:val="nil"/>
              <w:right w:val="nil"/>
            </w:tcBorders>
          </w:tcPr>
          <w:p w14:paraId="5BC00681"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(0.0158)</w:t>
            </w:r>
          </w:p>
        </w:tc>
        <w:tc>
          <w:tcPr>
            <w:tcW w:w="1276" w:type="dxa"/>
            <w:tcBorders>
              <w:top w:val="nil"/>
              <w:left w:val="nil"/>
              <w:bottom w:val="nil"/>
              <w:right w:val="nil"/>
            </w:tcBorders>
          </w:tcPr>
          <w:p w14:paraId="70C67068" w14:textId="7664AE09"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(0.00657)</w:t>
            </w:r>
          </w:p>
        </w:tc>
      </w:tr>
      <w:tr w:rsidR="00E32C4F" w:rsidRPr="00CF3C36" w14:paraId="64523DDA" w14:textId="77777777" w:rsidTr="007F7204">
        <w:trPr>
          <w:jc w:val="center"/>
        </w:trPr>
        <w:tc>
          <w:tcPr>
            <w:tcW w:w="1701" w:type="dxa"/>
            <w:tcBorders>
              <w:top w:val="nil"/>
              <w:left w:val="nil"/>
              <w:bottom w:val="nil"/>
              <w:right w:val="nil"/>
            </w:tcBorders>
          </w:tcPr>
          <w:p w14:paraId="4CA70385"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eodb1</w:t>
            </w:r>
          </w:p>
        </w:tc>
        <w:tc>
          <w:tcPr>
            <w:tcW w:w="1134" w:type="dxa"/>
            <w:tcBorders>
              <w:top w:val="nil"/>
              <w:left w:val="nil"/>
              <w:bottom w:val="nil"/>
              <w:right w:val="nil"/>
            </w:tcBorders>
          </w:tcPr>
          <w:p w14:paraId="3E3EF050"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0.0320</w:t>
            </w:r>
          </w:p>
        </w:tc>
        <w:tc>
          <w:tcPr>
            <w:tcW w:w="1276" w:type="dxa"/>
            <w:tcBorders>
              <w:top w:val="nil"/>
              <w:left w:val="nil"/>
              <w:bottom w:val="nil"/>
              <w:right w:val="nil"/>
            </w:tcBorders>
          </w:tcPr>
          <w:p w14:paraId="0F961597"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-0.0398</w:t>
            </w:r>
          </w:p>
        </w:tc>
        <w:tc>
          <w:tcPr>
            <w:tcW w:w="1276" w:type="dxa"/>
            <w:tcBorders>
              <w:top w:val="nil"/>
              <w:left w:val="nil"/>
              <w:bottom w:val="nil"/>
              <w:right w:val="nil"/>
            </w:tcBorders>
          </w:tcPr>
          <w:p w14:paraId="0BC7043F"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-0.167**</w:t>
            </w:r>
          </w:p>
        </w:tc>
        <w:tc>
          <w:tcPr>
            <w:tcW w:w="1276" w:type="dxa"/>
            <w:tcBorders>
              <w:top w:val="nil"/>
              <w:left w:val="nil"/>
              <w:bottom w:val="nil"/>
              <w:right w:val="nil"/>
            </w:tcBorders>
          </w:tcPr>
          <w:p w14:paraId="6CFA95D0" w14:textId="0F759804"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-0.132</w:t>
            </w:r>
          </w:p>
        </w:tc>
      </w:tr>
      <w:tr w:rsidR="00E32C4F" w:rsidRPr="00CF3C36" w14:paraId="3AEE68A6" w14:textId="77777777" w:rsidTr="007F7204">
        <w:trPr>
          <w:jc w:val="center"/>
        </w:trPr>
        <w:tc>
          <w:tcPr>
            <w:tcW w:w="1701" w:type="dxa"/>
            <w:tcBorders>
              <w:top w:val="nil"/>
              <w:left w:val="nil"/>
              <w:bottom w:val="nil"/>
              <w:right w:val="nil"/>
            </w:tcBorders>
          </w:tcPr>
          <w:p w14:paraId="421BC69C"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3E9F3686"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(0.0246)</w:t>
            </w:r>
          </w:p>
        </w:tc>
        <w:tc>
          <w:tcPr>
            <w:tcW w:w="1276" w:type="dxa"/>
            <w:tcBorders>
              <w:top w:val="nil"/>
              <w:left w:val="nil"/>
              <w:bottom w:val="nil"/>
              <w:right w:val="nil"/>
            </w:tcBorders>
          </w:tcPr>
          <w:p w14:paraId="7CFB8313"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(0.0349)</w:t>
            </w:r>
          </w:p>
        </w:tc>
        <w:tc>
          <w:tcPr>
            <w:tcW w:w="1276" w:type="dxa"/>
            <w:tcBorders>
              <w:top w:val="nil"/>
              <w:left w:val="nil"/>
              <w:bottom w:val="nil"/>
              <w:right w:val="nil"/>
            </w:tcBorders>
          </w:tcPr>
          <w:p w14:paraId="57E06C48"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(0.0543)</w:t>
            </w:r>
          </w:p>
        </w:tc>
        <w:tc>
          <w:tcPr>
            <w:tcW w:w="1276" w:type="dxa"/>
            <w:tcBorders>
              <w:top w:val="nil"/>
              <w:left w:val="nil"/>
              <w:bottom w:val="nil"/>
              <w:right w:val="nil"/>
            </w:tcBorders>
          </w:tcPr>
          <w:p w14:paraId="57A6F413" w14:textId="2D5597F6"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(0.116)</w:t>
            </w:r>
          </w:p>
        </w:tc>
      </w:tr>
      <w:tr w:rsidR="00E32C4F" w:rsidRPr="00CF3C36" w14:paraId="62EFAF9B" w14:textId="77777777" w:rsidTr="007F7204">
        <w:trPr>
          <w:jc w:val="center"/>
        </w:trPr>
        <w:tc>
          <w:tcPr>
            <w:tcW w:w="1701" w:type="dxa"/>
            <w:tcBorders>
              <w:top w:val="nil"/>
              <w:left w:val="nil"/>
              <w:bottom w:val="nil"/>
              <w:right w:val="nil"/>
            </w:tcBorders>
          </w:tcPr>
          <w:p w14:paraId="673189C9"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governance</w:t>
            </w:r>
          </w:p>
        </w:tc>
        <w:tc>
          <w:tcPr>
            <w:tcW w:w="1134" w:type="dxa"/>
            <w:tcBorders>
              <w:top w:val="nil"/>
              <w:left w:val="nil"/>
              <w:bottom w:val="nil"/>
              <w:right w:val="nil"/>
            </w:tcBorders>
          </w:tcPr>
          <w:p w14:paraId="727FC9EB"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-0.274</w:t>
            </w:r>
          </w:p>
        </w:tc>
        <w:tc>
          <w:tcPr>
            <w:tcW w:w="1276" w:type="dxa"/>
            <w:tcBorders>
              <w:top w:val="nil"/>
              <w:left w:val="nil"/>
              <w:bottom w:val="nil"/>
              <w:right w:val="nil"/>
            </w:tcBorders>
          </w:tcPr>
          <w:p w14:paraId="2B723DC6"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58B8A314"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0.499</w:t>
            </w:r>
          </w:p>
        </w:tc>
        <w:tc>
          <w:tcPr>
            <w:tcW w:w="1276" w:type="dxa"/>
            <w:tcBorders>
              <w:top w:val="nil"/>
              <w:left w:val="nil"/>
              <w:bottom w:val="nil"/>
              <w:right w:val="nil"/>
            </w:tcBorders>
          </w:tcPr>
          <w:p w14:paraId="3E55216A" w14:textId="47B38F49"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-1.412</w:t>
            </w:r>
          </w:p>
        </w:tc>
      </w:tr>
      <w:tr w:rsidR="00E32C4F" w:rsidRPr="00CF3C36" w14:paraId="5287DDDB" w14:textId="77777777" w:rsidTr="007F7204">
        <w:trPr>
          <w:jc w:val="center"/>
        </w:trPr>
        <w:tc>
          <w:tcPr>
            <w:tcW w:w="1701" w:type="dxa"/>
            <w:tcBorders>
              <w:top w:val="nil"/>
              <w:left w:val="nil"/>
              <w:bottom w:val="nil"/>
              <w:right w:val="nil"/>
            </w:tcBorders>
          </w:tcPr>
          <w:p w14:paraId="2030ADD2"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068902F8"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(0.281)</w:t>
            </w:r>
          </w:p>
        </w:tc>
        <w:tc>
          <w:tcPr>
            <w:tcW w:w="1276" w:type="dxa"/>
            <w:tcBorders>
              <w:top w:val="nil"/>
              <w:left w:val="nil"/>
              <w:bottom w:val="nil"/>
              <w:right w:val="nil"/>
            </w:tcBorders>
          </w:tcPr>
          <w:p w14:paraId="5143A7FA"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2B901164"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(0.859)</w:t>
            </w:r>
          </w:p>
        </w:tc>
        <w:tc>
          <w:tcPr>
            <w:tcW w:w="1276" w:type="dxa"/>
            <w:tcBorders>
              <w:top w:val="nil"/>
              <w:left w:val="nil"/>
              <w:bottom w:val="nil"/>
              <w:right w:val="nil"/>
            </w:tcBorders>
          </w:tcPr>
          <w:p w14:paraId="50F7EE90" w14:textId="4E8CB1F8"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(0.751)</w:t>
            </w:r>
          </w:p>
        </w:tc>
      </w:tr>
      <w:tr w:rsidR="00E32C4F" w:rsidRPr="00CF3C36" w14:paraId="5DEBF314" w14:textId="77777777" w:rsidTr="007F7204">
        <w:trPr>
          <w:jc w:val="center"/>
        </w:trPr>
        <w:tc>
          <w:tcPr>
            <w:tcW w:w="1701" w:type="dxa"/>
            <w:tcBorders>
              <w:top w:val="nil"/>
              <w:left w:val="nil"/>
              <w:bottom w:val="nil"/>
              <w:right w:val="nil"/>
            </w:tcBorders>
          </w:tcPr>
          <w:p w14:paraId="415708B4"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ln_KL</w:t>
            </w:r>
          </w:p>
        </w:tc>
        <w:tc>
          <w:tcPr>
            <w:tcW w:w="1134" w:type="dxa"/>
            <w:tcBorders>
              <w:top w:val="nil"/>
              <w:left w:val="nil"/>
              <w:bottom w:val="nil"/>
              <w:right w:val="nil"/>
            </w:tcBorders>
          </w:tcPr>
          <w:p w14:paraId="42F5BBAE"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-0.785</w:t>
            </w:r>
          </w:p>
        </w:tc>
        <w:tc>
          <w:tcPr>
            <w:tcW w:w="1276" w:type="dxa"/>
            <w:tcBorders>
              <w:top w:val="nil"/>
              <w:left w:val="nil"/>
              <w:bottom w:val="nil"/>
              <w:right w:val="nil"/>
            </w:tcBorders>
          </w:tcPr>
          <w:p w14:paraId="682DD754"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2.051</w:t>
            </w:r>
          </w:p>
        </w:tc>
        <w:tc>
          <w:tcPr>
            <w:tcW w:w="1276" w:type="dxa"/>
            <w:tcBorders>
              <w:top w:val="nil"/>
              <w:left w:val="nil"/>
              <w:bottom w:val="nil"/>
              <w:right w:val="nil"/>
            </w:tcBorders>
          </w:tcPr>
          <w:p w14:paraId="41AA988B"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1.846</w:t>
            </w:r>
          </w:p>
        </w:tc>
        <w:tc>
          <w:tcPr>
            <w:tcW w:w="1276" w:type="dxa"/>
            <w:tcBorders>
              <w:top w:val="nil"/>
              <w:left w:val="nil"/>
              <w:bottom w:val="nil"/>
              <w:right w:val="nil"/>
            </w:tcBorders>
          </w:tcPr>
          <w:p w14:paraId="48AADCF8" w14:textId="069457C1"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9.916</w:t>
            </w:r>
          </w:p>
        </w:tc>
      </w:tr>
      <w:tr w:rsidR="00E32C4F" w:rsidRPr="00CF3C36" w14:paraId="57650CF1" w14:textId="77777777" w:rsidTr="007F7204">
        <w:trPr>
          <w:jc w:val="center"/>
        </w:trPr>
        <w:tc>
          <w:tcPr>
            <w:tcW w:w="1701" w:type="dxa"/>
            <w:tcBorders>
              <w:top w:val="nil"/>
              <w:left w:val="nil"/>
              <w:bottom w:val="nil"/>
              <w:right w:val="nil"/>
            </w:tcBorders>
          </w:tcPr>
          <w:p w14:paraId="3FD93011"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0A15C1F0"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(0.974)</w:t>
            </w:r>
          </w:p>
        </w:tc>
        <w:tc>
          <w:tcPr>
            <w:tcW w:w="1276" w:type="dxa"/>
            <w:tcBorders>
              <w:top w:val="nil"/>
              <w:left w:val="nil"/>
              <w:bottom w:val="nil"/>
              <w:right w:val="nil"/>
            </w:tcBorders>
          </w:tcPr>
          <w:p w14:paraId="7FBDCBC8"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(1.271)</w:t>
            </w:r>
          </w:p>
        </w:tc>
        <w:tc>
          <w:tcPr>
            <w:tcW w:w="1276" w:type="dxa"/>
            <w:tcBorders>
              <w:top w:val="nil"/>
              <w:left w:val="nil"/>
              <w:bottom w:val="nil"/>
              <w:right w:val="nil"/>
            </w:tcBorders>
          </w:tcPr>
          <w:p w14:paraId="2F3FAF51"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(2.412)</w:t>
            </w:r>
          </w:p>
        </w:tc>
        <w:tc>
          <w:tcPr>
            <w:tcW w:w="1276" w:type="dxa"/>
            <w:tcBorders>
              <w:top w:val="nil"/>
              <w:left w:val="nil"/>
              <w:bottom w:val="nil"/>
              <w:right w:val="nil"/>
            </w:tcBorders>
          </w:tcPr>
          <w:p w14:paraId="3935936A" w14:textId="03F746BB"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(20.11)</w:t>
            </w:r>
          </w:p>
        </w:tc>
      </w:tr>
      <w:tr w:rsidR="00E32C4F" w:rsidRPr="00CF3C36" w14:paraId="57B2DEA6" w14:textId="77777777" w:rsidTr="007F7204">
        <w:trPr>
          <w:jc w:val="center"/>
        </w:trPr>
        <w:tc>
          <w:tcPr>
            <w:tcW w:w="1701" w:type="dxa"/>
            <w:tcBorders>
              <w:top w:val="nil"/>
              <w:left w:val="nil"/>
              <w:bottom w:val="nil"/>
              <w:right w:val="nil"/>
            </w:tcBorders>
          </w:tcPr>
          <w:p w14:paraId="5AAE65AC"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ln_KL_2</w:t>
            </w:r>
          </w:p>
        </w:tc>
        <w:tc>
          <w:tcPr>
            <w:tcW w:w="1134" w:type="dxa"/>
            <w:tcBorders>
              <w:top w:val="nil"/>
              <w:left w:val="nil"/>
              <w:bottom w:val="nil"/>
              <w:right w:val="nil"/>
            </w:tcBorders>
          </w:tcPr>
          <w:p w14:paraId="6F7F5571"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-0.225</w:t>
            </w:r>
          </w:p>
        </w:tc>
        <w:tc>
          <w:tcPr>
            <w:tcW w:w="1276" w:type="dxa"/>
            <w:tcBorders>
              <w:top w:val="nil"/>
              <w:left w:val="nil"/>
              <w:bottom w:val="nil"/>
              <w:right w:val="nil"/>
            </w:tcBorders>
          </w:tcPr>
          <w:p w14:paraId="02FDC7B7"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-0.407**</w:t>
            </w:r>
          </w:p>
        </w:tc>
        <w:tc>
          <w:tcPr>
            <w:tcW w:w="1276" w:type="dxa"/>
            <w:tcBorders>
              <w:top w:val="nil"/>
              <w:left w:val="nil"/>
              <w:bottom w:val="nil"/>
              <w:right w:val="nil"/>
            </w:tcBorders>
          </w:tcPr>
          <w:p w14:paraId="5CE36E1A"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-0.429**</w:t>
            </w:r>
          </w:p>
        </w:tc>
        <w:tc>
          <w:tcPr>
            <w:tcW w:w="1276" w:type="dxa"/>
            <w:tcBorders>
              <w:top w:val="nil"/>
              <w:left w:val="nil"/>
              <w:bottom w:val="nil"/>
              <w:right w:val="nil"/>
            </w:tcBorders>
          </w:tcPr>
          <w:p w14:paraId="1C03C540" w14:textId="40612F94"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-1.209</w:t>
            </w:r>
          </w:p>
        </w:tc>
      </w:tr>
      <w:tr w:rsidR="00E32C4F" w:rsidRPr="00CF3C36" w14:paraId="2E9CE383" w14:textId="77777777" w:rsidTr="007F7204">
        <w:trPr>
          <w:jc w:val="center"/>
        </w:trPr>
        <w:tc>
          <w:tcPr>
            <w:tcW w:w="1701" w:type="dxa"/>
            <w:tcBorders>
              <w:top w:val="nil"/>
              <w:left w:val="nil"/>
              <w:bottom w:val="nil"/>
              <w:right w:val="nil"/>
            </w:tcBorders>
          </w:tcPr>
          <w:p w14:paraId="04145B34"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1BFB85A7"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(0.116)</w:t>
            </w:r>
          </w:p>
        </w:tc>
        <w:tc>
          <w:tcPr>
            <w:tcW w:w="1276" w:type="dxa"/>
            <w:tcBorders>
              <w:top w:val="nil"/>
              <w:left w:val="nil"/>
              <w:bottom w:val="nil"/>
              <w:right w:val="nil"/>
            </w:tcBorders>
          </w:tcPr>
          <w:p w14:paraId="1B430E25"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(0.126)</w:t>
            </w:r>
          </w:p>
        </w:tc>
        <w:tc>
          <w:tcPr>
            <w:tcW w:w="1276" w:type="dxa"/>
            <w:tcBorders>
              <w:top w:val="nil"/>
              <w:left w:val="nil"/>
              <w:bottom w:val="nil"/>
              <w:right w:val="nil"/>
            </w:tcBorders>
          </w:tcPr>
          <w:p w14:paraId="768256F0"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(0.156)</w:t>
            </w:r>
          </w:p>
        </w:tc>
        <w:tc>
          <w:tcPr>
            <w:tcW w:w="1276" w:type="dxa"/>
            <w:tcBorders>
              <w:top w:val="nil"/>
              <w:left w:val="nil"/>
              <w:bottom w:val="nil"/>
              <w:right w:val="nil"/>
            </w:tcBorders>
          </w:tcPr>
          <w:p w14:paraId="014E298E" w14:textId="6B6B0AB8"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(1.817)</w:t>
            </w:r>
          </w:p>
        </w:tc>
      </w:tr>
      <w:tr w:rsidR="00E32C4F" w:rsidRPr="00CF3C36" w14:paraId="3053BC28" w14:textId="77777777" w:rsidTr="007F7204">
        <w:trPr>
          <w:jc w:val="center"/>
        </w:trPr>
        <w:tc>
          <w:tcPr>
            <w:tcW w:w="1701" w:type="dxa"/>
            <w:tcBorders>
              <w:top w:val="nil"/>
              <w:left w:val="nil"/>
              <w:bottom w:val="nil"/>
              <w:right w:val="nil"/>
            </w:tcBorders>
          </w:tcPr>
          <w:p w14:paraId="53D0D189"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EPI_ln_KL_cen</w:t>
            </w:r>
          </w:p>
        </w:tc>
        <w:tc>
          <w:tcPr>
            <w:tcW w:w="1134" w:type="dxa"/>
            <w:tcBorders>
              <w:top w:val="nil"/>
              <w:left w:val="nil"/>
              <w:bottom w:val="nil"/>
              <w:right w:val="nil"/>
            </w:tcBorders>
          </w:tcPr>
          <w:p w14:paraId="0D035BE9"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0.130</w:t>
            </w:r>
          </w:p>
        </w:tc>
        <w:tc>
          <w:tcPr>
            <w:tcW w:w="1276" w:type="dxa"/>
            <w:tcBorders>
              <w:top w:val="nil"/>
              <w:left w:val="nil"/>
              <w:bottom w:val="nil"/>
              <w:right w:val="nil"/>
            </w:tcBorders>
          </w:tcPr>
          <w:p w14:paraId="54E9C16D"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0.217</w:t>
            </w:r>
          </w:p>
        </w:tc>
        <w:tc>
          <w:tcPr>
            <w:tcW w:w="1276" w:type="dxa"/>
            <w:tcBorders>
              <w:top w:val="nil"/>
              <w:left w:val="nil"/>
              <w:bottom w:val="nil"/>
              <w:right w:val="nil"/>
            </w:tcBorders>
          </w:tcPr>
          <w:p w14:paraId="26AE4CE3"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0.372</w:t>
            </w:r>
          </w:p>
        </w:tc>
        <w:tc>
          <w:tcPr>
            <w:tcW w:w="1276" w:type="dxa"/>
            <w:tcBorders>
              <w:top w:val="nil"/>
              <w:left w:val="nil"/>
              <w:bottom w:val="nil"/>
              <w:right w:val="nil"/>
            </w:tcBorders>
          </w:tcPr>
          <w:p w14:paraId="07C87596" w14:textId="48F0CFC4"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E32C4F" w:rsidRPr="00CF3C36" w14:paraId="0744B9A7" w14:textId="77777777" w:rsidTr="007F7204">
        <w:trPr>
          <w:jc w:val="center"/>
        </w:trPr>
        <w:tc>
          <w:tcPr>
            <w:tcW w:w="1701" w:type="dxa"/>
            <w:tcBorders>
              <w:top w:val="nil"/>
              <w:left w:val="nil"/>
              <w:bottom w:val="nil"/>
              <w:right w:val="nil"/>
            </w:tcBorders>
          </w:tcPr>
          <w:p w14:paraId="17661B02"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4326D259"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(0.0871)</w:t>
            </w:r>
          </w:p>
        </w:tc>
        <w:tc>
          <w:tcPr>
            <w:tcW w:w="1276" w:type="dxa"/>
            <w:tcBorders>
              <w:top w:val="nil"/>
              <w:left w:val="nil"/>
              <w:bottom w:val="nil"/>
              <w:right w:val="nil"/>
            </w:tcBorders>
          </w:tcPr>
          <w:p w14:paraId="43608A22"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(0.138)</w:t>
            </w:r>
          </w:p>
        </w:tc>
        <w:tc>
          <w:tcPr>
            <w:tcW w:w="1276" w:type="dxa"/>
            <w:tcBorders>
              <w:top w:val="nil"/>
              <w:left w:val="nil"/>
              <w:bottom w:val="nil"/>
              <w:right w:val="nil"/>
            </w:tcBorders>
          </w:tcPr>
          <w:p w14:paraId="69A0001C"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(0.524)</w:t>
            </w:r>
          </w:p>
        </w:tc>
        <w:tc>
          <w:tcPr>
            <w:tcW w:w="1276" w:type="dxa"/>
            <w:tcBorders>
              <w:top w:val="nil"/>
              <w:left w:val="nil"/>
              <w:bottom w:val="nil"/>
              <w:right w:val="nil"/>
            </w:tcBorders>
          </w:tcPr>
          <w:p w14:paraId="3A311022" w14:textId="595F6E3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E32C4F" w:rsidRPr="00CF3C36" w14:paraId="62D58DA0" w14:textId="77777777" w:rsidTr="007F7204">
        <w:trPr>
          <w:jc w:val="center"/>
        </w:trPr>
        <w:tc>
          <w:tcPr>
            <w:tcW w:w="1701" w:type="dxa"/>
            <w:tcBorders>
              <w:top w:val="nil"/>
              <w:left w:val="nil"/>
              <w:bottom w:val="nil"/>
              <w:right w:val="nil"/>
            </w:tcBorders>
          </w:tcPr>
          <w:p w14:paraId="7292F237"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EPI_ln_KL_2_cen</w:t>
            </w:r>
          </w:p>
        </w:tc>
        <w:tc>
          <w:tcPr>
            <w:tcW w:w="1134" w:type="dxa"/>
            <w:tcBorders>
              <w:top w:val="nil"/>
              <w:left w:val="nil"/>
              <w:bottom w:val="nil"/>
              <w:right w:val="nil"/>
            </w:tcBorders>
          </w:tcPr>
          <w:p w14:paraId="0A630AD1"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-0.0147</w:t>
            </w:r>
          </w:p>
        </w:tc>
        <w:tc>
          <w:tcPr>
            <w:tcW w:w="1276" w:type="dxa"/>
            <w:tcBorders>
              <w:top w:val="nil"/>
              <w:left w:val="nil"/>
              <w:bottom w:val="nil"/>
              <w:right w:val="nil"/>
            </w:tcBorders>
          </w:tcPr>
          <w:p w14:paraId="14A29785"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-0.0270</w:t>
            </w:r>
          </w:p>
        </w:tc>
        <w:tc>
          <w:tcPr>
            <w:tcW w:w="1276" w:type="dxa"/>
            <w:tcBorders>
              <w:top w:val="nil"/>
              <w:left w:val="nil"/>
              <w:bottom w:val="nil"/>
              <w:right w:val="nil"/>
            </w:tcBorders>
          </w:tcPr>
          <w:p w14:paraId="3C9B8782"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-0.0308</w:t>
            </w:r>
          </w:p>
        </w:tc>
        <w:tc>
          <w:tcPr>
            <w:tcW w:w="1276" w:type="dxa"/>
            <w:tcBorders>
              <w:top w:val="nil"/>
              <w:left w:val="nil"/>
              <w:bottom w:val="nil"/>
              <w:right w:val="nil"/>
            </w:tcBorders>
          </w:tcPr>
          <w:p w14:paraId="35AA56ED" w14:textId="3D140FEB"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E32C4F" w:rsidRPr="00CF3C36" w14:paraId="5096E52E" w14:textId="77777777" w:rsidTr="007F7204">
        <w:trPr>
          <w:jc w:val="center"/>
        </w:trPr>
        <w:tc>
          <w:tcPr>
            <w:tcW w:w="1701" w:type="dxa"/>
            <w:tcBorders>
              <w:top w:val="nil"/>
              <w:left w:val="nil"/>
              <w:bottom w:val="nil"/>
              <w:right w:val="nil"/>
            </w:tcBorders>
          </w:tcPr>
          <w:p w14:paraId="35A71090"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65332B31"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(0.00997)</w:t>
            </w:r>
          </w:p>
        </w:tc>
        <w:tc>
          <w:tcPr>
            <w:tcW w:w="1276" w:type="dxa"/>
            <w:tcBorders>
              <w:top w:val="nil"/>
              <w:left w:val="nil"/>
              <w:bottom w:val="nil"/>
              <w:right w:val="nil"/>
            </w:tcBorders>
          </w:tcPr>
          <w:p w14:paraId="770CF08E"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(0.0162)</w:t>
            </w:r>
          </w:p>
        </w:tc>
        <w:tc>
          <w:tcPr>
            <w:tcW w:w="1276" w:type="dxa"/>
            <w:tcBorders>
              <w:top w:val="nil"/>
              <w:left w:val="nil"/>
              <w:bottom w:val="nil"/>
              <w:right w:val="nil"/>
            </w:tcBorders>
          </w:tcPr>
          <w:p w14:paraId="46757E28"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(0.0495)</w:t>
            </w:r>
          </w:p>
        </w:tc>
        <w:tc>
          <w:tcPr>
            <w:tcW w:w="1276" w:type="dxa"/>
            <w:tcBorders>
              <w:top w:val="nil"/>
              <w:left w:val="nil"/>
              <w:bottom w:val="nil"/>
              <w:right w:val="nil"/>
            </w:tcBorders>
          </w:tcPr>
          <w:p w14:paraId="2475A710" w14:textId="45B37F5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E32C4F" w:rsidRPr="00CF3C36" w14:paraId="7B56412B" w14:textId="77777777" w:rsidTr="007F7204">
        <w:trPr>
          <w:jc w:val="center"/>
        </w:trPr>
        <w:tc>
          <w:tcPr>
            <w:tcW w:w="1701" w:type="dxa"/>
            <w:tcBorders>
              <w:top w:val="nil"/>
              <w:left w:val="nil"/>
              <w:bottom w:val="nil"/>
              <w:right w:val="nil"/>
            </w:tcBorders>
          </w:tcPr>
          <w:p w14:paraId="47E303C8" w14:textId="4AA80280"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EPS</w:t>
            </w:r>
            <w:r w:rsidR="007F7204" w:rsidRPr="00CF3C36">
              <w:rPr>
                <w:rFonts w:ascii="Times New Roman" w:hAnsi="Times New Roman" w:cs="Times New Roman"/>
                <w:sz w:val="18"/>
                <w:szCs w:val="18"/>
                <w:lang w:val="en-GB"/>
              </w:rPr>
              <w:t>I</w:t>
            </w:r>
          </w:p>
        </w:tc>
        <w:tc>
          <w:tcPr>
            <w:tcW w:w="1134" w:type="dxa"/>
            <w:tcBorders>
              <w:top w:val="nil"/>
              <w:left w:val="nil"/>
              <w:bottom w:val="nil"/>
              <w:right w:val="nil"/>
            </w:tcBorders>
          </w:tcPr>
          <w:p w14:paraId="6B14E2F9"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1B546A10"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1075A82E"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0CC1A150" w14:textId="30C240B8"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3.843</w:t>
            </w:r>
          </w:p>
        </w:tc>
      </w:tr>
      <w:tr w:rsidR="00E32C4F" w:rsidRPr="00CF3C36" w14:paraId="542F230F" w14:textId="77777777" w:rsidTr="007F7204">
        <w:trPr>
          <w:jc w:val="center"/>
        </w:trPr>
        <w:tc>
          <w:tcPr>
            <w:tcW w:w="1701" w:type="dxa"/>
            <w:tcBorders>
              <w:top w:val="nil"/>
              <w:left w:val="nil"/>
              <w:bottom w:val="nil"/>
              <w:right w:val="nil"/>
            </w:tcBorders>
          </w:tcPr>
          <w:p w14:paraId="370EF6EC"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54238F94"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7348046B"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2CDE6D0A"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6C09EF53" w14:textId="662D5A96"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(2.597)</w:t>
            </w:r>
          </w:p>
        </w:tc>
      </w:tr>
      <w:tr w:rsidR="00E32C4F" w:rsidRPr="00CF3C36" w14:paraId="3902F037" w14:textId="77777777" w:rsidTr="007F7204">
        <w:trPr>
          <w:jc w:val="center"/>
        </w:trPr>
        <w:tc>
          <w:tcPr>
            <w:tcW w:w="1701" w:type="dxa"/>
            <w:tcBorders>
              <w:top w:val="nil"/>
              <w:left w:val="nil"/>
              <w:bottom w:val="nil"/>
              <w:right w:val="nil"/>
            </w:tcBorders>
          </w:tcPr>
          <w:p w14:paraId="6AB089E1" w14:textId="582894FE"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EPS</w:t>
            </w:r>
            <w:r w:rsidR="007F7204" w:rsidRPr="00CF3C36">
              <w:rPr>
                <w:rFonts w:ascii="Times New Roman" w:hAnsi="Times New Roman" w:cs="Times New Roman"/>
                <w:sz w:val="18"/>
                <w:szCs w:val="18"/>
                <w:lang w:val="en-GB"/>
              </w:rPr>
              <w:t>I</w:t>
            </w:r>
            <w:r w:rsidRPr="00CF3C36">
              <w:rPr>
                <w:rFonts w:ascii="Times New Roman" w:hAnsi="Times New Roman" w:cs="Times New Roman"/>
                <w:sz w:val="18"/>
                <w:szCs w:val="18"/>
                <w:lang w:val="en-GB"/>
              </w:rPr>
              <w:t>_ln_KL_cen</w:t>
            </w:r>
          </w:p>
        </w:tc>
        <w:tc>
          <w:tcPr>
            <w:tcW w:w="1134" w:type="dxa"/>
            <w:tcBorders>
              <w:top w:val="nil"/>
              <w:left w:val="nil"/>
              <w:bottom w:val="nil"/>
              <w:right w:val="nil"/>
            </w:tcBorders>
          </w:tcPr>
          <w:p w14:paraId="11A66BA3"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387BF919"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0710065B"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0CD09579" w14:textId="7A46B44D"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-21.07</w:t>
            </w:r>
          </w:p>
        </w:tc>
      </w:tr>
      <w:tr w:rsidR="00E32C4F" w:rsidRPr="00CF3C36" w14:paraId="13476404" w14:textId="77777777" w:rsidTr="007F7204">
        <w:trPr>
          <w:jc w:val="center"/>
        </w:trPr>
        <w:tc>
          <w:tcPr>
            <w:tcW w:w="1701" w:type="dxa"/>
            <w:tcBorders>
              <w:top w:val="nil"/>
              <w:left w:val="nil"/>
              <w:bottom w:val="nil"/>
              <w:right w:val="nil"/>
            </w:tcBorders>
          </w:tcPr>
          <w:p w14:paraId="61CEECE6"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5A631D34"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27643214"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49E1E91B"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7AB8815A" w14:textId="057FDF45"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(10.98)</w:t>
            </w:r>
          </w:p>
        </w:tc>
      </w:tr>
      <w:tr w:rsidR="00E32C4F" w:rsidRPr="00CF3C36" w14:paraId="5C783896" w14:textId="77777777" w:rsidTr="007F7204">
        <w:trPr>
          <w:jc w:val="center"/>
        </w:trPr>
        <w:tc>
          <w:tcPr>
            <w:tcW w:w="1701" w:type="dxa"/>
            <w:tcBorders>
              <w:top w:val="nil"/>
              <w:left w:val="nil"/>
              <w:bottom w:val="nil"/>
              <w:right w:val="nil"/>
            </w:tcBorders>
          </w:tcPr>
          <w:p w14:paraId="4EA88126" w14:textId="54881984"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EPS</w:t>
            </w:r>
            <w:r w:rsidR="007F7204" w:rsidRPr="00CF3C36">
              <w:rPr>
                <w:rFonts w:ascii="Times New Roman" w:hAnsi="Times New Roman" w:cs="Times New Roman"/>
                <w:sz w:val="18"/>
                <w:szCs w:val="18"/>
                <w:lang w:val="en-GB"/>
              </w:rPr>
              <w:t>I</w:t>
            </w:r>
            <w:r w:rsidRPr="00CF3C36">
              <w:rPr>
                <w:rFonts w:ascii="Times New Roman" w:hAnsi="Times New Roman" w:cs="Times New Roman"/>
                <w:sz w:val="18"/>
                <w:szCs w:val="18"/>
                <w:lang w:val="en-GB"/>
              </w:rPr>
              <w:t>_ln_KL_2_cen</w:t>
            </w:r>
          </w:p>
        </w:tc>
        <w:tc>
          <w:tcPr>
            <w:tcW w:w="1134" w:type="dxa"/>
            <w:tcBorders>
              <w:top w:val="nil"/>
              <w:left w:val="nil"/>
              <w:bottom w:val="nil"/>
              <w:right w:val="nil"/>
            </w:tcBorders>
          </w:tcPr>
          <w:p w14:paraId="316F64D3"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197BBA36"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3AA36F00"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2AE6347C" w14:textId="15A4FFC2"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2.016*</w:t>
            </w:r>
          </w:p>
        </w:tc>
      </w:tr>
      <w:tr w:rsidR="00E32C4F" w:rsidRPr="00CF3C36" w14:paraId="4DA0F9DA" w14:textId="77777777" w:rsidTr="007F7204">
        <w:trPr>
          <w:jc w:val="center"/>
        </w:trPr>
        <w:tc>
          <w:tcPr>
            <w:tcW w:w="1701" w:type="dxa"/>
            <w:tcBorders>
              <w:top w:val="nil"/>
              <w:left w:val="nil"/>
              <w:bottom w:val="nil"/>
              <w:right w:val="nil"/>
            </w:tcBorders>
          </w:tcPr>
          <w:p w14:paraId="69EB4581"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01D66339"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18A930C4"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2DC08561"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4DC9B13B" w14:textId="75F476F6"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(0.943)</w:t>
            </w:r>
          </w:p>
        </w:tc>
      </w:tr>
      <w:tr w:rsidR="00E32C4F" w:rsidRPr="00CF3C36" w14:paraId="15820990" w14:textId="77777777" w:rsidTr="007F7204">
        <w:trPr>
          <w:jc w:val="center"/>
        </w:trPr>
        <w:tc>
          <w:tcPr>
            <w:tcW w:w="1701" w:type="dxa"/>
            <w:tcBorders>
              <w:top w:val="nil"/>
              <w:left w:val="nil"/>
              <w:bottom w:val="nil"/>
              <w:right w:val="nil"/>
            </w:tcBorders>
          </w:tcPr>
          <w:p w14:paraId="2F60E379"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Constant</w:t>
            </w:r>
          </w:p>
        </w:tc>
        <w:tc>
          <w:tcPr>
            <w:tcW w:w="1134" w:type="dxa"/>
            <w:tcBorders>
              <w:top w:val="nil"/>
              <w:left w:val="nil"/>
              <w:bottom w:val="nil"/>
              <w:right w:val="nil"/>
            </w:tcBorders>
          </w:tcPr>
          <w:p w14:paraId="33035773"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43.95***</w:t>
            </w:r>
          </w:p>
        </w:tc>
        <w:tc>
          <w:tcPr>
            <w:tcW w:w="1276" w:type="dxa"/>
            <w:tcBorders>
              <w:top w:val="nil"/>
              <w:left w:val="nil"/>
              <w:bottom w:val="nil"/>
              <w:right w:val="nil"/>
            </w:tcBorders>
          </w:tcPr>
          <w:p w14:paraId="223E9CFD"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42.61***</w:t>
            </w:r>
          </w:p>
        </w:tc>
        <w:tc>
          <w:tcPr>
            <w:tcW w:w="1276" w:type="dxa"/>
            <w:tcBorders>
              <w:top w:val="nil"/>
              <w:left w:val="nil"/>
              <w:bottom w:val="nil"/>
              <w:right w:val="nil"/>
            </w:tcBorders>
          </w:tcPr>
          <w:p w14:paraId="571950F4"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49.06**</w:t>
            </w:r>
          </w:p>
        </w:tc>
        <w:tc>
          <w:tcPr>
            <w:tcW w:w="1276" w:type="dxa"/>
            <w:tcBorders>
              <w:top w:val="nil"/>
              <w:left w:val="nil"/>
              <w:bottom w:val="nil"/>
              <w:right w:val="nil"/>
            </w:tcBorders>
          </w:tcPr>
          <w:p w14:paraId="01437F94" w14:textId="5A93382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127.2**</w:t>
            </w:r>
          </w:p>
        </w:tc>
      </w:tr>
      <w:tr w:rsidR="00E32C4F" w:rsidRPr="00CF3C36" w14:paraId="5FBA184E" w14:textId="77777777" w:rsidTr="007F7204">
        <w:trPr>
          <w:jc w:val="center"/>
        </w:trPr>
        <w:tc>
          <w:tcPr>
            <w:tcW w:w="1701" w:type="dxa"/>
            <w:tcBorders>
              <w:top w:val="nil"/>
              <w:left w:val="nil"/>
              <w:bottom w:val="nil"/>
              <w:right w:val="nil"/>
            </w:tcBorders>
          </w:tcPr>
          <w:p w14:paraId="38B5A704"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2BD5114B"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(9.465)</w:t>
            </w:r>
          </w:p>
        </w:tc>
        <w:tc>
          <w:tcPr>
            <w:tcW w:w="1276" w:type="dxa"/>
            <w:tcBorders>
              <w:top w:val="nil"/>
              <w:left w:val="nil"/>
              <w:bottom w:val="nil"/>
              <w:right w:val="nil"/>
            </w:tcBorders>
          </w:tcPr>
          <w:p w14:paraId="28053B52"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(10.51)</w:t>
            </w:r>
          </w:p>
        </w:tc>
        <w:tc>
          <w:tcPr>
            <w:tcW w:w="1276" w:type="dxa"/>
            <w:tcBorders>
              <w:top w:val="nil"/>
              <w:left w:val="nil"/>
              <w:bottom w:val="nil"/>
              <w:right w:val="nil"/>
            </w:tcBorders>
          </w:tcPr>
          <w:p w14:paraId="6BC180CB"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(14.40)</w:t>
            </w:r>
          </w:p>
        </w:tc>
        <w:tc>
          <w:tcPr>
            <w:tcW w:w="1276" w:type="dxa"/>
            <w:tcBorders>
              <w:top w:val="nil"/>
              <w:left w:val="nil"/>
              <w:bottom w:val="nil"/>
              <w:right w:val="nil"/>
            </w:tcBorders>
          </w:tcPr>
          <w:p w14:paraId="7976DAF0" w14:textId="5CDE182B"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(41.32)</w:t>
            </w:r>
          </w:p>
        </w:tc>
      </w:tr>
      <w:tr w:rsidR="00E32C4F" w:rsidRPr="00CF3C36" w14:paraId="40BB60DB" w14:textId="77777777" w:rsidTr="007F7204">
        <w:trPr>
          <w:jc w:val="center"/>
        </w:trPr>
        <w:tc>
          <w:tcPr>
            <w:tcW w:w="1701" w:type="dxa"/>
            <w:tcBorders>
              <w:top w:val="nil"/>
              <w:left w:val="nil"/>
              <w:bottom w:val="nil"/>
              <w:right w:val="nil"/>
            </w:tcBorders>
          </w:tcPr>
          <w:p w14:paraId="01435091"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p>
        </w:tc>
        <w:tc>
          <w:tcPr>
            <w:tcW w:w="1134" w:type="dxa"/>
            <w:tcBorders>
              <w:top w:val="nil"/>
              <w:left w:val="nil"/>
              <w:bottom w:val="nil"/>
              <w:right w:val="nil"/>
            </w:tcBorders>
          </w:tcPr>
          <w:p w14:paraId="0E767131"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70E12636"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0883E0EA"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276" w:type="dxa"/>
            <w:tcBorders>
              <w:top w:val="nil"/>
              <w:left w:val="nil"/>
              <w:bottom w:val="nil"/>
              <w:right w:val="nil"/>
            </w:tcBorders>
          </w:tcPr>
          <w:p w14:paraId="46583378"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E32C4F" w:rsidRPr="00CF3C36" w14:paraId="10AC8834" w14:textId="77777777" w:rsidTr="007F7204">
        <w:trPr>
          <w:jc w:val="center"/>
        </w:trPr>
        <w:tc>
          <w:tcPr>
            <w:tcW w:w="1701" w:type="dxa"/>
            <w:tcBorders>
              <w:top w:val="nil"/>
              <w:left w:val="nil"/>
              <w:bottom w:val="nil"/>
              <w:right w:val="nil"/>
            </w:tcBorders>
          </w:tcPr>
          <w:p w14:paraId="6F7F785D"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Observations</w:t>
            </w:r>
          </w:p>
        </w:tc>
        <w:tc>
          <w:tcPr>
            <w:tcW w:w="1134" w:type="dxa"/>
            <w:tcBorders>
              <w:top w:val="nil"/>
              <w:left w:val="nil"/>
              <w:bottom w:val="nil"/>
              <w:right w:val="nil"/>
            </w:tcBorders>
          </w:tcPr>
          <w:p w14:paraId="08397A94"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369</w:t>
            </w:r>
          </w:p>
        </w:tc>
        <w:tc>
          <w:tcPr>
            <w:tcW w:w="1276" w:type="dxa"/>
            <w:tcBorders>
              <w:top w:val="nil"/>
              <w:left w:val="nil"/>
              <w:bottom w:val="nil"/>
              <w:right w:val="nil"/>
            </w:tcBorders>
          </w:tcPr>
          <w:p w14:paraId="20203DBC"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664</w:t>
            </w:r>
          </w:p>
        </w:tc>
        <w:tc>
          <w:tcPr>
            <w:tcW w:w="1276" w:type="dxa"/>
            <w:tcBorders>
              <w:top w:val="nil"/>
              <w:left w:val="nil"/>
              <w:bottom w:val="nil"/>
              <w:right w:val="nil"/>
            </w:tcBorders>
          </w:tcPr>
          <w:p w14:paraId="0FED1118"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289</w:t>
            </w:r>
          </w:p>
        </w:tc>
        <w:tc>
          <w:tcPr>
            <w:tcW w:w="1276" w:type="dxa"/>
            <w:tcBorders>
              <w:top w:val="nil"/>
              <w:left w:val="nil"/>
              <w:bottom w:val="nil"/>
              <w:right w:val="nil"/>
            </w:tcBorders>
          </w:tcPr>
          <w:p w14:paraId="14B57740" w14:textId="4F5207F5"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127</w:t>
            </w:r>
          </w:p>
        </w:tc>
      </w:tr>
      <w:tr w:rsidR="00E32C4F" w:rsidRPr="00CF3C36" w14:paraId="76E86665" w14:textId="77777777" w:rsidTr="007F7204">
        <w:trPr>
          <w:jc w:val="center"/>
        </w:trPr>
        <w:tc>
          <w:tcPr>
            <w:tcW w:w="1701" w:type="dxa"/>
            <w:tcBorders>
              <w:top w:val="nil"/>
              <w:left w:val="nil"/>
              <w:bottom w:val="nil"/>
              <w:right w:val="nil"/>
            </w:tcBorders>
          </w:tcPr>
          <w:p w14:paraId="45F1DDF9"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R-squared</w:t>
            </w:r>
          </w:p>
        </w:tc>
        <w:tc>
          <w:tcPr>
            <w:tcW w:w="1134" w:type="dxa"/>
            <w:tcBorders>
              <w:top w:val="nil"/>
              <w:left w:val="nil"/>
              <w:bottom w:val="nil"/>
              <w:right w:val="nil"/>
            </w:tcBorders>
          </w:tcPr>
          <w:p w14:paraId="6ADD844D"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0.1373</w:t>
            </w:r>
          </w:p>
        </w:tc>
        <w:tc>
          <w:tcPr>
            <w:tcW w:w="1276" w:type="dxa"/>
            <w:tcBorders>
              <w:top w:val="nil"/>
              <w:left w:val="nil"/>
              <w:bottom w:val="nil"/>
              <w:right w:val="nil"/>
            </w:tcBorders>
          </w:tcPr>
          <w:p w14:paraId="4F297EEC"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0.0804</w:t>
            </w:r>
          </w:p>
        </w:tc>
        <w:tc>
          <w:tcPr>
            <w:tcW w:w="1276" w:type="dxa"/>
            <w:tcBorders>
              <w:top w:val="nil"/>
              <w:left w:val="nil"/>
              <w:bottom w:val="nil"/>
              <w:right w:val="nil"/>
            </w:tcBorders>
          </w:tcPr>
          <w:p w14:paraId="05F714CE"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0.1084</w:t>
            </w:r>
          </w:p>
        </w:tc>
        <w:tc>
          <w:tcPr>
            <w:tcW w:w="1276" w:type="dxa"/>
            <w:tcBorders>
              <w:top w:val="nil"/>
              <w:left w:val="nil"/>
              <w:bottom w:val="nil"/>
              <w:right w:val="nil"/>
            </w:tcBorders>
          </w:tcPr>
          <w:p w14:paraId="72E5D9FB" w14:textId="494CD92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0.1534</w:t>
            </w:r>
          </w:p>
        </w:tc>
      </w:tr>
      <w:tr w:rsidR="00E32C4F" w:rsidRPr="00CF3C36" w14:paraId="58F4A57A" w14:textId="77777777" w:rsidTr="007F7204">
        <w:tblPrEx>
          <w:tblBorders>
            <w:bottom w:val="single" w:sz="6" w:space="0" w:color="auto"/>
          </w:tblBorders>
        </w:tblPrEx>
        <w:trPr>
          <w:jc w:val="center"/>
        </w:trPr>
        <w:tc>
          <w:tcPr>
            <w:tcW w:w="1701" w:type="dxa"/>
            <w:tcBorders>
              <w:top w:val="nil"/>
              <w:left w:val="nil"/>
              <w:bottom w:val="single" w:sz="6" w:space="0" w:color="auto"/>
              <w:right w:val="nil"/>
            </w:tcBorders>
          </w:tcPr>
          <w:p w14:paraId="4CAD2667" w14:textId="77777777" w:rsidR="00E32C4F" w:rsidRPr="00CF3C36" w:rsidRDefault="00E32C4F" w:rsidP="00E32C4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Number of groups</w:t>
            </w:r>
          </w:p>
        </w:tc>
        <w:tc>
          <w:tcPr>
            <w:tcW w:w="1134" w:type="dxa"/>
            <w:tcBorders>
              <w:top w:val="nil"/>
              <w:left w:val="nil"/>
              <w:bottom w:val="single" w:sz="6" w:space="0" w:color="auto"/>
              <w:right w:val="nil"/>
            </w:tcBorders>
          </w:tcPr>
          <w:p w14:paraId="29A7250C"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74</w:t>
            </w:r>
          </w:p>
        </w:tc>
        <w:tc>
          <w:tcPr>
            <w:tcW w:w="1276" w:type="dxa"/>
            <w:tcBorders>
              <w:top w:val="nil"/>
              <w:left w:val="nil"/>
              <w:bottom w:val="single" w:sz="6" w:space="0" w:color="auto"/>
              <w:right w:val="nil"/>
            </w:tcBorders>
          </w:tcPr>
          <w:p w14:paraId="0C44F8DB"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74</w:t>
            </w:r>
          </w:p>
        </w:tc>
        <w:tc>
          <w:tcPr>
            <w:tcW w:w="1276" w:type="dxa"/>
            <w:tcBorders>
              <w:top w:val="nil"/>
              <w:left w:val="nil"/>
              <w:bottom w:val="single" w:sz="6" w:space="0" w:color="auto"/>
              <w:right w:val="nil"/>
            </w:tcBorders>
          </w:tcPr>
          <w:p w14:paraId="4D0BA593" w14:textId="77777777"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w:t>
            </w:r>
          </w:p>
        </w:tc>
        <w:tc>
          <w:tcPr>
            <w:tcW w:w="1276" w:type="dxa"/>
            <w:tcBorders>
              <w:top w:val="nil"/>
              <w:left w:val="nil"/>
              <w:bottom w:val="single" w:sz="6" w:space="0" w:color="auto"/>
              <w:right w:val="nil"/>
            </w:tcBorders>
          </w:tcPr>
          <w:p w14:paraId="52DBE533" w14:textId="51A1467D" w:rsidR="00E32C4F" w:rsidRPr="00CF3C36" w:rsidRDefault="00E32C4F" w:rsidP="00E32C4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25</w:t>
            </w:r>
          </w:p>
        </w:tc>
      </w:tr>
    </w:tbl>
    <w:p w14:paraId="3C7D0BE4" w14:textId="77777777" w:rsidR="00C81704" w:rsidRPr="00CF3C36" w:rsidRDefault="00C81704" w:rsidP="00C8170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Driscoll-Kraay standard errors in parentheses</w:t>
      </w:r>
    </w:p>
    <w:p w14:paraId="243E0A1D" w14:textId="77777777" w:rsidR="00C81704" w:rsidRPr="00CF3C36" w:rsidRDefault="00C81704" w:rsidP="00C8170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 p&lt;0.01, ** p&lt;0.05, * p&lt;0.1</w:t>
      </w:r>
    </w:p>
    <w:p w14:paraId="1CB8D6E5" w14:textId="00697FCC" w:rsidR="00C81704" w:rsidRPr="00CF3C36" w:rsidRDefault="00C81704" w:rsidP="00C81704">
      <w:pPr>
        <w:jc w:val="center"/>
        <w:rPr>
          <w:i/>
          <w:lang w:val="en-GB"/>
        </w:rPr>
      </w:pPr>
    </w:p>
    <w:p w14:paraId="6A586224" w14:textId="17D12E8E" w:rsidR="00846572" w:rsidRPr="00CF3C36" w:rsidRDefault="00846572" w:rsidP="00C81704">
      <w:pPr>
        <w:jc w:val="center"/>
        <w:rPr>
          <w:i/>
          <w:lang w:val="en-GB"/>
        </w:rPr>
      </w:pPr>
    </w:p>
    <w:p w14:paraId="4EF3C3CB" w14:textId="738159DC" w:rsidR="00846572" w:rsidRPr="00CF3C36" w:rsidRDefault="00846572" w:rsidP="00C81704">
      <w:pPr>
        <w:jc w:val="center"/>
        <w:rPr>
          <w:i/>
          <w:lang w:val="en-GB"/>
        </w:rPr>
      </w:pPr>
    </w:p>
    <w:p w14:paraId="44614BDA" w14:textId="26D765A6" w:rsidR="00846572" w:rsidRPr="00CF3C36" w:rsidRDefault="00846572" w:rsidP="00C81704">
      <w:pPr>
        <w:jc w:val="center"/>
        <w:rPr>
          <w:i/>
          <w:lang w:val="en-GB"/>
        </w:rPr>
      </w:pPr>
    </w:p>
    <w:p w14:paraId="30635CD5" w14:textId="0C380CDF" w:rsidR="00846572" w:rsidRPr="00CF3C36" w:rsidRDefault="00846572" w:rsidP="00C81704">
      <w:pPr>
        <w:jc w:val="center"/>
        <w:rPr>
          <w:i/>
          <w:lang w:val="en-GB"/>
        </w:rPr>
      </w:pPr>
    </w:p>
    <w:p w14:paraId="5D52711F" w14:textId="15A5AD8D" w:rsidR="00846572" w:rsidRPr="00CF3C36" w:rsidRDefault="00846572" w:rsidP="00C81704">
      <w:pPr>
        <w:jc w:val="center"/>
        <w:rPr>
          <w:i/>
          <w:lang w:val="en-GB"/>
        </w:rPr>
      </w:pPr>
    </w:p>
    <w:p w14:paraId="0FFFC78D" w14:textId="3D23B490" w:rsidR="00846572" w:rsidRPr="00CF3C36" w:rsidRDefault="00846572" w:rsidP="00C81704">
      <w:pPr>
        <w:jc w:val="center"/>
        <w:rPr>
          <w:i/>
          <w:lang w:val="en-GB"/>
        </w:rPr>
      </w:pPr>
    </w:p>
    <w:p w14:paraId="1DD2BA40" w14:textId="250CF923" w:rsidR="00846572" w:rsidRPr="00CF3C36" w:rsidRDefault="00846572" w:rsidP="00C81704">
      <w:pPr>
        <w:jc w:val="center"/>
        <w:rPr>
          <w:i/>
          <w:lang w:val="en-GB"/>
        </w:rPr>
      </w:pPr>
    </w:p>
    <w:p w14:paraId="7DBE7D71" w14:textId="3B7CA47E" w:rsidR="00846572" w:rsidRPr="00CF3C36" w:rsidRDefault="00846572" w:rsidP="00C81704">
      <w:pPr>
        <w:jc w:val="center"/>
        <w:rPr>
          <w:i/>
          <w:lang w:val="en-GB"/>
        </w:rPr>
      </w:pPr>
    </w:p>
    <w:p w14:paraId="37BF5C5A" w14:textId="421BFD36" w:rsidR="00846572" w:rsidRPr="00CF3C36" w:rsidRDefault="00846572" w:rsidP="00C81704">
      <w:pPr>
        <w:jc w:val="center"/>
        <w:rPr>
          <w:i/>
          <w:lang w:val="en-GB"/>
        </w:rPr>
      </w:pPr>
    </w:p>
    <w:p w14:paraId="60EF8ECF" w14:textId="105C4691" w:rsidR="000B2679" w:rsidRPr="00CF3C36" w:rsidRDefault="000B2679" w:rsidP="00846572">
      <w:pPr>
        <w:rPr>
          <w:i/>
          <w:lang w:val="en-GB"/>
        </w:rPr>
      </w:pPr>
    </w:p>
    <w:p w14:paraId="515FA53D" w14:textId="3ED7462A" w:rsidR="00B336B1" w:rsidRPr="00CF3C36" w:rsidRDefault="00B336B1" w:rsidP="00846572">
      <w:pPr>
        <w:rPr>
          <w:i/>
          <w:lang w:val="en-GB"/>
        </w:rPr>
      </w:pPr>
    </w:p>
    <w:p w14:paraId="0C2D5FFA" w14:textId="77777777" w:rsidR="00864C4C" w:rsidRPr="00CF3C36" w:rsidRDefault="00864C4C" w:rsidP="00846572">
      <w:pPr>
        <w:rPr>
          <w:i/>
          <w:lang w:val="en-GB"/>
        </w:rPr>
      </w:pPr>
    </w:p>
    <w:p w14:paraId="3F0BD050" w14:textId="77777777" w:rsidR="00F162BA" w:rsidRPr="00CF3C36" w:rsidRDefault="00F162BA" w:rsidP="00846572">
      <w:pPr>
        <w:rPr>
          <w:i/>
          <w:lang w:val="en-GB"/>
        </w:rPr>
      </w:pPr>
    </w:p>
    <w:p w14:paraId="1FB11E12" w14:textId="2274323E" w:rsidR="00276C97" w:rsidRPr="00CF3C36" w:rsidRDefault="00C812E0" w:rsidP="00864C4C">
      <w:pPr>
        <w:pStyle w:val="Heading5"/>
        <w:jc w:val="center"/>
        <w:rPr>
          <w:lang w:val="en-GB"/>
        </w:rPr>
      </w:pPr>
      <w:bookmarkStart w:id="56" w:name="_Toc15475688"/>
      <w:r w:rsidRPr="00CF3C36">
        <w:rPr>
          <w:lang w:val="en-GB"/>
        </w:rPr>
        <w:lastRenderedPageBreak/>
        <w:t>Table 2</w:t>
      </w:r>
      <w:r w:rsidR="0033675A" w:rsidRPr="00CF3C36">
        <w:rPr>
          <w:lang w:val="en-GB"/>
        </w:rPr>
        <w:t>5</w:t>
      </w:r>
      <w:r w:rsidR="00864C4C" w:rsidRPr="00CF3C36">
        <w:rPr>
          <w:lang w:val="en-GB"/>
        </w:rPr>
        <w:t xml:space="preserve">. </w:t>
      </w:r>
      <w:r w:rsidR="00276C97" w:rsidRPr="00CF3C36">
        <w:rPr>
          <w:lang w:val="en-GB"/>
        </w:rPr>
        <w:t>Build-up Model 2.2</w:t>
      </w:r>
      <w:bookmarkEnd w:id="56"/>
    </w:p>
    <w:tbl>
      <w:tblPr>
        <w:tblW w:w="0" w:type="auto"/>
        <w:jc w:val="center"/>
        <w:tblLayout w:type="fixed"/>
        <w:tblCellMar>
          <w:left w:w="75" w:type="dxa"/>
          <w:right w:w="75" w:type="dxa"/>
        </w:tblCellMar>
        <w:tblLook w:val="0000" w:firstRow="0" w:lastRow="0" w:firstColumn="0" w:lastColumn="0" w:noHBand="0" w:noVBand="0"/>
      </w:tblPr>
      <w:tblGrid>
        <w:gridCol w:w="1560"/>
        <w:gridCol w:w="843"/>
        <w:gridCol w:w="850"/>
        <w:gridCol w:w="971"/>
        <w:gridCol w:w="851"/>
        <w:gridCol w:w="850"/>
        <w:gridCol w:w="851"/>
      </w:tblGrid>
      <w:tr w:rsidR="00276C97" w:rsidRPr="00CF3C36" w14:paraId="07D0F798" w14:textId="77777777" w:rsidTr="00415E7F">
        <w:trPr>
          <w:jc w:val="center"/>
        </w:trPr>
        <w:tc>
          <w:tcPr>
            <w:tcW w:w="1560" w:type="dxa"/>
            <w:tcBorders>
              <w:top w:val="single" w:sz="6" w:space="0" w:color="auto"/>
              <w:left w:val="nil"/>
              <w:bottom w:val="nil"/>
              <w:right w:val="nil"/>
            </w:tcBorders>
          </w:tcPr>
          <w:p w14:paraId="68DB6291"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843" w:type="dxa"/>
            <w:tcBorders>
              <w:top w:val="single" w:sz="6" w:space="0" w:color="auto"/>
              <w:left w:val="nil"/>
              <w:bottom w:val="nil"/>
              <w:right w:val="nil"/>
            </w:tcBorders>
          </w:tcPr>
          <w:p w14:paraId="43614033"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w:t>
            </w:r>
          </w:p>
        </w:tc>
        <w:tc>
          <w:tcPr>
            <w:tcW w:w="850" w:type="dxa"/>
            <w:tcBorders>
              <w:top w:val="single" w:sz="6" w:space="0" w:color="auto"/>
              <w:left w:val="nil"/>
              <w:bottom w:val="nil"/>
              <w:right w:val="nil"/>
            </w:tcBorders>
          </w:tcPr>
          <w:p w14:paraId="04E8B11C"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w:t>
            </w:r>
          </w:p>
        </w:tc>
        <w:tc>
          <w:tcPr>
            <w:tcW w:w="971" w:type="dxa"/>
            <w:tcBorders>
              <w:top w:val="single" w:sz="6" w:space="0" w:color="auto"/>
              <w:left w:val="nil"/>
              <w:bottom w:val="nil"/>
              <w:right w:val="nil"/>
            </w:tcBorders>
          </w:tcPr>
          <w:p w14:paraId="6DDF24B5"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w:t>
            </w:r>
          </w:p>
        </w:tc>
        <w:tc>
          <w:tcPr>
            <w:tcW w:w="851" w:type="dxa"/>
            <w:tcBorders>
              <w:top w:val="single" w:sz="6" w:space="0" w:color="auto"/>
              <w:left w:val="nil"/>
              <w:bottom w:val="nil"/>
              <w:right w:val="nil"/>
            </w:tcBorders>
          </w:tcPr>
          <w:p w14:paraId="24903408"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w:t>
            </w:r>
          </w:p>
        </w:tc>
        <w:tc>
          <w:tcPr>
            <w:tcW w:w="850" w:type="dxa"/>
            <w:tcBorders>
              <w:top w:val="single" w:sz="6" w:space="0" w:color="auto"/>
              <w:left w:val="nil"/>
              <w:bottom w:val="nil"/>
              <w:right w:val="nil"/>
            </w:tcBorders>
          </w:tcPr>
          <w:p w14:paraId="4B28EF8C"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w:t>
            </w:r>
          </w:p>
        </w:tc>
        <w:tc>
          <w:tcPr>
            <w:tcW w:w="851" w:type="dxa"/>
            <w:tcBorders>
              <w:top w:val="single" w:sz="6" w:space="0" w:color="auto"/>
              <w:left w:val="nil"/>
              <w:bottom w:val="nil"/>
              <w:right w:val="nil"/>
            </w:tcBorders>
          </w:tcPr>
          <w:p w14:paraId="7C7AA320"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w:t>
            </w:r>
          </w:p>
        </w:tc>
      </w:tr>
      <w:tr w:rsidR="00276C97" w:rsidRPr="00CF3C36" w14:paraId="57365979" w14:textId="77777777" w:rsidTr="00415E7F">
        <w:trPr>
          <w:jc w:val="center"/>
        </w:trPr>
        <w:tc>
          <w:tcPr>
            <w:tcW w:w="1560" w:type="dxa"/>
            <w:tcBorders>
              <w:top w:val="nil"/>
              <w:left w:val="nil"/>
              <w:bottom w:val="single" w:sz="6" w:space="0" w:color="auto"/>
              <w:right w:val="nil"/>
            </w:tcBorders>
          </w:tcPr>
          <w:p w14:paraId="76B72429"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VARIABLES</w:t>
            </w:r>
          </w:p>
        </w:tc>
        <w:tc>
          <w:tcPr>
            <w:tcW w:w="843" w:type="dxa"/>
            <w:tcBorders>
              <w:top w:val="nil"/>
              <w:left w:val="nil"/>
              <w:bottom w:val="single" w:sz="6" w:space="0" w:color="auto"/>
              <w:right w:val="nil"/>
            </w:tcBorders>
          </w:tcPr>
          <w:p w14:paraId="6AF31D99"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2.2</w:t>
            </w:r>
          </w:p>
        </w:tc>
        <w:tc>
          <w:tcPr>
            <w:tcW w:w="850" w:type="dxa"/>
            <w:tcBorders>
              <w:top w:val="nil"/>
              <w:left w:val="nil"/>
              <w:bottom w:val="single" w:sz="6" w:space="0" w:color="auto"/>
              <w:right w:val="nil"/>
            </w:tcBorders>
          </w:tcPr>
          <w:p w14:paraId="0BC35538"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2.2</w:t>
            </w:r>
          </w:p>
        </w:tc>
        <w:tc>
          <w:tcPr>
            <w:tcW w:w="971" w:type="dxa"/>
            <w:tcBorders>
              <w:top w:val="nil"/>
              <w:left w:val="nil"/>
              <w:bottom w:val="single" w:sz="6" w:space="0" w:color="auto"/>
              <w:right w:val="nil"/>
            </w:tcBorders>
          </w:tcPr>
          <w:p w14:paraId="5FA908B4"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 xml:space="preserve">Model </w:t>
            </w:r>
          </w:p>
          <w:p w14:paraId="72BFC68B"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2.2</w:t>
            </w:r>
          </w:p>
        </w:tc>
        <w:tc>
          <w:tcPr>
            <w:tcW w:w="851" w:type="dxa"/>
            <w:tcBorders>
              <w:top w:val="nil"/>
              <w:left w:val="nil"/>
              <w:bottom w:val="single" w:sz="6" w:space="0" w:color="auto"/>
              <w:right w:val="nil"/>
            </w:tcBorders>
          </w:tcPr>
          <w:p w14:paraId="4230A494"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2.2</w:t>
            </w:r>
          </w:p>
        </w:tc>
        <w:tc>
          <w:tcPr>
            <w:tcW w:w="850" w:type="dxa"/>
            <w:tcBorders>
              <w:top w:val="nil"/>
              <w:left w:val="nil"/>
              <w:bottom w:val="single" w:sz="6" w:space="0" w:color="auto"/>
              <w:right w:val="nil"/>
            </w:tcBorders>
          </w:tcPr>
          <w:p w14:paraId="5F2692C3"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2.2</w:t>
            </w:r>
          </w:p>
        </w:tc>
        <w:tc>
          <w:tcPr>
            <w:tcW w:w="851" w:type="dxa"/>
            <w:tcBorders>
              <w:top w:val="nil"/>
              <w:left w:val="nil"/>
              <w:bottom w:val="single" w:sz="6" w:space="0" w:color="auto"/>
              <w:right w:val="nil"/>
            </w:tcBorders>
          </w:tcPr>
          <w:p w14:paraId="65D92A3D"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2.2</w:t>
            </w:r>
          </w:p>
        </w:tc>
      </w:tr>
      <w:tr w:rsidR="00276C97" w:rsidRPr="00CF3C36" w14:paraId="05170B9F" w14:textId="77777777" w:rsidTr="00415E7F">
        <w:trPr>
          <w:jc w:val="center"/>
        </w:trPr>
        <w:tc>
          <w:tcPr>
            <w:tcW w:w="1560" w:type="dxa"/>
            <w:tcBorders>
              <w:top w:val="nil"/>
              <w:left w:val="nil"/>
              <w:bottom w:val="nil"/>
              <w:right w:val="nil"/>
            </w:tcBorders>
          </w:tcPr>
          <w:p w14:paraId="5B1365B3"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843" w:type="dxa"/>
            <w:tcBorders>
              <w:top w:val="nil"/>
              <w:left w:val="nil"/>
              <w:bottom w:val="nil"/>
              <w:right w:val="nil"/>
            </w:tcBorders>
          </w:tcPr>
          <w:p w14:paraId="12316FB4"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0D97008B"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71" w:type="dxa"/>
            <w:tcBorders>
              <w:top w:val="nil"/>
              <w:left w:val="nil"/>
              <w:bottom w:val="nil"/>
              <w:right w:val="nil"/>
            </w:tcBorders>
          </w:tcPr>
          <w:p w14:paraId="74FC9827"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1" w:type="dxa"/>
            <w:tcBorders>
              <w:top w:val="nil"/>
              <w:left w:val="nil"/>
              <w:bottom w:val="nil"/>
              <w:right w:val="nil"/>
            </w:tcBorders>
          </w:tcPr>
          <w:p w14:paraId="19661132"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7BAE7CE8"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1" w:type="dxa"/>
            <w:tcBorders>
              <w:top w:val="nil"/>
              <w:left w:val="nil"/>
              <w:bottom w:val="nil"/>
              <w:right w:val="nil"/>
            </w:tcBorders>
          </w:tcPr>
          <w:p w14:paraId="6FFAD700"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276C97" w:rsidRPr="00CF3C36" w14:paraId="613576D8" w14:textId="77777777" w:rsidTr="00415E7F">
        <w:trPr>
          <w:jc w:val="center"/>
        </w:trPr>
        <w:tc>
          <w:tcPr>
            <w:tcW w:w="1560" w:type="dxa"/>
            <w:tcBorders>
              <w:top w:val="nil"/>
              <w:left w:val="nil"/>
              <w:bottom w:val="nil"/>
              <w:right w:val="nil"/>
            </w:tcBorders>
          </w:tcPr>
          <w:p w14:paraId="60258689"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w:t>
            </w:r>
          </w:p>
        </w:tc>
        <w:tc>
          <w:tcPr>
            <w:tcW w:w="843" w:type="dxa"/>
            <w:tcBorders>
              <w:top w:val="nil"/>
              <w:left w:val="nil"/>
              <w:bottom w:val="nil"/>
              <w:right w:val="nil"/>
            </w:tcBorders>
          </w:tcPr>
          <w:p w14:paraId="1AA72351"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0.0348</w:t>
            </w:r>
          </w:p>
        </w:tc>
        <w:tc>
          <w:tcPr>
            <w:tcW w:w="850" w:type="dxa"/>
            <w:tcBorders>
              <w:top w:val="nil"/>
              <w:left w:val="nil"/>
              <w:bottom w:val="nil"/>
              <w:right w:val="nil"/>
            </w:tcBorders>
          </w:tcPr>
          <w:p w14:paraId="1902A355"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0.0480</w:t>
            </w:r>
          </w:p>
        </w:tc>
        <w:tc>
          <w:tcPr>
            <w:tcW w:w="971" w:type="dxa"/>
            <w:tcBorders>
              <w:top w:val="nil"/>
              <w:left w:val="nil"/>
              <w:bottom w:val="nil"/>
              <w:right w:val="nil"/>
            </w:tcBorders>
          </w:tcPr>
          <w:p w14:paraId="1540C39B"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0.0761*</w:t>
            </w:r>
          </w:p>
        </w:tc>
        <w:tc>
          <w:tcPr>
            <w:tcW w:w="851" w:type="dxa"/>
            <w:tcBorders>
              <w:top w:val="nil"/>
              <w:left w:val="nil"/>
              <w:bottom w:val="nil"/>
              <w:right w:val="nil"/>
            </w:tcBorders>
          </w:tcPr>
          <w:p w14:paraId="709CCEF9"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0.0762*</w:t>
            </w:r>
          </w:p>
        </w:tc>
        <w:tc>
          <w:tcPr>
            <w:tcW w:w="850" w:type="dxa"/>
            <w:tcBorders>
              <w:top w:val="nil"/>
              <w:left w:val="nil"/>
              <w:bottom w:val="nil"/>
              <w:right w:val="nil"/>
            </w:tcBorders>
          </w:tcPr>
          <w:p w14:paraId="4ABD131A"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0.0711*</w:t>
            </w:r>
          </w:p>
        </w:tc>
        <w:tc>
          <w:tcPr>
            <w:tcW w:w="851" w:type="dxa"/>
            <w:tcBorders>
              <w:top w:val="nil"/>
              <w:left w:val="nil"/>
              <w:bottom w:val="nil"/>
              <w:right w:val="nil"/>
            </w:tcBorders>
          </w:tcPr>
          <w:p w14:paraId="5292B4F8"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0.0809*</w:t>
            </w:r>
          </w:p>
        </w:tc>
      </w:tr>
      <w:tr w:rsidR="00276C97" w:rsidRPr="00CF3C36" w14:paraId="11E6D565" w14:textId="77777777" w:rsidTr="00415E7F">
        <w:trPr>
          <w:jc w:val="center"/>
        </w:trPr>
        <w:tc>
          <w:tcPr>
            <w:tcW w:w="1560" w:type="dxa"/>
            <w:tcBorders>
              <w:top w:val="nil"/>
              <w:left w:val="nil"/>
              <w:bottom w:val="nil"/>
              <w:right w:val="nil"/>
            </w:tcBorders>
          </w:tcPr>
          <w:p w14:paraId="5B1D13C2"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843" w:type="dxa"/>
            <w:tcBorders>
              <w:top w:val="nil"/>
              <w:left w:val="nil"/>
              <w:bottom w:val="nil"/>
              <w:right w:val="nil"/>
            </w:tcBorders>
          </w:tcPr>
          <w:p w14:paraId="058BEAC6"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(0.0376)</w:t>
            </w:r>
          </w:p>
        </w:tc>
        <w:tc>
          <w:tcPr>
            <w:tcW w:w="850" w:type="dxa"/>
            <w:tcBorders>
              <w:top w:val="nil"/>
              <w:left w:val="nil"/>
              <w:bottom w:val="nil"/>
              <w:right w:val="nil"/>
            </w:tcBorders>
          </w:tcPr>
          <w:p w14:paraId="63BA539E"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(0.0297)</w:t>
            </w:r>
          </w:p>
        </w:tc>
        <w:tc>
          <w:tcPr>
            <w:tcW w:w="971" w:type="dxa"/>
            <w:tcBorders>
              <w:top w:val="nil"/>
              <w:left w:val="nil"/>
              <w:bottom w:val="nil"/>
              <w:right w:val="nil"/>
            </w:tcBorders>
          </w:tcPr>
          <w:p w14:paraId="7E26BC3F"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(0.0358)</w:t>
            </w:r>
          </w:p>
        </w:tc>
        <w:tc>
          <w:tcPr>
            <w:tcW w:w="851" w:type="dxa"/>
            <w:tcBorders>
              <w:top w:val="nil"/>
              <w:left w:val="nil"/>
              <w:bottom w:val="nil"/>
              <w:right w:val="nil"/>
            </w:tcBorders>
          </w:tcPr>
          <w:p w14:paraId="2F10B3A6"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(0.0359)</w:t>
            </w:r>
          </w:p>
        </w:tc>
        <w:tc>
          <w:tcPr>
            <w:tcW w:w="850" w:type="dxa"/>
            <w:tcBorders>
              <w:top w:val="nil"/>
              <w:left w:val="nil"/>
              <w:bottom w:val="nil"/>
              <w:right w:val="nil"/>
            </w:tcBorders>
          </w:tcPr>
          <w:p w14:paraId="2EC8BD66"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(0.0363)</w:t>
            </w:r>
          </w:p>
        </w:tc>
        <w:tc>
          <w:tcPr>
            <w:tcW w:w="851" w:type="dxa"/>
            <w:tcBorders>
              <w:top w:val="nil"/>
              <w:left w:val="nil"/>
              <w:bottom w:val="nil"/>
              <w:right w:val="nil"/>
            </w:tcBorders>
          </w:tcPr>
          <w:p w14:paraId="6616C094"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(0.0414)</w:t>
            </w:r>
          </w:p>
        </w:tc>
      </w:tr>
      <w:tr w:rsidR="00276C97" w:rsidRPr="00CF3C36" w14:paraId="15441F94" w14:textId="77777777" w:rsidTr="00415E7F">
        <w:trPr>
          <w:jc w:val="center"/>
        </w:trPr>
        <w:tc>
          <w:tcPr>
            <w:tcW w:w="1560" w:type="dxa"/>
            <w:tcBorders>
              <w:top w:val="nil"/>
              <w:left w:val="nil"/>
              <w:bottom w:val="nil"/>
              <w:right w:val="nil"/>
            </w:tcBorders>
          </w:tcPr>
          <w:p w14:paraId="5F953F2F"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ln_rgdpna</w:t>
            </w:r>
          </w:p>
        </w:tc>
        <w:tc>
          <w:tcPr>
            <w:tcW w:w="843" w:type="dxa"/>
            <w:tcBorders>
              <w:top w:val="nil"/>
              <w:left w:val="nil"/>
              <w:bottom w:val="nil"/>
              <w:right w:val="nil"/>
            </w:tcBorders>
          </w:tcPr>
          <w:p w14:paraId="7BA5D074"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233ADEF0"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-0.836</w:t>
            </w:r>
          </w:p>
        </w:tc>
        <w:tc>
          <w:tcPr>
            <w:tcW w:w="971" w:type="dxa"/>
            <w:tcBorders>
              <w:top w:val="nil"/>
              <w:left w:val="nil"/>
              <w:bottom w:val="nil"/>
              <w:right w:val="nil"/>
            </w:tcBorders>
          </w:tcPr>
          <w:p w14:paraId="24876D23"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-0.284</w:t>
            </w:r>
          </w:p>
        </w:tc>
        <w:tc>
          <w:tcPr>
            <w:tcW w:w="851" w:type="dxa"/>
            <w:tcBorders>
              <w:top w:val="nil"/>
              <w:left w:val="nil"/>
              <w:bottom w:val="nil"/>
              <w:right w:val="nil"/>
            </w:tcBorders>
          </w:tcPr>
          <w:p w14:paraId="7A72AA48"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1.747</w:t>
            </w:r>
          </w:p>
        </w:tc>
        <w:tc>
          <w:tcPr>
            <w:tcW w:w="850" w:type="dxa"/>
            <w:tcBorders>
              <w:top w:val="nil"/>
              <w:left w:val="nil"/>
              <w:bottom w:val="nil"/>
              <w:right w:val="nil"/>
            </w:tcBorders>
          </w:tcPr>
          <w:p w14:paraId="1BFB92CE"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1.338</w:t>
            </w:r>
          </w:p>
        </w:tc>
        <w:tc>
          <w:tcPr>
            <w:tcW w:w="851" w:type="dxa"/>
            <w:tcBorders>
              <w:top w:val="nil"/>
              <w:left w:val="nil"/>
              <w:bottom w:val="nil"/>
              <w:right w:val="nil"/>
            </w:tcBorders>
          </w:tcPr>
          <w:p w14:paraId="1D3BAC0D"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1.397</w:t>
            </w:r>
          </w:p>
        </w:tc>
      </w:tr>
      <w:tr w:rsidR="00276C97" w:rsidRPr="00CF3C36" w14:paraId="17936964" w14:textId="77777777" w:rsidTr="00415E7F">
        <w:trPr>
          <w:jc w:val="center"/>
        </w:trPr>
        <w:tc>
          <w:tcPr>
            <w:tcW w:w="1560" w:type="dxa"/>
            <w:tcBorders>
              <w:top w:val="nil"/>
              <w:left w:val="nil"/>
              <w:bottom w:val="nil"/>
              <w:right w:val="nil"/>
            </w:tcBorders>
          </w:tcPr>
          <w:p w14:paraId="717C34B9"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843" w:type="dxa"/>
            <w:tcBorders>
              <w:top w:val="nil"/>
              <w:left w:val="nil"/>
              <w:bottom w:val="nil"/>
              <w:right w:val="nil"/>
            </w:tcBorders>
          </w:tcPr>
          <w:p w14:paraId="44FF93BE"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1BD3C7A7"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(0.696)</w:t>
            </w:r>
          </w:p>
        </w:tc>
        <w:tc>
          <w:tcPr>
            <w:tcW w:w="971" w:type="dxa"/>
            <w:tcBorders>
              <w:top w:val="nil"/>
              <w:left w:val="nil"/>
              <w:bottom w:val="nil"/>
              <w:right w:val="nil"/>
            </w:tcBorders>
          </w:tcPr>
          <w:p w14:paraId="269F0D2A"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(0.936)</w:t>
            </w:r>
          </w:p>
        </w:tc>
        <w:tc>
          <w:tcPr>
            <w:tcW w:w="851" w:type="dxa"/>
            <w:tcBorders>
              <w:top w:val="nil"/>
              <w:left w:val="nil"/>
              <w:bottom w:val="nil"/>
              <w:right w:val="nil"/>
            </w:tcBorders>
          </w:tcPr>
          <w:p w14:paraId="3EC8C047"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(1.029)</w:t>
            </w:r>
          </w:p>
        </w:tc>
        <w:tc>
          <w:tcPr>
            <w:tcW w:w="850" w:type="dxa"/>
            <w:tcBorders>
              <w:top w:val="nil"/>
              <w:left w:val="nil"/>
              <w:bottom w:val="nil"/>
              <w:right w:val="nil"/>
            </w:tcBorders>
          </w:tcPr>
          <w:p w14:paraId="36852A3A"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(0.929)</w:t>
            </w:r>
          </w:p>
        </w:tc>
        <w:tc>
          <w:tcPr>
            <w:tcW w:w="851" w:type="dxa"/>
            <w:tcBorders>
              <w:top w:val="nil"/>
              <w:left w:val="nil"/>
              <w:bottom w:val="nil"/>
              <w:right w:val="nil"/>
            </w:tcBorders>
          </w:tcPr>
          <w:p w14:paraId="2DB1C305"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(0.942)</w:t>
            </w:r>
          </w:p>
        </w:tc>
      </w:tr>
      <w:tr w:rsidR="00276C97" w:rsidRPr="00CF3C36" w14:paraId="769FEC18" w14:textId="77777777" w:rsidTr="00415E7F">
        <w:trPr>
          <w:jc w:val="center"/>
        </w:trPr>
        <w:tc>
          <w:tcPr>
            <w:tcW w:w="1560" w:type="dxa"/>
            <w:tcBorders>
              <w:top w:val="nil"/>
              <w:left w:val="nil"/>
              <w:bottom w:val="nil"/>
              <w:right w:val="nil"/>
            </w:tcBorders>
          </w:tcPr>
          <w:p w14:paraId="0D3EDB40"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SE_terX</w:t>
            </w:r>
          </w:p>
        </w:tc>
        <w:tc>
          <w:tcPr>
            <w:tcW w:w="843" w:type="dxa"/>
            <w:tcBorders>
              <w:top w:val="nil"/>
              <w:left w:val="nil"/>
              <w:bottom w:val="nil"/>
              <w:right w:val="nil"/>
            </w:tcBorders>
          </w:tcPr>
          <w:p w14:paraId="3F6DE963"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769F4B36"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71" w:type="dxa"/>
            <w:tcBorders>
              <w:top w:val="nil"/>
              <w:left w:val="nil"/>
              <w:bottom w:val="nil"/>
              <w:right w:val="nil"/>
            </w:tcBorders>
          </w:tcPr>
          <w:p w14:paraId="5815450F"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-0.000380</w:t>
            </w:r>
          </w:p>
        </w:tc>
        <w:tc>
          <w:tcPr>
            <w:tcW w:w="851" w:type="dxa"/>
            <w:tcBorders>
              <w:top w:val="nil"/>
              <w:left w:val="nil"/>
              <w:bottom w:val="nil"/>
              <w:right w:val="nil"/>
            </w:tcBorders>
          </w:tcPr>
          <w:p w14:paraId="430746C3"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0.00683</w:t>
            </w:r>
          </w:p>
        </w:tc>
        <w:tc>
          <w:tcPr>
            <w:tcW w:w="850" w:type="dxa"/>
            <w:tcBorders>
              <w:top w:val="nil"/>
              <w:left w:val="nil"/>
              <w:bottom w:val="nil"/>
              <w:right w:val="nil"/>
            </w:tcBorders>
          </w:tcPr>
          <w:p w14:paraId="0932796A"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0.0141</w:t>
            </w:r>
          </w:p>
        </w:tc>
        <w:tc>
          <w:tcPr>
            <w:tcW w:w="851" w:type="dxa"/>
            <w:tcBorders>
              <w:top w:val="nil"/>
              <w:left w:val="nil"/>
              <w:bottom w:val="nil"/>
              <w:right w:val="nil"/>
            </w:tcBorders>
          </w:tcPr>
          <w:p w14:paraId="7068916D"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0.0145</w:t>
            </w:r>
          </w:p>
        </w:tc>
      </w:tr>
      <w:tr w:rsidR="00276C97" w:rsidRPr="00CF3C36" w14:paraId="44D585BE" w14:textId="77777777" w:rsidTr="00415E7F">
        <w:trPr>
          <w:jc w:val="center"/>
        </w:trPr>
        <w:tc>
          <w:tcPr>
            <w:tcW w:w="1560" w:type="dxa"/>
            <w:tcBorders>
              <w:top w:val="nil"/>
              <w:left w:val="nil"/>
              <w:bottom w:val="nil"/>
              <w:right w:val="nil"/>
            </w:tcBorders>
          </w:tcPr>
          <w:p w14:paraId="70314B54"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843" w:type="dxa"/>
            <w:tcBorders>
              <w:top w:val="nil"/>
              <w:left w:val="nil"/>
              <w:bottom w:val="nil"/>
              <w:right w:val="nil"/>
            </w:tcBorders>
          </w:tcPr>
          <w:p w14:paraId="2E23C409"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2D24641D"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71" w:type="dxa"/>
            <w:tcBorders>
              <w:top w:val="nil"/>
              <w:left w:val="nil"/>
              <w:bottom w:val="nil"/>
              <w:right w:val="nil"/>
            </w:tcBorders>
          </w:tcPr>
          <w:p w14:paraId="68217404"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(0.0160)</w:t>
            </w:r>
          </w:p>
        </w:tc>
        <w:tc>
          <w:tcPr>
            <w:tcW w:w="851" w:type="dxa"/>
            <w:tcBorders>
              <w:top w:val="nil"/>
              <w:left w:val="nil"/>
              <w:bottom w:val="nil"/>
              <w:right w:val="nil"/>
            </w:tcBorders>
          </w:tcPr>
          <w:p w14:paraId="666CA23B"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(0.0169)</w:t>
            </w:r>
          </w:p>
        </w:tc>
        <w:tc>
          <w:tcPr>
            <w:tcW w:w="850" w:type="dxa"/>
            <w:tcBorders>
              <w:top w:val="nil"/>
              <w:left w:val="nil"/>
              <w:bottom w:val="nil"/>
              <w:right w:val="nil"/>
            </w:tcBorders>
          </w:tcPr>
          <w:p w14:paraId="70989709"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(0.0181)</w:t>
            </w:r>
          </w:p>
        </w:tc>
        <w:tc>
          <w:tcPr>
            <w:tcW w:w="851" w:type="dxa"/>
            <w:tcBorders>
              <w:top w:val="nil"/>
              <w:left w:val="nil"/>
              <w:bottom w:val="nil"/>
              <w:right w:val="nil"/>
            </w:tcBorders>
          </w:tcPr>
          <w:p w14:paraId="28E719CD"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(0.0158)</w:t>
            </w:r>
          </w:p>
        </w:tc>
      </w:tr>
      <w:tr w:rsidR="00276C97" w:rsidRPr="00CF3C36" w14:paraId="391EA883" w14:textId="77777777" w:rsidTr="00415E7F">
        <w:trPr>
          <w:jc w:val="center"/>
        </w:trPr>
        <w:tc>
          <w:tcPr>
            <w:tcW w:w="1560" w:type="dxa"/>
            <w:tcBorders>
              <w:top w:val="nil"/>
              <w:left w:val="nil"/>
              <w:bottom w:val="nil"/>
              <w:right w:val="nil"/>
            </w:tcBorders>
          </w:tcPr>
          <w:p w14:paraId="4E78B3AC"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eodb1</w:t>
            </w:r>
          </w:p>
        </w:tc>
        <w:tc>
          <w:tcPr>
            <w:tcW w:w="843" w:type="dxa"/>
            <w:tcBorders>
              <w:top w:val="nil"/>
              <w:left w:val="nil"/>
              <w:bottom w:val="nil"/>
              <w:right w:val="nil"/>
            </w:tcBorders>
          </w:tcPr>
          <w:p w14:paraId="0791ABAC"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7A73A552"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71" w:type="dxa"/>
            <w:tcBorders>
              <w:top w:val="nil"/>
              <w:left w:val="nil"/>
              <w:bottom w:val="nil"/>
              <w:right w:val="nil"/>
            </w:tcBorders>
          </w:tcPr>
          <w:p w14:paraId="419A31B3"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-0.0626**</w:t>
            </w:r>
          </w:p>
        </w:tc>
        <w:tc>
          <w:tcPr>
            <w:tcW w:w="851" w:type="dxa"/>
            <w:tcBorders>
              <w:top w:val="nil"/>
              <w:left w:val="nil"/>
              <w:bottom w:val="nil"/>
              <w:right w:val="nil"/>
            </w:tcBorders>
          </w:tcPr>
          <w:p w14:paraId="5371840E"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-0.0394</w:t>
            </w:r>
          </w:p>
        </w:tc>
        <w:tc>
          <w:tcPr>
            <w:tcW w:w="850" w:type="dxa"/>
            <w:tcBorders>
              <w:top w:val="nil"/>
              <w:left w:val="nil"/>
              <w:bottom w:val="nil"/>
              <w:right w:val="nil"/>
            </w:tcBorders>
          </w:tcPr>
          <w:p w14:paraId="44E3F9BB"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-0.0332</w:t>
            </w:r>
          </w:p>
        </w:tc>
        <w:tc>
          <w:tcPr>
            <w:tcW w:w="851" w:type="dxa"/>
            <w:tcBorders>
              <w:top w:val="nil"/>
              <w:left w:val="nil"/>
              <w:bottom w:val="nil"/>
              <w:right w:val="nil"/>
            </w:tcBorders>
          </w:tcPr>
          <w:p w14:paraId="78F0634E"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-0.0273</w:t>
            </w:r>
          </w:p>
        </w:tc>
      </w:tr>
      <w:tr w:rsidR="00276C97" w:rsidRPr="00CF3C36" w14:paraId="69603D95" w14:textId="77777777" w:rsidTr="00415E7F">
        <w:trPr>
          <w:jc w:val="center"/>
        </w:trPr>
        <w:tc>
          <w:tcPr>
            <w:tcW w:w="1560" w:type="dxa"/>
            <w:tcBorders>
              <w:top w:val="nil"/>
              <w:left w:val="nil"/>
              <w:bottom w:val="nil"/>
              <w:right w:val="nil"/>
            </w:tcBorders>
          </w:tcPr>
          <w:p w14:paraId="6833891F"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843" w:type="dxa"/>
            <w:tcBorders>
              <w:top w:val="nil"/>
              <w:left w:val="nil"/>
              <w:bottom w:val="nil"/>
              <w:right w:val="nil"/>
            </w:tcBorders>
          </w:tcPr>
          <w:p w14:paraId="1C205ACE"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204863EF"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71" w:type="dxa"/>
            <w:tcBorders>
              <w:top w:val="nil"/>
              <w:left w:val="nil"/>
              <w:bottom w:val="nil"/>
              <w:right w:val="nil"/>
            </w:tcBorders>
          </w:tcPr>
          <w:p w14:paraId="142E8C29"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(0.0237)</w:t>
            </w:r>
          </w:p>
        </w:tc>
        <w:tc>
          <w:tcPr>
            <w:tcW w:w="851" w:type="dxa"/>
            <w:tcBorders>
              <w:top w:val="nil"/>
              <w:left w:val="nil"/>
              <w:bottom w:val="nil"/>
              <w:right w:val="nil"/>
            </w:tcBorders>
          </w:tcPr>
          <w:p w14:paraId="58C3CD8C"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(0.0230)</w:t>
            </w:r>
          </w:p>
        </w:tc>
        <w:tc>
          <w:tcPr>
            <w:tcW w:w="850" w:type="dxa"/>
            <w:tcBorders>
              <w:top w:val="nil"/>
              <w:left w:val="nil"/>
              <w:bottom w:val="nil"/>
              <w:right w:val="nil"/>
            </w:tcBorders>
          </w:tcPr>
          <w:p w14:paraId="6AB146BA"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(0.0221)</w:t>
            </w:r>
          </w:p>
        </w:tc>
        <w:tc>
          <w:tcPr>
            <w:tcW w:w="851" w:type="dxa"/>
            <w:tcBorders>
              <w:top w:val="nil"/>
              <w:left w:val="nil"/>
              <w:bottom w:val="nil"/>
              <w:right w:val="nil"/>
            </w:tcBorders>
          </w:tcPr>
          <w:p w14:paraId="2DF349BA"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(0.0217)</w:t>
            </w:r>
          </w:p>
        </w:tc>
      </w:tr>
      <w:tr w:rsidR="00276C97" w:rsidRPr="00CF3C36" w14:paraId="3E59ABDB" w14:textId="77777777" w:rsidTr="00415E7F">
        <w:trPr>
          <w:jc w:val="center"/>
        </w:trPr>
        <w:tc>
          <w:tcPr>
            <w:tcW w:w="1560" w:type="dxa"/>
            <w:tcBorders>
              <w:top w:val="nil"/>
              <w:left w:val="nil"/>
              <w:bottom w:val="nil"/>
              <w:right w:val="nil"/>
            </w:tcBorders>
          </w:tcPr>
          <w:p w14:paraId="2C27753E"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governance</w:t>
            </w:r>
          </w:p>
        </w:tc>
        <w:tc>
          <w:tcPr>
            <w:tcW w:w="843" w:type="dxa"/>
            <w:tcBorders>
              <w:top w:val="nil"/>
              <w:left w:val="nil"/>
              <w:bottom w:val="nil"/>
              <w:right w:val="nil"/>
            </w:tcBorders>
          </w:tcPr>
          <w:p w14:paraId="00C98586"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4E14096C"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71" w:type="dxa"/>
            <w:tcBorders>
              <w:top w:val="nil"/>
              <w:left w:val="nil"/>
              <w:bottom w:val="nil"/>
              <w:right w:val="nil"/>
            </w:tcBorders>
          </w:tcPr>
          <w:p w14:paraId="71BA405C"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-0.209</w:t>
            </w:r>
          </w:p>
        </w:tc>
        <w:tc>
          <w:tcPr>
            <w:tcW w:w="851" w:type="dxa"/>
            <w:tcBorders>
              <w:top w:val="nil"/>
              <w:left w:val="nil"/>
              <w:bottom w:val="nil"/>
              <w:right w:val="nil"/>
            </w:tcBorders>
          </w:tcPr>
          <w:p w14:paraId="114403B5"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-0.373**</w:t>
            </w:r>
          </w:p>
        </w:tc>
        <w:tc>
          <w:tcPr>
            <w:tcW w:w="850" w:type="dxa"/>
            <w:tcBorders>
              <w:top w:val="nil"/>
              <w:left w:val="nil"/>
              <w:bottom w:val="nil"/>
              <w:right w:val="nil"/>
            </w:tcBorders>
          </w:tcPr>
          <w:p w14:paraId="794EFB03"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-0.258*</w:t>
            </w:r>
          </w:p>
        </w:tc>
        <w:tc>
          <w:tcPr>
            <w:tcW w:w="851" w:type="dxa"/>
            <w:tcBorders>
              <w:top w:val="nil"/>
              <w:left w:val="nil"/>
              <w:bottom w:val="nil"/>
              <w:right w:val="nil"/>
            </w:tcBorders>
          </w:tcPr>
          <w:p w14:paraId="66008E22"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-0.238</w:t>
            </w:r>
          </w:p>
        </w:tc>
      </w:tr>
      <w:tr w:rsidR="00276C97" w:rsidRPr="00CF3C36" w14:paraId="3D4611CF" w14:textId="77777777" w:rsidTr="00415E7F">
        <w:trPr>
          <w:jc w:val="center"/>
        </w:trPr>
        <w:tc>
          <w:tcPr>
            <w:tcW w:w="1560" w:type="dxa"/>
            <w:tcBorders>
              <w:top w:val="nil"/>
              <w:left w:val="nil"/>
              <w:bottom w:val="nil"/>
              <w:right w:val="nil"/>
            </w:tcBorders>
          </w:tcPr>
          <w:p w14:paraId="1122D3EB"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843" w:type="dxa"/>
            <w:tcBorders>
              <w:top w:val="nil"/>
              <w:left w:val="nil"/>
              <w:bottom w:val="nil"/>
              <w:right w:val="nil"/>
            </w:tcBorders>
          </w:tcPr>
          <w:p w14:paraId="00288C4E"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2E9B4D13"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71" w:type="dxa"/>
            <w:tcBorders>
              <w:top w:val="nil"/>
              <w:left w:val="nil"/>
              <w:bottom w:val="nil"/>
              <w:right w:val="nil"/>
            </w:tcBorders>
          </w:tcPr>
          <w:p w14:paraId="16E8A959"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(0.148)</w:t>
            </w:r>
          </w:p>
        </w:tc>
        <w:tc>
          <w:tcPr>
            <w:tcW w:w="851" w:type="dxa"/>
            <w:tcBorders>
              <w:top w:val="nil"/>
              <w:left w:val="nil"/>
              <w:bottom w:val="nil"/>
              <w:right w:val="nil"/>
            </w:tcBorders>
          </w:tcPr>
          <w:p w14:paraId="76B57C38"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(0.145)</w:t>
            </w:r>
          </w:p>
        </w:tc>
        <w:tc>
          <w:tcPr>
            <w:tcW w:w="850" w:type="dxa"/>
            <w:tcBorders>
              <w:top w:val="nil"/>
              <w:left w:val="nil"/>
              <w:bottom w:val="nil"/>
              <w:right w:val="nil"/>
            </w:tcBorders>
          </w:tcPr>
          <w:p w14:paraId="2B6B55B9"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(0.128)</w:t>
            </w:r>
          </w:p>
        </w:tc>
        <w:tc>
          <w:tcPr>
            <w:tcW w:w="851" w:type="dxa"/>
            <w:tcBorders>
              <w:top w:val="nil"/>
              <w:left w:val="nil"/>
              <w:bottom w:val="nil"/>
              <w:right w:val="nil"/>
            </w:tcBorders>
          </w:tcPr>
          <w:p w14:paraId="4FC46AE7"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(0.136)</w:t>
            </w:r>
          </w:p>
        </w:tc>
      </w:tr>
      <w:tr w:rsidR="00276C97" w:rsidRPr="00CF3C36" w14:paraId="553ADAC9" w14:textId="77777777" w:rsidTr="00415E7F">
        <w:trPr>
          <w:jc w:val="center"/>
        </w:trPr>
        <w:tc>
          <w:tcPr>
            <w:tcW w:w="1560" w:type="dxa"/>
            <w:tcBorders>
              <w:top w:val="nil"/>
              <w:left w:val="nil"/>
              <w:bottom w:val="nil"/>
              <w:right w:val="nil"/>
            </w:tcBorders>
          </w:tcPr>
          <w:p w14:paraId="44260FA3"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ln_KL</w:t>
            </w:r>
          </w:p>
        </w:tc>
        <w:tc>
          <w:tcPr>
            <w:tcW w:w="843" w:type="dxa"/>
            <w:tcBorders>
              <w:top w:val="nil"/>
              <w:left w:val="nil"/>
              <w:bottom w:val="nil"/>
              <w:right w:val="nil"/>
            </w:tcBorders>
          </w:tcPr>
          <w:p w14:paraId="0332A71A"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49413D7A"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71" w:type="dxa"/>
            <w:tcBorders>
              <w:top w:val="nil"/>
              <w:left w:val="nil"/>
              <w:bottom w:val="nil"/>
              <w:right w:val="nil"/>
            </w:tcBorders>
          </w:tcPr>
          <w:p w14:paraId="66E05187"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1" w:type="dxa"/>
            <w:tcBorders>
              <w:top w:val="nil"/>
              <w:left w:val="nil"/>
              <w:bottom w:val="nil"/>
              <w:right w:val="nil"/>
            </w:tcBorders>
          </w:tcPr>
          <w:p w14:paraId="46A4A194"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-2.004**</w:t>
            </w:r>
          </w:p>
        </w:tc>
        <w:tc>
          <w:tcPr>
            <w:tcW w:w="850" w:type="dxa"/>
            <w:tcBorders>
              <w:top w:val="nil"/>
              <w:left w:val="nil"/>
              <w:bottom w:val="nil"/>
              <w:right w:val="nil"/>
            </w:tcBorders>
          </w:tcPr>
          <w:p w14:paraId="34D77612"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1.685</w:t>
            </w:r>
          </w:p>
        </w:tc>
        <w:tc>
          <w:tcPr>
            <w:tcW w:w="851" w:type="dxa"/>
            <w:tcBorders>
              <w:top w:val="nil"/>
              <w:left w:val="nil"/>
              <w:bottom w:val="nil"/>
              <w:right w:val="nil"/>
            </w:tcBorders>
          </w:tcPr>
          <w:p w14:paraId="48D95912"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1.296</w:t>
            </w:r>
          </w:p>
        </w:tc>
      </w:tr>
      <w:tr w:rsidR="00276C97" w:rsidRPr="00CF3C36" w14:paraId="70093C16" w14:textId="77777777" w:rsidTr="00415E7F">
        <w:trPr>
          <w:jc w:val="center"/>
        </w:trPr>
        <w:tc>
          <w:tcPr>
            <w:tcW w:w="1560" w:type="dxa"/>
            <w:tcBorders>
              <w:top w:val="nil"/>
              <w:left w:val="nil"/>
              <w:bottom w:val="nil"/>
              <w:right w:val="nil"/>
            </w:tcBorders>
          </w:tcPr>
          <w:p w14:paraId="4DE8234A"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843" w:type="dxa"/>
            <w:tcBorders>
              <w:top w:val="nil"/>
              <w:left w:val="nil"/>
              <w:bottom w:val="nil"/>
              <w:right w:val="nil"/>
            </w:tcBorders>
          </w:tcPr>
          <w:p w14:paraId="5D9EB8A7"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2D1ED8A7"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71" w:type="dxa"/>
            <w:tcBorders>
              <w:top w:val="nil"/>
              <w:left w:val="nil"/>
              <w:bottom w:val="nil"/>
              <w:right w:val="nil"/>
            </w:tcBorders>
          </w:tcPr>
          <w:p w14:paraId="136A4D6C"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1" w:type="dxa"/>
            <w:tcBorders>
              <w:top w:val="nil"/>
              <w:left w:val="nil"/>
              <w:bottom w:val="nil"/>
              <w:right w:val="nil"/>
            </w:tcBorders>
          </w:tcPr>
          <w:p w14:paraId="7028D809"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(0.612)</w:t>
            </w:r>
          </w:p>
        </w:tc>
        <w:tc>
          <w:tcPr>
            <w:tcW w:w="850" w:type="dxa"/>
            <w:tcBorders>
              <w:top w:val="nil"/>
              <w:left w:val="nil"/>
              <w:bottom w:val="nil"/>
              <w:right w:val="nil"/>
            </w:tcBorders>
          </w:tcPr>
          <w:p w14:paraId="69F4CD20"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(1.893)</w:t>
            </w:r>
          </w:p>
        </w:tc>
        <w:tc>
          <w:tcPr>
            <w:tcW w:w="851" w:type="dxa"/>
            <w:tcBorders>
              <w:top w:val="nil"/>
              <w:left w:val="nil"/>
              <w:bottom w:val="nil"/>
              <w:right w:val="nil"/>
            </w:tcBorders>
          </w:tcPr>
          <w:p w14:paraId="6F6E2834"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(1.990)</w:t>
            </w:r>
          </w:p>
        </w:tc>
      </w:tr>
      <w:tr w:rsidR="00276C97" w:rsidRPr="00CF3C36" w14:paraId="57C83B3D" w14:textId="77777777" w:rsidTr="00415E7F">
        <w:trPr>
          <w:jc w:val="center"/>
        </w:trPr>
        <w:tc>
          <w:tcPr>
            <w:tcW w:w="1560" w:type="dxa"/>
            <w:tcBorders>
              <w:top w:val="nil"/>
              <w:left w:val="nil"/>
              <w:bottom w:val="nil"/>
              <w:right w:val="nil"/>
            </w:tcBorders>
          </w:tcPr>
          <w:p w14:paraId="2D531918"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ln_KL_2</w:t>
            </w:r>
          </w:p>
        </w:tc>
        <w:tc>
          <w:tcPr>
            <w:tcW w:w="843" w:type="dxa"/>
            <w:tcBorders>
              <w:top w:val="nil"/>
              <w:left w:val="nil"/>
              <w:bottom w:val="nil"/>
              <w:right w:val="nil"/>
            </w:tcBorders>
          </w:tcPr>
          <w:p w14:paraId="67F6865B"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778D4CB0"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71" w:type="dxa"/>
            <w:tcBorders>
              <w:top w:val="nil"/>
              <w:left w:val="nil"/>
              <w:bottom w:val="nil"/>
              <w:right w:val="nil"/>
            </w:tcBorders>
          </w:tcPr>
          <w:p w14:paraId="02C3F0E8"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1" w:type="dxa"/>
            <w:tcBorders>
              <w:top w:val="nil"/>
              <w:left w:val="nil"/>
              <w:bottom w:val="nil"/>
              <w:right w:val="nil"/>
            </w:tcBorders>
          </w:tcPr>
          <w:p w14:paraId="31FD963A"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6878ED69"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-0.464*</w:t>
            </w:r>
          </w:p>
        </w:tc>
        <w:tc>
          <w:tcPr>
            <w:tcW w:w="851" w:type="dxa"/>
            <w:tcBorders>
              <w:top w:val="nil"/>
              <w:left w:val="nil"/>
              <w:bottom w:val="nil"/>
              <w:right w:val="nil"/>
            </w:tcBorders>
          </w:tcPr>
          <w:p w14:paraId="0238CAC9"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-0.440</w:t>
            </w:r>
          </w:p>
        </w:tc>
      </w:tr>
      <w:tr w:rsidR="00276C97" w:rsidRPr="00CF3C36" w14:paraId="6194E0C2" w14:textId="77777777" w:rsidTr="00415E7F">
        <w:trPr>
          <w:jc w:val="center"/>
        </w:trPr>
        <w:tc>
          <w:tcPr>
            <w:tcW w:w="1560" w:type="dxa"/>
            <w:tcBorders>
              <w:top w:val="nil"/>
              <w:left w:val="nil"/>
              <w:bottom w:val="nil"/>
              <w:right w:val="nil"/>
            </w:tcBorders>
          </w:tcPr>
          <w:p w14:paraId="3795722C"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843" w:type="dxa"/>
            <w:tcBorders>
              <w:top w:val="nil"/>
              <w:left w:val="nil"/>
              <w:bottom w:val="nil"/>
              <w:right w:val="nil"/>
            </w:tcBorders>
          </w:tcPr>
          <w:p w14:paraId="7B49D8BF"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5B0D24A0"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71" w:type="dxa"/>
            <w:tcBorders>
              <w:top w:val="nil"/>
              <w:left w:val="nil"/>
              <w:bottom w:val="nil"/>
              <w:right w:val="nil"/>
            </w:tcBorders>
          </w:tcPr>
          <w:p w14:paraId="2242F71A"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1" w:type="dxa"/>
            <w:tcBorders>
              <w:top w:val="nil"/>
              <w:left w:val="nil"/>
              <w:bottom w:val="nil"/>
              <w:right w:val="nil"/>
            </w:tcBorders>
          </w:tcPr>
          <w:p w14:paraId="7E0E6646"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097696BA"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(0.214)</w:t>
            </w:r>
          </w:p>
        </w:tc>
        <w:tc>
          <w:tcPr>
            <w:tcW w:w="851" w:type="dxa"/>
            <w:tcBorders>
              <w:top w:val="nil"/>
              <w:left w:val="nil"/>
              <w:bottom w:val="nil"/>
              <w:right w:val="nil"/>
            </w:tcBorders>
          </w:tcPr>
          <w:p w14:paraId="25810476"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(0.251)</w:t>
            </w:r>
          </w:p>
        </w:tc>
      </w:tr>
      <w:tr w:rsidR="00276C97" w:rsidRPr="00CF3C36" w14:paraId="36CF018F" w14:textId="77777777" w:rsidTr="00415E7F">
        <w:trPr>
          <w:jc w:val="center"/>
        </w:trPr>
        <w:tc>
          <w:tcPr>
            <w:tcW w:w="1560" w:type="dxa"/>
            <w:tcBorders>
              <w:top w:val="nil"/>
              <w:left w:val="nil"/>
              <w:bottom w:val="nil"/>
              <w:right w:val="nil"/>
            </w:tcBorders>
          </w:tcPr>
          <w:p w14:paraId="277F4DAB"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EPI_ln_KL_cen</w:t>
            </w:r>
          </w:p>
        </w:tc>
        <w:tc>
          <w:tcPr>
            <w:tcW w:w="843" w:type="dxa"/>
            <w:tcBorders>
              <w:top w:val="nil"/>
              <w:left w:val="nil"/>
              <w:bottom w:val="nil"/>
              <w:right w:val="nil"/>
            </w:tcBorders>
          </w:tcPr>
          <w:p w14:paraId="59D34EC5"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1A81B782"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71" w:type="dxa"/>
            <w:tcBorders>
              <w:top w:val="nil"/>
              <w:left w:val="nil"/>
              <w:bottom w:val="nil"/>
              <w:right w:val="nil"/>
            </w:tcBorders>
          </w:tcPr>
          <w:p w14:paraId="7D69A4D4"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1" w:type="dxa"/>
            <w:tcBorders>
              <w:top w:val="nil"/>
              <w:left w:val="nil"/>
              <w:bottom w:val="nil"/>
              <w:right w:val="nil"/>
            </w:tcBorders>
          </w:tcPr>
          <w:p w14:paraId="58E55878"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717FCC62"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1" w:type="dxa"/>
            <w:tcBorders>
              <w:top w:val="nil"/>
              <w:left w:val="nil"/>
              <w:bottom w:val="nil"/>
              <w:right w:val="nil"/>
            </w:tcBorders>
          </w:tcPr>
          <w:p w14:paraId="4ED0AECE"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-0.105</w:t>
            </w:r>
          </w:p>
        </w:tc>
      </w:tr>
      <w:tr w:rsidR="00276C97" w:rsidRPr="00CF3C36" w14:paraId="682AEC25" w14:textId="77777777" w:rsidTr="00415E7F">
        <w:trPr>
          <w:jc w:val="center"/>
        </w:trPr>
        <w:tc>
          <w:tcPr>
            <w:tcW w:w="1560" w:type="dxa"/>
            <w:tcBorders>
              <w:top w:val="nil"/>
              <w:left w:val="nil"/>
              <w:bottom w:val="nil"/>
              <w:right w:val="nil"/>
            </w:tcBorders>
          </w:tcPr>
          <w:p w14:paraId="3E7B93EE"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843" w:type="dxa"/>
            <w:tcBorders>
              <w:top w:val="nil"/>
              <w:left w:val="nil"/>
              <w:bottom w:val="nil"/>
              <w:right w:val="nil"/>
            </w:tcBorders>
          </w:tcPr>
          <w:p w14:paraId="25E6E828"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26650014"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71" w:type="dxa"/>
            <w:tcBorders>
              <w:top w:val="nil"/>
              <w:left w:val="nil"/>
              <w:bottom w:val="nil"/>
              <w:right w:val="nil"/>
            </w:tcBorders>
          </w:tcPr>
          <w:p w14:paraId="0BC0C5ED"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1" w:type="dxa"/>
            <w:tcBorders>
              <w:top w:val="nil"/>
              <w:left w:val="nil"/>
              <w:bottom w:val="nil"/>
              <w:right w:val="nil"/>
            </w:tcBorders>
          </w:tcPr>
          <w:p w14:paraId="7D75D396"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2C430E11"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1" w:type="dxa"/>
            <w:tcBorders>
              <w:top w:val="nil"/>
              <w:left w:val="nil"/>
              <w:bottom w:val="nil"/>
              <w:right w:val="nil"/>
            </w:tcBorders>
          </w:tcPr>
          <w:p w14:paraId="237F5D4C"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(0.209)</w:t>
            </w:r>
          </w:p>
        </w:tc>
      </w:tr>
      <w:tr w:rsidR="00276C97" w:rsidRPr="00CF3C36" w14:paraId="0226C7B7" w14:textId="77777777" w:rsidTr="00415E7F">
        <w:trPr>
          <w:jc w:val="center"/>
        </w:trPr>
        <w:tc>
          <w:tcPr>
            <w:tcW w:w="1560" w:type="dxa"/>
            <w:tcBorders>
              <w:top w:val="nil"/>
              <w:left w:val="nil"/>
              <w:bottom w:val="nil"/>
              <w:right w:val="nil"/>
            </w:tcBorders>
          </w:tcPr>
          <w:p w14:paraId="51B248D8"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EPI_ln_KL_2_cen</w:t>
            </w:r>
          </w:p>
        </w:tc>
        <w:tc>
          <w:tcPr>
            <w:tcW w:w="843" w:type="dxa"/>
            <w:tcBorders>
              <w:top w:val="nil"/>
              <w:left w:val="nil"/>
              <w:bottom w:val="nil"/>
              <w:right w:val="nil"/>
            </w:tcBorders>
          </w:tcPr>
          <w:p w14:paraId="3FA1548B"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2B353CAD"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71" w:type="dxa"/>
            <w:tcBorders>
              <w:top w:val="nil"/>
              <w:left w:val="nil"/>
              <w:bottom w:val="nil"/>
              <w:right w:val="nil"/>
            </w:tcBorders>
          </w:tcPr>
          <w:p w14:paraId="34658D11"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1" w:type="dxa"/>
            <w:tcBorders>
              <w:top w:val="nil"/>
              <w:left w:val="nil"/>
              <w:bottom w:val="nil"/>
              <w:right w:val="nil"/>
            </w:tcBorders>
          </w:tcPr>
          <w:p w14:paraId="36E1A54F"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098FA344"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1" w:type="dxa"/>
            <w:tcBorders>
              <w:top w:val="nil"/>
              <w:left w:val="nil"/>
              <w:bottom w:val="nil"/>
              <w:right w:val="nil"/>
            </w:tcBorders>
          </w:tcPr>
          <w:p w14:paraId="667719D4"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0.0150</w:t>
            </w:r>
          </w:p>
        </w:tc>
      </w:tr>
      <w:tr w:rsidR="00276C97" w:rsidRPr="00CF3C36" w14:paraId="0711C5DC" w14:textId="77777777" w:rsidTr="00415E7F">
        <w:trPr>
          <w:jc w:val="center"/>
        </w:trPr>
        <w:tc>
          <w:tcPr>
            <w:tcW w:w="1560" w:type="dxa"/>
            <w:tcBorders>
              <w:top w:val="nil"/>
              <w:left w:val="nil"/>
              <w:bottom w:val="nil"/>
              <w:right w:val="nil"/>
            </w:tcBorders>
          </w:tcPr>
          <w:p w14:paraId="24C867F6"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843" w:type="dxa"/>
            <w:tcBorders>
              <w:top w:val="nil"/>
              <w:left w:val="nil"/>
              <w:bottom w:val="nil"/>
              <w:right w:val="nil"/>
            </w:tcBorders>
          </w:tcPr>
          <w:p w14:paraId="37490FDA"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08F1F39E"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71" w:type="dxa"/>
            <w:tcBorders>
              <w:top w:val="nil"/>
              <w:left w:val="nil"/>
              <w:bottom w:val="nil"/>
              <w:right w:val="nil"/>
            </w:tcBorders>
          </w:tcPr>
          <w:p w14:paraId="451BAA92"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1" w:type="dxa"/>
            <w:tcBorders>
              <w:top w:val="nil"/>
              <w:left w:val="nil"/>
              <w:bottom w:val="nil"/>
              <w:right w:val="nil"/>
            </w:tcBorders>
          </w:tcPr>
          <w:p w14:paraId="516B8964"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25829FD1"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1" w:type="dxa"/>
            <w:tcBorders>
              <w:top w:val="nil"/>
              <w:left w:val="nil"/>
              <w:bottom w:val="nil"/>
              <w:right w:val="nil"/>
            </w:tcBorders>
          </w:tcPr>
          <w:p w14:paraId="1F39CA47"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(0.0236)</w:t>
            </w:r>
          </w:p>
        </w:tc>
      </w:tr>
      <w:tr w:rsidR="00276C97" w:rsidRPr="00CF3C36" w14:paraId="18C29F0F" w14:textId="77777777" w:rsidTr="00415E7F">
        <w:trPr>
          <w:jc w:val="center"/>
        </w:trPr>
        <w:tc>
          <w:tcPr>
            <w:tcW w:w="1560" w:type="dxa"/>
            <w:tcBorders>
              <w:top w:val="nil"/>
              <w:left w:val="nil"/>
              <w:bottom w:val="nil"/>
              <w:right w:val="nil"/>
            </w:tcBorders>
          </w:tcPr>
          <w:p w14:paraId="4FE04803"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Constant</w:t>
            </w:r>
          </w:p>
        </w:tc>
        <w:tc>
          <w:tcPr>
            <w:tcW w:w="843" w:type="dxa"/>
            <w:tcBorders>
              <w:top w:val="nil"/>
              <w:left w:val="nil"/>
              <w:bottom w:val="nil"/>
              <w:right w:val="nil"/>
            </w:tcBorders>
          </w:tcPr>
          <w:p w14:paraId="6A3772AE"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2.788***</w:t>
            </w:r>
          </w:p>
        </w:tc>
        <w:tc>
          <w:tcPr>
            <w:tcW w:w="850" w:type="dxa"/>
            <w:tcBorders>
              <w:top w:val="nil"/>
              <w:left w:val="nil"/>
              <w:bottom w:val="nil"/>
              <w:right w:val="nil"/>
            </w:tcBorders>
          </w:tcPr>
          <w:p w14:paraId="6C376403"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12.99</w:t>
            </w:r>
          </w:p>
        </w:tc>
        <w:tc>
          <w:tcPr>
            <w:tcW w:w="971" w:type="dxa"/>
            <w:tcBorders>
              <w:top w:val="nil"/>
              <w:left w:val="nil"/>
              <w:bottom w:val="nil"/>
              <w:right w:val="nil"/>
            </w:tcBorders>
          </w:tcPr>
          <w:p w14:paraId="2404A906"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10.00</w:t>
            </w:r>
          </w:p>
        </w:tc>
        <w:tc>
          <w:tcPr>
            <w:tcW w:w="851" w:type="dxa"/>
            <w:tcBorders>
              <w:top w:val="nil"/>
              <w:left w:val="nil"/>
              <w:bottom w:val="nil"/>
              <w:right w:val="nil"/>
            </w:tcBorders>
          </w:tcPr>
          <w:p w14:paraId="61D50E3D"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-8.300</w:t>
            </w:r>
          </w:p>
        </w:tc>
        <w:tc>
          <w:tcPr>
            <w:tcW w:w="850" w:type="dxa"/>
            <w:tcBorders>
              <w:top w:val="nil"/>
              <w:left w:val="nil"/>
              <w:bottom w:val="nil"/>
              <w:right w:val="nil"/>
            </w:tcBorders>
          </w:tcPr>
          <w:p w14:paraId="459029CE"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-10.64</w:t>
            </w:r>
          </w:p>
        </w:tc>
        <w:tc>
          <w:tcPr>
            <w:tcW w:w="851" w:type="dxa"/>
            <w:tcBorders>
              <w:top w:val="nil"/>
              <w:left w:val="nil"/>
              <w:bottom w:val="nil"/>
              <w:right w:val="nil"/>
            </w:tcBorders>
          </w:tcPr>
          <w:p w14:paraId="46A0900A"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-10.96</w:t>
            </w:r>
          </w:p>
        </w:tc>
      </w:tr>
      <w:tr w:rsidR="00276C97" w:rsidRPr="00CF3C36" w14:paraId="31CF5902" w14:textId="77777777" w:rsidTr="00415E7F">
        <w:trPr>
          <w:jc w:val="center"/>
        </w:trPr>
        <w:tc>
          <w:tcPr>
            <w:tcW w:w="1560" w:type="dxa"/>
            <w:tcBorders>
              <w:top w:val="nil"/>
              <w:left w:val="nil"/>
              <w:bottom w:val="nil"/>
              <w:right w:val="nil"/>
            </w:tcBorders>
          </w:tcPr>
          <w:p w14:paraId="7D5CCA9A"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843" w:type="dxa"/>
            <w:tcBorders>
              <w:top w:val="nil"/>
              <w:left w:val="nil"/>
              <w:bottom w:val="nil"/>
              <w:right w:val="nil"/>
            </w:tcBorders>
          </w:tcPr>
          <w:p w14:paraId="6BD57313"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(0.793)</w:t>
            </w:r>
          </w:p>
        </w:tc>
        <w:tc>
          <w:tcPr>
            <w:tcW w:w="850" w:type="dxa"/>
            <w:tcBorders>
              <w:top w:val="nil"/>
              <w:left w:val="nil"/>
              <w:bottom w:val="nil"/>
              <w:right w:val="nil"/>
            </w:tcBorders>
          </w:tcPr>
          <w:p w14:paraId="76AC86ED"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(9.042)</w:t>
            </w:r>
          </w:p>
        </w:tc>
        <w:tc>
          <w:tcPr>
            <w:tcW w:w="971" w:type="dxa"/>
            <w:tcBorders>
              <w:top w:val="nil"/>
              <w:left w:val="nil"/>
              <w:bottom w:val="nil"/>
              <w:right w:val="nil"/>
            </w:tcBorders>
          </w:tcPr>
          <w:p w14:paraId="53C12902"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(10.79)</w:t>
            </w:r>
          </w:p>
        </w:tc>
        <w:tc>
          <w:tcPr>
            <w:tcW w:w="851" w:type="dxa"/>
            <w:tcBorders>
              <w:top w:val="nil"/>
              <w:left w:val="nil"/>
              <w:bottom w:val="nil"/>
              <w:right w:val="nil"/>
            </w:tcBorders>
          </w:tcPr>
          <w:p w14:paraId="344F15C2"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(11.34)</w:t>
            </w:r>
          </w:p>
        </w:tc>
        <w:tc>
          <w:tcPr>
            <w:tcW w:w="850" w:type="dxa"/>
            <w:tcBorders>
              <w:top w:val="nil"/>
              <w:left w:val="nil"/>
              <w:bottom w:val="nil"/>
              <w:right w:val="nil"/>
            </w:tcBorders>
          </w:tcPr>
          <w:p w14:paraId="590279C2"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(12.03)</w:t>
            </w:r>
          </w:p>
        </w:tc>
        <w:tc>
          <w:tcPr>
            <w:tcW w:w="851" w:type="dxa"/>
            <w:tcBorders>
              <w:top w:val="nil"/>
              <w:left w:val="nil"/>
              <w:bottom w:val="nil"/>
              <w:right w:val="nil"/>
            </w:tcBorders>
          </w:tcPr>
          <w:p w14:paraId="4F05EFDA"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(12.67)</w:t>
            </w:r>
          </w:p>
        </w:tc>
      </w:tr>
      <w:tr w:rsidR="00276C97" w:rsidRPr="00CF3C36" w14:paraId="2B917CBC" w14:textId="77777777" w:rsidTr="00415E7F">
        <w:trPr>
          <w:jc w:val="center"/>
        </w:trPr>
        <w:tc>
          <w:tcPr>
            <w:tcW w:w="1560" w:type="dxa"/>
            <w:tcBorders>
              <w:top w:val="nil"/>
              <w:left w:val="nil"/>
              <w:bottom w:val="nil"/>
              <w:right w:val="nil"/>
            </w:tcBorders>
          </w:tcPr>
          <w:p w14:paraId="7A968142"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p>
        </w:tc>
        <w:tc>
          <w:tcPr>
            <w:tcW w:w="843" w:type="dxa"/>
            <w:tcBorders>
              <w:top w:val="nil"/>
              <w:left w:val="nil"/>
              <w:bottom w:val="nil"/>
              <w:right w:val="nil"/>
            </w:tcBorders>
          </w:tcPr>
          <w:p w14:paraId="7AE9B184"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724C0E8F"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971" w:type="dxa"/>
            <w:tcBorders>
              <w:top w:val="nil"/>
              <w:left w:val="nil"/>
              <w:bottom w:val="nil"/>
              <w:right w:val="nil"/>
            </w:tcBorders>
          </w:tcPr>
          <w:p w14:paraId="6AD77CA8"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1" w:type="dxa"/>
            <w:tcBorders>
              <w:top w:val="nil"/>
              <w:left w:val="nil"/>
              <w:bottom w:val="nil"/>
              <w:right w:val="nil"/>
            </w:tcBorders>
          </w:tcPr>
          <w:p w14:paraId="67D62AD8"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0" w:type="dxa"/>
            <w:tcBorders>
              <w:top w:val="nil"/>
              <w:left w:val="nil"/>
              <w:bottom w:val="nil"/>
              <w:right w:val="nil"/>
            </w:tcBorders>
          </w:tcPr>
          <w:p w14:paraId="1E369D60"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851" w:type="dxa"/>
            <w:tcBorders>
              <w:top w:val="nil"/>
              <w:left w:val="nil"/>
              <w:bottom w:val="nil"/>
              <w:right w:val="nil"/>
            </w:tcBorders>
          </w:tcPr>
          <w:p w14:paraId="30403DD9"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276C97" w:rsidRPr="00CF3C36" w14:paraId="38DB291D" w14:textId="77777777" w:rsidTr="00415E7F">
        <w:trPr>
          <w:jc w:val="center"/>
        </w:trPr>
        <w:tc>
          <w:tcPr>
            <w:tcW w:w="1560" w:type="dxa"/>
            <w:tcBorders>
              <w:top w:val="nil"/>
              <w:left w:val="nil"/>
              <w:bottom w:val="nil"/>
              <w:right w:val="nil"/>
            </w:tcBorders>
          </w:tcPr>
          <w:p w14:paraId="076AF60B"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Observations</w:t>
            </w:r>
          </w:p>
        </w:tc>
        <w:tc>
          <w:tcPr>
            <w:tcW w:w="843" w:type="dxa"/>
            <w:tcBorders>
              <w:top w:val="nil"/>
              <w:left w:val="nil"/>
              <w:bottom w:val="nil"/>
              <w:right w:val="nil"/>
            </w:tcBorders>
          </w:tcPr>
          <w:p w14:paraId="2D6DAAE3"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664</w:t>
            </w:r>
          </w:p>
        </w:tc>
        <w:tc>
          <w:tcPr>
            <w:tcW w:w="850" w:type="dxa"/>
            <w:tcBorders>
              <w:top w:val="nil"/>
              <w:left w:val="nil"/>
              <w:bottom w:val="nil"/>
              <w:right w:val="nil"/>
            </w:tcBorders>
          </w:tcPr>
          <w:p w14:paraId="6341845B"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664</w:t>
            </w:r>
          </w:p>
        </w:tc>
        <w:tc>
          <w:tcPr>
            <w:tcW w:w="971" w:type="dxa"/>
            <w:tcBorders>
              <w:top w:val="nil"/>
              <w:left w:val="nil"/>
              <w:bottom w:val="nil"/>
              <w:right w:val="nil"/>
            </w:tcBorders>
          </w:tcPr>
          <w:p w14:paraId="637F723F"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664</w:t>
            </w:r>
          </w:p>
        </w:tc>
        <w:tc>
          <w:tcPr>
            <w:tcW w:w="851" w:type="dxa"/>
            <w:tcBorders>
              <w:top w:val="nil"/>
              <w:left w:val="nil"/>
              <w:bottom w:val="nil"/>
              <w:right w:val="nil"/>
            </w:tcBorders>
          </w:tcPr>
          <w:p w14:paraId="2B4EB6E6"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664</w:t>
            </w:r>
          </w:p>
        </w:tc>
        <w:tc>
          <w:tcPr>
            <w:tcW w:w="850" w:type="dxa"/>
            <w:tcBorders>
              <w:top w:val="nil"/>
              <w:left w:val="nil"/>
              <w:bottom w:val="nil"/>
              <w:right w:val="nil"/>
            </w:tcBorders>
          </w:tcPr>
          <w:p w14:paraId="05CB717F"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664</w:t>
            </w:r>
          </w:p>
        </w:tc>
        <w:tc>
          <w:tcPr>
            <w:tcW w:w="851" w:type="dxa"/>
            <w:tcBorders>
              <w:top w:val="nil"/>
              <w:left w:val="nil"/>
              <w:bottom w:val="nil"/>
              <w:right w:val="nil"/>
            </w:tcBorders>
          </w:tcPr>
          <w:p w14:paraId="68CDC3BD"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664</w:t>
            </w:r>
          </w:p>
        </w:tc>
      </w:tr>
      <w:tr w:rsidR="00276C97" w:rsidRPr="00CF3C36" w14:paraId="7866966E" w14:textId="77777777" w:rsidTr="00415E7F">
        <w:trPr>
          <w:jc w:val="center"/>
        </w:trPr>
        <w:tc>
          <w:tcPr>
            <w:tcW w:w="1560" w:type="dxa"/>
            <w:tcBorders>
              <w:top w:val="nil"/>
              <w:left w:val="nil"/>
              <w:bottom w:val="nil"/>
              <w:right w:val="nil"/>
            </w:tcBorders>
          </w:tcPr>
          <w:p w14:paraId="4AC51640"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R-squared</w:t>
            </w:r>
          </w:p>
        </w:tc>
        <w:tc>
          <w:tcPr>
            <w:tcW w:w="843" w:type="dxa"/>
            <w:tcBorders>
              <w:top w:val="nil"/>
              <w:left w:val="nil"/>
              <w:bottom w:val="nil"/>
              <w:right w:val="nil"/>
            </w:tcBorders>
          </w:tcPr>
          <w:p w14:paraId="05F3717E"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0.0008</w:t>
            </w:r>
          </w:p>
        </w:tc>
        <w:tc>
          <w:tcPr>
            <w:tcW w:w="850" w:type="dxa"/>
            <w:tcBorders>
              <w:top w:val="nil"/>
              <w:left w:val="nil"/>
              <w:bottom w:val="nil"/>
              <w:right w:val="nil"/>
            </w:tcBorders>
          </w:tcPr>
          <w:p w14:paraId="675592E3"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0.0022</w:t>
            </w:r>
          </w:p>
        </w:tc>
        <w:tc>
          <w:tcPr>
            <w:tcW w:w="971" w:type="dxa"/>
            <w:tcBorders>
              <w:top w:val="nil"/>
              <w:left w:val="nil"/>
              <w:bottom w:val="nil"/>
              <w:right w:val="nil"/>
            </w:tcBorders>
          </w:tcPr>
          <w:p w14:paraId="58F0FD6F"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0.0084</w:t>
            </w:r>
          </w:p>
        </w:tc>
        <w:tc>
          <w:tcPr>
            <w:tcW w:w="851" w:type="dxa"/>
            <w:tcBorders>
              <w:top w:val="nil"/>
              <w:left w:val="nil"/>
              <w:bottom w:val="nil"/>
              <w:right w:val="nil"/>
            </w:tcBorders>
          </w:tcPr>
          <w:p w14:paraId="3037658A"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0.0156</w:t>
            </w:r>
          </w:p>
        </w:tc>
        <w:tc>
          <w:tcPr>
            <w:tcW w:w="850" w:type="dxa"/>
            <w:tcBorders>
              <w:top w:val="nil"/>
              <w:left w:val="nil"/>
              <w:bottom w:val="nil"/>
              <w:right w:val="nil"/>
            </w:tcBorders>
          </w:tcPr>
          <w:p w14:paraId="583F2D48"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0.0234</w:t>
            </w:r>
          </w:p>
        </w:tc>
        <w:tc>
          <w:tcPr>
            <w:tcW w:w="851" w:type="dxa"/>
            <w:tcBorders>
              <w:top w:val="nil"/>
              <w:left w:val="nil"/>
              <w:bottom w:val="nil"/>
              <w:right w:val="nil"/>
            </w:tcBorders>
          </w:tcPr>
          <w:p w14:paraId="0AB90E4F"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0.0245</w:t>
            </w:r>
          </w:p>
        </w:tc>
      </w:tr>
      <w:tr w:rsidR="00276C97" w:rsidRPr="00CF3C36" w14:paraId="0133C703" w14:textId="77777777" w:rsidTr="00415E7F">
        <w:tblPrEx>
          <w:tblBorders>
            <w:bottom w:val="single" w:sz="6" w:space="0" w:color="auto"/>
          </w:tblBorders>
        </w:tblPrEx>
        <w:trPr>
          <w:jc w:val="center"/>
        </w:trPr>
        <w:tc>
          <w:tcPr>
            <w:tcW w:w="1560" w:type="dxa"/>
            <w:tcBorders>
              <w:top w:val="nil"/>
              <w:left w:val="nil"/>
              <w:bottom w:val="single" w:sz="6" w:space="0" w:color="auto"/>
              <w:right w:val="nil"/>
            </w:tcBorders>
          </w:tcPr>
          <w:p w14:paraId="12A600D6" w14:textId="77777777" w:rsidR="00276C97" w:rsidRPr="00CF3C36" w:rsidRDefault="00276C97" w:rsidP="00415E7F">
            <w:pPr>
              <w:widowControl w:val="0"/>
              <w:autoSpaceDE w:val="0"/>
              <w:autoSpaceDN w:val="0"/>
              <w:adjustRightInd w:val="0"/>
              <w:spacing w:after="0" w:line="240" w:lineRule="auto"/>
              <w:rPr>
                <w:rFonts w:ascii="Times New Roman" w:hAnsi="Times New Roman" w:cs="Times New Roman"/>
                <w:sz w:val="18"/>
                <w:szCs w:val="18"/>
                <w:lang w:val="en-GB"/>
              </w:rPr>
            </w:pPr>
            <w:r w:rsidRPr="00CF3C36">
              <w:rPr>
                <w:rFonts w:ascii="Times New Roman" w:hAnsi="Times New Roman" w:cs="Times New Roman"/>
                <w:sz w:val="18"/>
                <w:szCs w:val="18"/>
                <w:lang w:val="en-GB"/>
              </w:rPr>
              <w:t>Number of groups</w:t>
            </w:r>
          </w:p>
        </w:tc>
        <w:tc>
          <w:tcPr>
            <w:tcW w:w="843" w:type="dxa"/>
            <w:tcBorders>
              <w:top w:val="nil"/>
              <w:left w:val="nil"/>
              <w:bottom w:val="single" w:sz="6" w:space="0" w:color="auto"/>
              <w:right w:val="nil"/>
            </w:tcBorders>
          </w:tcPr>
          <w:p w14:paraId="057AC36C"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74</w:t>
            </w:r>
          </w:p>
        </w:tc>
        <w:tc>
          <w:tcPr>
            <w:tcW w:w="850" w:type="dxa"/>
            <w:tcBorders>
              <w:top w:val="nil"/>
              <w:left w:val="nil"/>
              <w:bottom w:val="single" w:sz="6" w:space="0" w:color="auto"/>
              <w:right w:val="nil"/>
            </w:tcBorders>
          </w:tcPr>
          <w:p w14:paraId="51A7CA1E"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74</w:t>
            </w:r>
          </w:p>
        </w:tc>
        <w:tc>
          <w:tcPr>
            <w:tcW w:w="971" w:type="dxa"/>
            <w:tcBorders>
              <w:top w:val="nil"/>
              <w:left w:val="nil"/>
              <w:bottom w:val="single" w:sz="6" w:space="0" w:color="auto"/>
              <w:right w:val="nil"/>
            </w:tcBorders>
          </w:tcPr>
          <w:p w14:paraId="2D01D078"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74</w:t>
            </w:r>
          </w:p>
        </w:tc>
        <w:tc>
          <w:tcPr>
            <w:tcW w:w="851" w:type="dxa"/>
            <w:tcBorders>
              <w:top w:val="nil"/>
              <w:left w:val="nil"/>
              <w:bottom w:val="single" w:sz="6" w:space="0" w:color="auto"/>
              <w:right w:val="nil"/>
            </w:tcBorders>
          </w:tcPr>
          <w:p w14:paraId="39A750D4"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74</w:t>
            </w:r>
          </w:p>
        </w:tc>
        <w:tc>
          <w:tcPr>
            <w:tcW w:w="850" w:type="dxa"/>
            <w:tcBorders>
              <w:top w:val="nil"/>
              <w:left w:val="nil"/>
              <w:bottom w:val="single" w:sz="6" w:space="0" w:color="auto"/>
              <w:right w:val="nil"/>
            </w:tcBorders>
          </w:tcPr>
          <w:p w14:paraId="62D4A88F"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74</w:t>
            </w:r>
          </w:p>
        </w:tc>
        <w:tc>
          <w:tcPr>
            <w:tcW w:w="851" w:type="dxa"/>
            <w:tcBorders>
              <w:top w:val="nil"/>
              <w:left w:val="nil"/>
              <w:bottom w:val="single" w:sz="6" w:space="0" w:color="auto"/>
              <w:right w:val="nil"/>
            </w:tcBorders>
          </w:tcPr>
          <w:p w14:paraId="13536419" w14:textId="77777777" w:rsidR="00276C97" w:rsidRPr="00CF3C36" w:rsidRDefault="00276C97" w:rsidP="00415E7F">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74</w:t>
            </w:r>
          </w:p>
        </w:tc>
      </w:tr>
    </w:tbl>
    <w:p w14:paraId="3A666CD9" w14:textId="77777777" w:rsidR="00276C97" w:rsidRPr="00CF3C36" w:rsidRDefault="00276C97" w:rsidP="00276C97">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Driscoll-Kraay standard errors in parentheses</w:t>
      </w:r>
    </w:p>
    <w:p w14:paraId="066A8180" w14:textId="77777777" w:rsidR="00276C97" w:rsidRPr="00CF3C36" w:rsidRDefault="00276C97" w:rsidP="00276C97">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 p&lt;0.01, ** p&lt;0.05, * p&lt;0.1</w:t>
      </w:r>
    </w:p>
    <w:p w14:paraId="55604BC9" w14:textId="77777777" w:rsidR="00276C97" w:rsidRPr="00CF3C36" w:rsidRDefault="00276C97" w:rsidP="00846572">
      <w:pPr>
        <w:jc w:val="center"/>
        <w:rPr>
          <w:i/>
          <w:lang w:val="en-GB"/>
        </w:rPr>
      </w:pPr>
    </w:p>
    <w:p w14:paraId="3168837A" w14:textId="77777777" w:rsidR="00276C97" w:rsidRPr="00CF3C36" w:rsidRDefault="00276C97" w:rsidP="00846572">
      <w:pPr>
        <w:jc w:val="center"/>
        <w:rPr>
          <w:i/>
          <w:lang w:val="en-GB"/>
        </w:rPr>
      </w:pPr>
    </w:p>
    <w:p w14:paraId="590F5E9A" w14:textId="77777777" w:rsidR="00276C97" w:rsidRPr="00CF3C36" w:rsidRDefault="00276C97" w:rsidP="00846572">
      <w:pPr>
        <w:jc w:val="center"/>
        <w:rPr>
          <w:i/>
          <w:lang w:val="en-GB"/>
        </w:rPr>
      </w:pPr>
    </w:p>
    <w:p w14:paraId="2F9056A1" w14:textId="77777777" w:rsidR="00276C97" w:rsidRPr="00CF3C36" w:rsidRDefault="00276C97" w:rsidP="00846572">
      <w:pPr>
        <w:jc w:val="center"/>
        <w:rPr>
          <w:i/>
          <w:lang w:val="en-GB"/>
        </w:rPr>
      </w:pPr>
    </w:p>
    <w:p w14:paraId="72D28C46" w14:textId="77777777" w:rsidR="00276C97" w:rsidRPr="00CF3C36" w:rsidRDefault="00276C97" w:rsidP="00846572">
      <w:pPr>
        <w:jc w:val="center"/>
        <w:rPr>
          <w:i/>
          <w:lang w:val="en-GB"/>
        </w:rPr>
      </w:pPr>
    </w:p>
    <w:p w14:paraId="70D8B4F6" w14:textId="77777777" w:rsidR="00276C97" w:rsidRPr="00CF3C36" w:rsidRDefault="00276C97" w:rsidP="00846572">
      <w:pPr>
        <w:jc w:val="center"/>
        <w:rPr>
          <w:i/>
          <w:lang w:val="en-GB"/>
        </w:rPr>
      </w:pPr>
    </w:p>
    <w:p w14:paraId="153C6032" w14:textId="77777777" w:rsidR="00276C97" w:rsidRPr="00CF3C36" w:rsidRDefault="00276C97" w:rsidP="00846572">
      <w:pPr>
        <w:jc w:val="center"/>
        <w:rPr>
          <w:i/>
          <w:lang w:val="en-GB"/>
        </w:rPr>
      </w:pPr>
    </w:p>
    <w:p w14:paraId="60CB09EF" w14:textId="77777777" w:rsidR="00276C97" w:rsidRPr="00CF3C36" w:rsidRDefault="00276C97" w:rsidP="00846572">
      <w:pPr>
        <w:jc w:val="center"/>
        <w:rPr>
          <w:i/>
          <w:lang w:val="en-GB"/>
        </w:rPr>
      </w:pPr>
    </w:p>
    <w:p w14:paraId="314ABE4F" w14:textId="77777777" w:rsidR="00276C97" w:rsidRPr="00CF3C36" w:rsidRDefault="00276C97" w:rsidP="00846572">
      <w:pPr>
        <w:jc w:val="center"/>
        <w:rPr>
          <w:i/>
          <w:lang w:val="en-GB"/>
        </w:rPr>
      </w:pPr>
    </w:p>
    <w:p w14:paraId="12C50331" w14:textId="77777777" w:rsidR="00276C97" w:rsidRPr="00CF3C36" w:rsidRDefault="00276C97" w:rsidP="00846572">
      <w:pPr>
        <w:jc w:val="center"/>
        <w:rPr>
          <w:i/>
          <w:lang w:val="en-GB"/>
        </w:rPr>
      </w:pPr>
    </w:p>
    <w:p w14:paraId="0DA77649" w14:textId="77777777" w:rsidR="00276C97" w:rsidRPr="00CF3C36" w:rsidRDefault="00276C97" w:rsidP="00846572">
      <w:pPr>
        <w:jc w:val="center"/>
        <w:rPr>
          <w:i/>
          <w:lang w:val="en-GB"/>
        </w:rPr>
      </w:pPr>
    </w:p>
    <w:p w14:paraId="0047835C" w14:textId="77777777" w:rsidR="00276C97" w:rsidRPr="00CF3C36" w:rsidRDefault="00276C97" w:rsidP="00846572">
      <w:pPr>
        <w:jc w:val="center"/>
        <w:rPr>
          <w:i/>
          <w:lang w:val="en-GB"/>
        </w:rPr>
      </w:pPr>
    </w:p>
    <w:p w14:paraId="4EFFCB5F" w14:textId="77777777" w:rsidR="00276C97" w:rsidRPr="00CF3C36" w:rsidRDefault="00276C97" w:rsidP="00846572">
      <w:pPr>
        <w:jc w:val="center"/>
        <w:rPr>
          <w:i/>
          <w:lang w:val="en-GB"/>
        </w:rPr>
      </w:pPr>
    </w:p>
    <w:p w14:paraId="74FD70E7" w14:textId="77777777" w:rsidR="00276C97" w:rsidRPr="00CF3C36" w:rsidRDefault="00276C97" w:rsidP="00846572">
      <w:pPr>
        <w:jc w:val="center"/>
        <w:rPr>
          <w:i/>
          <w:lang w:val="en-GB"/>
        </w:rPr>
      </w:pPr>
    </w:p>
    <w:p w14:paraId="47E349BA" w14:textId="77777777" w:rsidR="00276C97" w:rsidRPr="00CF3C36" w:rsidRDefault="00276C97" w:rsidP="00846572">
      <w:pPr>
        <w:jc w:val="center"/>
        <w:rPr>
          <w:i/>
          <w:lang w:val="en-GB"/>
        </w:rPr>
      </w:pPr>
    </w:p>
    <w:p w14:paraId="0F20E6D3" w14:textId="77777777" w:rsidR="00276C97" w:rsidRPr="00CF3C36" w:rsidRDefault="00276C97" w:rsidP="00846572">
      <w:pPr>
        <w:jc w:val="center"/>
        <w:rPr>
          <w:i/>
          <w:lang w:val="en-GB"/>
        </w:rPr>
      </w:pPr>
    </w:p>
    <w:p w14:paraId="72246F23" w14:textId="77777777" w:rsidR="00276C97" w:rsidRPr="00CF3C36" w:rsidRDefault="00276C97" w:rsidP="00846572">
      <w:pPr>
        <w:jc w:val="center"/>
        <w:rPr>
          <w:i/>
          <w:lang w:val="en-GB"/>
        </w:rPr>
      </w:pPr>
    </w:p>
    <w:p w14:paraId="7D1568AC" w14:textId="2BE5CDC9" w:rsidR="00846572" w:rsidRPr="00CF3C36" w:rsidRDefault="00864C4C" w:rsidP="00864C4C">
      <w:pPr>
        <w:pStyle w:val="Heading5"/>
        <w:jc w:val="center"/>
        <w:rPr>
          <w:lang w:val="en-GB"/>
        </w:rPr>
      </w:pPr>
      <w:bookmarkStart w:id="57" w:name="_Toc15475689"/>
      <w:r w:rsidRPr="00CF3C36">
        <w:rPr>
          <w:lang w:val="en-GB"/>
        </w:rPr>
        <w:t>Table 2</w:t>
      </w:r>
      <w:r w:rsidR="0033675A" w:rsidRPr="00CF3C36">
        <w:rPr>
          <w:lang w:val="en-GB"/>
        </w:rPr>
        <w:t>6</w:t>
      </w:r>
      <w:r w:rsidRPr="00CF3C36">
        <w:rPr>
          <w:lang w:val="en-GB"/>
        </w:rPr>
        <w:t xml:space="preserve">. </w:t>
      </w:r>
      <w:r w:rsidR="00276C97" w:rsidRPr="00CF3C36">
        <w:rPr>
          <w:lang w:val="en-GB"/>
        </w:rPr>
        <w:t xml:space="preserve">Robustness checks </w:t>
      </w:r>
      <w:r w:rsidR="00846572" w:rsidRPr="00CF3C36">
        <w:rPr>
          <w:lang w:val="en-GB"/>
        </w:rPr>
        <w:t>Model 2.2</w:t>
      </w:r>
      <w:bookmarkEnd w:id="57"/>
    </w:p>
    <w:tbl>
      <w:tblPr>
        <w:tblW w:w="6211" w:type="dxa"/>
        <w:jc w:val="center"/>
        <w:tblLayout w:type="fixed"/>
        <w:tblCellMar>
          <w:left w:w="75" w:type="dxa"/>
          <w:right w:w="75" w:type="dxa"/>
        </w:tblCellMar>
        <w:tblLook w:val="0000" w:firstRow="0" w:lastRow="0" w:firstColumn="0" w:lastColumn="0" w:noHBand="0" w:noVBand="0"/>
      </w:tblPr>
      <w:tblGrid>
        <w:gridCol w:w="1702"/>
        <w:gridCol w:w="1134"/>
        <w:gridCol w:w="1275"/>
        <w:gridCol w:w="1050"/>
        <w:gridCol w:w="1050"/>
      </w:tblGrid>
      <w:tr w:rsidR="00411C95" w:rsidRPr="00CF3C36" w14:paraId="5F750087" w14:textId="77777777" w:rsidTr="007F7204">
        <w:trPr>
          <w:jc w:val="center"/>
        </w:trPr>
        <w:tc>
          <w:tcPr>
            <w:tcW w:w="1702" w:type="dxa"/>
            <w:tcBorders>
              <w:top w:val="single" w:sz="6" w:space="0" w:color="auto"/>
              <w:left w:val="nil"/>
              <w:bottom w:val="nil"/>
              <w:right w:val="nil"/>
            </w:tcBorders>
          </w:tcPr>
          <w:p w14:paraId="0180C8BF" w14:textId="77777777" w:rsidR="00411C95" w:rsidRPr="00CF3C36" w:rsidRDefault="00411C95" w:rsidP="00446374">
            <w:pPr>
              <w:widowControl w:val="0"/>
              <w:autoSpaceDE w:val="0"/>
              <w:autoSpaceDN w:val="0"/>
              <w:adjustRightInd w:val="0"/>
              <w:spacing w:after="0" w:line="240" w:lineRule="auto"/>
              <w:rPr>
                <w:rFonts w:ascii="Times New Roman" w:hAnsi="Times New Roman"/>
                <w:sz w:val="18"/>
                <w:szCs w:val="18"/>
                <w:lang w:val="en-GB"/>
              </w:rPr>
            </w:pPr>
          </w:p>
        </w:tc>
        <w:tc>
          <w:tcPr>
            <w:tcW w:w="1134" w:type="dxa"/>
            <w:tcBorders>
              <w:top w:val="single" w:sz="6" w:space="0" w:color="auto"/>
              <w:left w:val="nil"/>
              <w:bottom w:val="nil"/>
              <w:right w:val="nil"/>
            </w:tcBorders>
          </w:tcPr>
          <w:p w14:paraId="44A1EE20" w14:textId="77777777" w:rsidR="00411C95" w:rsidRPr="00CF3C36" w:rsidRDefault="00411C95" w:rsidP="0044637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w:t>
            </w:r>
          </w:p>
        </w:tc>
        <w:tc>
          <w:tcPr>
            <w:tcW w:w="1275" w:type="dxa"/>
            <w:tcBorders>
              <w:top w:val="single" w:sz="6" w:space="0" w:color="auto"/>
              <w:left w:val="nil"/>
              <w:bottom w:val="nil"/>
              <w:right w:val="nil"/>
            </w:tcBorders>
          </w:tcPr>
          <w:p w14:paraId="133917F2" w14:textId="77777777" w:rsidR="00411C95" w:rsidRPr="00CF3C36" w:rsidRDefault="00411C95" w:rsidP="0044637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w:t>
            </w:r>
          </w:p>
        </w:tc>
        <w:tc>
          <w:tcPr>
            <w:tcW w:w="1050" w:type="dxa"/>
            <w:tcBorders>
              <w:top w:val="single" w:sz="6" w:space="0" w:color="auto"/>
              <w:left w:val="nil"/>
              <w:bottom w:val="nil"/>
              <w:right w:val="nil"/>
            </w:tcBorders>
          </w:tcPr>
          <w:p w14:paraId="10586773" w14:textId="77777777" w:rsidR="00411C95" w:rsidRPr="00CF3C36" w:rsidRDefault="00411C95"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sz w:val="18"/>
                <w:szCs w:val="18"/>
                <w:lang w:val="en-GB"/>
              </w:rPr>
              <w:t>(3</w:t>
            </w:r>
            <w:r w:rsidRPr="00CF3C36">
              <w:rPr>
                <w:rFonts w:ascii="Times New Roman" w:hAnsi="Times New Roman" w:cs="Times New Roman"/>
                <w:sz w:val="18"/>
                <w:szCs w:val="18"/>
                <w:lang w:val="en-GB"/>
              </w:rPr>
              <w:t>)</w:t>
            </w:r>
          </w:p>
        </w:tc>
        <w:tc>
          <w:tcPr>
            <w:tcW w:w="1050" w:type="dxa"/>
            <w:tcBorders>
              <w:top w:val="single" w:sz="6" w:space="0" w:color="auto"/>
              <w:left w:val="nil"/>
              <w:bottom w:val="nil"/>
              <w:right w:val="nil"/>
            </w:tcBorders>
          </w:tcPr>
          <w:p w14:paraId="2A8553A9" w14:textId="77777777" w:rsidR="00411C95" w:rsidRPr="00CF3C36" w:rsidRDefault="00411C95"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sz w:val="18"/>
                <w:szCs w:val="18"/>
                <w:lang w:val="en-GB"/>
              </w:rPr>
              <w:t>(4</w:t>
            </w:r>
            <w:r w:rsidRPr="00CF3C36">
              <w:rPr>
                <w:rFonts w:ascii="Times New Roman" w:hAnsi="Times New Roman" w:cs="Times New Roman"/>
                <w:sz w:val="18"/>
                <w:szCs w:val="18"/>
                <w:lang w:val="en-GB"/>
              </w:rPr>
              <w:t>)</w:t>
            </w:r>
          </w:p>
        </w:tc>
      </w:tr>
      <w:tr w:rsidR="00411C95" w:rsidRPr="00CF3C36" w14:paraId="55CEB494" w14:textId="77777777" w:rsidTr="007F7204">
        <w:trPr>
          <w:jc w:val="center"/>
        </w:trPr>
        <w:tc>
          <w:tcPr>
            <w:tcW w:w="1702" w:type="dxa"/>
            <w:tcBorders>
              <w:top w:val="nil"/>
              <w:left w:val="nil"/>
              <w:bottom w:val="single" w:sz="6" w:space="0" w:color="auto"/>
              <w:right w:val="nil"/>
            </w:tcBorders>
          </w:tcPr>
          <w:p w14:paraId="26A23507" w14:textId="77777777" w:rsidR="00411C95" w:rsidRPr="00CF3C36" w:rsidRDefault="00411C95" w:rsidP="00446374">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VARIABLES</w:t>
            </w:r>
          </w:p>
        </w:tc>
        <w:tc>
          <w:tcPr>
            <w:tcW w:w="1134" w:type="dxa"/>
            <w:tcBorders>
              <w:top w:val="nil"/>
              <w:left w:val="nil"/>
              <w:bottom w:val="single" w:sz="6" w:space="0" w:color="auto"/>
              <w:right w:val="nil"/>
            </w:tcBorders>
          </w:tcPr>
          <w:p w14:paraId="37D91C4B" w14:textId="77777777" w:rsidR="00411C95" w:rsidRPr="00CF3C36" w:rsidRDefault="00411C95" w:rsidP="0044637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2.2 - EPI years</w:t>
            </w:r>
          </w:p>
        </w:tc>
        <w:tc>
          <w:tcPr>
            <w:tcW w:w="1275" w:type="dxa"/>
            <w:tcBorders>
              <w:top w:val="nil"/>
              <w:left w:val="nil"/>
              <w:bottom w:val="single" w:sz="6" w:space="0" w:color="auto"/>
              <w:right w:val="nil"/>
            </w:tcBorders>
          </w:tcPr>
          <w:p w14:paraId="1F1F3F6A" w14:textId="77777777" w:rsidR="00411C95" w:rsidRPr="00CF3C36" w:rsidRDefault="00411C95" w:rsidP="0044637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Model 2.2 - no governance</w:t>
            </w:r>
          </w:p>
        </w:tc>
        <w:tc>
          <w:tcPr>
            <w:tcW w:w="1050" w:type="dxa"/>
            <w:tcBorders>
              <w:top w:val="nil"/>
              <w:left w:val="nil"/>
              <w:bottom w:val="single" w:sz="6" w:space="0" w:color="auto"/>
              <w:right w:val="nil"/>
            </w:tcBorders>
          </w:tcPr>
          <w:p w14:paraId="0CD09B01" w14:textId="77777777" w:rsidR="00411C95" w:rsidRPr="00CF3C36" w:rsidRDefault="00411C95"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2.2 - no missings</w:t>
            </w:r>
          </w:p>
        </w:tc>
        <w:tc>
          <w:tcPr>
            <w:tcW w:w="1050" w:type="dxa"/>
            <w:tcBorders>
              <w:top w:val="nil"/>
              <w:left w:val="nil"/>
              <w:bottom w:val="single" w:sz="6" w:space="0" w:color="auto"/>
              <w:right w:val="nil"/>
            </w:tcBorders>
          </w:tcPr>
          <w:p w14:paraId="39D73281" w14:textId="50481951" w:rsidR="00411C95" w:rsidRPr="00CF3C36" w:rsidRDefault="00411C95"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Model 2.2 - EPS</w:t>
            </w:r>
            <w:r w:rsidR="002D0C71" w:rsidRPr="00CF3C36">
              <w:rPr>
                <w:rFonts w:ascii="Times New Roman" w:hAnsi="Times New Roman" w:cs="Times New Roman"/>
                <w:sz w:val="18"/>
                <w:szCs w:val="18"/>
                <w:lang w:val="en-GB"/>
              </w:rPr>
              <w:t>I</w:t>
            </w:r>
          </w:p>
        </w:tc>
      </w:tr>
      <w:tr w:rsidR="00411C95" w:rsidRPr="00CF3C36" w14:paraId="02F84731" w14:textId="77777777" w:rsidTr="007F7204">
        <w:trPr>
          <w:jc w:val="center"/>
        </w:trPr>
        <w:tc>
          <w:tcPr>
            <w:tcW w:w="1702" w:type="dxa"/>
            <w:tcBorders>
              <w:top w:val="nil"/>
              <w:left w:val="nil"/>
              <w:bottom w:val="nil"/>
              <w:right w:val="nil"/>
            </w:tcBorders>
          </w:tcPr>
          <w:p w14:paraId="75F269F4" w14:textId="77777777" w:rsidR="00411C95" w:rsidRPr="00CF3C36" w:rsidRDefault="00411C95" w:rsidP="00446374">
            <w:pPr>
              <w:widowControl w:val="0"/>
              <w:autoSpaceDE w:val="0"/>
              <w:autoSpaceDN w:val="0"/>
              <w:adjustRightInd w:val="0"/>
              <w:spacing w:after="0" w:line="240" w:lineRule="auto"/>
              <w:rPr>
                <w:rFonts w:ascii="Times New Roman" w:hAnsi="Times New Roman"/>
                <w:sz w:val="18"/>
                <w:szCs w:val="18"/>
                <w:lang w:val="en-GB"/>
              </w:rPr>
            </w:pPr>
          </w:p>
        </w:tc>
        <w:tc>
          <w:tcPr>
            <w:tcW w:w="1134" w:type="dxa"/>
            <w:tcBorders>
              <w:top w:val="nil"/>
              <w:left w:val="nil"/>
              <w:bottom w:val="nil"/>
              <w:right w:val="nil"/>
            </w:tcBorders>
          </w:tcPr>
          <w:p w14:paraId="6FD7ADD3" w14:textId="77777777" w:rsidR="00411C95" w:rsidRPr="00CF3C36" w:rsidRDefault="00411C95" w:rsidP="00446374">
            <w:pPr>
              <w:widowControl w:val="0"/>
              <w:autoSpaceDE w:val="0"/>
              <w:autoSpaceDN w:val="0"/>
              <w:adjustRightInd w:val="0"/>
              <w:spacing w:after="0" w:line="240" w:lineRule="auto"/>
              <w:jc w:val="center"/>
              <w:rPr>
                <w:rFonts w:ascii="Times New Roman" w:hAnsi="Times New Roman"/>
                <w:sz w:val="18"/>
                <w:szCs w:val="18"/>
                <w:lang w:val="en-GB"/>
              </w:rPr>
            </w:pPr>
          </w:p>
        </w:tc>
        <w:tc>
          <w:tcPr>
            <w:tcW w:w="1275" w:type="dxa"/>
            <w:tcBorders>
              <w:top w:val="nil"/>
              <w:left w:val="nil"/>
              <w:bottom w:val="nil"/>
              <w:right w:val="nil"/>
            </w:tcBorders>
          </w:tcPr>
          <w:p w14:paraId="40345EFB" w14:textId="77777777" w:rsidR="00411C95" w:rsidRPr="00CF3C36" w:rsidRDefault="00411C95" w:rsidP="00446374">
            <w:pPr>
              <w:widowControl w:val="0"/>
              <w:autoSpaceDE w:val="0"/>
              <w:autoSpaceDN w:val="0"/>
              <w:adjustRightInd w:val="0"/>
              <w:spacing w:after="0" w:line="240" w:lineRule="auto"/>
              <w:jc w:val="center"/>
              <w:rPr>
                <w:rFonts w:ascii="Times New Roman" w:hAnsi="Times New Roman"/>
                <w:sz w:val="18"/>
                <w:szCs w:val="18"/>
                <w:lang w:val="en-GB"/>
              </w:rPr>
            </w:pPr>
          </w:p>
        </w:tc>
        <w:tc>
          <w:tcPr>
            <w:tcW w:w="1050" w:type="dxa"/>
            <w:tcBorders>
              <w:top w:val="nil"/>
              <w:left w:val="nil"/>
              <w:bottom w:val="nil"/>
              <w:right w:val="nil"/>
            </w:tcBorders>
          </w:tcPr>
          <w:p w14:paraId="342C893E" w14:textId="77777777" w:rsidR="00411C95" w:rsidRPr="00CF3C36" w:rsidRDefault="00411C95"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50" w:type="dxa"/>
            <w:tcBorders>
              <w:top w:val="nil"/>
              <w:left w:val="nil"/>
              <w:bottom w:val="nil"/>
              <w:right w:val="nil"/>
            </w:tcBorders>
          </w:tcPr>
          <w:p w14:paraId="2B99E2FF" w14:textId="77777777" w:rsidR="00411C95" w:rsidRPr="00CF3C36" w:rsidRDefault="00411C95"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411C95" w:rsidRPr="00CF3C36" w14:paraId="54727325" w14:textId="77777777" w:rsidTr="007F7204">
        <w:trPr>
          <w:jc w:val="center"/>
        </w:trPr>
        <w:tc>
          <w:tcPr>
            <w:tcW w:w="1702" w:type="dxa"/>
            <w:tcBorders>
              <w:top w:val="nil"/>
              <w:left w:val="nil"/>
              <w:bottom w:val="nil"/>
              <w:right w:val="nil"/>
            </w:tcBorders>
          </w:tcPr>
          <w:p w14:paraId="09CFD12F" w14:textId="77777777" w:rsidR="00411C95" w:rsidRPr="00CF3C36" w:rsidRDefault="00411C95" w:rsidP="00446374">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EPI</w:t>
            </w:r>
          </w:p>
        </w:tc>
        <w:tc>
          <w:tcPr>
            <w:tcW w:w="1134" w:type="dxa"/>
            <w:tcBorders>
              <w:top w:val="nil"/>
              <w:left w:val="nil"/>
              <w:bottom w:val="nil"/>
              <w:right w:val="nil"/>
            </w:tcBorders>
          </w:tcPr>
          <w:p w14:paraId="0498BC44" w14:textId="77777777" w:rsidR="00411C95" w:rsidRPr="00CF3C36" w:rsidRDefault="00411C95" w:rsidP="0044637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0.0756</w:t>
            </w:r>
          </w:p>
        </w:tc>
        <w:tc>
          <w:tcPr>
            <w:tcW w:w="1275" w:type="dxa"/>
            <w:tcBorders>
              <w:top w:val="nil"/>
              <w:left w:val="nil"/>
              <w:bottom w:val="nil"/>
              <w:right w:val="nil"/>
            </w:tcBorders>
          </w:tcPr>
          <w:p w14:paraId="727B2C0C" w14:textId="77777777" w:rsidR="00411C95" w:rsidRPr="00CF3C36" w:rsidRDefault="00411C95" w:rsidP="0044637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0.0763</w:t>
            </w:r>
          </w:p>
        </w:tc>
        <w:tc>
          <w:tcPr>
            <w:tcW w:w="1050" w:type="dxa"/>
            <w:tcBorders>
              <w:top w:val="nil"/>
              <w:left w:val="nil"/>
              <w:bottom w:val="nil"/>
              <w:right w:val="nil"/>
            </w:tcBorders>
          </w:tcPr>
          <w:p w14:paraId="7A55B182" w14:textId="77777777" w:rsidR="00411C95" w:rsidRPr="00CF3C36" w:rsidRDefault="00411C95"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0.135</w:t>
            </w:r>
          </w:p>
        </w:tc>
        <w:tc>
          <w:tcPr>
            <w:tcW w:w="1050" w:type="dxa"/>
            <w:tcBorders>
              <w:top w:val="nil"/>
              <w:left w:val="nil"/>
              <w:bottom w:val="nil"/>
              <w:right w:val="nil"/>
            </w:tcBorders>
          </w:tcPr>
          <w:p w14:paraId="4487C9C7" w14:textId="77777777" w:rsidR="00411C95" w:rsidRPr="00CF3C36" w:rsidRDefault="00411C95"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411C95" w:rsidRPr="00CF3C36" w14:paraId="4E77C8E4" w14:textId="77777777" w:rsidTr="007F7204">
        <w:trPr>
          <w:jc w:val="center"/>
        </w:trPr>
        <w:tc>
          <w:tcPr>
            <w:tcW w:w="1702" w:type="dxa"/>
            <w:tcBorders>
              <w:top w:val="nil"/>
              <w:left w:val="nil"/>
              <w:bottom w:val="nil"/>
              <w:right w:val="nil"/>
            </w:tcBorders>
          </w:tcPr>
          <w:p w14:paraId="45B8234A" w14:textId="77777777" w:rsidR="00411C95" w:rsidRPr="00CF3C36" w:rsidRDefault="00411C95" w:rsidP="00446374">
            <w:pPr>
              <w:widowControl w:val="0"/>
              <w:autoSpaceDE w:val="0"/>
              <w:autoSpaceDN w:val="0"/>
              <w:adjustRightInd w:val="0"/>
              <w:spacing w:after="0" w:line="240" w:lineRule="auto"/>
              <w:rPr>
                <w:rFonts w:ascii="Times New Roman" w:hAnsi="Times New Roman"/>
                <w:sz w:val="18"/>
                <w:szCs w:val="18"/>
                <w:lang w:val="en-GB"/>
              </w:rPr>
            </w:pPr>
          </w:p>
        </w:tc>
        <w:tc>
          <w:tcPr>
            <w:tcW w:w="1134" w:type="dxa"/>
            <w:tcBorders>
              <w:top w:val="nil"/>
              <w:left w:val="nil"/>
              <w:bottom w:val="nil"/>
              <w:right w:val="nil"/>
            </w:tcBorders>
          </w:tcPr>
          <w:p w14:paraId="442EA759" w14:textId="77777777" w:rsidR="00411C95" w:rsidRPr="00CF3C36" w:rsidRDefault="00411C95" w:rsidP="0044637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(0.0428)</w:t>
            </w:r>
          </w:p>
        </w:tc>
        <w:tc>
          <w:tcPr>
            <w:tcW w:w="1275" w:type="dxa"/>
            <w:tcBorders>
              <w:top w:val="nil"/>
              <w:left w:val="nil"/>
              <w:bottom w:val="nil"/>
              <w:right w:val="nil"/>
            </w:tcBorders>
          </w:tcPr>
          <w:p w14:paraId="4CD6D686" w14:textId="77777777" w:rsidR="00411C95" w:rsidRPr="00CF3C36" w:rsidRDefault="00411C95" w:rsidP="00446374">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(0.0423)</w:t>
            </w:r>
          </w:p>
        </w:tc>
        <w:tc>
          <w:tcPr>
            <w:tcW w:w="1050" w:type="dxa"/>
            <w:tcBorders>
              <w:top w:val="nil"/>
              <w:left w:val="nil"/>
              <w:bottom w:val="nil"/>
              <w:right w:val="nil"/>
            </w:tcBorders>
          </w:tcPr>
          <w:p w14:paraId="68F0C0AC" w14:textId="77777777" w:rsidR="00411C95" w:rsidRPr="00CF3C36" w:rsidRDefault="00411C95"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(0.122)</w:t>
            </w:r>
          </w:p>
        </w:tc>
        <w:tc>
          <w:tcPr>
            <w:tcW w:w="1050" w:type="dxa"/>
            <w:tcBorders>
              <w:top w:val="nil"/>
              <w:left w:val="nil"/>
              <w:bottom w:val="nil"/>
              <w:right w:val="nil"/>
            </w:tcBorders>
          </w:tcPr>
          <w:p w14:paraId="771C7932" w14:textId="77777777" w:rsidR="00411C95" w:rsidRPr="00CF3C36" w:rsidRDefault="00411C95" w:rsidP="00446374">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411C95" w:rsidRPr="00CF3C36" w14:paraId="126E96C8" w14:textId="77777777" w:rsidTr="007F7204">
        <w:trPr>
          <w:jc w:val="center"/>
        </w:trPr>
        <w:tc>
          <w:tcPr>
            <w:tcW w:w="1702" w:type="dxa"/>
            <w:tcBorders>
              <w:top w:val="nil"/>
              <w:left w:val="nil"/>
              <w:bottom w:val="nil"/>
              <w:right w:val="nil"/>
            </w:tcBorders>
          </w:tcPr>
          <w:p w14:paraId="6462B847"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ln_rgdpna</w:t>
            </w:r>
          </w:p>
        </w:tc>
        <w:tc>
          <w:tcPr>
            <w:tcW w:w="1134" w:type="dxa"/>
            <w:tcBorders>
              <w:top w:val="nil"/>
              <w:left w:val="nil"/>
              <w:bottom w:val="nil"/>
              <w:right w:val="nil"/>
            </w:tcBorders>
          </w:tcPr>
          <w:p w14:paraId="3A4479C0"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1.699**</w:t>
            </w:r>
          </w:p>
        </w:tc>
        <w:tc>
          <w:tcPr>
            <w:tcW w:w="1275" w:type="dxa"/>
            <w:tcBorders>
              <w:top w:val="nil"/>
              <w:left w:val="nil"/>
              <w:bottom w:val="nil"/>
              <w:right w:val="nil"/>
            </w:tcBorders>
          </w:tcPr>
          <w:p w14:paraId="6FFF7B30"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1.042</w:t>
            </w:r>
          </w:p>
        </w:tc>
        <w:tc>
          <w:tcPr>
            <w:tcW w:w="1050" w:type="dxa"/>
            <w:tcBorders>
              <w:top w:val="nil"/>
              <w:left w:val="nil"/>
              <w:bottom w:val="nil"/>
              <w:right w:val="nil"/>
            </w:tcBorders>
          </w:tcPr>
          <w:p w14:paraId="3725C25F"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-1.444</w:t>
            </w:r>
          </w:p>
        </w:tc>
        <w:tc>
          <w:tcPr>
            <w:tcW w:w="1050" w:type="dxa"/>
            <w:tcBorders>
              <w:top w:val="nil"/>
              <w:left w:val="nil"/>
              <w:bottom w:val="nil"/>
              <w:right w:val="nil"/>
            </w:tcBorders>
          </w:tcPr>
          <w:p w14:paraId="3E9E7993" w14:textId="317ECD51"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-1.507</w:t>
            </w:r>
          </w:p>
        </w:tc>
      </w:tr>
      <w:tr w:rsidR="00411C95" w:rsidRPr="00CF3C36" w14:paraId="539B7018" w14:textId="77777777" w:rsidTr="007F7204">
        <w:trPr>
          <w:jc w:val="center"/>
        </w:trPr>
        <w:tc>
          <w:tcPr>
            <w:tcW w:w="1702" w:type="dxa"/>
            <w:tcBorders>
              <w:top w:val="nil"/>
              <w:left w:val="nil"/>
              <w:bottom w:val="nil"/>
              <w:right w:val="nil"/>
            </w:tcBorders>
          </w:tcPr>
          <w:p w14:paraId="379B1FB8"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p>
        </w:tc>
        <w:tc>
          <w:tcPr>
            <w:tcW w:w="1134" w:type="dxa"/>
            <w:tcBorders>
              <w:top w:val="nil"/>
              <w:left w:val="nil"/>
              <w:bottom w:val="nil"/>
              <w:right w:val="nil"/>
            </w:tcBorders>
          </w:tcPr>
          <w:p w14:paraId="551C9E00"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(0.512)</w:t>
            </w:r>
          </w:p>
        </w:tc>
        <w:tc>
          <w:tcPr>
            <w:tcW w:w="1275" w:type="dxa"/>
            <w:tcBorders>
              <w:top w:val="nil"/>
              <w:left w:val="nil"/>
              <w:bottom w:val="nil"/>
              <w:right w:val="nil"/>
            </w:tcBorders>
          </w:tcPr>
          <w:p w14:paraId="45E63CC4"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(1.019)</w:t>
            </w:r>
          </w:p>
        </w:tc>
        <w:tc>
          <w:tcPr>
            <w:tcW w:w="1050" w:type="dxa"/>
            <w:tcBorders>
              <w:top w:val="nil"/>
              <w:left w:val="nil"/>
              <w:bottom w:val="nil"/>
              <w:right w:val="nil"/>
            </w:tcBorders>
          </w:tcPr>
          <w:p w14:paraId="2CB61215"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(2.714)</w:t>
            </w:r>
          </w:p>
        </w:tc>
        <w:tc>
          <w:tcPr>
            <w:tcW w:w="1050" w:type="dxa"/>
            <w:tcBorders>
              <w:top w:val="nil"/>
              <w:left w:val="nil"/>
              <w:bottom w:val="nil"/>
              <w:right w:val="nil"/>
            </w:tcBorders>
          </w:tcPr>
          <w:p w14:paraId="5FE0722A" w14:textId="68976DDF"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(5.204)</w:t>
            </w:r>
          </w:p>
        </w:tc>
      </w:tr>
      <w:tr w:rsidR="00411C95" w:rsidRPr="00CF3C36" w14:paraId="57130011" w14:textId="77777777" w:rsidTr="007F7204">
        <w:trPr>
          <w:jc w:val="center"/>
        </w:trPr>
        <w:tc>
          <w:tcPr>
            <w:tcW w:w="1702" w:type="dxa"/>
            <w:tcBorders>
              <w:top w:val="nil"/>
              <w:left w:val="nil"/>
              <w:bottom w:val="nil"/>
              <w:right w:val="nil"/>
            </w:tcBorders>
          </w:tcPr>
          <w:p w14:paraId="0D283BE3"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SE_terX</w:t>
            </w:r>
          </w:p>
        </w:tc>
        <w:tc>
          <w:tcPr>
            <w:tcW w:w="1134" w:type="dxa"/>
            <w:tcBorders>
              <w:top w:val="nil"/>
              <w:left w:val="nil"/>
              <w:bottom w:val="nil"/>
              <w:right w:val="nil"/>
            </w:tcBorders>
          </w:tcPr>
          <w:p w14:paraId="5B8E2DE8"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-0.0101</w:t>
            </w:r>
          </w:p>
        </w:tc>
        <w:tc>
          <w:tcPr>
            <w:tcW w:w="1275" w:type="dxa"/>
            <w:tcBorders>
              <w:top w:val="nil"/>
              <w:left w:val="nil"/>
              <w:bottom w:val="nil"/>
              <w:right w:val="nil"/>
            </w:tcBorders>
          </w:tcPr>
          <w:p w14:paraId="78841131"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0.0146</w:t>
            </w:r>
          </w:p>
        </w:tc>
        <w:tc>
          <w:tcPr>
            <w:tcW w:w="1050" w:type="dxa"/>
            <w:tcBorders>
              <w:top w:val="nil"/>
              <w:left w:val="nil"/>
              <w:bottom w:val="nil"/>
              <w:right w:val="nil"/>
            </w:tcBorders>
          </w:tcPr>
          <w:p w14:paraId="7D9484ED"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0.0891***</w:t>
            </w:r>
          </w:p>
        </w:tc>
        <w:tc>
          <w:tcPr>
            <w:tcW w:w="1050" w:type="dxa"/>
            <w:tcBorders>
              <w:top w:val="nil"/>
              <w:left w:val="nil"/>
              <w:bottom w:val="nil"/>
              <w:right w:val="nil"/>
            </w:tcBorders>
          </w:tcPr>
          <w:p w14:paraId="45BC6950" w14:textId="145EEEDD"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0.122**</w:t>
            </w:r>
          </w:p>
        </w:tc>
      </w:tr>
      <w:tr w:rsidR="00411C95" w:rsidRPr="00CF3C36" w14:paraId="4146F0FD" w14:textId="77777777" w:rsidTr="007F7204">
        <w:trPr>
          <w:jc w:val="center"/>
        </w:trPr>
        <w:tc>
          <w:tcPr>
            <w:tcW w:w="1702" w:type="dxa"/>
            <w:tcBorders>
              <w:top w:val="nil"/>
              <w:left w:val="nil"/>
              <w:bottom w:val="nil"/>
              <w:right w:val="nil"/>
            </w:tcBorders>
          </w:tcPr>
          <w:p w14:paraId="0EF67E72"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p>
        </w:tc>
        <w:tc>
          <w:tcPr>
            <w:tcW w:w="1134" w:type="dxa"/>
            <w:tcBorders>
              <w:top w:val="nil"/>
              <w:left w:val="nil"/>
              <w:bottom w:val="nil"/>
              <w:right w:val="nil"/>
            </w:tcBorders>
          </w:tcPr>
          <w:p w14:paraId="215D8EF8"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(0.0180)</w:t>
            </w:r>
          </w:p>
        </w:tc>
        <w:tc>
          <w:tcPr>
            <w:tcW w:w="1275" w:type="dxa"/>
            <w:tcBorders>
              <w:top w:val="nil"/>
              <w:left w:val="nil"/>
              <w:bottom w:val="nil"/>
              <w:right w:val="nil"/>
            </w:tcBorders>
          </w:tcPr>
          <w:p w14:paraId="1D427260"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(0.0164)</w:t>
            </w:r>
          </w:p>
        </w:tc>
        <w:tc>
          <w:tcPr>
            <w:tcW w:w="1050" w:type="dxa"/>
            <w:tcBorders>
              <w:top w:val="nil"/>
              <w:left w:val="nil"/>
              <w:bottom w:val="nil"/>
              <w:right w:val="nil"/>
            </w:tcBorders>
          </w:tcPr>
          <w:p w14:paraId="192A7BC8"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(0.0145)</w:t>
            </w:r>
          </w:p>
        </w:tc>
        <w:tc>
          <w:tcPr>
            <w:tcW w:w="1050" w:type="dxa"/>
            <w:tcBorders>
              <w:top w:val="nil"/>
              <w:left w:val="nil"/>
              <w:bottom w:val="nil"/>
              <w:right w:val="nil"/>
            </w:tcBorders>
          </w:tcPr>
          <w:p w14:paraId="0DDB7642" w14:textId="18FE4883"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(0.0400)</w:t>
            </w:r>
          </w:p>
        </w:tc>
      </w:tr>
      <w:tr w:rsidR="00411C95" w:rsidRPr="00CF3C36" w14:paraId="3B1B2860" w14:textId="77777777" w:rsidTr="007F7204">
        <w:trPr>
          <w:jc w:val="center"/>
        </w:trPr>
        <w:tc>
          <w:tcPr>
            <w:tcW w:w="1702" w:type="dxa"/>
            <w:tcBorders>
              <w:top w:val="nil"/>
              <w:left w:val="nil"/>
              <w:bottom w:val="nil"/>
              <w:right w:val="nil"/>
            </w:tcBorders>
          </w:tcPr>
          <w:p w14:paraId="5997FCAA"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eodb1</w:t>
            </w:r>
          </w:p>
        </w:tc>
        <w:tc>
          <w:tcPr>
            <w:tcW w:w="1134" w:type="dxa"/>
            <w:tcBorders>
              <w:top w:val="nil"/>
              <w:left w:val="nil"/>
              <w:bottom w:val="nil"/>
              <w:right w:val="nil"/>
            </w:tcBorders>
          </w:tcPr>
          <w:p w14:paraId="36C4EF08"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0.00714</w:t>
            </w:r>
          </w:p>
        </w:tc>
        <w:tc>
          <w:tcPr>
            <w:tcW w:w="1275" w:type="dxa"/>
            <w:tcBorders>
              <w:top w:val="nil"/>
              <w:left w:val="nil"/>
              <w:bottom w:val="nil"/>
              <w:right w:val="nil"/>
            </w:tcBorders>
          </w:tcPr>
          <w:p w14:paraId="3C12E79D"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-0.0248</w:t>
            </w:r>
          </w:p>
        </w:tc>
        <w:tc>
          <w:tcPr>
            <w:tcW w:w="1050" w:type="dxa"/>
            <w:tcBorders>
              <w:top w:val="nil"/>
              <w:left w:val="nil"/>
              <w:bottom w:val="nil"/>
              <w:right w:val="nil"/>
            </w:tcBorders>
          </w:tcPr>
          <w:p w14:paraId="3C4C467B"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-0.200**</w:t>
            </w:r>
          </w:p>
        </w:tc>
        <w:tc>
          <w:tcPr>
            <w:tcW w:w="1050" w:type="dxa"/>
            <w:tcBorders>
              <w:top w:val="nil"/>
              <w:left w:val="nil"/>
              <w:bottom w:val="nil"/>
              <w:right w:val="nil"/>
            </w:tcBorders>
          </w:tcPr>
          <w:p w14:paraId="5538AB5B" w14:textId="6E30943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-0.168**</w:t>
            </w:r>
          </w:p>
        </w:tc>
      </w:tr>
      <w:tr w:rsidR="00411C95" w:rsidRPr="00CF3C36" w14:paraId="2A830145" w14:textId="77777777" w:rsidTr="007F7204">
        <w:trPr>
          <w:jc w:val="center"/>
        </w:trPr>
        <w:tc>
          <w:tcPr>
            <w:tcW w:w="1702" w:type="dxa"/>
            <w:tcBorders>
              <w:top w:val="nil"/>
              <w:left w:val="nil"/>
              <w:bottom w:val="nil"/>
              <w:right w:val="nil"/>
            </w:tcBorders>
          </w:tcPr>
          <w:p w14:paraId="1BE8CE02"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p>
        </w:tc>
        <w:tc>
          <w:tcPr>
            <w:tcW w:w="1134" w:type="dxa"/>
            <w:tcBorders>
              <w:top w:val="nil"/>
              <w:left w:val="nil"/>
              <w:bottom w:val="nil"/>
              <w:right w:val="nil"/>
            </w:tcBorders>
          </w:tcPr>
          <w:p w14:paraId="4D33E21E"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(0.00873)</w:t>
            </w:r>
          </w:p>
        </w:tc>
        <w:tc>
          <w:tcPr>
            <w:tcW w:w="1275" w:type="dxa"/>
            <w:tcBorders>
              <w:top w:val="nil"/>
              <w:left w:val="nil"/>
              <w:bottom w:val="nil"/>
              <w:right w:val="nil"/>
            </w:tcBorders>
          </w:tcPr>
          <w:p w14:paraId="5A766600"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(0.0213)</w:t>
            </w:r>
          </w:p>
        </w:tc>
        <w:tc>
          <w:tcPr>
            <w:tcW w:w="1050" w:type="dxa"/>
            <w:tcBorders>
              <w:top w:val="nil"/>
              <w:left w:val="nil"/>
              <w:bottom w:val="nil"/>
              <w:right w:val="nil"/>
            </w:tcBorders>
          </w:tcPr>
          <w:p w14:paraId="0B33E452"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(0.0661)</w:t>
            </w:r>
          </w:p>
        </w:tc>
        <w:tc>
          <w:tcPr>
            <w:tcW w:w="1050" w:type="dxa"/>
            <w:tcBorders>
              <w:top w:val="nil"/>
              <w:left w:val="nil"/>
              <w:bottom w:val="nil"/>
              <w:right w:val="nil"/>
            </w:tcBorders>
          </w:tcPr>
          <w:p w14:paraId="60CADADB" w14:textId="58B2FEE2"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(0.0636)</w:t>
            </w:r>
          </w:p>
        </w:tc>
      </w:tr>
      <w:tr w:rsidR="00411C95" w:rsidRPr="00CF3C36" w14:paraId="66D9F719" w14:textId="77777777" w:rsidTr="007F7204">
        <w:trPr>
          <w:jc w:val="center"/>
        </w:trPr>
        <w:tc>
          <w:tcPr>
            <w:tcW w:w="1702" w:type="dxa"/>
            <w:tcBorders>
              <w:top w:val="nil"/>
              <w:left w:val="nil"/>
              <w:bottom w:val="nil"/>
              <w:right w:val="nil"/>
            </w:tcBorders>
          </w:tcPr>
          <w:p w14:paraId="7ED48BE1"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governance</w:t>
            </w:r>
          </w:p>
        </w:tc>
        <w:tc>
          <w:tcPr>
            <w:tcW w:w="1134" w:type="dxa"/>
            <w:tcBorders>
              <w:top w:val="nil"/>
              <w:left w:val="nil"/>
              <w:bottom w:val="nil"/>
              <w:right w:val="nil"/>
            </w:tcBorders>
          </w:tcPr>
          <w:p w14:paraId="3B073272"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0.253</w:t>
            </w:r>
          </w:p>
        </w:tc>
        <w:tc>
          <w:tcPr>
            <w:tcW w:w="1275" w:type="dxa"/>
            <w:tcBorders>
              <w:top w:val="nil"/>
              <w:left w:val="nil"/>
              <w:bottom w:val="nil"/>
              <w:right w:val="nil"/>
            </w:tcBorders>
          </w:tcPr>
          <w:p w14:paraId="1E27150F"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p>
        </w:tc>
        <w:tc>
          <w:tcPr>
            <w:tcW w:w="1050" w:type="dxa"/>
            <w:tcBorders>
              <w:top w:val="nil"/>
              <w:left w:val="nil"/>
              <w:bottom w:val="nil"/>
              <w:right w:val="nil"/>
            </w:tcBorders>
          </w:tcPr>
          <w:p w14:paraId="5C5FAB87"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0.0408</w:t>
            </w:r>
          </w:p>
        </w:tc>
        <w:tc>
          <w:tcPr>
            <w:tcW w:w="1050" w:type="dxa"/>
            <w:tcBorders>
              <w:top w:val="nil"/>
              <w:left w:val="nil"/>
              <w:bottom w:val="nil"/>
              <w:right w:val="nil"/>
            </w:tcBorders>
          </w:tcPr>
          <w:p w14:paraId="5D443408" w14:textId="65E91C82"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1.476**</w:t>
            </w:r>
          </w:p>
        </w:tc>
      </w:tr>
      <w:tr w:rsidR="00411C95" w:rsidRPr="00CF3C36" w14:paraId="7899EB46" w14:textId="77777777" w:rsidTr="007F7204">
        <w:trPr>
          <w:jc w:val="center"/>
        </w:trPr>
        <w:tc>
          <w:tcPr>
            <w:tcW w:w="1702" w:type="dxa"/>
            <w:tcBorders>
              <w:top w:val="nil"/>
              <w:left w:val="nil"/>
              <w:bottom w:val="nil"/>
              <w:right w:val="nil"/>
            </w:tcBorders>
          </w:tcPr>
          <w:p w14:paraId="52E96F6B"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p>
        </w:tc>
        <w:tc>
          <w:tcPr>
            <w:tcW w:w="1134" w:type="dxa"/>
            <w:tcBorders>
              <w:top w:val="nil"/>
              <w:left w:val="nil"/>
              <w:bottom w:val="nil"/>
              <w:right w:val="nil"/>
            </w:tcBorders>
          </w:tcPr>
          <w:p w14:paraId="606446F1"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(0.245)</w:t>
            </w:r>
          </w:p>
        </w:tc>
        <w:tc>
          <w:tcPr>
            <w:tcW w:w="1275" w:type="dxa"/>
            <w:tcBorders>
              <w:top w:val="nil"/>
              <w:left w:val="nil"/>
              <w:bottom w:val="nil"/>
              <w:right w:val="nil"/>
            </w:tcBorders>
          </w:tcPr>
          <w:p w14:paraId="02027B0C"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p>
        </w:tc>
        <w:tc>
          <w:tcPr>
            <w:tcW w:w="1050" w:type="dxa"/>
            <w:tcBorders>
              <w:top w:val="nil"/>
              <w:left w:val="nil"/>
              <w:bottom w:val="nil"/>
              <w:right w:val="nil"/>
            </w:tcBorders>
          </w:tcPr>
          <w:p w14:paraId="343739A0"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(0.332)</w:t>
            </w:r>
          </w:p>
        </w:tc>
        <w:tc>
          <w:tcPr>
            <w:tcW w:w="1050" w:type="dxa"/>
            <w:tcBorders>
              <w:top w:val="nil"/>
              <w:left w:val="nil"/>
              <w:bottom w:val="nil"/>
              <w:right w:val="nil"/>
            </w:tcBorders>
          </w:tcPr>
          <w:p w14:paraId="45AA86CB" w14:textId="3AF7A375"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(0.558)</w:t>
            </w:r>
          </w:p>
        </w:tc>
      </w:tr>
      <w:tr w:rsidR="00411C95" w:rsidRPr="00CF3C36" w14:paraId="46E0CD3E" w14:textId="77777777" w:rsidTr="007F7204">
        <w:trPr>
          <w:jc w:val="center"/>
        </w:trPr>
        <w:tc>
          <w:tcPr>
            <w:tcW w:w="1702" w:type="dxa"/>
            <w:tcBorders>
              <w:top w:val="nil"/>
              <w:left w:val="nil"/>
              <w:bottom w:val="nil"/>
              <w:right w:val="nil"/>
            </w:tcBorders>
          </w:tcPr>
          <w:p w14:paraId="43E3C6FA"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ln_KL</w:t>
            </w:r>
          </w:p>
        </w:tc>
        <w:tc>
          <w:tcPr>
            <w:tcW w:w="1134" w:type="dxa"/>
            <w:tcBorders>
              <w:top w:val="nil"/>
              <w:left w:val="nil"/>
              <w:bottom w:val="nil"/>
              <w:right w:val="nil"/>
            </w:tcBorders>
          </w:tcPr>
          <w:p w14:paraId="14554A0D"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0.713</w:t>
            </w:r>
          </w:p>
        </w:tc>
        <w:tc>
          <w:tcPr>
            <w:tcW w:w="1275" w:type="dxa"/>
            <w:tcBorders>
              <w:top w:val="nil"/>
              <w:left w:val="nil"/>
              <w:bottom w:val="nil"/>
              <w:right w:val="nil"/>
            </w:tcBorders>
          </w:tcPr>
          <w:p w14:paraId="27069769"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1.684</w:t>
            </w:r>
          </w:p>
        </w:tc>
        <w:tc>
          <w:tcPr>
            <w:tcW w:w="1050" w:type="dxa"/>
            <w:tcBorders>
              <w:top w:val="nil"/>
              <w:left w:val="nil"/>
              <w:bottom w:val="nil"/>
              <w:right w:val="nil"/>
            </w:tcBorders>
          </w:tcPr>
          <w:p w14:paraId="42EB63F2"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4.419</w:t>
            </w:r>
          </w:p>
        </w:tc>
        <w:tc>
          <w:tcPr>
            <w:tcW w:w="1050" w:type="dxa"/>
            <w:tcBorders>
              <w:top w:val="nil"/>
              <w:left w:val="nil"/>
              <w:bottom w:val="nil"/>
              <w:right w:val="nil"/>
            </w:tcBorders>
          </w:tcPr>
          <w:p w14:paraId="5B661BB8" w14:textId="49469F7D"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0.666</w:t>
            </w:r>
          </w:p>
        </w:tc>
      </w:tr>
      <w:tr w:rsidR="00411C95" w:rsidRPr="00CF3C36" w14:paraId="5656D796" w14:textId="77777777" w:rsidTr="007F7204">
        <w:trPr>
          <w:jc w:val="center"/>
        </w:trPr>
        <w:tc>
          <w:tcPr>
            <w:tcW w:w="1702" w:type="dxa"/>
            <w:tcBorders>
              <w:top w:val="nil"/>
              <w:left w:val="nil"/>
              <w:bottom w:val="nil"/>
              <w:right w:val="nil"/>
            </w:tcBorders>
          </w:tcPr>
          <w:p w14:paraId="392E8E61"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p>
        </w:tc>
        <w:tc>
          <w:tcPr>
            <w:tcW w:w="1134" w:type="dxa"/>
            <w:tcBorders>
              <w:top w:val="nil"/>
              <w:left w:val="nil"/>
              <w:bottom w:val="nil"/>
              <w:right w:val="nil"/>
            </w:tcBorders>
          </w:tcPr>
          <w:p w14:paraId="4A18E452"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(2.780)</w:t>
            </w:r>
          </w:p>
        </w:tc>
        <w:tc>
          <w:tcPr>
            <w:tcW w:w="1275" w:type="dxa"/>
            <w:tcBorders>
              <w:top w:val="nil"/>
              <w:left w:val="nil"/>
              <w:bottom w:val="nil"/>
              <w:right w:val="nil"/>
            </w:tcBorders>
          </w:tcPr>
          <w:p w14:paraId="37FC09C3"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(2.046)</w:t>
            </w:r>
          </w:p>
        </w:tc>
        <w:tc>
          <w:tcPr>
            <w:tcW w:w="1050" w:type="dxa"/>
            <w:tcBorders>
              <w:top w:val="nil"/>
              <w:left w:val="nil"/>
              <w:bottom w:val="nil"/>
              <w:right w:val="nil"/>
            </w:tcBorders>
          </w:tcPr>
          <w:p w14:paraId="5B0F4DDD"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(8.585)</w:t>
            </w:r>
          </w:p>
        </w:tc>
        <w:tc>
          <w:tcPr>
            <w:tcW w:w="1050" w:type="dxa"/>
            <w:tcBorders>
              <w:top w:val="nil"/>
              <w:left w:val="nil"/>
              <w:bottom w:val="nil"/>
              <w:right w:val="nil"/>
            </w:tcBorders>
          </w:tcPr>
          <w:p w14:paraId="752AF0D2" w14:textId="35614C09"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(6.558)</w:t>
            </w:r>
          </w:p>
        </w:tc>
      </w:tr>
      <w:tr w:rsidR="00411C95" w:rsidRPr="00CF3C36" w14:paraId="3E51393F" w14:textId="77777777" w:rsidTr="007F7204">
        <w:trPr>
          <w:jc w:val="center"/>
        </w:trPr>
        <w:tc>
          <w:tcPr>
            <w:tcW w:w="1702" w:type="dxa"/>
            <w:tcBorders>
              <w:top w:val="nil"/>
              <w:left w:val="nil"/>
              <w:bottom w:val="nil"/>
              <w:right w:val="nil"/>
            </w:tcBorders>
          </w:tcPr>
          <w:p w14:paraId="5C997027"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ln_KL_2</w:t>
            </w:r>
          </w:p>
        </w:tc>
        <w:tc>
          <w:tcPr>
            <w:tcW w:w="1134" w:type="dxa"/>
            <w:tcBorders>
              <w:top w:val="nil"/>
              <w:left w:val="nil"/>
              <w:bottom w:val="nil"/>
              <w:right w:val="nil"/>
            </w:tcBorders>
          </w:tcPr>
          <w:p w14:paraId="05708022"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-0.391</w:t>
            </w:r>
          </w:p>
        </w:tc>
        <w:tc>
          <w:tcPr>
            <w:tcW w:w="1275" w:type="dxa"/>
            <w:tcBorders>
              <w:top w:val="nil"/>
              <w:left w:val="nil"/>
              <w:bottom w:val="nil"/>
              <w:right w:val="nil"/>
            </w:tcBorders>
          </w:tcPr>
          <w:p w14:paraId="47F04469"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-0.467</w:t>
            </w:r>
          </w:p>
        </w:tc>
        <w:tc>
          <w:tcPr>
            <w:tcW w:w="1050" w:type="dxa"/>
            <w:tcBorders>
              <w:top w:val="nil"/>
              <w:left w:val="nil"/>
              <w:bottom w:val="nil"/>
              <w:right w:val="nil"/>
            </w:tcBorders>
          </w:tcPr>
          <w:p w14:paraId="677D427D"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-1.008</w:t>
            </w:r>
          </w:p>
        </w:tc>
        <w:tc>
          <w:tcPr>
            <w:tcW w:w="1050" w:type="dxa"/>
            <w:tcBorders>
              <w:top w:val="nil"/>
              <w:left w:val="nil"/>
              <w:bottom w:val="nil"/>
              <w:right w:val="nil"/>
            </w:tcBorders>
          </w:tcPr>
          <w:p w14:paraId="4B6CA727" w14:textId="70AED600"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-0.524</w:t>
            </w:r>
          </w:p>
        </w:tc>
      </w:tr>
      <w:tr w:rsidR="00411C95" w:rsidRPr="00CF3C36" w14:paraId="7DD212BA" w14:textId="77777777" w:rsidTr="007F7204">
        <w:trPr>
          <w:jc w:val="center"/>
        </w:trPr>
        <w:tc>
          <w:tcPr>
            <w:tcW w:w="1702" w:type="dxa"/>
            <w:tcBorders>
              <w:top w:val="nil"/>
              <w:left w:val="nil"/>
              <w:bottom w:val="nil"/>
              <w:right w:val="nil"/>
            </w:tcBorders>
          </w:tcPr>
          <w:p w14:paraId="4D0DF888"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p>
        </w:tc>
        <w:tc>
          <w:tcPr>
            <w:tcW w:w="1134" w:type="dxa"/>
            <w:tcBorders>
              <w:top w:val="nil"/>
              <w:left w:val="nil"/>
              <w:bottom w:val="nil"/>
              <w:right w:val="nil"/>
            </w:tcBorders>
          </w:tcPr>
          <w:p w14:paraId="2C0460A9"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(0.312)</w:t>
            </w:r>
          </w:p>
        </w:tc>
        <w:tc>
          <w:tcPr>
            <w:tcW w:w="1275" w:type="dxa"/>
            <w:tcBorders>
              <w:top w:val="nil"/>
              <w:left w:val="nil"/>
              <w:bottom w:val="nil"/>
              <w:right w:val="nil"/>
            </w:tcBorders>
          </w:tcPr>
          <w:p w14:paraId="3EFCF269"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(0.255)</w:t>
            </w:r>
          </w:p>
        </w:tc>
        <w:tc>
          <w:tcPr>
            <w:tcW w:w="1050" w:type="dxa"/>
            <w:tcBorders>
              <w:top w:val="nil"/>
              <w:left w:val="nil"/>
              <w:bottom w:val="nil"/>
              <w:right w:val="nil"/>
            </w:tcBorders>
          </w:tcPr>
          <w:p w14:paraId="08EC76C5"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(0.661)</w:t>
            </w:r>
          </w:p>
        </w:tc>
        <w:tc>
          <w:tcPr>
            <w:tcW w:w="1050" w:type="dxa"/>
            <w:tcBorders>
              <w:top w:val="nil"/>
              <w:left w:val="nil"/>
              <w:bottom w:val="nil"/>
              <w:right w:val="nil"/>
            </w:tcBorders>
          </w:tcPr>
          <w:p w14:paraId="7295281F" w14:textId="7E54AAF1"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(0.603)</w:t>
            </w:r>
          </w:p>
        </w:tc>
      </w:tr>
      <w:tr w:rsidR="00411C95" w:rsidRPr="00CF3C36" w14:paraId="7CA0F077" w14:textId="77777777" w:rsidTr="007F7204">
        <w:trPr>
          <w:jc w:val="center"/>
        </w:trPr>
        <w:tc>
          <w:tcPr>
            <w:tcW w:w="1702" w:type="dxa"/>
            <w:tcBorders>
              <w:top w:val="nil"/>
              <w:left w:val="nil"/>
              <w:bottom w:val="nil"/>
              <w:right w:val="nil"/>
            </w:tcBorders>
          </w:tcPr>
          <w:p w14:paraId="7F2574C9"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EPI_ln_KL_cen</w:t>
            </w:r>
          </w:p>
        </w:tc>
        <w:tc>
          <w:tcPr>
            <w:tcW w:w="1134" w:type="dxa"/>
            <w:tcBorders>
              <w:top w:val="nil"/>
              <w:left w:val="nil"/>
              <w:bottom w:val="nil"/>
              <w:right w:val="nil"/>
            </w:tcBorders>
          </w:tcPr>
          <w:p w14:paraId="5AFE2FBD"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-0.120</w:t>
            </w:r>
          </w:p>
        </w:tc>
        <w:tc>
          <w:tcPr>
            <w:tcW w:w="1275" w:type="dxa"/>
            <w:tcBorders>
              <w:top w:val="nil"/>
              <w:left w:val="nil"/>
              <w:bottom w:val="nil"/>
              <w:right w:val="nil"/>
            </w:tcBorders>
          </w:tcPr>
          <w:p w14:paraId="647A5514"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-0.114</w:t>
            </w:r>
          </w:p>
        </w:tc>
        <w:tc>
          <w:tcPr>
            <w:tcW w:w="1050" w:type="dxa"/>
            <w:tcBorders>
              <w:top w:val="nil"/>
              <w:left w:val="nil"/>
              <w:bottom w:val="nil"/>
              <w:right w:val="nil"/>
            </w:tcBorders>
          </w:tcPr>
          <w:p w14:paraId="441EBDED"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-1.415</w:t>
            </w:r>
          </w:p>
        </w:tc>
        <w:tc>
          <w:tcPr>
            <w:tcW w:w="1050" w:type="dxa"/>
            <w:tcBorders>
              <w:top w:val="nil"/>
              <w:left w:val="nil"/>
              <w:bottom w:val="nil"/>
              <w:right w:val="nil"/>
            </w:tcBorders>
          </w:tcPr>
          <w:p w14:paraId="6A6908E2" w14:textId="4DC206BD"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411C95" w:rsidRPr="00CF3C36" w14:paraId="2866FA56" w14:textId="77777777" w:rsidTr="007F7204">
        <w:trPr>
          <w:jc w:val="center"/>
        </w:trPr>
        <w:tc>
          <w:tcPr>
            <w:tcW w:w="1702" w:type="dxa"/>
            <w:tcBorders>
              <w:top w:val="nil"/>
              <w:left w:val="nil"/>
              <w:bottom w:val="nil"/>
              <w:right w:val="nil"/>
            </w:tcBorders>
          </w:tcPr>
          <w:p w14:paraId="4536038F"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p>
        </w:tc>
        <w:tc>
          <w:tcPr>
            <w:tcW w:w="1134" w:type="dxa"/>
            <w:tcBorders>
              <w:top w:val="nil"/>
              <w:left w:val="nil"/>
              <w:bottom w:val="nil"/>
              <w:right w:val="nil"/>
            </w:tcBorders>
          </w:tcPr>
          <w:p w14:paraId="44336861"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(0.288)</w:t>
            </w:r>
          </w:p>
        </w:tc>
        <w:tc>
          <w:tcPr>
            <w:tcW w:w="1275" w:type="dxa"/>
            <w:tcBorders>
              <w:top w:val="nil"/>
              <w:left w:val="nil"/>
              <w:bottom w:val="nil"/>
              <w:right w:val="nil"/>
            </w:tcBorders>
          </w:tcPr>
          <w:p w14:paraId="03382C81"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(0.212)</w:t>
            </w:r>
          </w:p>
        </w:tc>
        <w:tc>
          <w:tcPr>
            <w:tcW w:w="1050" w:type="dxa"/>
            <w:tcBorders>
              <w:top w:val="nil"/>
              <w:left w:val="nil"/>
              <w:bottom w:val="nil"/>
              <w:right w:val="nil"/>
            </w:tcBorders>
          </w:tcPr>
          <w:p w14:paraId="1D100D7C"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(0.999)</w:t>
            </w:r>
          </w:p>
        </w:tc>
        <w:tc>
          <w:tcPr>
            <w:tcW w:w="1050" w:type="dxa"/>
            <w:tcBorders>
              <w:top w:val="nil"/>
              <w:left w:val="nil"/>
              <w:bottom w:val="nil"/>
              <w:right w:val="nil"/>
            </w:tcBorders>
          </w:tcPr>
          <w:p w14:paraId="0BE1FF81" w14:textId="27895C99"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411C95" w:rsidRPr="00CF3C36" w14:paraId="21F0665C" w14:textId="77777777" w:rsidTr="007F7204">
        <w:trPr>
          <w:jc w:val="center"/>
        </w:trPr>
        <w:tc>
          <w:tcPr>
            <w:tcW w:w="1702" w:type="dxa"/>
            <w:tcBorders>
              <w:top w:val="nil"/>
              <w:left w:val="nil"/>
              <w:bottom w:val="nil"/>
              <w:right w:val="nil"/>
            </w:tcBorders>
          </w:tcPr>
          <w:p w14:paraId="119E7A41"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EPI_ln_KL_2_cen</w:t>
            </w:r>
          </w:p>
        </w:tc>
        <w:tc>
          <w:tcPr>
            <w:tcW w:w="1134" w:type="dxa"/>
            <w:tcBorders>
              <w:top w:val="nil"/>
              <w:left w:val="nil"/>
              <w:bottom w:val="nil"/>
              <w:right w:val="nil"/>
            </w:tcBorders>
          </w:tcPr>
          <w:p w14:paraId="07C4CE42"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0.0204</w:t>
            </w:r>
          </w:p>
        </w:tc>
        <w:tc>
          <w:tcPr>
            <w:tcW w:w="1275" w:type="dxa"/>
            <w:tcBorders>
              <w:top w:val="nil"/>
              <w:left w:val="nil"/>
              <w:bottom w:val="nil"/>
              <w:right w:val="nil"/>
            </w:tcBorders>
          </w:tcPr>
          <w:p w14:paraId="242967C3"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0.0163</w:t>
            </w:r>
          </w:p>
        </w:tc>
        <w:tc>
          <w:tcPr>
            <w:tcW w:w="1050" w:type="dxa"/>
            <w:tcBorders>
              <w:top w:val="nil"/>
              <w:left w:val="nil"/>
              <w:bottom w:val="nil"/>
              <w:right w:val="nil"/>
            </w:tcBorders>
          </w:tcPr>
          <w:p w14:paraId="637E56A4"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0.169</w:t>
            </w:r>
          </w:p>
        </w:tc>
        <w:tc>
          <w:tcPr>
            <w:tcW w:w="1050" w:type="dxa"/>
            <w:tcBorders>
              <w:top w:val="nil"/>
              <w:left w:val="nil"/>
              <w:bottom w:val="nil"/>
              <w:right w:val="nil"/>
            </w:tcBorders>
          </w:tcPr>
          <w:p w14:paraId="00CEB144" w14:textId="5BB22E8D"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411C95" w:rsidRPr="00CF3C36" w14:paraId="7AB549A8" w14:textId="77777777" w:rsidTr="007F7204">
        <w:trPr>
          <w:jc w:val="center"/>
        </w:trPr>
        <w:tc>
          <w:tcPr>
            <w:tcW w:w="1702" w:type="dxa"/>
            <w:tcBorders>
              <w:top w:val="nil"/>
              <w:left w:val="nil"/>
              <w:bottom w:val="nil"/>
              <w:right w:val="nil"/>
            </w:tcBorders>
          </w:tcPr>
          <w:p w14:paraId="1E93A802"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p>
        </w:tc>
        <w:tc>
          <w:tcPr>
            <w:tcW w:w="1134" w:type="dxa"/>
            <w:tcBorders>
              <w:top w:val="nil"/>
              <w:left w:val="nil"/>
              <w:bottom w:val="nil"/>
              <w:right w:val="nil"/>
            </w:tcBorders>
          </w:tcPr>
          <w:p w14:paraId="21A128FC"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(0.0358)</w:t>
            </w:r>
          </w:p>
        </w:tc>
        <w:tc>
          <w:tcPr>
            <w:tcW w:w="1275" w:type="dxa"/>
            <w:tcBorders>
              <w:top w:val="nil"/>
              <w:left w:val="nil"/>
              <w:bottom w:val="nil"/>
              <w:right w:val="nil"/>
            </w:tcBorders>
          </w:tcPr>
          <w:p w14:paraId="3EAE1BFC"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(0.0239)</w:t>
            </w:r>
          </w:p>
        </w:tc>
        <w:tc>
          <w:tcPr>
            <w:tcW w:w="1050" w:type="dxa"/>
            <w:tcBorders>
              <w:top w:val="nil"/>
              <w:left w:val="nil"/>
              <w:bottom w:val="nil"/>
              <w:right w:val="nil"/>
            </w:tcBorders>
          </w:tcPr>
          <w:p w14:paraId="387458DE"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(0.0971)</w:t>
            </w:r>
          </w:p>
        </w:tc>
        <w:tc>
          <w:tcPr>
            <w:tcW w:w="1050" w:type="dxa"/>
            <w:tcBorders>
              <w:top w:val="nil"/>
              <w:left w:val="nil"/>
              <w:bottom w:val="nil"/>
              <w:right w:val="nil"/>
            </w:tcBorders>
          </w:tcPr>
          <w:p w14:paraId="6282155D" w14:textId="5DB0B050"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411C95" w:rsidRPr="00CF3C36" w14:paraId="5DA78F4D" w14:textId="77777777" w:rsidTr="007F7204">
        <w:trPr>
          <w:jc w:val="center"/>
        </w:trPr>
        <w:tc>
          <w:tcPr>
            <w:tcW w:w="1702" w:type="dxa"/>
            <w:tcBorders>
              <w:top w:val="nil"/>
              <w:left w:val="nil"/>
              <w:bottom w:val="nil"/>
              <w:right w:val="nil"/>
            </w:tcBorders>
          </w:tcPr>
          <w:p w14:paraId="17D7A101" w14:textId="57D62D16"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EPS</w:t>
            </w:r>
            <w:r w:rsidR="007F7204" w:rsidRPr="00CF3C36">
              <w:rPr>
                <w:rFonts w:ascii="Times New Roman" w:hAnsi="Times New Roman"/>
                <w:sz w:val="18"/>
                <w:szCs w:val="18"/>
                <w:lang w:val="en-GB"/>
              </w:rPr>
              <w:t>I</w:t>
            </w:r>
          </w:p>
        </w:tc>
        <w:tc>
          <w:tcPr>
            <w:tcW w:w="1134" w:type="dxa"/>
            <w:tcBorders>
              <w:top w:val="nil"/>
              <w:left w:val="nil"/>
              <w:bottom w:val="nil"/>
              <w:right w:val="nil"/>
            </w:tcBorders>
          </w:tcPr>
          <w:p w14:paraId="4648574A"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p>
        </w:tc>
        <w:tc>
          <w:tcPr>
            <w:tcW w:w="1275" w:type="dxa"/>
            <w:tcBorders>
              <w:top w:val="nil"/>
              <w:left w:val="nil"/>
              <w:bottom w:val="nil"/>
              <w:right w:val="nil"/>
            </w:tcBorders>
          </w:tcPr>
          <w:p w14:paraId="60498700"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p>
        </w:tc>
        <w:tc>
          <w:tcPr>
            <w:tcW w:w="1050" w:type="dxa"/>
            <w:tcBorders>
              <w:top w:val="nil"/>
              <w:left w:val="nil"/>
              <w:bottom w:val="nil"/>
              <w:right w:val="nil"/>
            </w:tcBorders>
          </w:tcPr>
          <w:p w14:paraId="7FCCF206"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50" w:type="dxa"/>
            <w:tcBorders>
              <w:top w:val="nil"/>
              <w:left w:val="nil"/>
              <w:bottom w:val="nil"/>
              <w:right w:val="nil"/>
            </w:tcBorders>
          </w:tcPr>
          <w:p w14:paraId="746DC703" w14:textId="35C793C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-7.132*</w:t>
            </w:r>
          </w:p>
        </w:tc>
      </w:tr>
      <w:tr w:rsidR="00411C95" w:rsidRPr="00CF3C36" w14:paraId="1A2C970D" w14:textId="77777777" w:rsidTr="007F7204">
        <w:trPr>
          <w:jc w:val="center"/>
        </w:trPr>
        <w:tc>
          <w:tcPr>
            <w:tcW w:w="1702" w:type="dxa"/>
            <w:tcBorders>
              <w:top w:val="nil"/>
              <w:left w:val="nil"/>
              <w:bottom w:val="nil"/>
              <w:right w:val="nil"/>
            </w:tcBorders>
          </w:tcPr>
          <w:p w14:paraId="7AD18BDD"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p>
        </w:tc>
        <w:tc>
          <w:tcPr>
            <w:tcW w:w="1134" w:type="dxa"/>
            <w:tcBorders>
              <w:top w:val="nil"/>
              <w:left w:val="nil"/>
              <w:bottom w:val="nil"/>
              <w:right w:val="nil"/>
            </w:tcBorders>
          </w:tcPr>
          <w:p w14:paraId="53EF8BCE"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p>
        </w:tc>
        <w:tc>
          <w:tcPr>
            <w:tcW w:w="1275" w:type="dxa"/>
            <w:tcBorders>
              <w:top w:val="nil"/>
              <w:left w:val="nil"/>
              <w:bottom w:val="nil"/>
              <w:right w:val="nil"/>
            </w:tcBorders>
          </w:tcPr>
          <w:p w14:paraId="27D334AE"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p>
        </w:tc>
        <w:tc>
          <w:tcPr>
            <w:tcW w:w="1050" w:type="dxa"/>
            <w:tcBorders>
              <w:top w:val="nil"/>
              <w:left w:val="nil"/>
              <w:bottom w:val="nil"/>
              <w:right w:val="nil"/>
            </w:tcBorders>
          </w:tcPr>
          <w:p w14:paraId="6C98BEB1"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50" w:type="dxa"/>
            <w:tcBorders>
              <w:top w:val="nil"/>
              <w:left w:val="nil"/>
              <w:bottom w:val="nil"/>
              <w:right w:val="nil"/>
            </w:tcBorders>
          </w:tcPr>
          <w:p w14:paraId="3AD87114" w14:textId="57BC68A0"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(3.014)</w:t>
            </w:r>
          </w:p>
        </w:tc>
      </w:tr>
      <w:tr w:rsidR="00411C95" w:rsidRPr="00CF3C36" w14:paraId="7B607B23" w14:textId="77777777" w:rsidTr="007F7204">
        <w:trPr>
          <w:jc w:val="center"/>
        </w:trPr>
        <w:tc>
          <w:tcPr>
            <w:tcW w:w="1702" w:type="dxa"/>
            <w:tcBorders>
              <w:top w:val="nil"/>
              <w:left w:val="nil"/>
              <w:bottom w:val="nil"/>
              <w:right w:val="nil"/>
            </w:tcBorders>
          </w:tcPr>
          <w:p w14:paraId="7712D803" w14:textId="21C78A4F"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cs="Times New Roman"/>
                <w:sz w:val="18"/>
                <w:szCs w:val="18"/>
                <w:lang w:val="en-GB"/>
              </w:rPr>
              <w:t>EPS</w:t>
            </w:r>
            <w:r w:rsidR="007F7204" w:rsidRPr="00CF3C36">
              <w:rPr>
                <w:rFonts w:ascii="Times New Roman" w:hAnsi="Times New Roman" w:cs="Times New Roman"/>
                <w:sz w:val="18"/>
                <w:szCs w:val="18"/>
                <w:lang w:val="en-GB"/>
              </w:rPr>
              <w:t>I</w:t>
            </w:r>
            <w:r w:rsidRPr="00CF3C36">
              <w:rPr>
                <w:rFonts w:ascii="Times New Roman" w:hAnsi="Times New Roman" w:cs="Times New Roman"/>
                <w:sz w:val="18"/>
                <w:szCs w:val="18"/>
                <w:lang w:val="en-GB"/>
              </w:rPr>
              <w:t>_ln_KL_cen</w:t>
            </w:r>
          </w:p>
        </w:tc>
        <w:tc>
          <w:tcPr>
            <w:tcW w:w="1134" w:type="dxa"/>
            <w:tcBorders>
              <w:top w:val="nil"/>
              <w:left w:val="nil"/>
              <w:bottom w:val="nil"/>
              <w:right w:val="nil"/>
            </w:tcBorders>
          </w:tcPr>
          <w:p w14:paraId="28F5D33E"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p>
        </w:tc>
        <w:tc>
          <w:tcPr>
            <w:tcW w:w="1275" w:type="dxa"/>
            <w:tcBorders>
              <w:top w:val="nil"/>
              <w:left w:val="nil"/>
              <w:bottom w:val="nil"/>
              <w:right w:val="nil"/>
            </w:tcBorders>
          </w:tcPr>
          <w:p w14:paraId="79B5B794"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p>
        </w:tc>
        <w:tc>
          <w:tcPr>
            <w:tcW w:w="1050" w:type="dxa"/>
            <w:tcBorders>
              <w:top w:val="nil"/>
              <w:left w:val="nil"/>
              <w:bottom w:val="nil"/>
              <w:right w:val="nil"/>
            </w:tcBorders>
          </w:tcPr>
          <w:p w14:paraId="4B50A299"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50" w:type="dxa"/>
            <w:tcBorders>
              <w:top w:val="nil"/>
              <w:left w:val="nil"/>
              <w:bottom w:val="nil"/>
              <w:right w:val="nil"/>
            </w:tcBorders>
          </w:tcPr>
          <w:p w14:paraId="6F7AAEE8" w14:textId="64E28DA2"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52.59**</w:t>
            </w:r>
          </w:p>
        </w:tc>
      </w:tr>
      <w:tr w:rsidR="00411C95" w:rsidRPr="00CF3C36" w14:paraId="441AE49B" w14:textId="77777777" w:rsidTr="007F7204">
        <w:trPr>
          <w:jc w:val="center"/>
        </w:trPr>
        <w:tc>
          <w:tcPr>
            <w:tcW w:w="1702" w:type="dxa"/>
            <w:tcBorders>
              <w:top w:val="nil"/>
              <w:left w:val="nil"/>
              <w:bottom w:val="nil"/>
              <w:right w:val="nil"/>
            </w:tcBorders>
          </w:tcPr>
          <w:p w14:paraId="5E2C6F60"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p>
        </w:tc>
        <w:tc>
          <w:tcPr>
            <w:tcW w:w="1134" w:type="dxa"/>
            <w:tcBorders>
              <w:top w:val="nil"/>
              <w:left w:val="nil"/>
              <w:bottom w:val="nil"/>
              <w:right w:val="nil"/>
            </w:tcBorders>
          </w:tcPr>
          <w:p w14:paraId="69B9A6CA"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p>
        </w:tc>
        <w:tc>
          <w:tcPr>
            <w:tcW w:w="1275" w:type="dxa"/>
            <w:tcBorders>
              <w:top w:val="nil"/>
              <w:left w:val="nil"/>
              <w:bottom w:val="nil"/>
              <w:right w:val="nil"/>
            </w:tcBorders>
          </w:tcPr>
          <w:p w14:paraId="12408953"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p>
        </w:tc>
        <w:tc>
          <w:tcPr>
            <w:tcW w:w="1050" w:type="dxa"/>
            <w:tcBorders>
              <w:top w:val="nil"/>
              <w:left w:val="nil"/>
              <w:bottom w:val="nil"/>
              <w:right w:val="nil"/>
            </w:tcBorders>
          </w:tcPr>
          <w:p w14:paraId="50E0E4E2"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50" w:type="dxa"/>
            <w:tcBorders>
              <w:top w:val="nil"/>
              <w:left w:val="nil"/>
              <w:bottom w:val="nil"/>
              <w:right w:val="nil"/>
            </w:tcBorders>
          </w:tcPr>
          <w:p w14:paraId="5EB980A0" w14:textId="62605AF6"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(19.54)</w:t>
            </w:r>
          </w:p>
        </w:tc>
      </w:tr>
      <w:tr w:rsidR="00411C95" w:rsidRPr="00CF3C36" w14:paraId="538810ED" w14:textId="77777777" w:rsidTr="007F7204">
        <w:trPr>
          <w:jc w:val="center"/>
        </w:trPr>
        <w:tc>
          <w:tcPr>
            <w:tcW w:w="1702" w:type="dxa"/>
            <w:tcBorders>
              <w:top w:val="nil"/>
              <w:left w:val="nil"/>
              <w:bottom w:val="nil"/>
              <w:right w:val="nil"/>
            </w:tcBorders>
          </w:tcPr>
          <w:p w14:paraId="2C64B132" w14:textId="6BBBCA70"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cs="Times New Roman"/>
                <w:sz w:val="18"/>
                <w:szCs w:val="18"/>
                <w:lang w:val="en-GB"/>
              </w:rPr>
              <w:t>EPS</w:t>
            </w:r>
            <w:r w:rsidR="007F7204" w:rsidRPr="00CF3C36">
              <w:rPr>
                <w:rFonts w:ascii="Times New Roman" w:hAnsi="Times New Roman" w:cs="Times New Roman"/>
                <w:sz w:val="18"/>
                <w:szCs w:val="18"/>
                <w:lang w:val="en-GB"/>
              </w:rPr>
              <w:t>I</w:t>
            </w:r>
            <w:r w:rsidRPr="00CF3C36">
              <w:rPr>
                <w:rFonts w:ascii="Times New Roman" w:hAnsi="Times New Roman" w:cs="Times New Roman"/>
                <w:sz w:val="18"/>
                <w:szCs w:val="18"/>
                <w:lang w:val="en-GB"/>
              </w:rPr>
              <w:t>_ln_KL_2_cen</w:t>
            </w:r>
          </w:p>
        </w:tc>
        <w:tc>
          <w:tcPr>
            <w:tcW w:w="1134" w:type="dxa"/>
            <w:tcBorders>
              <w:top w:val="nil"/>
              <w:left w:val="nil"/>
              <w:bottom w:val="nil"/>
              <w:right w:val="nil"/>
            </w:tcBorders>
          </w:tcPr>
          <w:p w14:paraId="2DEE8B61"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p>
        </w:tc>
        <w:tc>
          <w:tcPr>
            <w:tcW w:w="1275" w:type="dxa"/>
            <w:tcBorders>
              <w:top w:val="nil"/>
              <w:left w:val="nil"/>
              <w:bottom w:val="nil"/>
              <w:right w:val="nil"/>
            </w:tcBorders>
          </w:tcPr>
          <w:p w14:paraId="3365D544"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p>
        </w:tc>
        <w:tc>
          <w:tcPr>
            <w:tcW w:w="1050" w:type="dxa"/>
            <w:tcBorders>
              <w:top w:val="nil"/>
              <w:left w:val="nil"/>
              <w:bottom w:val="nil"/>
              <w:right w:val="nil"/>
            </w:tcBorders>
          </w:tcPr>
          <w:p w14:paraId="64B3610D"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50" w:type="dxa"/>
            <w:tcBorders>
              <w:top w:val="nil"/>
              <w:left w:val="nil"/>
              <w:bottom w:val="nil"/>
              <w:right w:val="nil"/>
            </w:tcBorders>
          </w:tcPr>
          <w:p w14:paraId="509F1746" w14:textId="258E8AC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-5.189**</w:t>
            </w:r>
          </w:p>
        </w:tc>
      </w:tr>
      <w:tr w:rsidR="00411C95" w:rsidRPr="00CF3C36" w14:paraId="3CCE535E" w14:textId="77777777" w:rsidTr="007F7204">
        <w:trPr>
          <w:jc w:val="center"/>
        </w:trPr>
        <w:tc>
          <w:tcPr>
            <w:tcW w:w="1702" w:type="dxa"/>
            <w:tcBorders>
              <w:top w:val="nil"/>
              <w:left w:val="nil"/>
              <w:bottom w:val="nil"/>
              <w:right w:val="nil"/>
            </w:tcBorders>
          </w:tcPr>
          <w:p w14:paraId="003167D3"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p>
        </w:tc>
        <w:tc>
          <w:tcPr>
            <w:tcW w:w="1134" w:type="dxa"/>
            <w:tcBorders>
              <w:top w:val="nil"/>
              <w:left w:val="nil"/>
              <w:bottom w:val="nil"/>
              <w:right w:val="nil"/>
            </w:tcBorders>
          </w:tcPr>
          <w:p w14:paraId="0268BDE2"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p>
        </w:tc>
        <w:tc>
          <w:tcPr>
            <w:tcW w:w="1275" w:type="dxa"/>
            <w:tcBorders>
              <w:top w:val="nil"/>
              <w:left w:val="nil"/>
              <w:bottom w:val="nil"/>
              <w:right w:val="nil"/>
            </w:tcBorders>
          </w:tcPr>
          <w:p w14:paraId="07492B5F"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p>
        </w:tc>
        <w:tc>
          <w:tcPr>
            <w:tcW w:w="1050" w:type="dxa"/>
            <w:tcBorders>
              <w:top w:val="nil"/>
              <w:left w:val="nil"/>
              <w:bottom w:val="nil"/>
              <w:right w:val="nil"/>
            </w:tcBorders>
          </w:tcPr>
          <w:p w14:paraId="1D119A11"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50" w:type="dxa"/>
            <w:tcBorders>
              <w:top w:val="nil"/>
              <w:left w:val="nil"/>
              <w:bottom w:val="nil"/>
              <w:right w:val="nil"/>
            </w:tcBorders>
          </w:tcPr>
          <w:p w14:paraId="47504B77" w14:textId="686EADFC"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(1.917)</w:t>
            </w:r>
          </w:p>
        </w:tc>
      </w:tr>
      <w:tr w:rsidR="00411C95" w:rsidRPr="00CF3C36" w14:paraId="7ABB75DC" w14:textId="77777777" w:rsidTr="007F7204">
        <w:trPr>
          <w:jc w:val="center"/>
        </w:trPr>
        <w:tc>
          <w:tcPr>
            <w:tcW w:w="1702" w:type="dxa"/>
            <w:tcBorders>
              <w:top w:val="nil"/>
              <w:left w:val="nil"/>
              <w:bottom w:val="nil"/>
              <w:right w:val="nil"/>
            </w:tcBorders>
          </w:tcPr>
          <w:p w14:paraId="526109CD"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Constant</w:t>
            </w:r>
          </w:p>
        </w:tc>
        <w:tc>
          <w:tcPr>
            <w:tcW w:w="1134" w:type="dxa"/>
            <w:tcBorders>
              <w:top w:val="nil"/>
              <w:left w:val="nil"/>
              <w:bottom w:val="nil"/>
              <w:right w:val="nil"/>
            </w:tcBorders>
          </w:tcPr>
          <w:p w14:paraId="6FC1D057"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-14.81</w:t>
            </w:r>
          </w:p>
        </w:tc>
        <w:tc>
          <w:tcPr>
            <w:tcW w:w="1275" w:type="dxa"/>
            <w:tcBorders>
              <w:top w:val="nil"/>
              <w:left w:val="nil"/>
              <w:bottom w:val="nil"/>
              <w:right w:val="nil"/>
            </w:tcBorders>
          </w:tcPr>
          <w:p w14:paraId="796295C2"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-8.026</w:t>
            </w:r>
          </w:p>
        </w:tc>
        <w:tc>
          <w:tcPr>
            <w:tcW w:w="1050" w:type="dxa"/>
            <w:tcBorders>
              <w:top w:val="nil"/>
              <w:left w:val="nil"/>
              <w:bottom w:val="nil"/>
              <w:right w:val="nil"/>
            </w:tcBorders>
          </w:tcPr>
          <w:p w14:paraId="561832EE"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30.83</w:t>
            </w:r>
          </w:p>
        </w:tc>
        <w:tc>
          <w:tcPr>
            <w:tcW w:w="1050" w:type="dxa"/>
            <w:tcBorders>
              <w:top w:val="nil"/>
              <w:left w:val="nil"/>
              <w:bottom w:val="nil"/>
              <w:right w:val="nil"/>
            </w:tcBorders>
          </w:tcPr>
          <w:p w14:paraId="7966AD3F" w14:textId="51957123"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57.32</w:t>
            </w:r>
          </w:p>
        </w:tc>
      </w:tr>
      <w:tr w:rsidR="00411C95" w:rsidRPr="00CF3C36" w14:paraId="1643FCAE" w14:textId="77777777" w:rsidTr="007F7204">
        <w:trPr>
          <w:jc w:val="center"/>
        </w:trPr>
        <w:tc>
          <w:tcPr>
            <w:tcW w:w="1702" w:type="dxa"/>
            <w:tcBorders>
              <w:top w:val="nil"/>
              <w:left w:val="nil"/>
              <w:bottom w:val="nil"/>
              <w:right w:val="nil"/>
            </w:tcBorders>
          </w:tcPr>
          <w:p w14:paraId="04A56858"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p>
        </w:tc>
        <w:tc>
          <w:tcPr>
            <w:tcW w:w="1134" w:type="dxa"/>
            <w:tcBorders>
              <w:top w:val="nil"/>
              <w:left w:val="nil"/>
              <w:bottom w:val="nil"/>
              <w:right w:val="nil"/>
            </w:tcBorders>
          </w:tcPr>
          <w:p w14:paraId="58A0AF57"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(11.87)</w:t>
            </w:r>
          </w:p>
        </w:tc>
        <w:tc>
          <w:tcPr>
            <w:tcW w:w="1275" w:type="dxa"/>
            <w:tcBorders>
              <w:top w:val="nil"/>
              <w:left w:val="nil"/>
              <w:bottom w:val="nil"/>
              <w:right w:val="nil"/>
            </w:tcBorders>
          </w:tcPr>
          <w:p w14:paraId="27737F5D"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(12.94)</w:t>
            </w:r>
          </w:p>
        </w:tc>
        <w:tc>
          <w:tcPr>
            <w:tcW w:w="1050" w:type="dxa"/>
            <w:tcBorders>
              <w:top w:val="nil"/>
              <w:left w:val="nil"/>
              <w:bottom w:val="nil"/>
              <w:right w:val="nil"/>
            </w:tcBorders>
          </w:tcPr>
          <w:p w14:paraId="14E9D5B3"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(25.92)</w:t>
            </w:r>
          </w:p>
        </w:tc>
        <w:tc>
          <w:tcPr>
            <w:tcW w:w="1050" w:type="dxa"/>
            <w:tcBorders>
              <w:top w:val="nil"/>
              <w:left w:val="nil"/>
              <w:bottom w:val="nil"/>
              <w:right w:val="nil"/>
            </w:tcBorders>
          </w:tcPr>
          <w:p w14:paraId="69B7EF5E" w14:textId="6D22282D"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(52.38)</w:t>
            </w:r>
          </w:p>
        </w:tc>
      </w:tr>
      <w:tr w:rsidR="00411C95" w:rsidRPr="00CF3C36" w14:paraId="0322E49B" w14:textId="77777777" w:rsidTr="007F7204">
        <w:trPr>
          <w:jc w:val="center"/>
        </w:trPr>
        <w:tc>
          <w:tcPr>
            <w:tcW w:w="1702" w:type="dxa"/>
            <w:tcBorders>
              <w:top w:val="nil"/>
              <w:left w:val="nil"/>
              <w:bottom w:val="nil"/>
              <w:right w:val="nil"/>
            </w:tcBorders>
          </w:tcPr>
          <w:p w14:paraId="49416E69"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p>
        </w:tc>
        <w:tc>
          <w:tcPr>
            <w:tcW w:w="1134" w:type="dxa"/>
            <w:tcBorders>
              <w:top w:val="nil"/>
              <w:left w:val="nil"/>
              <w:bottom w:val="nil"/>
              <w:right w:val="nil"/>
            </w:tcBorders>
          </w:tcPr>
          <w:p w14:paraId="6E358BC2"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p>
        </w:tc>
        <w:tc>
          <w:tcPr>
            <w:tcW w:w="1275" w:type="dxa"/>
            <w:tcBorders>
              <w:top w:val="nil"/>
              <w:left w:val="nil"/>
              <w:bottom w:val="nil"/>
              <w:right w:val="nil"/>
            </w:tcBorders>
          </w:tcPr>
          <w:p w14:paraId="173F749C"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p>
        </w:tc>
        <w:tc>
          <w:tcPr>
            <w:tcW w:w="1050" w:type="dxa"/>
            <w:tcBorders>
              <w:top w:val="nil"/>
              <w:left w:val="nil"/>
              <w:bottom w:val="nil"/>
              <w:right w:val="nil"/>
            </w:tcBorders>
          </w:tcPr>
          <w:p w14:paraId="78694422"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50" w:type="dxa"/>
            <w:tcBorders>
              <w:top w:val="nil"/>
              <w:left w:val="nil"/>
              <w:bottom w:val="nil"/>
              <w:right w:val="nil"/>
            </w:tcBorders>
          </w:tcPr>
          <w:p w14:paraId="7967C6C8"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411C95" w:rsidRPr="00CF3C36" w14:paraId="0F6AC435" w14:textId="77777777" w:rsidTr="007F7204">
        <w:trPr>
          <w:jc w:val="center"/>
        </w:trPr>
        <w:tc>
          <w:tcPr>
            <w:tcW w:w="1702" w:type="dxa"/>
            <w:tcBorders>
              <w:top w:val="nil"/>
              <w:left w:val="nil"/>
              <w:bottom w:val="nil"/>
              <w:right w:val="nil"/>
            </w:tcBorders>
          </w:tcPr>
          <w:p w14:paraId="6CA8BE69"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Observations</w:t>
            </w:r>
          </w:p>
        </w:tc>
        <w:tc>
          <w:tcPr>
            <w:tcW w:w="1134" w:type="dxa"/>
            <w:tcBorders>
              <w:top w:val="nil"/>
              <w:left w:val="nil"/>
              <w:bottom w:val="nil"/>
              <w:right w:val="nil"/>
            </w:tcBorders>
          </w:tcPr>
          <w:p w14:paraId="209DB384"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369</w:t>
            </w:r>
          </w:p>
        </w:tc>
        <w:tc>
          <w:tcPr>
            <w:tcW w:w="1275" w:type="dxa"/>
            <w:tcBorders>
              <w:top w:val="nil"/>
              <w:left w:val="nil"/>
              <w:bottom w:val="nil"/>
              <w:right w:val="nil"/>
            </w:tcBorders>
          </w:tcPr>
          <w:p w14:paraId="5CFC929D"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664</w:t>
            </w:r>
          </w:p>
        </w:tc>
        <w:tc>
          <w:tcPr>
            <w:tcW w:w="1050" w:type="dxa"/>
            <w:tcBorders>
              <w:top w:val="nil"/>
              <w:left w:val="nil"/>
              <w:bottom w:val="nil"/>
              <w:right w:val="nil"/>
            </w:tcBorders>
          </w:tcPr>
          <w:p w14:paraId="60916BB2"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289</w:t>
            </w:r>
          </w:p>
        </w:tc>
        <w:tc>
          <w:tcPr>
            <w:tcW w:w="1050" w:type="dxa"/>
            <w:tcBorders>
              <w:top w:val="nil"/>
              <w:left w:val="nil"/>
              <w:bottom w:val="nil"/>
              <w:right w:val="nil"/>
            </w:tcBorders>
          </w:tcPr>
          <w:p w14:paraId="45DD83A0" w14:textId="526C3132"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127</w:t>
            </w:r>
          </w:p>
        </w:tc>
      </w:tr>
      <w:tr w:rsidR="00411C95" w:rsidRPr="00CF3C36" w14:paraId="44EF93C7" w14:textId="77777777" w:rsidTr="007F7204">
        <w:trPr>
          <w:jc w:val="center"/>
        </w:trPr>
        <w:tc>
          <w:tcPr>
            <w:tcW w:w="1702" w:type="dxa"/>
            <w:tcBorders>
              <w:top w:val="nil"/>
              <w:left w:val="nil"/>
              <w:bottom w:val="nil"/>
              <w:right w:val="nil"/>
            </w:tcBorders>
          </w:tcPr>
          <w:p w14:paraId="0DF5F0A3"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R-squared</w:t>
            </w:r>
          </w:p>
        </w:tc>
        <w:tc>
          <w:tcPr>
            <w:tcW w:w="1134" w:type="dxa"/>
            <w:tcBorders>
              <w:top w:val="nil"/>
              <w:left w:val="nil"/>
              <w:bottom w:val="nil"/>
              <w:right w:val="nil"/>
            </w:tcBorders>
          </w:tcPr>
          <w:p w14:paraId="2F1D465A"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0.0325</w:t>
            </w:r>
          </w:p>
        </w:tc>
        <w:tc>
          <w:tcPr>
            <w:tcW w:w="1275" w:type="dxa"/>
            <w:tcBorders>
              <w:top w:val="nil"/>
              <w:left w:val="nil"/>
              <w:bottom w:val="nil"/>
              <w:right w:val="nil"/>
            </w:tcBorders>
          </w:tcPr>
          <w:p w14:paraId="1120B9D3"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0.0235</w:t>
            </w:r>
          </w:p>
        </w:tc>
        <w:tc>
          <w:tcPr>
            <w:tcW w:w="1050" w:type="dxa"/>
            <w:tcBorders>
              <w:top w:val="nil"/>
              <w:left w:val="nil"/>
              <w:bottom w:val="nil"/>
              <w:right w:val="nil"/>
            </w:tcBorders>
          </w:tcPr>
          <w:p w14:paraId="2F857FF0"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sz w:val="18"/>
                <w:szCs w:val="18"/>
                <w:lang w:val="en-GB"/>
              </w:rPr>
              <w:t>0.1556</w:t>
            </w:r>
          </w:p>
        </w:tc>
        <w:tc>
          <w:tcPr>
            <w:tcW w:w="1050" w:type="dxa"/>
            <w:tcBorders>
              <w:top w:val="nil"/>
              <w:left w:val="nil"/>
              <w:bottom w:val="nil"/>
              <w:right w:val="nil"/>
            </w:tcBorders>
          </w:tcPr>
          <w:p w14:paraId="2F89DB14" w14:textId="4EFE861A"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0.2008</w:t>
            </w:r>
          </w:p>
        </w:tc>
      </w:tr>
      <w:tr w:rsidR="00411C95" w:rsidRPr="00CF3C36" w14:paraId="3C4EF9FC" w14:textId="77777777" w:rsidTr="007F7204">
        <w:tblPrEx>
          <w:tblBorders>
            <w:bottom w:val="single" w:sz="6" w:space="0" w:color="auto"/>
          </w:tblBorders>
        </w:tblPrEx>
        <w:trPr>
          <w:jc w:val="center"/>
        </w:trPr>
        <w:tc>
          <w:tcPr>
            <w:tcW w:w="1702" w:type="dxa"/>
            <w:tcBorders>
              <w:top w:val="nil"/>
              <w:left w:val="nil"/>
              <w:bottom w:val="single" w:sz="6" w:space="0" w:color="auto"/>
              <w:right w:val="nil"/>
            </w:tcBorders>
          </w:tcPr>
          <w:p w14:paraId="36052437"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r w:rsidRPr="00CF3C36">
              <w:rPr>
                <w:rFonts w:ascii="Times New Roman" w:hAnsi="Times New Roman"/>
                <w:sz w:val="18"/>
                <w:szCs w:val="18"/>
                <w:lang w:val="en-GB"/>
              </w:rPr>
              <w:t>Number of groups</w:t>
            </w:r>
          </w:p>
        </w:tc>
        <w:tc>
          <w:tcPr>
            <w:tcW w:w="1134" w:type="dxa"/>
            <w:tcBorders>
              <w:top w:val="nil"/>
              <w:left w:val="nil"/>
              <w:bottom w:val="single" w:sz="6" w:space="0" w:color="auto"/>
              <w:right w:val="nil"/>
            </w:tcBorders>
          </w:tcPr>
          <w:p w14:paraId="7E4B3389"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74</w:t>
            </w:r>
          </w:p>
        </w:tc>
        <w:tc>
          <w:tcPr>
            <w:tcW w:w="1275" w:type="dxa"/>
            <w:tcBorders>
              <w:top w:val="nil"/>
              <w:left w:val="nil"/>
              <w:bottom w:val="single" w:sz="6" w:space="0" w:color="auto"/>
              <w:right w:val="nil"/>
            </w:tcBorders>
          </w:tcPr>
          <w:p w14:paraId="2604FBA4"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74</w:t>
            </w:r>
          </w:p>
        </w:tc>
        <w:tc>
          <w:tcPr>
            <w:tcW w:w="1050" w:type="dxa"/>
            <w:tcBorders>
              <w:top w:val="nil"/>
              <w:left w:val="nil"/>
              <w:bottom w:val="single" w:sz="6" w:space="0" w:color="auto"/>
              <w:right w:val="nil"/>
            </w:tcBorders>
          </w:tcPr>
          <w:p w14:paraId="28369992"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50</w:t>
            </w:r>
          </w:p>
        </w:tc>
        <w:tc>
          <w:tcPr>
            <w:tcW w:w="1050" w:type="dxa"/>
            <w:tcBorders>
              <w:top w:val="nil"/>
              <w:left w:val="nil"/>
              <w:bottom w:val="single" w:sz="6" w:space="0" w:color="auto"/>
              <w:right w:val="nil"/>
            </w:tcBorders>
          </w:tcPr>
          <w:p w14:paraId="51AE4B75" w14:textId="2A332F0C"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r w:rsidRPr="00CF3C36">
              <w:rPr>
                <w:rFonts w:ascii="Times New Roman" w:hAnsi="Times New Roman" w:cs="Times New Roman"/>
                <w:sz w:val="18"/>
                <w:szCs w:val="18"/>
                <w:lang w:val="en-GB"/>
              </w:rPr>
              <w:t>25</w:t>
            </w:r>
          </w:p>
        </w:tc>
      </w:tr>
      <w:tr w:rsidR="00411C95" w:rsidRPr="00CF3C36" w14:paraId="3FB81DB1" w14:textId="77777777" w:rsidTr="007F7204">
        <w:tblPrEx>
          <w:tblBorders>
            <w:bottom w:val="single" w:sz="6" w:space="0" w:color="auto"/>
          </w:tblBorders>
        </w:tblPrEx>
        <w:trPr>
          <w:jc w:val="center"/>
        </w:trPr>
        <w:tc>
          <w:tcPr>
            <w:tcW w:w="1702" w:type="dxa"/>
            <w:tcBorders>
              <w:top w:val="nil"/>
              <w:left w:val="nil"/>
              <w:bottom w:val="single" w:sz="6" w:space="0" w:color="auto"/>
              <w:right w:val="nil"/>
            </w:tcBorders>
          </w:tcPr>
          <w:p w14:paraId="3CD91708" w14:textId="77777777" w:rsidR="00411C95" w:rsidRPr="00CF3C36" w:rsidRDefault="00411C95" w:rsidP="00D37B38">
            <w:pPr>
              <w:widowControl w:val="0"/>
              <w:autoSpaceDE w:val="0"/>
              <w:autoSpaceDN w:val="0"/>
              <w:adjustRightInd w:val="0"/>
              <w:spacing w:after="0" w:line="240" w:lineRule="auto"/>
              <w:rPr>
                <w:rFonts w:ascii="Times New Roman" w:hAnsi="Times New Roman"/>
                <w:sz w:val="18"/>
                <w:szCs w:val="18"/>
                <w:lang w:val="en-GB"/>
              </w:rPr>
            </w:pPr>
          </w:p>
        </w:tc>
        <w:tc>
          <w:tcPr>
            <w:tcW w:w="1134" w:type="dxa"/>
            <w:tcBorders>
              <w:top w:val="nil"/>
              <w:left w:val="nil"/>
              <w:bottom w:val="single" w:sz="6" w:space="0" w:color="auto"/>
              <w:right w:val="nil"/>
            </w:tcBorders>
          </w:tcPr>
          <w:p w14:paraId="6F55699E"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p>
        </w:tc>
        <w:tc>
          <w:tcPr>
            <w:tcW w:w="1275" w:type="dxa"/>
            <w:tcBorders>
              <w:top w:val="nil"/>
              <w:left w:val="nil"/>
              <w:bottom w:val="single" w:sz="6" w:space="0" w:color="auto"/>
              <w:right w:val="nil"/>
            </w:tcBorders>
          </w:tcPr>
          <w:p w14:paraId="3AC1B8D3"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sz w:val="18"/>
                <w:szCs w:val="18"/>
                <w:lang w:val="en-GB"/>
              </w:rPr>
            </w:pPr>
          </w:p>
        </w:tc>
        <w:tc>
          <w:tcPr>
            <w:tcW w:w="1050" w:type="dxa"/>
            <w:tcBorders>
              <w:top w:val="nil"/>
              <w:left w:val="nil"/>
              <w:bottom w:val="single" w:sz="6" w:space="0" w:color="auto"/>
              <w:right w:val="nil"/>
            </w:tcBorders>
          </w:tcPr>
          <w:p w14:paraId="34DC5C2E"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1050" w:type="dxa"/>
            <w:tcBorders>
              <w:top w:val="nil"/>
              <w:left w:val="nil"/>
              <w:bottom w:val="single" w:sz="6" w:space="0" w:color="auto"/>
              <w:right w:val="nil"/>
            </w:tcBorders>
          </w:tcPr>
          <w:p w14:paraId="04C92F46" w14:textId="77777777" w:rsidR="00411C95" w:rsidRPr="00CF3C36" w:rsidRDefault="00411C95" w:rsidP="00D37B38">
            <w:pPr>
              <w:widowControl w:val="0"/>
              <w:autoSpaceDE w:val="0"/>
              <w:autoSpaceDN w:val="0"/>
              <w:adjustRightInd w:val="0"/>
              <w:spacing w:after="0" w:line="240" w:lineRule="auto"/>
              <w:jc w:val="center"/>
              <w:rPr>
                <w:rFonts w:ascii="Times New Roman" w:hAnsi="Times New Roman" w:cs="Times New Roman"/>
                <w:sz w:val="18"/>
                <w:szCs w:val="18"/>
                <w:lang w:val="en-GB"/>
              </w:rPr>
            </w:pPr>
          </w:p>
        </w:tc>
      </w:tr>
    </w:tbl>
    <w:p w14:paraId="1557F522" w14:textId="77777777" w:rsidR="000B2679" w:rsidRPr="00CF3C36" w:rsidRDefault="000B2679" w:rsidP="000B2679">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Driscoll-Kraay standard errors in parentheses</w:t>
      </w:r>
    </w:p>
    <w:p w14:paraId="6A63C70E" w14:textId="77777777" w:rsidR="000B2679" w:rsidRPr="00CF3C36" w:rsidRDefault="000B2679" w:rsidP="000B2679">
      <w:pPr>
        <w:widowControl w:val="0"/>
        <w:autoSpaceDE w:val="0"/>
        <w:autoSpaceDN w:val="0"/>
        <w:adjustRightInd w:val="0"/>
        <w:spacing w:after="0" w:line="240" w:lineRule="auto"/>
        <w:jc w:val="center"/>
        <w:rPr>
          <w:rFonts w:ascii="Times New Roman" w:hAnsi="Times New Roman"/>
          <w:sz w:val="18"/>
          <w:szCs w:val="18"/>
          <w:lang w:val="en-GB"/>
        </w:rPr>
      </w:pPr>
      <w:r w:rsidRPr="00CF3C36">
        <w:rPr>
          <w:rFonts w:ascii="Times New Roman" w:hAnsi="Times New Roman"/>
          <w:sz w:val="18"/>
          <w:szCs w:val="18"/>
          <w:lang w:val="en-GB"/>
        </w:rPr>
        <w:t>*** p&lt;0.01, ** p&lt;0.05, * p&lt;0.1</w:t>
      </w:r>
    </w:p>
    <w:sectPr w:rsidR="000B2679" w:rsidRPr="00CF3C36" w:rsidSect="008920F0">
      <w:footerReference w:type="default" r:id="rId34"/>
      <w:footerReference w:type="first" r:id="rId35"/>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FACAD" w16cid:durableId="20EB362A"/>
  <w16cid:commentId w16cid:paraId="206F67D2" w16cid:durableId="20DC69CB"/>
  <w16cid:commentId w16cid:paraId="52DDE11C" w16cid:durableId="20DC69CC"/>
  <w16cid:commentId w16cid:paraId="0136E307" w16cid:durableId="20DC69CD"/>
  <w16cid:commentId w16cid:paraId="2A17FE07" w16cid:durableId="20DC840D"/>
  <w16cid:commentId w16cid:paraId="27927616" w16cid:durableId="20DC7130"/>
  <w16cid:commentId w16cid:paraId="7E6B9620" w16cid:durableId="20EB3630"/>
  <w16cid:commentId w16cid:paraId="078D2784" w16cid:durableId="20EB3631"/>
  <w16cid:commentId w16cid:paraId="1C6A5547" w16cid:durableId="20EB3632"/>
  <w16cid:commentId w16cid:paraId="213F916A" w16cid:durableId="20DC69CE"/>
  <w16cid:commentId w16cid:paraId="34B69BDB" w16cid:durableId="20EB3634"/>
  <w16cid:commentId w16cid:paraId="2A4BDAB4" w16cid:durableId="20EB3635"/>
  <w16cid:commentId w16cid:paraId="464820A8" w16cid:durableId="20EB3636"/>
  <w16cid:commentId w16cid:paraId="41095E6E" w16cid:durableId="20EB3637"/>
  <w16cid:commentId w16cid:paraId="3CD10A5E" w16cid:durableId="20EB3638"/>
  <w16cid:commentId w16cid:paraId="27AED6F7" w16cid:durableId="20EB363C"/>
  <w16cid:commentId w16cid:paraId="1A9B689E" w16cid:durableId="20EB363D"/>
  <w16cid:commentId w16cid:paraId="2CE15F14" w16cid:durableId="20EB36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FCE4B" w14:textId="77777777" w:rsidR="00D8656F" w:rsidRDefault="00D8656F" w:rsidP="00B270E1">
      <w:pPr>
        <w:spacing w:after="0" w:line="240" w:lineRule="auto"/>
      </w:pPr>
      <w:r>
        <w:separator/>
      </w:r>
    </w:p>
  </w:endnote>
  <w:endnote w:type="continuationSeparator" w:id="0">
    <w:p w14:paraId="6745DA6A" w14:textId="77777777" w:rsidR="00D8656F" w:rsidRDefault="00D8656F" w:rsidP="00B2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263578"/>
      <w:docPartObj>
        <w:docPartGallery w:val="Page Numbers (Bottom of Page)"/>
        <w:docPartUnique/>
      </w:docPartObj>
    </w:sdtPr>
    <w:sdtEndPr/>
    <w:sdtContent>
      <w:p w14:paraId="748CFBCE" w14:textId="4C26488C" w:rsidR="00B77818" w:rsidRDefault="00B77818">
        <w:pPr>
          <w:pStyle w:val="Footer"/>
          <w:jc w:val="center"/>
        </w:pPr>
        <w:r>
          <w:fldChar w:fldCharType="begin"/>
        </w:r>
        <w:r>
          <w:instrText>PAGE   \* MERGEFORMAT</w:instrText>
        </w:r>
        <w:r>
          <w:fldChar w:fldCharType="separate"/>
        </w:r>
        <w:r w:rsidR="00104F4B">
          <w:rPr>
            <w:noProof/>
          </w:rPr>
          <w:t>42</w:t>
        </w:r>
        <w:r>
          <w:fldChar w:fldCharType="end"/>
        </w:r>
      </w:p>
    </w:sdtContent>
  </w:sdt>
  <w:p w14:paraId="0404881B" w14:textId="77777777" w:rsidR="00B77818" w:rsidRDefault="00B77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45C48" w14:textId="0BEC277A" w:rsidR="00B77818" w:rsidRPr="00287A94" w:rsidRDefault="00B77818" w:rsidP="00287A94">
    <w:pPr>
      <w:jc w:val="both"/>
      <w:rPr>
        <w:i/>
        <w:lang w:val="en-GB"/>
      </w:rPr>
    </w:pPr>
    <w:r w:rsidRPr="00287A94">
      <w:rPr>
        <w:i/>
        <w:lang w:val="en-GB"/>
      </w:rPr>
      <w:t xml:space="preserve">Master Thesis: Economics (International Economics &amp; Development) </w:t>
    </w:r>
    <w:r w:rsidRPr="00287A94">
      <w:rPr>
        <w:i/>
        <w:lang w:val="en-GB"/>
      </w:rPr>
      <w:tab/>
      <w:t xml:space="preserve">Supervisor: dr. A. de Vaal </w:t>
    </w:r>
  </w:p>
  <w:p w14:paraId="7B563B63" w14:textId="77777777" w:rsidR="00B77818" w:rsidRDefault="00B77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D4511" w14:textId="77777777" w:rsidR="00D8656F" w:rsidRDefault="00D8656F" w:rsidP="00B270E1">
      <w:pPr>
        <w:spacing w:after="0" w:line="240" w:lineRule="auto"/>
      </w:pPr>
      <w:r>
        <w:separator/>
      </w:r>
    </w:p>
  </w:footnote>
  <w:footnote w:type="continuationSeparator" w:id="0">
    <w:p w14:paraId="74BA4DE6" w14:textId="77777777" w:rsidR="00D8656F" w:rsidRDefault="00D8656F" w:rsidP="00B27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F1FD4"/>
    <w:multiLevelType w:val="hybridMultilevel"/>
    <w:tmpl w:val="894EDD6C"/>
    <w:lvl w:ilvl="0" w:tplc="D35058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FE5F11"/>
    <w:multiLevelType w:val="hybridMultilevel"/>
    <w:tmpl w:val="20D60AC6"/>
    <w:lvl w:ilvl="0" w:tplc="50FADE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A71386"/>
    <w:multiLevelType w:val="hybridMultilevel"/>
    <w:tmpl w:val="A59AA21C"/>
    <w:lvl w:ilvl="0" w:tplc="9B30E67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C45363"/>
    <w:multiLevelType w:val="hybridMultilevel"/>
    <w:tmpl w:val="58CE52FA"/>
    <w:lvl w:ilvl="0" w:tplc="640207E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F2"/>
    <w:rsid w:val="000000FE"/>
    <w:rsid w:val="000019B2"/>
    <w:rsid w:val="00003C99"/>
    <w:rsid w:val="00004559"/>
    <w:rsid w:val="00004812"/>
    <w:rsid w:val="000059E8"/>
    <w:rsid w:val="00005CB7"/>
    <w:rsid w:val="00006081"/>
    <w:rsid w:val="000132C2"/>
    <w:rsid w:val="00014231"/>
    <w:rsid w:val="0001457C"/>
    <w:rsid w:val="0001541F"/>
    <w:rsid w:val="0002256B"/>
    <w:rsid w:val="00022AF4"/>
    <w:rsid w:val="0002344D"/>
    <w:rsid w:val="00026AE5"/>
    <w:rsid w:val="00027397"/>
    <w:rsid w:val="00027DD8"/>
    <w:rsid w:val="00030E08"/>
    <w:rsid w:val="000319F8"/>
    <w:rsid w:val="00031CEC"/>
    <w:rsid w:val="000328E9"/>
    <w:rsid w:val="00032F3B"/>
    <w:rsid w:val="00035863"/>
    <w:rsid w:val="00040C22"/>
    <w:rsid w:val="0004353C"/>
    <w:rsid w:val="00045CF5"/>
    <w:rsid w:val="00046154"/>
    <w:rsid w:val="00047478"/>
    <w:rsid w:val="00047CCB"/>
    <w:rsid w:val="00051DED"/>
    <w:rsid w:val="00053269"/>
    <w:rsid w:val="0005436C"/>
    <w:rsid w:val="000604DD"/>
    <w:rsid w:val="00060EDE"/>
    <w:rsid w:val="00061209"/>
    <w:rsid w:val="00063F6D"/>
    <w:rsid w:val="0006401F"/>
    <w:rsid w:val="000658CC"/>
    <w:rsid w:val="00065EA8"/>
    <w:rsid w:val="00070CE7"/>
    <w:rsid w:val="0007424A"/>
    <w:rsid w:val="00075FC4"/>
    <w:rsid w:val="00082CCB"/>
    <w:rsid w:val="00084483"/>
    <w:rsid w:val="000844C7"/>
    <w:rsid w:val="00084F00"/>
    <w:rsid w:val="00086C29"/>
    <w:rsid w:val="00090115"/>
    <w:rsid w:val="000931BB"/>
    <w:rsid w:val="00093687"/>
    <w:rsid w:val="000974E2"/>
    <w:rsid w:val="00097DA7"/>
    <w:rsid w:val="000A0097"/>
    <w:rsid w:val="000A456B"/>
    <w:rsid w:val="000A4D57"/>
    <w:rsid w:val="000A5636"/>
    <w:rsid w:val="000A6CFD"/>
    <w:rsid w:val="000B0867"/>
    <w:rsid w:val="000B1262"/>
    <w:rsid w:val="000B2679"/>
    <w:rsid w:val="000B4AAC"/>
    <w:rsid w:val="000B64A4"/>
    <w:rsid w:val="000B7058"/>
    <w:rsid w:val="000C1BE2"/>
    <w:rsid w:val="000C2C78"/>
    <w:rsid w:val="000C4388"/>
    <w:rsid w:val="000C4FAC"/>
    <w:rsid w:val="000C53BC"/>
    <w:rsid w:val="000C64D4"/>
    <w:rsid w:val="000D06DF"/>
    <w:rsid w:val="000D0C9D"/>
    <w:rsid w:val="000D3012"/>
    <w:rsid w:val="000D4CC1"/>
    <w:rsid w:val="000E0840"/>
    <w:rsid w:val="000E1064"/>
    <w:rsid w:val="000F335D"/>
    <w:rsid w:val="000F4134"/>
    <w:rsid w:val="000F4F93"/>
    <w:rsid w:val="000F62CE"/>
    <w:rsid w:val="000F7FD0"/>
    <w:rsid w:val="001011DE"/>
    <w:rsid w:val="00102ADD"/>
    <w:rsid w:val="001032FA"/>
    <w:rsid w:val="00103341"/>
    <w:rsid w:val="00103594"/>
    <w:rsid w:val="001040A9"/>
    <w:rsid w:val="00104F4B"/>
    <w:rsid w:val="001074F5"/>
    <w:rsid w:val="001103B8"/>
    <w:rsid w:val="00110890"/>
    <w:rsid w:val="001112BD"/>
    <w:rsid w:val="00111371"/>
    <w:rsid w:val="001115B9"/>
    <w:rsid w:val="00111A1A"/>
    <w:rsid w:val="0011514F"/>
    <w:rsid w:val="001167C6"/>
    <w:rsid w:val="00121570"/>
    <w:rsid w:val="0012173B"/>
    <w:rsid w:val="001247D6"/>
    <w:rsid w:val="00124BE9"/>
    <w:rsid w:val="001257A5"/>
    <w:rsid w:val="001258DD"/>
    <w:rsid w:val="00125E98"/>
    <w:rsid w:val="001302E2"/>
    <w:rsid w:val="001310A4"/>
    <w:rsid w:val="00131FE3"/>
    <w:rsid w:val="00133224"/>
    <w:rsid w:val="00133F53"/>
    <w:rsid w:val="001344DA"/>
    <w:rsid w:val="00134EF6"/>
    <w:rsid w:val="00136110"/>
    <w:rsid w:val="0013669B"/>
    <w:rsid w:val="001418EE"/>
    <w:rsid w:val="00141E80"/>
    <w:rsid w:val="00142609"/>
    <w:rsid w:val="0014261B"/>
    <w:rsid w:val="0014484F"/>
    <w:rsid w:val="001475EC"/>
    <w:rsid w:val="00147B2E"/>
    <w:rsid w:val="00151B7D"/>
    <w:rsid w:val="001544D2"/>
    <w:rsid w:val="00155723"/>
    <w:rsid w:val="001563FE"/>
    <w:rsid w:val="001564C5"/>
    <w:rsid w:val="00156BDB"/>
    <w:rsid w:val="001575A9"/>
    <w:rsid w:val="00162628"/>
    <w:rsid w:val="00163010"/>
    <w:rsid w:val="00164EDE"/>
    <w:rsid w:val="00165DD7"/>
    <w:rsid w:val="00165F05"/>
    <w:rsid w:val="001667FB"/>
    <w:rsid w:val="0017128E"/>
    <w:rsid w:val="00171CCC"/>
    <w:rsid w:val="00173CD3"/>
    <w:rsid w:val="001756D2"/>
    <w:rsid w:val="001757B5"/>
    <w:rsid w:val="0017725B"/>
    <w:rsid w:val="00180052"/>
    <w:rsid w:val="001805E4"/>
    <w:rsid w:val="00182329"/>
    <w:rsid w:val="00183C26"/>
    <w:rsid w:val="0018728D"/>
    <w:rsid w:val="001875B4"/>
    <w:rsid w:val="00187860"/>
    <w:rsid w:val="00191522"/>
    <w:rsid w:val="001926AA"/>
    <w:rsid w:val="00192F0A"/>
    <w:rsid w:val="0019402B"/>
    <w:rsid w:val="00196ED6"/>
    <w:rsid w:val="001979C3"/>
    <w:rsid w:val="001A4888"/>
    <w:rsid w:val="001A5764"/>
    <w:rsid w:val="001A63B5"/>
    <w:rsid w:val="001A668C"/>
    <w:rsid w:val="001B3DC5"/>
    <w:rsid w:val="001B4665"/>
    <w:rsid w:val="001B7072"/>
    <w:rsid w:val="001B78A4"/>
    <w:rsid w:val="001C026F"/>
    <w:rsid w:val="001C0B48"/>
    <w:rsid w:val="001C1E3E"/>
    <w:rsid w:val="001C1F59"/>
    <w:rsid w:val="001C2E8A"/>
    <w:rsid w:val="001C412F"/>
    <w:rsid w:val="001C434E"/>
    <w:rsid w:val="001C7D19"/>
    <w:rsid w:val="001D35EA"/>
    <w:rsid w:val="001D5358"/>
    <w:rsid w:val="001D6E56"/>
    <w:rsid w:val="001D7AB9"/>
    <w:rsid w:val="001E0B1F"/>
    <w:rsid w:val="001E1BDB"/>
    <w:rsid w:val="001E1D75"/>
    <w:rsid w:val="001E2788"/>
    <w:rsid w:val="001E418C"/>
    <w:rsid w:val="001E4A12"/>
    <w:rsid w:val="001E7CA6"/>
    <w:rsid w:val="001F2637"/>
    <w:rsid w:val="001F3618"/>
    <w:rsid w:val="001F41AF"/>
    <w:rsid w:val="002008E5"/>
    <w:rsid w:val="00200AA1"/>
    <w:rsid w:val="00200B80"/>
    <w:rsid w:val="002021F9"/>
    <w:rsid w:val="00202C8E"/>
    <w:rsid w:val="002033D6"/>
    <w:rsid w:val="002067F1"/>
    <w:rsid w:val="00210A3E"/>
    <w:rsid w:val="00210FEB"/>
    <w:rsid w:val="0021124F"/>
    <w:rsid w:val="00213684"/>
    <w:rsid w:val="002149E4"/>
    <w:rsid w:val="00216BE2"/>
    <w:rsid w:val="0021731E"/>
    <w:rsid w:val="0022304E"/>
    <w:rsid w:val="00223FA6"/>
    <w:rsid w:val="002242A4"/>
    <w:rsid w:val="002257BA"/>
    <w:rsid w:val="00225AB4"/>
    <w:rsid w:val="0023011F"/>
    <w:rsid w:val="002315A2"/>
    <w:rsid w:val="00232637"/>
    <w:rsid w:val="00233927"/>
    <w:rsid w:val="002341E5"/>
    <w:rsid w:val="00235034"/>
    <w:rsid w:val="00235E25"/>
    <w:rsid w:val="002379D5"/>
    <w:rsid w:val="00240EB0"/>
    <w:rsid w:val="00243D49"/>
    <w:rsid w:val="00244E6B"/>
    <w:rsid w:val="00244E86"/>
    <w:rsid w:val="00246EFD"/>
    <w:rsid w:val="002500AD"/>
    <w:rsid w:val="0025161B"/>
    <w:rsid w:val="00251E9D"/>
    <w:rsid w:val="0025242C"/>
    <w:rsid w:val="002529BE"/>
    <w:rsid w:val="00253275"/>
    <w:rsid w:val="00254878"/>
    <w:rsid w:val="00257A1D"/>
    <w:rsid w:val="00260F4B"/>
    <w:rsid w:val="0026193C"/>
    <w:rsid w:val="00262473"/>
    <w:rsid w:val="00267A05"/>
    <w:rsid w:val="00270B29"/>
    <w:rsid w:val="00276993"/>
    <w:rsid w:val="00276C97"/>
    <w:rsid w:val="00276E05"/>
    <w:rsid w:val="00280F67"/>
    <w:rsid w:val="00282D7C"/>
    <w:rsid w:val="00284227"/>
    <w:rsid w:val="00284881"/>
    <w:rsid w:val="00284B3C"/>
    <w:rsid w:val="00286621"/>
    <w:rsid w:val="00286F41"/>
    <w:rsid w:val="00287A94"/>
    <w:rsid w:val="0029216A"/>
    <w:rsid w:val="00292C2F"/>
    <w:rsid w:val="00293436"/>
    <w:rsid w:val="00293A63"/>
    <w:rsid w:val="0029476B"/>
    <w:rsid w:val="00295A56"/>
    <w:rsid w:val="00295A61"/>
    <w:rsid w:val="00295B0C"/>
    <w:rsid w:val="002A03CF"/>
    <w:rsid w:val="002A0D75"/>
    <w:rsid w:val="002A0F0C"/>
    <w:rsid w:val="002A1C9B"/>
    <w:rsid w:val="002A2AB0"/>
    <w:rsid w:val="002A5F46"/>
    <w:rsid w:val="002A6AA1"/>
    <w:rsid w:val="002B0584"/>
    <w:rsid w:val="002B3906"/>
    <w:rsid w:val="002B78C4"/>
    <w:rsid w:val="002C1D29"/>
    <w:rsid w:val="002C321A"/>
    <w:rsid w:val="002C68B1"/>
    <w:rsid w:val="002D0C71"/>
    <w:rsid w:val="002D186D"/>
    <w:rsid w:val="002D2D25"/>
    <w:rsid w:val="002D3F4A"/>
    <w:rsid w:val="002D52F2"/>
    <w:rsid w:val="002E07F9"/>
    <w:rsid w:val="002E0E82"/>
    <w:rsid w:val="002E44D3"/>
    <w:rsid w:val="002E4E56"/>
    <w:rsid w:val="002E513C"/>
    <w:rsid w:val="002E5282"/>
    <w:rsid w:val="002E604F"/>
    <w:rsid w:val="002E67CA"/>
    <w:rsid w:val="002E6E55"/>
    <w:rsid w:val="002F0D7D"/>
    <w:rsid w:val="002F1BF1"/>
    <w:rsid w:val="002F262C"/>
    <w:rsid w:val="002F747D"/>
    <w:rsid w:val="00300891"/>
    <w:rsid w:val="00300F05"/>
    <w:rsid w:val="003012CC"/>
    <w:rsid w:val="00301CFE"/>
    <w:rsid w:val="00302939"/>
    <w:rsid w:val="00302A2D"/>
    <w:rsid w:val="003032B5"/>
    <w:rsid w:val="00303B1D"/>
    <w:rsid w:val="00303B6D"/>
    <w:rsid w:val="00305079"/>
    <w:rsid w:val="003054C5"/>
    <w:rsid w:val="00305642"/>
    <w:rsid w:val="00306587"/>
    <w:rsid w:val="003108D7"/>
    <w:rsid w:val="00311464"/>
    <w:rsid w:val="00312051"/>
    <w:rsid w:val="00312F92"/>
    <w:rsid w:val="00313C70"/>
    <w:rsid w:val="00315545"/>
    <w:rsid w:val="00316B2C"/>
    <w:rsid w:val="003179D2"/>
    <w:rsid w:val="0032117D"/>
    <w:rsid w:val="00321222"/>
    <w:rsid w:val="00324895"/>
    <w:rsid w:val="0033053B"/>
    <w:rsid w:val="00331249"/>
    <w:rsid w:val="0033505A"/>
    <w:rsid w:val="0033675A"/>
    <w:rsid w:val="00336BC9"/>
    <w:rsid w:val="003371E2"/>
    <w:rsid w:val="00337703"/>
    <w:rsid w:val="003378E5"/>
    <w:rsid w:val="00342E5E"/>
    <w:rsid w:val="00344A31"/>
    <w:rsid w:val="00345ABF"/>
    <w:rsid w:val="00346447"/>
    <w:rsid w:val="00347DF7"/>
    <w:rsid w:val="00350449"/>
    <w:rsid w:val="00350FC2"/>
    <w:rsid w:val="00352D7B"/>
    <w:rsid w:val="00352E64"/>
    <w:rsid w:val="00353C0A"/>
    <w:rsid w:val="00354D44"/>
    <w:rsid w:val="00356593"/>
    <w:rsid w:val="00361945"/>
    <w:rsid w:val="00362994"/>
    <w:rsid w:val="0036403F"/>
    <w:rsid w:val="00366EBC"/>
    <w:rsid w:val="00367393"/>
    <w:rsid w:val="003673BF"/>
    <w:rsid w:val="00371384"/>
    <w:rsid w:val="003747CF"/>
    <w:rsid w:val="00376CF2"/>
    <w:rsid w:val="00381298"/>
    <w:rsid w:val="00383619"/>
    <w:rsid w:val="003845BE"/>
    <w:rsid w:val="0038473D"/>
    <w:rsid w:val="003848A0"/>
    <w:rsid w:val="00386A4A"/>
    <w:rsid w:val="00386BEB"/>
    <w:rsid w:val="00387508"/>
    <w:rsid w:val="00387930"/>
    <w:rsid w:val="00387A9D"/>
    <w:rsid w:val="00391A14"/>
    <w:rsid w:val="0039223B"/>
    <w:rsid w:val="0039280B"/>
    <w:rsid w:val="003934A0"/>
    <w:rsid w:val="00393C45"/>
    <w:rsid w:val="003941BA"/>
    <w:rsid w:val="00397224"/>
    <w:rsid w:val="003976AE"/>
    <w:rsid w:val="003A0648"/>
    <w:rsid w:val="003A0CE2"/>
    <w:rsid w:val="003A1B86"/>
    <w:rsid w:val="003A1F67"/>
    <w:rsid w:val="003A2B97"/>
    <w:rsid w:val="003A342B"/>
    <w:rsid w:val="003A3B90"/>
    <w:rsid w:val="003A3EBC"/>
    <w:rsid w:val="003A3EFA"/>
    <w:rsid w:val="003B0FC5"/>
    <w:rsid w:val="003B16A4"/>
    <w:rsid w:val="003B1773"/>
    <w:rsid w:val="003B40FB"/>
    <w:rsid w:val="003B48C3"/>
    <w:rsid w:val="003C0BEB"/>
    <w:rsid w:val="003C0DFE"/>
    <w:rsid w:val="003C1485"/>
    <w:rsid w:val="003C2E35"/>
    <w:rsid w:val="003C3191"/>
    <w:rsid w:val="003C3B87"/>
    <w:rsid w:val="003C54DA"/>
    <w:rsid w:val="003C72EF"/>
    <w:rsid w:val="003D1C37"/>
    <w:rsid w:val="003D2324"/>
    <w:rsid w:val="003D349A"/>
    <w:rsid w:val="003D47F2"/>
    <w:rsid w:val="003D4DDA"/>
    <w:rsid w:val="003D51C6"/>
    <w:rsid w:val="003D5597"/>
    <w:rsid w:val="003D5A67"/>
    <w:rsid w:val="003D6BF0"/>
    <w:rsid w:val="003D7A8C"/>
    <w:rsid w:val="003E087F"/>
    <w:rsid w:val="003E0BA8"/>
    <w:rsid w:val="003E25F2"/>
    <w:rsid w:val="003E33B8"/>
    <w:rsid w:val="003E45C0"/>
    <w:rsid w:val="003F01C9"/>
    <w:rsid w:val="003F057D"/>
    <w:rsid w:val="003F0BBF"/>
    <w:rsid w:val="003F4AA4"/>
    <w:rsid w:val="003F4E50"/>
    <w:rsid w:val="003F5EA5"/>
    <w:rsid w:val="00400F0D"/>
    <w:rsid w:val="0040387C"/>
    <w:rsid w:val="00403E4D"/>
    <w:rsid w:val="0040424B"/>
    <w:rsid w:val="004042BF"/>
    <w:rsid w:val="004055E3"/>
    <w:rsid w:val="004058F0"/>
    <w:rsid w:val="004068AF"/>
    <w:rsid w:val="00406C6C"/>
    <w:rsid w:val="00410303"/>
    <w:rsid w:val="00410D4E"/>
    <w:rsid w:val="00411C95"/>
    <w:rsid w:val="004126F0"/>
    <w:rsid w:val="00412FDB"/>
    <w:rsid w:val="0041343E"/>
    <w:rsid w:val="00415E7F"/>
    <w:rsid w:val="004203DF"/>
    <w:rsid w:val="00421823"/>
    <w:rsid w:val="00421C69"/>
    <w:rsid w:val="0042346F"/>
    <w:rsid w:val="004235E3"/>
    <w:rsid w:val="0042495F"/>
    <w:rsid w:val="00427632"/>
    <w:rsid w:val="004309F1"/>
    <w:rsid w:val="00430A6D"/>
    <w:rsid w:val="004310C0"/>
    <w:rsid w:val="004311C4"/>
    <w:rsid w:val="00433331"/>
    <w:rsid w:val="0043401A"/>
    <w:rsid w:val="00435BEF"/>
    <w:rsid w:val="00440FDB"/>
    <w:rsid w:val="00444B26"/>
    <w:rsid w:val="00444DAB"/>
    <w:rsid w:val="00445C12"/>
    <w:rsid w:val="00446374"/>
    <w:rsid w:val="00446475"/>
    <w:rsid w:val="004479EF"/>
    <w:rsid w:val="00450E92"/>
    <w:rsid w:val="00450EE2"/>
    <w:rsid w:val="004529A8"/>
    <w:rsid w:val="00452BC9"/>
    <w:rsid w:val="00452C6D"/>
    <w:rsid w:val="004556F8"/>
    <w:rsid w:val="004558CA"/>
    <w:rsid w:val="004568A6"/>
    <w:rsid w:val="0045747D"/>
    <w:rsid w:val="00457EFD"/>
    <w:rsid w:val="00461DD1"/>
    <w:rsid w:val="004633B5"/>
    <w:rsid w:val="00470152"/>
    <w:rsid w:val="00470214"/>
    <w:rsid w:val="0047354E"/>
    <w:rsid w:val="00473717"/>
    <w:rsid w:val="00474ACD"/>
    <w:rsid w:val="00474C19"/>
    <w:rsid w:val="00475299"/>
    <w:rsid w:val="00482E5C"/>
    <w:rsid w:val="00487DC2"/>
    <w:rsid w:val="00490195"/>
    <w:rsid w:val="004906D6"/>
    <w:rsid w:val="00490CFE"/>
    <w:rsid w:val="0049437C"/>
    <w:rsid w:val="00494A4B"/>
    <w:rsid w:val="00495966"/>
    <w:rsid w:val="0049671E"/>
    <w:rsid w:val="004978B0"/>
    <w:rsid w:val="00497F73"/>
    <w:rsid w:val="004A1FFB"/>
    <w:rsid w:val="004A280C"/>
    <w:rsid w:val="004A445F"/>
    <w:rsid w:val="004A57F4"/>
    <w:rsid w:val="004A61E5"/>
    <w:rsid w:val="004A7332"/>
    <w:rsid w:val="004A7F1B"/>
    <w:rsid w:val="004B597A"/>
    <w:rsid w:val="004C354C"/>
    <w:rsid w:val="004C362E"/>
    <w:rsid w:val="004C450C"/>
    <w:rsid w:val="004C4996"/>
    <w:rsid w:val="004C66BD"/>
    <w:rsid w:val="004C7D99"/>
    <w:rsid w:val="004D00AC"/>
    <w:rsid w:val="004D20A6"/>
    <w:rsid w:val="004D3CC3"/>
    <w:rsid w:val="004E1E1F"/>
    <w:rsid w:val="004E3F40"/>
    <w:rsid w:val="004E4AF3"/>
    <w:rsid w:val="004E57BB"/>
    <w:rsid w:val="004E6094"/>
    <w:rsid w:val="004E6C47"/>
    <w:rsid w:val="004F0608"/>
    <w:rsid w:val="004F1524"/>
    <w:rsid w:val="004F1D88"/>
    <w:rsid w:val="004F2378"/>
    <w:rsid w:val="004F2CD4"/>
    <w:rsid w:val="004F3789"/>
    <w:rsid w:val="004F49B4"/>
    <w:rsid w:val="004F7225"/>
    <w:rsid w:val="00501380"/>
    <w:rsid w:val="00502AE2"/>
    <w:rsid w:val="005053E1"/>
    <w:rsid w:val="00505BA7"/>
    <w:rsid w:val="00505DC4"/>
    <w:rsid w:val="00510EA8"/>
    <w:rsid w:val="0051321D"/>
    <w:rsid w:val="00513B68"/>
    <w:rsid w:val="00514653"/>
    <w:rsid w:val="0051739C"/>
    <w:rsid w:val="00517C9C"/>
    <w:rsid w:val="00521593"/>
    <w:rsid w:val="005219E4"/>
    <w:rsid w:val="005220E1"/>
    <w:rsid w:val="00522B9C"/>
    <w:rsid w:val="00522FEA"/>
    <w:rsid w:val="005233D3"/>
    <w:rsid w:val="005259BD"/>
    <w:rsid w:val="0053063A"/>
    <w:rsid w:val="00530C5E"/>
    <w:rsid w:val="005318A5"/>
    <w:rsid w:val="00531948"/>
    <w:rsid w:val="0053235C"/>
    <w:rsid w:val="00533202"/>
    <w:rsid w:val="00533BEE"/>
    <w:rsid w:val="005342C7"/>
    <w:rsid w:val="005400A2"/>
    <w:rsid w:val="00544E6E"/>
    <w:rsid w:val="00545BB7"/>
    <w:rsid w:val="00546797"/>
    <w:rsid w:val="0055106A"/>
    <w:rsid w:val="00551B1A"/>
    <w:rsid w:val="00552511"/>
    <w:rsid w:val="00553183"/>
    <w:rsid w:val="0055331C"/>
    <w:rsid w:val="00553EEB"/>
    <w:rsid w:val="00554803"/>
    <w:rsid w:val="00555B72"/>
    <w:rsid w:val="00555FD3"/>
    <w:rsid w:val="005564F5"/>
    <w:rsid w:val="005577ED"/>
    <w:rsid w:val="00557F83"/>
    <w:rsid w:val="00560BDC"/>
    <w:rsid w:val="0056149E"/>
    <w:rsid w:val="00564F2E"/>
    <w:rsid w:val="005708C0"/>
    <w:rsid w:val="00573A22"/>
    <w:rsid w:val="00575BF7"/>
    <w:rsid w:val="0057782E"/>
    <w:rsid w:val="00580C03"/>
    <w:rsid w:val="00581A42"/>
    <w:rsid w:val="005833E8"/>
    <w:rsid w:val="00583C17"/>
    <w:rsid w:val="00585F66"/>
    <w:rsid w:val="00585F6A"/>
    <w:rsid w:val="00590471"/>
    <w:rsid w:val="00590803"/>
    <w:rsid w:val="005910CB"/>
    <w:rsid w:val="00591CA6"/>
    <w:rsid w:val="005950C7"/>
    <w:rsid w:val="00596E20"/>
    <w:rsid w:val="005A12A3"/>
    <w:rsid w:val="005A17B8"/>
    <w:rsid w:val="005A1897"/>
    <w:rsid w:val="005A1D32"/>
    <w:rsid w:val="005A250A"/>
    <w:rsid w:val="005A3613"/>
    <w:rsid w:val="005A3971"/>
    <w:rsid w:val="005A4621"/>
    <w:rsid w:val="005A6DF3"/>
    <w:rsid w:val="005B14E2"/>
    <w:rsid w:val="005B20B9"/>
    <w:rsid w:val="005B42B5"/>
    <w:rsid w:val="005B4CFF"/>
    <w:rsid w:val="005B6787"/>
    <w:rsid w:val="005C1008"/>
    <w:rsid w:val="005C1B57"/>
    <w:rsid w:val="005C5DDE"/>
    <w:rsid w:val="005D1ECD"/>
    <w:rsid w:val="005D2090"/>
    <w:rsid w:val="005D20D4"/>
    <w:rsid w:val="005D2C3C"/>
    <w:rsid w:val="005D569B"/>
    <w:rsid w:val="005E10F0"/>
    <w:rsid w:val="005E363A"/>
    <w:rsid w:val="005E5063"/>
    <w:rsid w:val="005E5146"/>
    <w:rsid w:val="005E6A97"/>
    <w:rsid w:val="005E6EAF"/>
    <w:rsid w:val="005E7257"/>
    <w:rsid w:val="005F0019"/>
    <w:rsid w:val="005F2104"/>
    <w:rsid w:val="005F518F"/>
    <w:rsid w:val="005F68EF"/>
    <w:rsid w:val="005F7CDD"/>
    <w:rsid w:val="00600EB4"/>
    <w:rsid w:val="00601E34"/>
    <w:rsid w:val="006029A9"/>
    <w:rsid w:val="00602C35"/>
    <w:rsid w:val="0060330D"/>
    <w:rsid w:val="00603C4C"/>
    <w:rsid w:val="00604109"/>
    <w:rsid w:val="00604EA8"/>
    <w:rsid w:val="00607C63"/>
    <w:rsid w:val="00611762"/>
    <w:rsid w:val="006126BC"/>
    <w:rsid w:val="00612ABF"/>
    <w:rsid w:val="006151E3"/>
    <w:rsid w:val="0061535F"/>
    <w:rsid w:val="006170C2"/>
    <w:rsid w:val="00623D58"/>
    <w:rsid w:val="006240EF"/>
    <w:rsid w:val="00625219"/>
    <w:rsid w:val="00625AA7"/>
    <w:rsid w:val="00625BFB"/>
    <w:rsid w:val="00631A11"/>
    <w:rsid w:val="00633ED8"/>
    <w:rsid w:val="00634305"/>
    <w:rsid w:val="006364BF"/>
    <w:rsid w:val="00637430"/>
    <w:rsid w:val="00640E17"/>
    <w:rsid w:val="006410B7"/>
    <w:rsid w:val="0064114A"/>
    <w:rsid w:val="00641CA8"/>
    <w:rsid w:val="00641CD9"/>
    <w:rsid w:val="006431F1"/>
    <w:rsid w:val="00643954"/>
    <w:rsid w:val="00643B06"/>
    <w:rsid w:val="00643D4B"/>
    <w:rsid w:val="00646F25"/>
    <w:rsid w:val="0064706D"/>
    <w:rsid w:val="006507A3"/>
    <w:rsid w:val="0065121B"/>
    <w:rsid w:val="00653FC3"/>
    <w:rsid w:val="00656290"/>
    <w:rsid w:val="00660507"/>
    <w:rsid w:val="00660509"/>
    <w:rsid w:val="0066057D"/>
    <w:rsid w:val="00663DAE"/>
    <w:rsid w:val="00664DFE"/>
    <w:rsid w:val="00666986"/>
    <w:rsid w:val="0067170B"/>
    <w:rsid w:val="00673AC7"/>
    <w:rsid w:val="00675DC7"/>
    <w:rsid w:val="00676782"/>
    <w:rsid w:val="006803B2"/>
    <w:rsid w:val="00680723"/>
    <w:rsid w:val="00682526"/>
    <w:rsid w:val="00682680"/>
    <w:rsid w:val="00682EDF"/>
    <w:rsid w:val="006834C3"/>
    <w:rsid w:val="00683C88"/>
    <w:rsid w:val="006850F8"/>
    <w:rsid w:val="006864FC"/>
    <w:rsid w:val="006867A3"/>
    <w:rsid w:val="006878FB"/>
    <w:rsid w:val="006906B4"/>
    <w:rsid w:val="00692615"/>
    <w:rsid w:val="006927C1"/>
    <w:rsid w:val="006939FE"/>
    <w:rsid w:val="00693FD1"/>
    <w:rsid w:val="00696D79"/>
    <w:rsid w:val="006A152B"/>
    <w:rsid w:val="006A1FD0"/>
    <w:rsid w:val="006A2453"/>
    <w:rsid w:val="006A30DA"/>
    <w:rsid w:val="006A3EE1"/>
    <w:rsid w:val="006A5E34"/>
    <w:rsid w:val="006A7977"/>
    <w:rsid w:val="006A7A4D"/>
    <w:rsid w:val="006B219C"/>
    <w:rsid w:val="006B2326"/>
    <w:rsid w:val="006B3276"/>
    <w:rsid w:val="006B5D3A"/>
    <w:rsid w:val="006B6979"/>
    <w:rsid w:val="006C24A6"/>
    <w:rsid w:val="006C353A"/>
    <w:rsid w:val="006C6AB4"/>
    <w:rsid w:val="006C7A69"/>
    <w:rsid w:val="006C7FE9"/>
    <w:rsid w:val="006D081D"/>
    <w:rsid w:val="006D0C1A"/>
    <w:rsid w:val="006D1D86"/>
    <w:rsid w:val="006D6B66"/>
    <w:rsid w:val="006D6FC5"/>
    <w:rsid w:val="006E0963"/>
    <w:rsid w:val="006E3908"/>
    <w:rsid w:val="006E475C"/>
    <w:rsid w:val="006E4BE9"/>
    <w:rsid w:val="006E52BA"/>
    <w:rsid w:val="006E6719"/>
    <w:rsid w:val="006F0F68"/>
    <w:rsid w:val="006F2D00"/>
    <w:rsid w:val="006F41A4"/>
    <w:rsid w:val="006F5CF1"/>
    <w:rsid w:val="006F67AC"/>
    <w:rsid w:val="006F739B"/>
    <w:rsid w:val="0070223E"/>
    <w:rsid w:val="00704A78"/>
    <w:rsid w:val="00705B3B"/>
    <w:rsid w:val="00710492"/>
    <w:rsid w:val="007104C3"/>
    <w:rsid w:val="007117A9"/>
    <w:rsid w:val="00712B14"/>
    <w:rsid w:val="0071333B"/>
    <w:rsid w:val="00714740"/>
    <w:rsid w:val="00714B92"/>
    <w:rsid w:val="0071606E"/>
    <w:rsid w:val="00716115"/>
    <w:rsid w:val="007173FE"/>
    <w:rsid w:val="00722C9F"/>
    <w:rsid w:val="00725610"/>
    <w:rsid w:val="00727DBD"/>
    <w:rsid w:val="0073102A"/>
    <w:rsid w:val="007319E4"/>
    <w:rsid w:val="00734DD1"/>
    <w:rsid w:val="00735E4B"/>
    <w:rsid w:val="0074024A"/>
    <w:rsid w:val="00741251"/>
    <w:rsid w:val="00741691"/>
    <w:rsid w:val="00742022"/>
    <w:rsid w:val="00745AB4"/>
    <w:rsid w:val="00751A4C"/>
    <w:rsid w:val="0075494F"/>
    <w:rsid w:val="007574B4"/>
    <w:rsid w:val="00757FDF"/>
    <w:rsid w:val="0076090C"/>
    <w:rsid w:val="007617D2"/>
    <w:rsid w:val="00761EAA"/>
    <w:rsid w:val="0076295B"/>
    <w:rsid w:val="00762C1D"/>
    <w:rsid w:val="0076414C"/>
    <w:rsid w:val="00764CAF"/>
    <w:rsid w:val="00766F90"/>
    <w:rsid w:val="007700C2"/>
    <w:rsid w:val="00771340"/>
    <w:rsid w:val="00771F6D"/>
    <w:rsid w:val="00773A85"/>
    <w:rsid w:val="00774929"/>
    <w:rsid w:val="00776B5D"/>
    <w:rsid w:val="00776DF1"/>
    <w:rsid w:val="0078057F"/>
    <w:rsid w:val="00781C7C"/>
    <w:rsid w:val="00783466"/>
    <w:rsid w:val="00783632"/>
    <w:rsid w:val="00784A34"/>
    <w:rsid w:val="00787013"/>
    <w:rsid w:val="0078728A"/>
    <w:rsid w:val="0078789F"/>
    <w:rsid w:val="00790288"/>
    <w:rsid w:val="00790854"/>
    <w:rsid w:val="00790FF0"/>
    <w:rsid w:val="00791C6F"/>
    <w:rsid w:val="00791FF6"/>
    <w:rsid w:val="00793D47"/>
    <w:rsid w:val="0079774F"/>
    <w:rsid w:val="00797A7D"/>
    <w:rsid w:val="007A1F0A"/>
    <w:rsid w:val="007A2744"/>
    <w:rsid w:val="007A30CD"/>
    <w:rsid w:val="007A6900"/>
    <w:rsid w:val="007A7025"/>
    <w:rsid w:val="007B22F9"/>
    <w:rsid w:val="007B569F"/>
    <w:rsid w:val="007B67E5"/>
    <w:rsid w:val="007B7037"/>
    <w:rsid w:val="007B7755"/>
    <w:rsid w:val="007B7CBF"/>
    <w:rsid w:val="007C2E4C"/>
    <w:rsid w:val="007C4013"/>
    <w:rsid w:val="007C643E"/>
    <w:rsid w:val="007D1B64"/>
    <w:rsid w:val="007D1BC9"/>
    <w:rsid w:val="007D28DE"/>
    <w:rsid w:val="007D2D64"/>
    <w:rsid w:val="007D2FB8"/>
    <w:rsid w:val="007D4959"/>
    <w:rsid w:val="007D4D82"/>
    <w:rsid w:val="007D75B7"/>
    <w:rsid w:val="007D7E42"/>
    <w:rsid w:val="007E14F2"/>
    <w:rsid w:val="007E28FC"/>
    <w:rsid w:val="007E774D"/>
    <w:rsid w:val="007F1454"/>
    <w:rsid w:val="007F27D0"/>
    <w:rsid w:val="007F3BC7"/>
    <w:rsid w:val="007F40B1"/>
    <w:rsid w:val="007F4349"/>
    <w:rsid w:val="007F48A4"/>
    <w:rsid w:val="007F6F08"/>
    <w:rsid w:val="007F7204"/>
    <w:rsid w:val="007F783C"/>
    <w:rsid w:val="007F797E"/>
    <w:rsid w:val="00804E08"/>
    <w:rsid w:val="00805866"/>
    <w:rsid w:val="0080716A"/>
    <w:rsid w:val="0081066A"/>
    <w:rsid w:val="008116F8"/>
    <w:rsid w:val="00812FD9"/>
    <w:rsid w:val="00814D32"/>
    <w:rsid w:val="00815CA5"/>
    <w:rsid w:val="00816981"/>
    <w:rsid w:val="008170C2"/>
    <w:rsid w:val="00821762"/>
    <w:rsid w:val="00821D56"/>
    <w:rsid w:val="00822741"/>
    <w:rsid w:val="00822A93"/>
    <w:rsid w:val="00822AE7"/>
    <w:rsid w:val="00823FBC"/>
    <w:rsid w:val="008244C2"/>
    <w:rsid w:val="008278DF"/>
    <w:rsid w:val="00830615"/>
    <w:rsid w:val="00834700"/>
    <w:rsid w:val="00835618"/>
    <w:rsid w:val="00836EE6"/>
    <w:rsid w:val="008436DE"/>
    <w:rsid w:val="00844AB4"/>
    <w:rsid w:val="00846572"/>
    <w:rsid w:val="008513D8"/>
    <w:rsid w:val="00851F16"/>
    <w:rsid w:val="0085322A"/>
    <w:rsid w:val="0085386A"/>
    <w:rsid w:val="00853D27"/>
    <w:rsid w:val="00855D1D"/>
    <w:rsid w:val="008565C8"/>
    <w:rsid w:val="008600B9"/>
    <w:rsid w:val="00860FBA"/>
    <w:rsid w:val="0086145A"/>
    <w:rsid w:val="00862D6E"/>
    <w:rsid w:val="00862F0F"/>
    <w:rsid w:val="00864944"/>
    <w:rsid w:val="00864C4C"/>
    <w:rsid w:val="00866C40"/>
    <w:rsid w:val="008721B8"/>
    <w:rsid w:val="00874967"/>
    <w:rsid w:val="0087578C"/>
    <w:rsid w:val="00875D8B"/>
    <w:rsid w:val="008806A2"/>
    <w:rsid w:val="00881155"/>
    <w:rsid w:val="00881237"/>
    <w:rsid w:val="00884301"/>
    <w:rsid w:val="0088498A"/>
    <w:rsid w:val="008858EE"/>
    <w:rsid w:val="00885C31"/>
    <w:rsid w:val="008920F0"/>
    <w:rsid w:val="0089277D"/>
    <w:rsid w:val="008930C4"/>
    <w:rsid w:val="00895460"/>
    <w:rsid w:val="008A041A"/>
    <w:rsid w:val="008A108E"/>
    <w:rsid w:val="008A10C0"/>
    <w:rsid w:val="008A2C1B"/>
    <w:rsid w:val="008A412C"/>
    <w:rsid w:val="008A5EAD"/>
    <w:rsid w:val="008A65D9"/>
    <w:rsid w:val="008B044F"/>
    <w:rsid w:val="008B1FE6"/>
    <w:rsid w:val="008B2D04"/>
    <w:rsid w:val="008B732E"/>
    <w:rsid w:val="008C4681"/>
    <w:rsid w:val="008C5AC6"/>
    <w:rsid w:val="008C760F"/>
    <w:rsid w:val="008D0BA8"/>
    <w:rsid w:val="008D1221"/>
    <w:rsid w:val="008D1F1E"/>
    <w:rsid w:val="008D2DAD"/>
    <w:rsid w:val="008D5A4A"/>
    <w:rsid w:val="008D5D2F"/>
    <w:rsid w:val="008D62B0"/>
    <w:rsid w:val="008D66AE"/>
    <w:rsid w:val="008D6FF2"/>
    <w:rsid w:val="008D760B"/>
    <w:rsid w:val="008E4D06"/>
    <w:rsid w:val="008F00D7"/>
    <w:rsid w:val="008F1154"/>
    <w:rsid w:val="008F17E7"/>
    <w:rsid w:val="008F295D"/>
    <w:rsid w:val="008F42FE"/>
    <w:rsid w:val="008F4451"/>
    <w:rsid w:val="008F6707"/>
    <w:rsid w:val="008F6BDA"/>
    <w:rsid w:val="009003DA"/>
    <w:rsid w:val="00906533"/>
    <w:rsid w:val="00906950"/>
    <w:rsid w:val="00906A8E"/>
    <w:rsid w:val="0090729D"/>
    <w:rsid w:val="0090776F"/>
    <w:rsid w:val="0091162E"/>
    <w:rsid w:val="0091455C"/>
    <w:rsid w:val="0091554A"/>
    <w:rsid w:val="00915DDB"/>
    <w:rsid w:val="00916CCF"/>
    <w:rsid w:val="00921783"/>
    <w:rsid w:val="00921F27"/>
    <w:rsid w:val="009235DB"/>
    <w:rsid w:val="00925274"/>
    <w:rsid w:val="00926C1C"/>
    <w:rsid w:val="00927419"/>
    <w:rsid w:val="009276DB"/>
    <w:rsid w:val="009312B6"/>
    <w:rsid w:val="00933E06"/>
    <w:rsid w:val="00935149"/>
    <w:rsid w:val="009405DE"/>
    <w:rsid w:val="009423A6"/>
    <w:rsid w:val="00943E8E"/>
    <w:rsid w:val="00946DAF"/>
    <w:rsid w:val="009477BC"/>
    <w:rsid w:val="00950667"/>
    <w:rsid w:val="00957209"/>
    <w:rsid w:val="009573DE"/>
    <w:rsid w:val="0095772E"/>
    <w:rsid w:val="00960E5B"/>
    <w:rsid w:val="00961F7D"/>
    <w:rsid w:val="009631A6"/>
    <w:rsid w:val="009667D8"/>
    <w:rsid w:val="00966A38"/>
    <w:rsid w:val="00967288"/>
    <w:rsid w:val="00970152"/>
    <w:rsid w:val="0097107A"/>
    <w:rsid w:val="00971D54"/>
    <w:rsid w:val="00972D6B"/>
    <w:rsid w:val="009767C2"/>
    <w:rsid w:val="00976BF7"/>
    <w:rsid w:val="00977E14"/>
    <w:rsid w:val="009829D6"/>
    <w:rsid w:val="00983230"/>
    <w:rsid w:val="00983BB9"/>
    <w:rsid w:val="00984CD7"/>
    <w:rsid w:val="00984DEC"/>
    <w:rsid w:val="00985759"/>
    <w:rsid w:val="00985E64"/>
    <w:rsid w:val="0099016E"/>
    <w:rsid w:val="009903CA"/>
    <w:rsid w:val="00992838"/>
    <w:rsid w:val="0099307A"/>
    <w:rsid w:val="009948D5"/>
    <w:rsid w:val="00994F3A"/>
    <w:rsid w:val="00996ADE"/>
    <w:rsid w:val="009A0226"/>
    <w:rsid w:val="009A0402"/>
    <w:rsid w:val="009A2A89"/>
    <w:rsid w:val="009A5D63"/>
    <w:rsid w:val="009A6C28"/>
    <w:rsid w:val="009A6D8B"/>
    <w:rsid w:val="009B03C7"/>
    <w:rsid w:val="009B4004"/>
    <w:rsid w:val="009B5C04"/>
    <w:rsid w:val="009C1FDC"/>
    <w:rsid w:val="009C28CF"/>
    <w:rsid w:val="009C3F57"/>
    <w:rsid w:val="009C53BA"/>
    <w:rsid w:val="009C7BBE"/>
    <w:rsid w:val="009D0A6B"/>
    <w:rsid w:val="009D0CA1"/>
    <w:rsid w:val="009D20F9"/>
    <w:rsid w:val="009D4B61"/>
    <w:rsid w:val="009D56AB"/>
    <w:rsid w:val="009D5700"/>
    <w:rsid w:val="009D58A4"/>
    <w:rsid w:val="009D62EB"/>
    <w:rsid w:val="009D6618"/>
    <w:rsid w:val="009D7F3E"/>
    <w:rsid w:val="009E1402"/>
    <w:rsid w:val="009E1E01"/>
    <w:rsid w:val="009E2851"/>
    <w:rsid w:val="009E413B"/>
    <w:rsid w:val="009E6AE1"/>
    <w:rsid w:val="009E75DA"/>
    <w:rsid w:val="009E7A90"/>
    <w:rsid w:val="009F334C"/>
    <w:rsid w:val="009F38F0"/>
    <w:rsid w:val="009F41C3"/>
    <w:rsid w:val="009F495D"/>
    <w:rsid w:val="009F5CEF"/>
    <w:rsid w:val="009F623F"/>
    <w:rsid w:val="009F7852"/>
    <w:rsid w:val="00A0193C"/>
    <w:rsid w:val="00A01BD9"/>
    <w:rsid w:val="00A04503"/>
    <w:rsid w:val="00A065E6"/>
    <w:rsid w:val="00A071BC"/>
    <w:rsid w:val="00A07310"/>
    <w:rsid w:val="00A12943"/>
    <w:rsid w:val="00A13480"/>
    <w:rsid w:val="00A139E0"/>
    <w:rsid w:val="00A16B26"/>
    <w:rsid w:val="00A16BA0"/>
    <w:rsid w:val="00A16CFA"/>
    <w:rsid w:val="00A21916"/>
    <w:rsid w:val="00A21DA8"/>
    <w:rsid w:val="00A2209C"/>
    <w:rsid w:val="00A22CD6"/>
    <w:rsid w:val="00A23F84"/>
    <w:rsid w:val="00A26ABE"/>
    <w:rsid w:val="00A26CBC"/>
    <w:rsid w:val="00A27D98"/>
    <w:rsid w:val="00A35A69"/>
    <w:rsid w:val="00A373F4"/>
    <w:rsid w:val="00A40D8D"/>
    <w:rsid w:val="00A413A8"/>
    <w:rsid w:val="00A4183B"/>
    <w:rsid w:val="00A4188D"/>
    <w:rsid w:val="00A42769"/>
    <w:rsid w:val="00A437E2"/>
    <w:rsid w:val="00A444F2"/>
    <w:rsid w:val="00A4497B"/>
    <w:rsid w:val="00A46B76"/>
    <w:rsid w:val="00A47E3E"/>
    <w:rsid w:val="00A52127"/>
    <w:rsid w:val="00A5249C"/>
    <w:rsid w:val="00A55203"/>
    <w:rsid w:val="00A560CC"/>
    <w:rsid w:val="00A5619B"/>
    <w:rsid w:val="00A566BA"/>
    <w:rsid w:val="00A56FD8"/>
    <w:rsid w:val="00A61187"/>
    <w:rsid w:val="00A637CE"/>
    <w:rsid w:val="00A64656"/>
    <w:rsid w:val="00A64DE3"/>
    <w:rsid w:val="00A657AE"/>
    <w:rsid w:val="00A66198"/>
    <w:rsid w:val="00A67BFE"/>
    <w:rsid w:val="00A704F0"/>
    <w:rsid w:val="00A70EC5"/>
    <w:rsid w:val="00A73845"/>
    <w:rsid w:val="00A73D9F"/>
    <w:rsid w:val="00A74FEA"/>
    <w:rsid w:val="00A75949"/>
    <w:rsid w:val="00A75D1B"/>
    <w:rsid w:val="00A762C2"/>
    <w:rsid w:val="00A80747"/>
    <w:rsid w:val="00A8176D"/>
    <w:rsid w:val="00A846FE"/>
    <w:rsid w:val="00A851F1"/>
    <w:rsid w:val="00A85C60"/>
    <w:rsid w:val="00A85DC3"/>
    <w:rsid w:val="00A86F78"/>
    <w:rsid w:val="00A902AA"/>
    <w:rsid w:val="00A94D12"/>
    <w:rsid w:val="00A95BA0"/>
    <w:rsid w:val="00A96B80"/>
    <w:rsid w:val="00A97012"/>
    <w:rsid w:val="00A97682"/>
    <w:rsid w:val="00A9788A"/>
    <w:rsid w:val="00A978CF"/>
    <w:rsid w:val="00AA1D2B"/>
    <w:rsid w:val="00AA1D6A"/>
    <w:rsid w:val="00AA2268"/>
    <w:rsid w:val="00AA2C1C"/>
    <w:rsid w:val="00AA491E"/>
    <w:rsid w:val="00AA504C"/>
    <w:rsid w:val="00AA56D0"/>
    <w:rsid w:val="00AA77F5"/>
    <w:rsid w:val="00AB0680"/>
    <w:rsid w:val="00AB2687"/>
    <w:rsid w:val="00AB371F"/>
    <w:rsid w:val="00AB3866"/>
    <w:rsid w:val="00AB3F9C"/>
    <w:rsid w:val="00AB6547"/>
    <w:rsid w:val="00AB6E7B"/>
    <w:rsid w:val="00AB722B"/>
    <w:rsid w:val="00AC0D0E"/>
    <w:rsid w:val="00AC149F"/>
    <w:rsid w:val="00AC1590"/>
    <w:rsid w:val="00AC69D8"/>
    <w:rsid w:val="00AC6BAE"/>
    <w:rsid w:val="00AC7B83"/>
    <w:rsid w:val="00AD1490"/>
    <w:rsid w:val="00AD4DF7"/>
    <w:rsid w:val="00AD6E27"/>
    <w:rsid w:val="00AD75C2"/>
    <w:rsid w:val="00AE1937"/>
    <w:rsid w:val="00AE1B44"/>
    <w:rsid w:val="00AE2B8E"/>
    <w:rsid w:val="00AE319B"/>
    <w:rsid w:val="00AE3D4F"/>
    <w:rsid w:val="00AE46FC"/>
    <w:rsid w:val="00AE5829"/>
    <w:rsid w:val="00AE6325"/>
    <w:rsid w:val="00AE64B0"/>
    <w:rsid w:val="00AE71D7"/>
    <w:rsid w:val="00AF1571"/>
    <w:rsid w:val="00AF24AE"/>
    <w:rsid w:val="00AF3703"/>
    <w:rsid w:val="00AF3AFA"/>
    <w:rsid w:val="00AF431D"/>
    <w:rsid w:val="00AF54EE"/>
    <w:rsid w:val="00AF6633"/>
    <w:rsid w:val="00AF6DA8"/>
    <w:rsid w:val="00AF79D1"/>
    <w:rsid w:val="00B00671"/>
    <w:rsid w:val="00B0166E"/>
    <w:rsid w:val="00B01AB0"/>
    <w:rsid w:val="00B022F3"/>
    <w:rsid w:val="00B0689D"/>
    <w:rsid w:val="00B0735C"/>
    <w:rsid w:val="00B07731"/>
    <w:rsid w:val="00B0774E"/>
    <w:rsid w:val="00B0785A"/>
    <w:rsid w:val="00B07A6D"/>
    <w:rsid w:val="00B07AC9"/>
    <w:rsid w:val="00B1066E"/>
    <w:rsid w:val="00B11B1A"/>
    <w:rsid w:val="00B13383"/>
    <w:rsid w:val="00B140C1"/>
    <w:rsid w:val="00B151DC"/>
    <w:rsid w:val="00B16930"/>
    <w:rsid w:val="00B17725"/>
    <w:rsid w:val="00B2337A"/>
    <w:rsid w:val="00B24093"/>
    <w:rsid w:val="00B24242"/>
    <w:rsid w:val="00B24704"/>
    <w:rsid w:val="00B26A58"/>
    <w:rsid w:val="00B270E1"/>
    <w:rsid w:val="00B33188"/>
    <w:rsid w:val="00B336B1"/>
    <w:rsid w:val="00B33D10"/>
    <w:rsid w:val="00B368D3"/>
    <w:rsid w:val="00B36F42"/>
    <w:rsid w:val="00B36FD1"/>
    <w:rsid w:val="00B37105"/>
    <w:rsid w:val="00B40066"/>
    <w:rsid w:val="00B425F0"/>
    <w:rsid w:val="00B42819"/>
    <w:rsid w:val="00B434F7"/>
    <w:rsid w:val="00B4370D"/>
    <w:rsid w:val="00B4396C"/>
    <w:rsid w:val="00B455D2"/>
    <w:rsid w:val="00B4579B"/>
    <w:rsid w:val="00B5042D"/>
    <w:rsid w:val="00B50641"/>
    <w:rsid w:val="00B52484"/>
    <w:rsid w:val="00B53430"/>
    <w:rsid w:val="00B5401B"/>
    <w:rsid w:val="00B56451"/>
    <w:rsid w:val="00B57108"/>
    <w:rsid w:val="00B57445"/>
    <w:rsid w:val="00B60480"/>
    <w:rsid w:val="00B61931"/>
    <w:rsid w:val="00B61B7F"/>
    <w:rsid w:val="00B61DB2"/>
    <w:rsid w:val="00B627B9"/>
    <w:rsid w:val="00B62842"/>
    <w:rsid w:val="00B638CA"/>
    <w:rsid w:val="00B66A77"/>
    <w:rsid w:val="00B7383E"/>
    <w:rsid w:val="00B74626"/>
    <w:rsid w:val="00B74C74"/>
    <w:rsid w:val="00B74E4A"/>
    <w:rsid w:val="00B759B1"/>
    <w:rsid w:val="00B75E61"/>
    <w:rsid w:val="00B762D7"/>
    <w:rsid w:val="00B766F8"/>
    <w:rsid w:val="00B77818"/>
    <w:rsid w:val="00B803B4"/>
    <w:rsid w:val="00B8066D"/>
    <w:rsid w:val="00B8172D"/>
    <w:rsid w:val="00B81C4D"/>
    <w:rsid w:val="00B82039"/>
    <w:rsid w:val="00B8377E"/>
    <w:rsid w:val="00B855B8"/>
    <w:rsid w:val="00B87181"/>
    <w:rsid w:val="00B903FA"/>
    <w:rsid w:val="00B909E8"/>
    <w:rsid w:val="00B91425"/>
    <w:rsid w:val="00B92584"/>
    <w:rsid w:val="00B92EBB"/>
    <w:rsid w:val="00B97938"/>
    <w:rsid w:val="00BA06DC"/>
    <w:rsid w:val="00BA0983"/>
    <w:rsid w:val="00BA2449"/>
    <w:rsid w:val="00BA5593"/>
    <w:rsid w:val="00BA5D74"/>
    <w:rsid w:val="00BA6AFA"/>
    <w:rsid w:val="00BA74F0"/>
    <w:rsid w:val="00BA7537"/>
    <w:rsid w:val="00BB0E54"/>
    <w:rsid w:val="00BB174D"/>
    <w:rsid w:val="00BB21F5"/>
    <w:rsid w:val="00BB2CB6"/>
    <w:rsid w:val="00BB37CA"/>
    <w:rsid w:val="00BB4D91"/>
    <w:rsid w:val="00BC11E4"/>
    <w:rsid w:val="00BC1CE0"/>
    <w:rsid w:val="00BC2DAC"/>
    <w:rsid w:val="00BC46CF"/>
    <w:rsid w:val="00BC706A"/>
    <w:rsid w:val="00BD0CFF"/>
    <w:rsid w:val="00BD245F"/>
    <w:rsid w:val="00BD3CDD"/>
    <w:rsid w:val="00BD3E26"/>
    <w:rsid w:val="00BD48D0"/>
    <w:rsid w:val="00BD684B"/>
    <w:rsid w:val="00BD7285"/>
    <w:rsid w:val="00BE1FE3"/>
    <w:rsid w:val="00BE22C3"/>
    <w:rsid w:val="00BE4E9A"/>
    <w:rsid w:val="00BE5F68"/>
    <w:rsid w:val="00BE60EC"/>
    <w:rsid w:val="00BE6AB1"/>
    <w:rsid w:val="00BE757A"/>
    <w:rsid w:val="00BF2B95"/>
    <w:rsid w:val="00BF3D62"/>
    <w:rsid w:val="00BF49AF"/>
    <w:rsid w:val="00BF5968"/>
    <w:rsid w:val="00C013AA"/>
    <w:rsid w:val="00C04E12"/>
    <w:rsid w:val="00C05344"/>
    <w:rsid w:val="00C06439"/>
    <w:rsid w:val="00C067B1"/>
    <w:rsid w:val="00C06C73"/>
    <w:rsid w:val="00C16622"/>
    <w:rsid w:val="00C20162"/>
    <w:rsid w:val="00C21170"/>
    <w:rsid w:val="00C21CC9"/>
    <w:rsid w:val="00C22503"/>
    <w:rsid w:val="00C22E63"/>
    <w:rsid w:val="00C23EA5"/>
    <w:rsid w:val="00C25593"/>
    <w:rsid w:val="00C258B3"/>
    <w:rsid w:val="00C2675C"/>
    <w:rsid w:val="00C26B7E"/>
    <w:rsid w:val="00C278FF"/>
    <w:rsid w:val="00C27C1E"/>
    <w:rsid w:val="00C305DB"/>
    <w:rsid w:val="00C30A35"/>
    <w:rsid w:val="00C31F00"/>
    <w:rsid w:val="00C33239"/>
    <w:rsid w:val="00C3328B"/>
    <w:rsid w:val="00C34B74"/>
    <w:rsid w:val="00C35B0F"/>
    <w:rsid w:val="00C366FD"/>
    <w:rsid w:val="00C36E8C"/>
    <w:rsid w:val="00C37B7A"/>
    <w:rsid w:val="00C40614"/>
    <w:rsid w:val="00C4166D"/>
    <w:rsid w:val="00C43B0E"/>
    <w:rsid w:val="00C44C9B"/>
    <w:rsid w:val="00C45534"/>
    <w:rsid w:val="00C4575E"/>
    <w:rsid w:val="00C467C3"/>
    <w:rsid w:val="00C471D2"/>
    <w:rsid w:val="00C4729D"/>
    <w:rsid w:val="00C51E75"/>
    <w:rsid w:val="00C52646"/>
    <w:rsid w:val="00C52ABA"/>
    <w:rsid w:val="00C546AA"/>
    <w:rsid w:val="00C60227"/>
    <w:rsid w:val="00C61A6C"/>
    <w:rsid w:val="00C66A22"/>
    <w:rsid w:val="00C71A98"/>
    <w:rsid w:val="00C7669E"/>
    <w:rsid w:val="00C76D17"/>
    <w:rsid w:val="00C812E0"/>
    <w:rsid w:val="00C81704"/>
    <w:rsid w:val="00C81BAB"/>
    <w:rsid w:val="00C823CC"/>
    <w:rsid w:val="00C82B74"/>
    <w:rsid w:val="00C835AA"/>
    <w:rsid w:val="00C86351"/>
    <w:rsid w:val="00C86433"/>
    <w:rsid w:val="00C8793F"/>
    <w:rsid w:val="00C90099"/>
    <w:rsid w:val="00C90FDA"/>
    <w:rsid w:val="00C917C1"/>
    <w:rsid w:val="00C92806"/>
    <w:rsid w:val="00C92AA3"/>
    <w:rsid w:val="00C94B42"/>
    <w:rsid w:val="00C954B0"/>
    <w:rsid w:val="00C9618B"/>
    <w:rsid w:val="00C9731C"/>
    <w:rsid w:val="00CA0CE8"/>
    <w:rsid w:val="00CA13DA"/>
    <w:rsid w:val="00CA187B"/>
    <w:rsid w:val="00CA1FC1"/>
    <w:rsid w:val="00CA233F"/>
    <w:rsid w:val="00CA4CBD"/>
    <w:rsid w:val="00CA4D01"/>
    <w:rsid w:val="00CA4F65"/>
    <w:rsid w:val="00CB0ABC"/>
    <w:rsid w:val="00CB1296"/>
    <w:rsid w:val="00CB4D52"/>
    <w:rsid w:val="00CB668A"/>
    <w:rsid w:val="00CB6A45"/>
    <w:rsid w:val="00CC203C"/>
    <w:rsid w:val="00CC4517"/>
    <w:rsid w:val="00CC4976"/>
    <w:rsid w:val="00CC73CD"/>
    <w:rsid w:val="00CC787F"/>
    <w:rsid w:val="00CD014E"/>
    <w:rsid w:val="00CD1E60"/>
    <w:rsid w:val="00CD52D3"/>
    <w:rsid w:val="00CD6005"/>
    <w:rsid w:val="00CE0899"/>
    <w:rsid w:val="00CE164D"/>
    <w:rsid w:val="00CE4809"/>
    <w:rsid w:val="00CE5DE5"/>
    <w:rsid w:val="00CF00B1"/>
    <w:rsid w:val="00CF081C"/>
    <w:rsid w:val="00CF37B1"/>
    <w:rsid w:val="00CF3C36"/>
    <w:rsid w:val="00CF59B8"/>
    <w:rsid w:val="00CF6EF4"/>
    <w:rsid w:val="00D0096F"/>
    <w:rsid w:val="00D01DB2"/>
    <w:rsid w:val="00D02989"/>
    <w:rsid w:val="00D031AC"/>
    <w:rsid w:val="00D11778"/>
    <w:rsid w:val="00D119F1"/>
    <w:rsid w:val="00D12F81"/>
    <w:rsid w:val="00D1380F"/>
    <w:rsid w:val="00D1523C"/>
    <w:rsid w:val="00D16159"/>
    <w:rsid w:val="00D16226"/>
    <w:rsid w:val="00D1650E"/>
    <w:rsid w:val="00D206DE"/>
    <w:rsid w:val="00D2106C"/>
    <w:rsid w:val="00D22552"/>
    <w:rsid w:val="00D233F5"/>
    <w:rsid w:val="00D265FE"/>
    <w:rsid w:val="00D27492"/>
    <w:rsid w:val="00D27D79"/>
    <w:rsid w:val="00D3114A"/>
    <w:rsid w:val="00D31FF6"/>
    <w:rsid w:val="00D37B38"/>
    <w:rsid w:val="00D42E91"/>
    <w:rsid w:val="00D43CBD"/>
    <w:rsid w:val="00D467B5"/>
    <w:rsid w:val="00D468F3"/>
    <w:rsid w:val="00D4779E"/>
    <w:rsid w:val="00D50E87"/>
    <w:rsid w:val="00D5247C"/>
    <w:rsid w:val="00D52E03"/>
    <w:rsid w:val="00D548FC"/>
    <w:rsid w:val="00D555BA"/>
    <w:rsid w:val="00D5684D"/>
    <w:rsid w:val="00D606E8"/>
    <w:rsid w:val="00D613FB"/>
    <w:rsid w:val="00D62844"/>
    <w:rsid w:val="00D73655"/>
    <w:rsid w:val="00D766D1"/>
    <w:rsid w:val="00D7725F"/>
    <w:rsid w:val="00D778E0"/>
    <w:rsid w:val="00D77B93"/>
    <w:rsid w:val="00D81BC1"/>
    <w:rsid w:val="00D81CF1"/>
    <w:rsid w:val="00D8283E"/>
    <w:rsid w:val="00D85D1D"/>
    <w:rsid w:val="00D8656F"/>
    <w:rsid w:val="00D90022"/>
    <w:rsid w:val="00D906CE"/>
    <w:rsid w:val="00D9254B"/>
    <w:rsid w:val="00D93C14"/>
    <w:rsid w:val="00D96E51"/>
    <w:rsid w:val="00DA0097"/>
    <w:rsid w:val="00DA0BF8"/>
    <w:rsid w:val="00DA1581"/>
    <w:rsid w:val="00DA1D3E"/>
    <w:rsid w:val="00DA3B2D"/>
    <w:rsid w:val="00DA5939"/>
    <w:rsid w:val="00DA7A51"/>
    <w:rsid w:val="00DA7AD6"/>
    <w:rsid w:val="00DA7B8C"/>
    <w:rsid w:val="00DB1781"/>
    <w:rsid w:val="00DB21D0"/>
    <w:rsid w:val="00DB2509"/>
    <w:rsid w:val="00DB2600"/>
    <w:rsid w:val="00DB2B74"/>
    <w:rsid w:val="00DB2DD6"/>
    <w:rsid w:val="00DB4262"/>
    <w:rsid w:val="00DB5DE7"/>
    <w:rsid w:val="00DC216A"/>
    <w:rsid w:val="00DC2483"/>
    <w:rsid w:val="00DC604A"/>
    <w:rsid w:val="00DC74DF"/>
    <w:rsid w:val="00DD09E1"/>
    <w:rsid w:val="00DD0EF3"/>
    <w:rsid w:val="00DD1853"/>
    <w:rsid w:val="00DD3B6F"/>
    <w:rsid w:val="00DD5BE0"/>
    <w:rsid w:val="00DD666F"/>
    <w:rsid w:val="00DE0F23"/>
    <w:rsid w:val="00DE0FE4"/>
    <w:rsid w:val="00DE15E0"/>
    <w:rsid w:val="00DE160F"/>
    <w:rsid w:val="00DE31AD"/>
    <w:rsid w:val="00DE368E"/>
    <w:rsid w:val="00DE423B"/>
    <w:rsid w:val="00DE5047"/>
    <w:rsid w:val="00DE59EA"/>
    <w:rsid w:val="00DE634D"/>
    <w:rsid w:val="00DE6B5A"/>
    <w:rsid w:val="00DE7427"/>
    <w:rsid w:val="00DF0301"/>
    <w:rsid w:val="00DF03FA"/>
    <w:rsid w:val="00DF1A80"/>
    <w:rsid w:val="00DF1E0E"/>
    <w:rsid w:val="00DF42F5"/>
    <w:rsid w:val="00DF4A5B"/>
    <w:rsid w:val="00DF4BC1"/>
    <w:rsid w:val="00DF5BBE"/>
    <w:rsid w:val="00DF76BA"/>
    <w:rsid w:val="00DF7947"/>
    <w:rsid w:val="00E02179"/>
    <w:rsid w:val="00E0267E"/>
    <w:rsid w:val="00E03211"/>
    <w:rsid w:val="00E0598F"/>
    <w:rsid w:val="00E06FFA"/>
    <w:rsid w:val="00E07461"/>
    <w:rsid w:val="00E076A6"/>
    <w:rsid w:val="00E07B27"/>
    <w:rsid w:val="00E12C28"/>
    <w:rsid w:val="00E12D0D"/>
    <w:rsid w:val="00E14B5D"/>
    <w:rsid w:val="00E1597B"/>
    <w:rsid w:val="00E16187"/>
    <w:rsid w:val="00E16E47"/>
    <w:rsid w:val="00E2003B"/>
    <w:rsid w:val="00E211E6"/>
    <w:rsid w:val="00E2173A"/>
    <w:rsid w:val="00E23629"/>
    <w:rsid w:val="00E24752"/>
    <w:rsid w:val="00E24F85"/>
    <w:rsid w:val="00E2570D"/>
    <w:rsid w:val="00E25ABD"/>
    <w:rsid w:val="00E25D0A"/>
    <w:rsid w:val="00E26007"/>
    <w:rsid w:val="00E260CC"/>
    <w:rsid w:val="00E261C9"/>
    <w:rsid w:val="00E30B22"/>
    <w:rsid w:val="00E31BEB"/>
    <w:rsid w:val="00E31E4D"/>
    <w:rsid w:val="00E32C4F"/>
    <w:rsid w:val="00E33495"/>
    <w:rsid w:val="00E3507A"/>
    <w:rsid w:val="00E426D8"/>
    <w:rsid w:val="00E43AE4"/>
    <w:rsid w:val="00E43BAE"/>
    <w:rsid w:val="00E447C5"/>
    <w:rsid w:val="00E44821"/>
    <w:rsid w:val="00E44981"/>
    <w:rsid w:val="00E44F37"/>
    <w:rsid w:val="00E44F9F"/>
    <w:rsid w:val="00E50504"/>
    <w:rsid w:val="00E51670"/>
    <w:rsid w:val="00E519C2"/>
    <w:rsid w:val="00E51D0B"/>
    <w:rsid w:val="00E536A1"/>
    <w:rsid w:val="00E55698"/>
    <w:rsid w:val="00E56168"/>
    <w:rsid w:val="00E572F3"/>
    <w:rsid w:val="00E57B89"/>
    <w:rsid w:val="00E61ECE"/>
    <w:rsid w:val="00E62864"/>
    <w:rsid w:val="00E629B3"/>
    <w:rsid w:val="00E63292"/>
    <w:rsid w:val="00E6440A"/>
    <w:rsid w:val="00E64547"/>
    <w:rsid w:val="00E64FA5"/>
    <w:rsid w:val="00E66ED2"/>
    <w:rsid w:val="00E67BB5"/>
    <w:rsid w:val="00E7082F"/>
    <w:rsid w:val="00E72B08"/>
    <w:rsid w:val="00E7311C"/>
    <w:rsid w:val="00E74255"/>
    <w:rsid w:val="00E7629E"/>
    <w:rsid w:val="00E7681E"/>
    <w:rsid w:val="00E77814"/>
    <w:rsid w:val="00E77F25"/>
    <w:rsid w:val="00E8149D"/>
    <w:rsid w:val="00E81CB5"/>
    <w:rsid w:val="00E86352"/>
    <w:rsid w:val="00E869CD"/>
    <w:rsid w:val="00E900DB"/>
    <w:rsid w:val="00E92C04"/>
    <w:rsid w:val="00E92E92"/>
    <w:rsid w:val="00E930DE"/>
    <w:rsid w:val="00E948D1"/>
    <w:rsid w:val="00E94B0D"/>
    <w:rsid w:val="00E94FF5"/>
    <w:rsid w:val="00E95159"/>
    <w:rsid w:val="00E95F95"/>
    <w:rsid w:val="00E97216"/>
    <w:rsid w:val="00EA15F5"/>
    <w:rsid w:val="00EA2E41"/>
    <w:rsid w:val="00EA3205"/>
    <w:rsid w:val="00EA523F"/>
    <w:rsid w:val="00EA5456"/>
    <w:rsid w:val="00EA5941"/>
    <w:rsid w:val="00EA6645"/>
    <w:rsid w:val="00EA6802"/>
    <w:rsid w:val="00EB092A"/>
    <w:rsid w:val="00EB094A"/>
    <w:rsid w:val="00EB373C"/>
    <w:rsid w:val="00EB37F6"/>
    <w:rsid w:val="00EB469A"/>
    <w:rsid w:val="00EB59C2"/>
    <w:rsid w:val="00EB6DD2"/>
    <w:rsid w:val="00EB72BF"/>
    <w:rsid w:val="00EC130B"/>
    <w:rsid w:val="00EC25AB"/>
    <w:rsid w:val="00EC3399"/>
    <w:rsid w:val="00EC365C"/>
    <w:rsid w:val="00EC4327"/>
    <w:rsid w:val="00EC44DE"/>
    <w:rsid w:val="00EC5128"/>
    <w:rsid w:val="00EC5447"/>
    <w:rsid w:val="00EC549C"/>
    <w:rsid w:val="00EC5C30"/>
    <w:rsid w:val="00EC6EBD"/>
    <w:rsid w:val="00EC7E62"/>
    <w:rsid w:val="00ED1A66"/>
    <w:rsid w:val="00ED2256"/>
    <w:rsid w:val="00ED5ED9"/>
    <w:rsid w:val="00ED6526"/>
    <w:rsid w:val="00ED65F5"/>
    <w:rsid w:val="00ED7C14"/>
    <w:rsid w:val="00EE2DA6"/>
    <w:rsid w:val="00EE2F76"/>
    <w:rsid w:val="00EE3404"/>
    <w:rsid w:val="00EE4379"/>
    <w:rsid w:val="00EE7A50"/>
    <w:rsid w:val="00EF09D0"/>
    <w:rsid w:val="00EF12B9"/>
    <w:rsid w:val="00EF294B"/>
    <w:rsid w:val="00EF4186"/>
    <w:rsid w:val="00EF4836"/>
    <w:rsid w:val="00EF4CF8"/>
    <w:rsid w:val="00EF732A"/>
    <w:rsid w:val="00EF7757"/>
    <w:rsid w:val="00F02183"/>
    <w:rsid w:val="00F04E4A"/>
    <w:rsid w:val="00F0559D"/>
    <w:rsid w:val="00F0646A"/>
    <w:rsid w:val="00F0675B"/>
    <w:rsid w:val="00F06840"/>
    <w:rsid w:val="00F1069C"/>
    <w:rsid w:val="00F106B8"/>
    <w:rsid w:val="00F1074C"/>
    <w:rsid w:val="00F13858"/>
    <w:rsid w:val="00F1573C"/>
    <w:rsid w:val="00F15A29"/>
    <w:rsid w:val="00F162BA"/>
    <w:rsid w:val="00F207BA"/>
    <w:rsid w:val="00F210E5"/>
    <w:rsid w:val="00F264C7"/>
    <w:rsid w:val="00F26A2E"/>
    <w:rsid w:val="00F26AF7"/>
    <w:rsid w:val="00F27004"/>
    <w:rsid w:val="00F30942"/>
    <w:rsid w:val="00F31350"/>
    <w:rsid w:val="00F33780"/>
    <w:rsid w:val="00F34DC6"/>
    <w:rsid w:val="00F35171"/>
    <w:rsid w:val="00F355BB"/>
    <w:rsid w:val="00F35DF0"/>
    <w:rsid w:val="00F367B9"/>
    <w:rsid w:val="00F36B02"/>
    <w:rsid w:val="00F37091"/>
    <w:rsid w:val="00F41242"/>
    <w:rsid w:val="00F4155C"/>
    <w:rsid w:val="00F41561"/>
    <w:rsid w:val="00F43C88"/>
    <w:rsid w:val="00F4401F"/>
    <w:rsid w:val="00F443F3"/>
    <w:rsid w:val="00F45A5D"/>
    <w:rsid w:val="00F469CC"/>
    <w:rsid w:val="00F47467"/>
    <w:rsid w:val="00F51F35"/>
    <w:rsid w:val="00F52E56"/>
    <w:rsid w:val="00F60F08"/>
    <w:rsid w:val="00F61060"/>
    <w:rsid w:val="00F64A76"/>
    <w:rsid w:val="00F64CC1"/>
    <w:rsid w:val="00F656FC"/>
    <w:rsid w:val="00F65819"/>
    <w:rsid w:val="00F65885"/>
    <w:rsid w:val="00F75479"/>
    <w:rsid w:val="00F76225"/>
    <w:rsid w:val="00F7692C"/>
    <w:rsid w:val="00F80423"/>
    <w:rsid w:val="00F81CB6"/>
    <w:rsid w:val="00F84C8C"/>
    <w:rsid w:val="00F862A5"/>
    <w:rsid w:val="00F90E3A"/>
    <w:rsid w:val="00F92492"/>
    <w:rsid w:val="00F92BB7"/>
    <w:rsid w:val="00F92F8A"/>
    <w:rsid w:val="00F939CD"/>
    <w:rsid w:val="00F93A6C"/>
    <w:rsid w:val="00F94155"/>
    <w:rsid w:val="00F94A82"/>
    <w:rsid w:val="00F94C53"/>
    <w:rsid w:val="00FA156B"/>
    <w:rsid w:val="00FA1A79"/>
    <w:rsid w:val="00FA26C4"/>
    <w:rsid w:val="00FA2873"/>
    <w:rsid w:val="00FA6C7E"/>
    <w:rsid w:val="00FA75D1"/>
    <w:rsid w:val="00FB0092"/>
    <w:rsid w:val="00FB1D8F"/>
    <w:rsid w:val="00FB2F06"/>
    <w:rsid w:val="00FB3B5B"/>
    <w:rsid w:val="00FC117F"/>
    <w:rsid w:val="00FC1D85"/>
    <w:rsid w:val="00FC34E8"/>
    <w:rsid w:val="00FC357B"/>
    <w:rsid w:val="00FC3DCC"/>
    <w:rsid w:val="00FC460A"/>
    <w:rsid w:val="00FC5E15"/>
    <w:rsid w:val="00FC6BBC"/>
    <w:rsid w:val="00FC6C69"/>
    <w:rsid w:val="00FD59D7"/>
    <w:rsid w:val="00FD5A12"/>
    <w:rsid w:val="00FE3825"/>
    <w:rsid w:val="00FE43A4"/>
    <w:rsid w:val="00FE5F77"/>
    <w:rsid w:val="00FE67E5"/>
    <w:rsid w:val="00FE780B"/>
    <w:rsid w:val="00FE794E"/>
    <w:rsid w:val="00FF0F00"/>
    <w:rsid w:val="00FF1765"/>
    <w:rsid w:val="00FF19BB"/>
    <w:rsid w:val="00FF2C08"/>
    <w:rsid w:val="00FF5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9E6DC"/>
  <w15:chartTrackingRefBased/>
  <w15:docId w15:val="{058D2EA8-FE23-4E34-AA2B-87B3ACF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33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33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0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B3866"/>
    <w:pPr>
      <w:keepNext/>
      <w:keepLines/>
      <w:spacing w:before="40" w:after="0"/>
      <w:jc w:val="center"/>
      <w:outlineLvl w:val="3"/>
    </w:pPr>
    <w:rPr>
      <w:rFonts w:asciiTheme="majorHAnsi" w:eastAsiaTheme="majorEastAsia" w:hAnsiTheme="majorHAnsi" w:cstheme="majorBidi"/>
      <w:i/>
      <w:iCs/>
      <w:color w:val="2E74B5" w:themeColor="accent1" w:themeShade="BF"/>
      <w:lang w:val="en-GB"/>
    </w:rPr>
  </w:style>
  <w:style w:type="paragraph" w:styleId="Heading5">
    <w:name w:val="heading 5"/>
    <w:basedOn w:val="Normal"/>
    <w:next w:val="Normal"/>
    <w:link w:val="Heading5Char"/>
    <w:uiPriority w:val="9"/>
    <w:unhideWhenUsed/>
    <w:qFormat/>
    <w:rsid w:val="00415E7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64C4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44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4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44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44F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033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33D6"/>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033D6"/>
    <w:pPr>
      <w:outlineLvl w:val="9"/>
    </w:pPr>
    <w:rPr>
      <w:lang w:val="en-US"/>
    </w:rPr>
  </w:style>
  <w:style w:type="paragraph" w:styleId="TOC1">
    <w:name w:val="toc 1"/>
    <w:basedOn w:val="Normal"/>
    <w:next w:val="Normal"/>
    <w:autoRedefine/>
    <w:uiPriority w:val="39"/>
    <w:unhideWhenUsed/>
    <w:rsid w:val="002033D6"/>
    <w:pPr>
      <w:spacing w:after="100"/>
    </w:pPr>
  </w:style>
  <w:style w:type="character" w:styleId="Hyperlink">
    <w:name w:val="Hyperlink"/>
    <w:basedOn w:val="DefaultParagraphFont"/>
    <w:uiPriority w:val="99"/>
    <w:unhideWhenUsed/>
    <w:rsid w:val="002033D6"/>
    <w:rPr>
      <w:color w:val="0563C1" w:themeColor="hyperlink"/>
      <w:u w:val="single"/>
    </w:rPr>
  </w:style>
  <w:style w:type="paragraph" w:styleId="NoSpacing">
    <w:name w:val="No Spacing"/>
    <w:uiPriority w:val="1"/>
    <w:qFormat/>
    <w:rsid w:val="007D2FB8"/>
    <w:pPr>
      <w:spacing w:after="0" w:line="240" w:lineRule="auto"/>
    </w:pPr>
    <w:rPr>
      <w:color w:val="44546A" w:themeColor="text2"/>
      <w:sz w:val="20"/>
      <w:szCs w:val="20"/>
      <w:lang w:val="en-US"/>
    </w:rPr>
  </w:style>
  <w:style w:type="paragraph" w:styleId="ListParagraph">
    <w:name w:val="List Paragraph"/>
    <w:basedOn w:val="Normal"/>
    <w:uiPriority w:val="34"/>
    <w:qFormat/>
    <w:rsid w:val="00187860"/>
    <w:pPr>
      <w:ind w:left="720"/>
      <w:contextualSpacing/>
    </w:pPr>
  </w:style>
  <w:style w:type="character" w:styleId="CommentReference">
    <w:name w:val="annotation reference"/>
    <w:basedOn w:val="DefaultParagraphFont"/>
    <w:uiPriority w:val="99"/>
    <w:semiHidden/>
    <w:unhideWhenUsed/>
    <w:rsid w:val="002A1C9B"/>
    <w:rPr>
      <w:sz w:val="16"/>
      <w:szCs w:val="16"/>
    </w:rPr>
  </w:style>
  <w:style w:type="paragraph" w:styleId="CommentText">
    <w:name w:val="annotation text"/>
    <w:basedOn w:val="Normal"/>
    <w:link w:val="CommentTextChar"/>
    <w:uiPriority w:val="99"/>
    <w:semiHidden/>
    <w:unhideWhenUsed/>
    <w:rsid w:val="002A1C9B"/>
    <w:pPr>
      <w:spacing w:line="240" w:lineRule="auto"/>
    </w:pPr>
    <w:rPr>
      <w:sz w:val="20"/>
      <w:szCs w:val="20"/>
    </w:rPr>
  </w:style>
  <w:style w:type="character" w:customStyle="1" w:styleId="CommentTextChar">
    <w:name w:val="Comment Text Char"/>
    <w:basedOn w:val="DefaultParagraphFont"/>
    <w:link w:val="CommentText"/>
    <w:uiPriority w:val="99"/>
    <w:semiHidden/>
    <w:rsid w:val="002A1C9B"/>
    <w:rPr>
      <w:sz w:val="20"/>
      <w:szCs w:val="20"/>
    </w:rPr>
  </w:style>
  <w:style w:type="paragraph" w:styleId="CommentSubject">
    <w:name w:val="annotation subject"/>
    <w:basedOn w:val="CommentText"/>
    <w:next w:val="CommentText"/>
    <w:link w:val="CommentSubjectChar"/>
    <w:uiPriority w:val="99"/>
    <w:semiHidden/>
    <w:unhideWhenUsed/>
    <w:rsid w:val="002A1C9B"/>
    <w:rPr>
      <w:b/>
      <w:bCs/>
    </w:rPr>
  </w:style>
  <w:style w:type="character" w:customStyle="1" w:styleId="CommentSubjectChar">
    <w:name w:val="Comment Subject Char"/>
    <w:basedOn w:val="CommentTextChar"/>
    <w:link w:val="CommentSubject"/>
    <w:uiPriority w:val="99"/>
    <w:semiHidden/>
    <w:rsid w:val="002A1C9B"/>
    <w:rPr>
      <w:b/>
      <w:bCs/>
      <w:sz w:val="20"/>
      <w:szCs w:val="20"/>
    </w:rPr>
  </w:style>
  <w:style w:type="paragraph" w:styleId="BalloonText">
    <w:name w:val="Balloon Text"/>
    <w:basedOn w:val="Normal"/>
    <w:link w:val="BalloonTextChar"/>
    <w:uiPriority w:val="99"/>
    <w:semiHidden/>
    <w:unhideWhenUsed/>
    <w:rsid w:val="002A1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9B"/>
    <w:rPr>
      <w:rFonts w:ascii="Segoe UI" w:hAnsi="Segoe UI" w:cs="Segoe UI"/>
      <w:sz w:val="18"/>
      <w:szCs w:val="18"/>
    </w:rPr>
  </w:style>
  <w:style w:type="paragraph" w:styleId="TOC2">
    <w:name w:val="toc 2"/>
    <w:basedOn w:val="Normal"/>
    <w:next w:val="Normal"/>
    <w:autoRedefine/>
    <w:uiPriority w:val="39"/>
    <w:unhideWhenUsed/>
    <w:rsid w:val="00DE6B5A"/>
    <w:pPr>
      <w:spacing w:after="100"/>
      <w:ind w:left="220"/>
    </w:pPr>
  </w:style>
  <w:style w:type="character" w:customStyle="1" w:styleId="Heading3Char">
    <w:name w:val="Heading 3 Char"/>
    <w:basedOn w:val="DefaultParagraphFont"/>
    <w:link w:val="Heading3"/>
    <w:uiPriority w:val="9"/>
    <w:rsid w:val="00DE0FE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22304E"/>
    <w:pPr>
      <w:spacing w:after="100"/>
      <w:ind w:left="440"/>
    </w:pPr>
  </w:style>
  <w:style w:type="table" w:styleId="TableGrid">
    <w:name w:val="Table Grid"/>
    <w:basedOn w:val="TableNormal"/>
    <w:uiPriority w:val="39"/>
    <w:rsid w:val="00047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0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70E1"/>
  </w:style>
  <w:style w:type="paragraph" w:styleId="Footer">
    <w:name w:val="footer"/>
    <w:basedOn w:val="Normal"/>
    <w:link w:val="FooterChar"/>
    <w:uiPriority w:val="99"/>
    <w:unhideWhenUsed/>
    <w:rsid w:val="00B270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0E1"/>
  </w:style>
  <w:style w:type="paragraph" w:customStyle="1" w:styleId="Default">
    <w:name w:val="Default"/>
    <w:rsid w:val="003B40F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F0608"/>
    <w:rPr>
      <w:color w:val="808080"/>
    </w:rPr>
  </w:style>
  <w:style w:type="character" w:styleId="FollowedHyperlink">
    <w:name w:val="FollowedHyperlink"/>
    <w:basedOn w:val="DefaultParagraphFont"/>
    <w:uiPriority w:val="99"/>
    <w:semiHidden/>
    <w:unhideWhenUsed/>
    <w:rsid w:val="00C366FD"/>
    <w:rPr>
      <w:color w:val="954F72" w:themeColor="followedHyperlink"/>
      <w:u w:val="single"/>
    </w:rPr>
  </w:style>
  <w:style w:type="paragraph" w:styleId="NormalWeb">
    <w:name w:val="Normal (Web)"/>
    <w:basedOn w:val="Normal"/>
    <w:uiPriority w:val="99"/>
    <w:semiHidden/>
    <w:unhideWhenUsed/>
    <w:rsid w:val="00A6619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A66198"/>
    <w:rPr>
      <w:i/>
      <w:iCs/>
    </w:rPr>
  </w:style>
  <w:style w:type="character" w:customStyle="1" w:styleId="Heading4Char">
    <w:name w:val="Heading 4 Char"/>
    <w:basedOn w:val="DefaultParagraphFont"/>
    <w:link w:val="Heading4"/>
    <w:uiPriority w:val="9"/>
    <w:rsid w:val="00AB3866"/>
    <w:rPr>
      <w:rFonts w:asciiTheme="majorHAnsi" w:eastAsiaTheme="majorEastAsia" w:hAnsiTheme="majorHAnsi" w:cstheme="majorBidi"/>
      <w:i/>
      <w:iCs/>
      <w:color w:val="2E74B5" w:themeColor="accent1" w:themeShade="BF"/>
      <w:lang w:val="en-GB"/>
    </w:rPr>
  </w:style>
  <w:style w:type="paragraph" w:styleId="TableofFigures">
    <w:name w:val="table of figures"/>
    <w:basedOn w:val="Normal"/>
    <w:next w:val="Normal"/>
    <w:uiPriority w:val="99"/>
    <w:unhideWhenUsed/>
    <w:rsid w:val="00AB3866"/>
    <w:pPr>
      <w:spacing w:after="0"/>
    </w:pPr>
  </w:style>
  <w:style w:type="character" w:customStyle="1" w:styleId="Heading5Char">
    <w:name w:val="Heading 5 Char"/>
    <w:basedOn w:val="DefaultParagraphFont"/>
    <w:link w:val="Heading5"/>
    <w:uiPriority w:val="9"/>
    <w:rsid w:val="00415E7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64C4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93703">
      <w:bodyDiv w:val="1"/>
      <w:marLeft w:val="0"/>
      <w:marRight w:val="0"/>
      <w:marTop w:val="0"/>
      <w:marBottom w:val="0"/>
      <w:divBdr>
        <w:top w:val="none" w:sz="0" w:space="0" w:color="auto"/>
        <w:left w:val="none" w:sz="0" w:space="0" w:color="auto"/>
        <w:bottom w:val="none" w:sz="0" w:space="0" w:color="auto"/>
        <w:right w:val="none" w:sz="0" w:space="0" w:color="auto"/>
      </w:divBdr>
    </w:div>
    <w:div w:id="381516960">
      <w:bodyDiv w:val="1"/>
      <w:marLeft w:val="0"/>
      <w:marRight w:val="0"/>
      <w:marTop w:val="0"/>
      <w:marBottom w:val="0"/>
      <w:divBdr>
        <w:top w:val="none" w:sz="0" w:space="0" w:color="auto"/>
        <w:left w:val="none" w:sz="0" w:space="0" w:color="auto"/>
        <w:bottom w:val="none" w:sz="0" w:space="0" w:color="auto"/>
        <w:right w:val="none" w:sz="0" w:space="0" w:color="auto"/>
      </w:divBdr>
    </w:div>
    <w:div w:id="403374313">
      <w:bodyDiv w:val="1"/>
      <w:marLeft w:val="0"/>
      <w:marRight w:val="0"/>
      <w:marTop w:val="0"/>
      <w:marBottom w:val="0"/>
      <w:divBdr>
        <w:top w:val="none" w:sz="0" w:space="0" w:color="auto"/>
        <w:left w:val="none" w:sz="0" w:space="0" w:color="auto"/>
        <w:bottom w:val="none" w:sz="0" w:space="0" w:color="auto"/>
        <w:right w:val="none" w:sz="0" w:space="0" w:color="auto"/>
      </w:divBdr>
    </w:div>
    <w:div w:id="456409831">
      <w:bodyDiv w:val="1"/>
      <w:marLeft w:val="0"/>
      <w:marRight w:val="0"/>
      <w:marTop w:val="0"/>
      <w:marBottom w:val="0"/>
      <w:divBdr>
        <w:top w:val="none" w:sz="0" w:space="0" w:color="auto"/>
        <w:left w:val="none" w:sz="0" w:space="0" w:color="auto"/>
        <w:bottom w:val="none" w:sz="0" w:space="0" w:color="auto"/>
        <w:right w:val="none" w:sz="0" w:space="0" w:color="auto"/>
      </w:divBdr>
    </w:div>
    <w:div w:id="529491697">
      <w:bodyDiv w:val="1"/>
      <w:marLeft w:val="0"/>
      <w:marRight w:val="0"/>
      <w:marTop w:val="0"/>
      <w:marBottom w:val="0"/>
      <w:divBdr>
        <w:top w:val="none" w:sz="0" w:space="0" w:color="auto"/>
        <w:left w:val="none" w:sz="0" w:space="0" w:color="auto"/>
        <w:bottom w:val="none" w:sz="0" w:space="0" w:color="auto"/>
        <w:right w:val="none" w:sz="0" w:space="0" w:color="auto"/>
      </w:divBdr>
    </w:div>
    <w:div w:id="588973402">
      <w:bodyDiv w:val="1"/>
      <w:marLeft w:val="0"/>
      <w:marRight w:val="0"/>
      <w:marTop w:val="0"/>
      <w:marBottom w:val="0"/>
      <w:divBdr>
        <w:top w:val="none" w:sz="0" w:space="0" w:color="auto"/>
        <w:left w:val="none" w:sz="0" w:space="0" w:color="auto"/>
        <w:bottom w:val="none" w:sz="0" w:space="0" w:color="auto"/>
        <w:right w:val="none" w:sz="0" w:space="0" w:color="auto"/>
      </w:divBdr>
    </w:div>
    <w:div w:id="752703144">
      <w:bodyDiv w:val="1"/>
      <w:marLeft w:val="0"/>
      <w:marRight w:val="0"/>
      <w:marTop w:val="0"/>
      <w:marBottom w:val="0"/>
      <w:divBdr>
        <w:top w:val="none" w:sz="0" w:space="0" w:color="auto"/>
        <w:left w:val="none" w:sz="0" w:space="0" w:color="auto"/>
        <w:bottom w:val="none" w:sz="0" w:space="0" w:color="auto"/>
        <w:right w:val="none" w:sz="0" w:space="0" w:color="auto"/>
      </w:divBdr>
    </w:div>
    <w:div w:id="775441126">
      <w:bodyDiv w:val="1"/>
      <w:marLeft w:val="0"/>
      <w:marRight w:val="0"/>
      <w:marTop w:val="0"/>
      <w:marBottom w:val="0"/>
      <w:divBdr>
        <w:top w:val="none" w:sz="0" w:space="0" w:color="auto"/>
        <w:left w:val="none" w:sz="0" w:space="0" w:color="auto"/>
        <w:bottom w:val="none" w:sz="0" w:space="0" w:color="auto"/>
        <w:right w:val="none" w:sz="0" w:space="0" w:color="auto"/>
      </w:divBdr>
    </w:div>
    <w:div w:id="781613050">
      <w:bodyDiv w:val="1"/>
      <w:marLeft w:val="0"/>
      <w:marRight w:val="0"/>
      <w:marTop w:val="0"/>
      <w:marBottom w:val="0"/>
      <w:divBdr>
        <w:top w:val="none" w:sz="0" w:space="0" w:color="auto"/>
        <w:left w:val="none" w:sz="0" w:space="0" w:color="auto"/>
        <w:bottom w:val="none" w:sz="0" w:space="0" w:color="auto"/>
        <w:right w:val="none" w:sz="0" w:space="0" w:color="auto"/>
      </w:divBdr>
    </w:div>
    <w:div w:id="820076189">
      <w:bodyDiv w:val="1"/>
      <w:marLeft w:val="0"/>
      <w:marRight w:val="0"/>
      <w:marTop w:val="0"/>
      <w:marBottom w:val="0"/>
      <w:divBdr>
        <w:top w:val="none" w:sz="0" w:space="0" w:color="auto"/>
        <w:left w:val="none" w:sz="0" w:space="0" w:color="auto"/>
        <w:bottom w:val="none" w:sz="0" w:space="0" w:color="auto"/>
        <w:right w:val="none" w:sz="0" w:space="0" w:color="auto"/>
      </w:divBdr>
    </w:div>
    <w:div w:id="899100043">
      <w:bodyDiv w:val="1"/>
      <w:marLeft w:val="0"/>
      <w:marRight w:val="0"/>
      <w:marTop w:val="0"/>
      <w:marBottom w:val="0"/>
      <w:divBdr>
        <w:top w:val="none" w:sz="0" w:space="0" w:color="auto"/>
        <w:left w:val="none" w:sz="0" w:space="0" w:color="auto"/>
        <w:bottom w:val="none" w:sz="0" w:space="0" w:color="auto"/>
        <w:right w:val="none" w:sz="0" w:space="0" w:color="auto"/>
      </w:divBdr>
    </w:div>
    <w:div w:id="1019357734">
      <w:bodyDiv w:val="1"/>
      <w:marLeft w:val="0"/>
      <w:marRight w:val="0"/>
      <w:marTop w:val="0"/>
      <w:marBottom w:val="0"/>
      <w:divBdr>
        <w:top w:val="none" w:sz="0" w:space="0" w:color="auto"/>
        <w:left w:val="none" w:sz="0" w:space="0" w:color="auto"/>
        <w:bottom w:val="none" w:sz="0" w:space="0" w:color="auto"/>
        <w:right w:val="none" w:sz="0" w:space="0" w:color="auto"/>
      </w:divBdr>
    </w:div>
    <w:div w:id="1040935556">
      <w:bodyDiv w:val="1"/>
      <w:marLeft w:val="0"/>
      <w:marRight w:val="0"/>
      <w:marTop w:val="0"/>
      <w:marBottom w:val="0"/>
      <w:divBdr>
        <w:top w:val="none" w:sz="0" w:space="0" w:color="auto"/>
        <w:left w:val="none" w:sz="0" w:space="0" w:color="auto"/>
        <w:bottom w:val="none" w:sz="0" w:space="0" w:color="auto"/>
        <w:right w:val="none" w:sz="0" w:space="0" w:color="auto"/>
      </w:divBdr>
      <w:divsChild>
        <w:div w:id="1875774997">
          <w:marLeft w:val="0"/>
          <w:marRight w:val="0"/>
          <w:marTop w:val="0"/>
          <w:marBottom w:val="0"/>
          <w:divBdr>
            <w:top w:val="none" w:sz="0" w:space="0" w:color="auto"/>
            <w:left w:val="none" w:sz="0" w:space="0" w:color="auto"/>
            <w:bottom w:val="none" w:sz="0" w:space="0" w:color="auto"/>
            <w:right w:val="none" w:sz="0" w:space="0" w:color="auto"/>
          </w:divBdr>
        </w:div>
        <w:div w:id="964579601">
          <w:marLeft w:val="0"/>
          <w:marRight w:val="0"/>
          <w:marTop w:val="0"/>
          <w:marBottom w:val="0"/>
          <w:divBdr>
            <w:top w:val="none" w:sz="0" w:space="0" w:color="auto"/>
            <w:left w:val="none" w:sz="0" w:space="0" w:color="auto"/>
            <w:bottom w:val="none" w:sz="0" w:space="0" w:color="auto"/>
            <w:right w:val="none" w:sz="0" w:space="0" w:color="auto"/>
          </w:divBdr>
        </w:div>
        <w:div w:id="399986025">
          <w:marLeft w:val="0"/>
          <w:marRight w:val="0"/>
          <w:marTop w:val="0"/>
          <w:marBottom w:val="0"/>
          <w:divBdr>
            <w:top w:val="none" w:sz="0" w:space="0" w:color="auto"/>
            <w:left w:val="none" w:sz="0" w:space="0" w:color="auto"/>
            <w:bottom w:val="none" w:sz="0" w:space="0" w:color="auto"/>
            <w:right w:val="none" w:sz="0" w:space="0" w:color="auto"/>
          </w:divBdr>
        </w:div>
        <w:div w:id="1127314781">
          <w:marLeft w:val="0"/>
          <w:marRight w:val="0"/>
          <w:marTop w:val="0"/>
          <w:marBottom w:val="0"/>
          <w:divBdr>
            <w:top w:val="none" w:sz="0" w:space="0" w:color="auto"/>
            <w:left w:val="none" w:sz="0" w:space="0" w:color="auto"/>
            <w:bottom w:val="none" w:sz="0" w:space="0" w:color="auto"/>
            <w:right w:val="none" w:sz="0" w:space="0" w:color="auto"/>
          </w:divBdr>
        </w:div>
        <w:div w:id="355351508">
          <w:marLeft w:val="0"/>
          <w:marRight w:val="0"/>
          <w:marTop w:val="0"/>
          <w:marBottom w:val="0"/>
          <w:divBdr>
            <w:top w:val="none" w:sz="0" w:space="0" w:color="auto"/>
            <w:left w:val="none" w:sz="0" w:space="0" w:color="auto"/>
            <w:bottom w:val="none" w:sz="0" w:space="0" w:color="auto"/>
            <w:right w:val="none" w:sz="0" w:space="0" w:color="auto"/>
          </w:divBdr>
        </w:div>
        <w:div w:id="1528912710">
          <w:marLeft w:val="0"/>
          <w:marRight w:val="0"/>
          <w:marTop w:val="0"/>
          <w:marBottom w:val="0"/>
          <w:divBdr>
            <w:top w:val="none" w:sz="0" w:space="0" w:color="auto"/>
            <w:left w:val="none" w:sz="0" w:space="0" w:color="auto"/>
            <w:bottom w:val="none" w:sz="0" w:space="0" w:color="auto"/>
            <w:right w:val="none" w:sz="0" w:space="0" w:color="auto"/>
          </w:divBdr>
        </w:div>
        <w:div w:id="996572046">
          <w:marLeft w:val="0"/>
          <w:marRight w:val="0"/>
          <w:marTop w:val="0"/>
          <w:marBottom w:val="0"/>
          <w:divBdr>
            <w:top w:val="none" w:sz="0" w:space="0" w:color="auto"/>
            <w:left w:val="none" w:sz="0" w:space="0" w:color="auto"/>
            <w:bottom w:val="none" w:sz="0" w:space="0" w:color="auto"/>
            <w:right w:val="none" w:sz="0" w:space="0" w:color="auto"/>
          </w:divBdr>
        </w:div>
        <w:div w:id="500435695">
          <w:marLeft w:val="0"/>
          <w:marRight w:val="0"/>
          <w:marTop w:val="0"/>
          <w:marBottom w:val="0"/>
          <w:divBdr>
            <w:top w:val="none" w:sz="0" w:space="0" w:color="auto"/>
            <w:left w:val="none" w:sz="0" w:space="0" w:color="auto"/>
            <w:bottom w:val="none" w:sz="0" w:space="0" w:color="auto"/>
            <w:right w:val="none" w:sz="0" w:space="0" w:color="auto"/>
          </w:divBdr>
        </w:div>
        <w:div w:id="1983385389">
          <w:marLeft w:val="0"/>
          <w:marRight w:val="0"/>
          <w:marTop w:val="0"/>
          <w:marBottom w:val="0"/>
          <w:divBdr>
            <w:top w:val="none" w:sz="0" w:space="0" w:color="auto"/>
            <w:left w:val="none" w:sz="0" w:space="0" w:color="auto"/>
            <w:bottom w:val="none" w:sz="0" w:space="0" w:color="auto"/>
            <w:right w:val="none" w:sz="0" w:space="0" w:color="auto"/>
          </w:divBdr>
        </w:div>
      </w:divsChild>
    </w:div>
    <w:div w:id="1108238325">
      <w:bodyDiv w:val="1"/>
      <w:marLeft w:val="0"/>
      <w:marRight w:val="0"/>
      <w:marTop w:val="0"/>
      <w:marBottom w:val="0"/>
      <w:divBdr>
        <w:top w:val="none" w:sz="0" w:space="0" w:color="auto"/>
        <w:left w:val="none" w:sz="0" w:space="0" w:color="auto"/>
        <w:bottom w:val="none" w:sz="0" w:space="0" w:color="auto"/>
        <w:right w:val="none" w:sz="0" w:space="0" w:color="auto"/>
      </w:divBdr>
    </w:div>
    <w:div w:id="1113597665">
      <w:bodyDiv w:val="1"/>
      <w:marLeft w:val="0"/>
      <w:marRight w:val="0"/>
      <w:marTop w:val="0"/>
      <w:marBottom w:val="0"/>
      <w:divBdr>
        <w:top w:val="none" w:sz="0" w:space="0" w:color="auto"/>
        <w:left w:val="none" w:sz="0" w:space="0" w:color="auto"/>
        <w:bottom w:val="none" w:sz="0" w:space="0" w:color="auto"/>
        <w:right w:val="none" w:sz="0" w:space="0" w:color="auto"/>
      </w:divBdr>
    </w:div>
    <w:div w:id="1141769389">
      <w:bodyDiv w:val="1"/>
      <w:marLeft w:val="0"/>
      <w:marRight w:val="0"/>
      <w:marTop w:val="0"/>
      <w:marBottom w:val="0"/>
      <w:divBdr>
        <w:top w:val="none" w:sz="0" w:space="0" w:color="auto"/>
        <w:left w:val="none" w:sz="0" w:space="0" w:color="auto"/>
        <w:bottom w:val="none" w:sz="0" w:space="0" w:color="auto"/>
        <w:right w:val="none" w:sz="0" w:space="0" w:color="auto"/>
      </w:divBdr>
    </w:div>
    <w:div w:id="1180700707">
      <w:bodyDiv w:val="1"/>
      <w:marLeft w:val="0"/>
      <w:marRight w:val="0"/>
      <w:marTop w:val="0"/>
      <w:marBottom w:val="0"/>
      <w:divBdr>
        <w:top w:val="none" w:sz="0" w:space="0" w:color="auto"/>
        <w:left w:val="none" w:sz="0" w:space="0" w:color="auto"/>
        <w:bottom w:val="none" w:sz="0" w:space="0" w:color="auto"/>
        <w:right w:val="none" w:sz="0" w:space="0" w:color="auto"/>
      </w:divBdr>
    </w:div>
    <w:div w:id="1253002782">
      <w:bodyDiv w:val="1"/>
      <w:marLeft w:val="0"/>
      <w:marRight w:val="0"/>
      <w:marTop w:val="0"/>
      <w:marBottom w:val="0"/>
      <w:divBdr>
        <w:top w:val="none" w:sz="0" w:space="0" w:color="auto"/>
        <w:left w:val="none" w:sz="0" w:space="0" w:color="auto"/>
        <w:bottom w:val="none" w:sz="0" w:space="0" w:color="auto"/>
        <w:right w:val="none" w:sz="0" w:space="0" w:color="auto"/>
      </w:divBdr>
    </w:div>
    <w:div w:id="1283998167">
      <w:bodyDiv w:val="1"/>
      <w:marLeft w:val="0"/>
      <w:marRight w:val="0"/>
      <w:marTop w:val="0"/>
      <w:marBottom w:val="0"/>
      <w:divBdr>
        <w:top w:val="none" w:sz="0" w:space="0" w:color="auto"/>
        <w:left w:val="none" w:sz="0" w:space="0" w:color="auto"/>
        <w:bottom w:val="none" w:sz="0" w:space="0" w:color="auto"/>
        <w:right w:val="none" w:sz="0" w:space="0" w:color="auto"/>
      </w:divBdr>
    </w:div>
    <w:div w:id="1380393944">
      <w:bodyDiv w:val="1"/>
      <w:marLeft w:val="0"/>
      <w:marRight w:val="0"/>
      <w:marTop w:val="0"/>
      <w:marBottom w:val="0"/>
      <w:divBdr>
        <w:top w:val="none" w:sz="0" w:space="0" w:color="auto"/>
        <w:left w:val="none" w:sz="0" w:space="0" w:color="auto"/>
        <w:bottom w:val="none" w:sz="0" w:space="0" w:color="auto"/>
        <w:right w:val="none" w:sz="0" w:space="0" w:color="auto"/>
      </w:divBdr>
    </w:div>
    <w:div w:id="1392147011">
      <w:bodyDiv w:val="1"/>
      <w:marLeft w:val="0"/>
      <w:marRight w:val="0"/>
      <w:marTop w:val="0"/>
      <w:marBottom w:val="0"/>
      <w:divBdr>
        <w:top w:val="none" w:sz="0" w:space="0" w:color="auto"/>
        <w:left w:val="none" w:sz="0" w:space="0" w:color="auto"/>
        <w:bottom w:val="none" w:sz="0" w:space="0" w:color="auto"/>
        <w:right w:val="none" w:sz="0" w:space="0" w:color="auto"/>
      </w:divBdr>
    </w:div>
    <w:div w:id="1437284162">
      <w:bodyDiv w:val="1"/>
      <w:marLeft w:val="0"/>
      <w:marRight w:val="0"/>
      <w:marTop w:val="0"/>
      <w:marBottom w:val="0"/>
      <w:divBdr>
        <w:top w:val="none" w:sz="0" w:space="0" w:color="auto"/>
        <w:left w:val="none" w:sz="0" w:space="0" w:color="auto"/>
        <w:bottom w:val="none" w:sz="0" w:space="0" w:color="auto"/>
        <w:right w:val="none" w:sz="0" w:space="0" w:color="auto"/>
      </w:divBdr>
    </w:div>
    <w:div w:id="1491209814">
      <w:bodyDiv w:val="1"/>
      <w:marLeft w:val="0"/>
      <w:marRight w:val="0"/>
      <w:marTop w:val="0"/>
      <w:marBottom w:val="0"/>
      <w:divBdr>
        <w:top w:val="none" w:sz="0" w:space="0" w:color="auto"/>
        <w:left w:val="none" w:sz="0" w:space="0" w:color="auto"/>
        <w:bottom w:val="none" w:sz="0" w:space="0" w:color="auto"/>
        <w:right w:val="none" w:sz="0" w:space="0" w:color="auto"/>
      </w:divBdr>
    </w:div>
    <w:div w:id="1496844676">
      <w:bodyDiv w:val="1"/>
      <w:marLeft w:val="0"/>
      <w:marRight w:val="0"/>
      <w:marTop w:val="0"/>
      <w:marBottom w:val="0"/>
      <w:divBdr>
        <w:top w:val="none" w:sz="0" w:space="0" w:color="auto"/>
        <w:left w:val="none" w:sz="0" w:space="0" w:color="auto"/>
        <w:bottom w:val="none" w:sz="0" w:space="0" w:color="auto"/>
        <w:right w:val="none" w:sz="0" w:space="0" w:color="auto"/>
      </w:divBdr>
    </w:div>
    <w:div w:id="1515413601">
      <w:bodyDiv w:val="1"/>
      <w:marLeft w:val="0"/>
      <w:marRight w:val="0"/>
      <w:marTop w:val="0"/>
      <w:marBottom w:val="0"/>
      <w:divBdr>
        <w:top w:val="none" w:sz="0" w:space="0" w:color="auto"/>
        <w:left w:val="none" w:sz="0" w:space="0" w:color="auto"/>
        <w:bottom w:val="none" w:sz="0" w:space="0" w:color="auto"/>
        <w:right w:val="none" w:sz="0" w:space="0" w:color="auto"/>
      </w:divBdr>
    </w:div>
    <w:div w:id="1610040750">
      <w:bodyDiv w:val="1"/>
      <w:marLeft w:val="0"/>
      <w:marRight w:val="0"/>
      <w:marTop w:val="0"/>
      <w:marBottom w:val="0"/>
      <w:divBdr>
        <w:top w:val="none" w:sz="0" w:space="0" w:color="auto"/>
        <w:left w:val="none" w:sz="0" w:space="0" w:color="auto"/>
        <w:bottom w:val="none" w:sz="0" w:space="0" w:color="auto"/>
        <w:right w:val="none" w:sz="0" w:space="0" w:color="auto"/>
      </w:divBdr>
    </w:div>
    <w:div w:id="1615483361">
      <w:bodyDiv w:val="1"/>
      <w:marLeft w:val="0"/>
      <w:marRight w:val="0"/>
      <w:marTop w:val="0"/>
      <w:marBottom w:val="0"/>
      <w:divBdr>
        <w:top w:val="none" w:sz="0" w:space="0" w:color="auto"/>
        <w:left w:val="none" w:sz="0" w:space="0" w:color="auto"/>
        <w:bottom w:val="none" w:sz="0" w:space="0" w:color="auto"/>
        <w:right w:val="none" w:sz="0" w:space="0" w:color="auto"/>
      </w:divBdr>
    </w:div>
    <w:div w:id="1791702470">
      <w:bodyDiv w:val="1"/>
      <w:marLeft w:val="0"/>
      <w:marRight w:val="0"/>
      <w:marTop w:val="0"/>
      <w:marBottom w:val="0"/>
      <w:divBdr>
        <w:top w:val="none" w:sz="0" w:space="0" w:color="auto"/>
        <w:left w:val="none" w:sz="0" w:space="0" w:color="auto"/>
        <w:bottom w:val="none" w:sz="0" w:space="0" w:color="auto"/>
        <w:right w:val="none" w:sz="0" w:space="0" w:color="auto"/>
      </w:divBdr>
    </w:div>
    <w:div w:id="1938706725">
      <w:bodyDiv w:val="1"/>
      <w:marLeft w:val="0"/>
      <w:marRight w:val="0"/>
      <w:marTop w:val="0"/>
      <w:marBottom w:val="0"/>
      <w:divBdr>
        <w:top w:val="none" w:sz="0" w:space="0" w:color="auto"/>
        <w:left w:val="none" w:sz="0" w:space="0" w:color="auto"/>
        <w:bottom w:val="none" w:sz="0" w:space="0" w:color="auto"/>
        <w:right w:val="none" w:sz="0" w:space="0" w:color="auto"/>
      </w:divBdr>
    </w:div>
    <w:div w:id="2053843846">
      <w:bodyDiv w:val="1"/>
      <w:marLeft w:val="0"/>
      <w:marRight w:val="0"/>
      <w:marTop w:val="0"/>
      <w:marBottom w:val="0"/>
      <w:divBdr>
        <w:top w:val="none" w:sz="0" w:space="0" w:color="auto"/>
        <w:left w:val="none" w:sz="0" w:space="0" w:color="auto"/>
        <w:bottom w:val="none" w:sz="0" w:space="0" w:color="auto"/>
        <w:right w:val="none" w:sz="0" w:space="0" w:color="auto"/>
      </w:divBdr>
    </w:div>
    <w:div w:id="2143188052">
      <w:bodyDiv w:val="1"/>
      <w:marLeft w:val="0"/>
      <w:marRight w:val="0"/>
      <w:marTop w:val="0"/>
      <w:marBottom w:val="0"/>
      <w:divBdr>
        <w:top w:val="none" w:sz="0" w:space="0" w:color="auto"/>
        <w:left w:val="none" w:sz="0" w:space="0" w:color="auto"/>
        <w:bottom w:val="none" w:sz="0" w:space="0" w:color="auto"/>
        <w:right w:val="none" w:sz="0" w:space="0" w:color="auto"/>
      </w:divBdr>
    </w:div>
    <w:div w:id="21454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oecd.org/dac/OECD-action-plan-on-the-sustainable-development-goals-2016.pdf" TargetMode="External"/><Relationship Id="rId26" Type="http://schemas.openxmlformats.org/officeDocument/2006/relationships/image" Target="media/image10.png"/><Relationship Id="rId21" Type="http://schemas.openxmlformats.org/officeDocument/2006/relationships/hyperlink" Target="https://unctad.org/en/PublicationsLibrary/diaepcb2015d5_en.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oecd-ilibrary.org/finance-and-investment/policy-framework-for-investment-2015-edition_9789264208667-en" TargetMode="External"/><Relationship Id="rId25" Type="http://schemas.openxmlformats.org/officeDocument/2006/relationships/image" Target="media/image9.png"/><Relationship Id="rId33" Type="http://schemas.openxmlformats.org/officeDocument/2006/relationships/image" Target="media/image17.emf"/><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fdimarkets.com/" TargetMode="External"/><Relationship Id="rId20" Type="http://schemas.openxmlformats.org/officeDocument/2006/relationships/hyperlink" Target="http://www.oecd.org/sti/stan"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png"/><Relationship Id="rId32" Type="http://schemas.openxmlformats.org/officeDocument/2006/relationships/image" Target="media/image16.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guardian.com/environment/2003/jul/25/water.india" TargetMode="External"/><Relationship Id="rId23" Type="http://schemas.openxmlformats.org/officeDocument/2006/relationships/hyperlink" Target="https://datacatalog.worldbank.org/dataset/worldwide-governance-indicators" TargetMode="External"/><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oecd.org/investment/countryreviews.htm"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hyperlink" Target="https://www.doingbusiness.org/en/data/doing-business-score"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C10F9-DD44-4D88-B40E-30DB59CA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22861</Words>
  <Characters>125741</Characters>
  <Application>Microsoft Office Word</Application>
  <DocSecurity>0</DocSecurity>
  <Lines>1047</Lines>
  <Paragraphs>296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148306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Paquaij, M.A. (Maarten)</dc:creator>
  <cp:keywords/>
  <dc:description/>
  <cp:lastModifiedBy>Celena Hovenga</cp:lastModifiedBy>
  <cp:revision>2</cp:revision>
  <cp:lastPrinted>2019-04-10T08:48:00Z</cp:lastPrinted>
  <dcterms:created xsi:type="dcterms:W3CDTF">2019-08-31T07:40:00Z</dcterms:created>
  <dcterms:modified xsi:type="dcterms:W3CDTF">2019-08-31T07:40:00Z</dcterms:modified>
</cp:coreProperties>
</file>