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D544334" w14:textId="32C11075" w:rsidR="001C5064" w:rsidRDefault="008F53C7" w:rsidP="001C5064">
      <w:pPr>
        <w:sectPr w:rsidR="001C5064" w:rsidSect="004B3C38">
          <w:footerReference w:type="default" r:id="rId8"/>
          <w:footerReference w:type="first" r:id="rId9"/>
          <w:pgSz w:w="11906" w:h="16838" w:code="9"/>
          <w:pgMar w:top="0" w:right="0" w:bottom="0" w:left="0" w:header="709" w:footer="454" w:gutter="0"/>
          <w:cols w:space="708"/>
          <w:titlePg/>
          <w:docGrid w:linePitch="360"/>
        </w:sectPr>
      </w:pPr>
      <w:bookmarkStart w:id="0" w:name="_Hlk484109329"/>
      <w:r>
        <w:rPr>
          <w:noProof/>
        </w:rPr>
        <w:drawing>
          <wp:inline distT="0" distB="0" distL="0" distR="0" wp14:anchorId="33A12322" wp14:editId="57780427">
            <wp:extent cx="7537938" cy="10535231"/>
            <wp:effectExtent l="0" t="0" r="635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Voorkant_af.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7572316" cy="10583279"/>
                    </a:xfrm>
                    <a:prstGeom prst="rect">
                      <a:avLst/>
                    </a:prstGeom>
                  </pic:spPr>
                </pic:pic>
              </a:graphicData>
            </a:graphic>
          </wp:inline>
        </w:drawing>
      </w:r>
    </w:p>
    <w:p w14:paraId="1FC35400" w14:textId="7607EFCF" w:rsidR="00CD5B36" w:rsidRDefault="0012042A" w:rsidP="00CD5B36">
      <w:pPr>
        <w:pStyle w:val="NoSpacing"/>
      </w:pPr>
      <w:r>
        <w:rPr>
          <w:b/>
          <w:sz w:val="32"/>
        </w:rPr>
        <w:lastRenderedPageBreak/>
        <w:t>Abstract</w:t>
      </w:r>
    </w:p>
    <w:p w14:paraId="237A389A" w14:textId="77777777" w:rsidR="00CD5B36" w:rsidRDefault="00CD5B36" w:rsidP="00CD5B36">
      <w:pPr>
        <w:pStyle w:val="NoSpacing"/>
      </w:pPr>
    </w:p>
    <w:p w14:paraId="3A8E0B4A" w14:textId="7E578031" w:rsidR="00CB7FE7" w:rsidRDefault="00CD5B36" w:rsidP="00CB7FE7">
      <w:pPr>
        <w:pStyle w:val="NoSpacing"/>
        <w:spacing w:line="276" w:lineRule="auto"/>
      </w:pPr>
      <w:r>
        <w:t xml:space="preserve">Deze </w:t>
      </w:r>
      <w:r w:rsidR="00337905">
        <w:t>studie</w:t>
      </w:r>
      <w:r>
        <w:t xml:space="preserve"> gaat over de inkoop </w:t>
      </w:r>
      <w:r w:rsidR="009A062E">
        <w:t xml:space="preserve">van ICT </w:t>
      </w:r>
      <w:r>
        <w:t xml:space="preserve">binnen Nederlandse </w:t>
      </w:r>
      <w:r w:rsidR="009A062E">
        <w:t xml:space="preserve">instellingen voor </w:t>
      </w:r>
      <w:r>
        <w:t xml:space="preserve">voortgezet onderwijs. </w:t>
      </w:r>
      <w:r w:rsidR="00CB7FE7">
        <w:t xml:space="preserve">De aanleiding van dit onderzoek zijn de falende ICT-projecten en kennisachterstand in de publieke sector en het ontbreken van empirische onderzoeken naar inkoopactiviteiten </w:t>
      </w:r>
      <w:r w:rsidR="00B3052A">
        <w:t>binnen</w:t>
      </w:r>
      <w:r w:rsidR="00CB7FE7">
        <w:t xml:space="preserve"> voortgezet onderwijsinstellingen. </w:t>
      </w:r>
    </w:p>
    <w:p w14:paraId="27E56206" w14:textId="2FA6B0DF" w:rsidR="00CD5B36" w:rsidRDefault="00CD5B36" w:rsidP="0012042A">
      <w:pPr>
        <w:pStyle w:val="NoSpacing"/>
        <w:spacing w:line="276" w:lineRule="auto"/>
      </w:pPr>
      <w:r w:rsidRPr="00E44C53">
        <w:t>Het</w:t>
      </w:r>
      <w:r>
        <w:t xml:space="preserve"> onderzoek brengt </w:t>
      </w:r>
      <w:r w:rsidRPr="00E44C53">
        <w:t xml:space="preserve">faciliterende en belemmerende factoren </w:t>
      </w:r>
      <w:r>
        <w:t xml:space="preserve">in kaart </w:t>
      </w:r>
      <w:r w:rsidRPr="00E44C53">
        <w:t>die van invloed zijn op de inkoop van</w:t>
      </w:r>
      <w:r>
        <w:t xml:space="preserve"> ICT</w:t>
      </w:r>
      <w:r w:rsidRPr="00E44C53">
        <w:t xml:space="preserve">, teneinde bij </w:t>
      </w:r>
      <w:r>
        <w:t>te dragen aan efficiënte inkoop. D</w:t>
      </w:r>
      <w:r w:rsidRPr="00E44C53">
        <w:t xml:space="preserve">e </w:t>
      </w:r>
      <w:r w:rsidR="00AD4E3F">
        <w:t xml:space="preserve">centrale </w:t>
      </w:r>
      <w:r w:rsidRPr="00E44C53">
        <w:t>vraag</w:t>
      </w:r>
      <w:r w:rsidR="00AD4E3F">
        <w:t xml:space="preserve"> in het onderzoek is</w:t>
      </w:r>
      <w:r w:rsidRPr="00E44C53">
        <w:t xml:space="preserve"> “</w:t>
      </w:r>
      <w:bookmarkStart w:id="1" w:name="_Hlk517349931"/>
      <w:r w:rsidRPr="00E44C53">
        <w:t>Welke</w:t>
      </w:r>
      <w:r w:rsidR="00CB7FE7">
        <w:t xml:space="preserve"> organisatorische en institutionele </w:t>
      </w:r>
      <w:r w:rsidRPr="00E44C53">
        <w:t xml:space="preserve">factoren </w:t>
      </w:r>
      <w:r w:rsidR="009A062E">
        <w:t xml:space="preserve">zijn van </w:t>
      </w:r>
      <w:r w:rsidRPr="00E44C53">
        <w:t>invloed op de ICT-inkoop door instelli</w:t>
      </w:r>
      <w:r>
        <w:t>ngen voor voortgezet onderwijs</w:t>
      </w:r>
      <w:bookmarkEnd w:id="1"/>
      <w:r>
        <w:t>?</w:t>
      </w:r>
      <w:r w:rsidRPr="00E44C53">
        <w:t>”</w:t>
      </w:r>
      <w:r w:rsidR="00AD4E3F">
        <w:t xml:space="preserve">. </w:t>
      </w:r>
    </w:p>
    <w:p w14:paraId="5DF71CE8" w14:textId="7ACE84EE" w:rsidR="00002297" w:rsidRDefault="009C7CF5" w:rsidP="0012042A">
      <w:pPr>
        <w:pStyle w:val="NoSpacing"/>
        <w:spacing w:line="276" w:lineRule="auto"/>
      </w:pPr>
      <w:r>
        <w:tab/>
      </w:r>
      <w:r w:rsidR="00AD4E3F">
        <w:t xml:space="preserve">De belangrijkste bevinding uit het </w:t>
      </w:r>
      <w:r w:rsidR="00CD5B36">
        <w:t xml:space="preserve">empirische </w:t>
      </w:r>
      <w:r w:rsidR="00AD4E3F">
        <w:t>onderzoek</w:t>
      </w:r>
      <w:r w:rsidR="00CD5B36">
        <w:t xml:space="preserve"> </w:t>
      </w:r>
      <w:r w:rsidR="00AD4E3F">
        <w:t>is</w:t>
      </w:r>
      <w:r w:rsidR="00CD5B36">
        <w:t xml:space="preserve"> dat er </w:t>
      </w:r>
      <w:r w:rsidR="001922BE">
        <w:t xml:space="preserve">een </w:t>
      </w:r>
      <w:r w:rsidR="00CD5B36">
        <w:t xml:space="preserve">gebrek </w:t>
      </w:r>
      <w:r w:rsidR="007377AD">
        <w:t>bestaat</w:t>
      </w:r>
      <w:r w:rsidR="00CD5B36">
        <w:t xml:space="preserve"> aan ratione</w:t>
      </w:r>
      <w:r w:rsidR="007377AD">
        <w:t>le</w:t>
      </w:r>
      <w:r w:rsidR="00CD5B36">
        <w:t xml:space="preserve"> en professione</w:t>
      </w:r>
      <w:r w:rsidR="007377AD">
        <w:t>le</w:t>
      </w:r>
      <w:r w:rsidR="00CD5B36">
        <w:t xml:space="preserve"> inkoop binnen </w:t>
      </w:r>
      <w:r w:rsidR="007377AD">
        <w:t xml:space="preserve">voortgezet </w:t>
      </w:r>
      <w:r w:rsidR="00CD5B36">
        <w:t>onderwijsinstellingen.</w:t>
      </w:r>
      <w:r w:rsidR="00AD4E3F">
        <w:t xml:space="preserve"> </w:t>
      </w:r>
      <w:r w:rsidR="007377AD">
        <w:t xml:space="preserve">Deze </w:t>
      </w:r>
      <w:r w:rsidR="00AD4E3F">
        <w:t xml:space="preserve">instellingen baseren hun inkoopbeslissingen grotendeels op </w:t>
      </w:r>
      <w:r w:rsidR="00002297">
        <w:t>vertrouwen</w:t>
      </w:r>
      <w:r w:rsidR="00AD4E3F">
        <w:t xml:space="preserve"> in de leverancier. Deze </w:t>
      </w:r>
      <w:r w:rsidR="007377AD">
        <w:t xml:space="preserve">vorm van </w:t>
      </w:r>
      <w:r w:rsidR="00AD4E3F">
        <w:t xml:space="preserve">relationele vertrouwen is gebaseerd op ervaringen uit het verleden. </w:t>
      </w:r>
      <w:r w:rsidR="00002297">
        <w:t xml:space="preserve">De transacties binnen de opdrachtgeverschap is gericht op </w:t>
      </w:r>
      <w:r w:rsidR="001922BE">
        <w:t xml:space="preserve">het </w:t>
      </w:r>
      <w:r w:rsidR="00002297">
        <w:t xml:space="preserve">krijgen van de juiste producten en ondersteuning zodat de continuïteit van het onderwijs gewaarborgd blijft. Er is weinig aandacht voor prijs.  </w:t>
      </w:r>
    </w:p>
    <w:p w14:paraId="5EDF10F7" w14:textId="684058FE" w:rsidR="00CD5B36" w:rsidRDefault="00002297" w:rsidP="0012042A">
      <w:pPr>
        <w:pStyle w:val="NoSpacing"/>
        <w:spacing w:line="276" w:lineRule="auto"/>
      </w:pPr>
      <w:r>
        <w:t>Tevens heeft de</w:t>
      </w:r>
      <w:r w:rsidR="00AD4E3F">
        <w:t xml:space="preserve"> institutionele setting</w:t>
      </w:r>
      <w:r>
        <w:t xml:space="preserve"> waarin de onderwijsinstelling zich</w:t>
      </w:r>
      <w:r w:rsidR="00AD4E3F">
        <w:t xml:space="preserve"> </w:t>
      </w:r>
      <w:r>
        <w:t xml:space="preserve">bevindt geen invloed op de wijze van inkoop. Daarnaast wordt efficiëntie nagestreefd middels bundeling van krachten binnen een overkoepelende scholengemeenschap. Uit dit onderzoek blijkt dat dit heeft bijgedragen aan professionalisering van de inkoopfunctie.  </w:t>
      </w:r>
      <w:r w:rsidR="00AD4E3F">
        <w:t xml:space="preserve"> </w:t>
      </w:r>
    </w:p>
    <w:p w14:paraId="5CD2D1B9" w14:textId="5FCEA52E" w:rsidR="00086A3D" w:rsidRDefault="009C7CF5" w:rsidP="0012042A">
      <w:pPr>
        <w:pStyle w:val="NoSpacing"/>
        <w:spacing w:line="276" w:lineRule="auto"/>
      </w:pPr>
      <w:r>
        <w:tab/>
      </w:r>
      <w:r w:rsidR="001922BE">
        <w:rPr>
          <w:rFonts w:cstheme="minorHAnsi"/>
          <w:color w:val="000000" w:themeColor="text1"/>
        </w:rPr>
        <w:t xml:space="preserve">Het centrale uitgangspunt in </w:t>
      </w:r>
      <w:r w:rsidR="004B3921">
        <w:rPr>
          <w:rFonts w:cstheme="minorHAnsi"/>
          <w:color w:val="000000" w:themeColor="text1"/>
        </w:rPr>
        <w:t xml:space="preserve">dit onderzoek is dat de </w:t>
      </w:r>
      <w:r w:rsidR="00CD5B36" w:rsidRPr="003721EE">
        <w:rPr>
          <w:rFonts w:cstheme="minorHAnsi"/>
          <w:color w:val="000000" w:themeColor="text1"/>
        </w:rPr>
        <w:t>opdrachtnemer</w:t>
      </w:r>
      <w:r w:rsidR="004B3921">
        <w:rPr>
          <w:rFonts w:cstheme="minorHAnsi"/>
          <w:color w:val="000000" w:themeColor="text1"/>
        </w:rPr>
        <w:t xml:space="preserve"> </w:t>
      </w:r>
      <w:r w:rsidR="00CD5B36" w:rsidRPr="003721EE">
        <w:rPr>
          <w:rFonts w:cstheme="minorHAnsi"/>
          <w:color w:val="000000" w:themeColor="text1"/>
        </w:rPr>
        <w:t xml:space="preserve">meer kennis </w:t>
      </w:r>
      <w:r w:rsidR="004B3921">
        <w:rPr>
          <w:rFonts w:cstheme="minorHAnsi"/>
          <w:color w:val="000000" w:themeColor="text1"/>
        </w:rPr>
        <w:t xml:space="preserve">bezit </w:t>
      </w:r>
      <w:r w:rsidR="00CD5B36" w:rsidRPr="003721EE">
        <w:rPr>
          <w:rFonts w:cstheme="minorHAnsi"/>
          <w:color w:val="000000" w:themeColor="text1"/>
        </w:rPr>
        <w:t>dan de opdrachtgever</w:t>
      </w:r>
      <w:r w:rsidR="00086A3D">
        <w:rPr>
          <w:rFonts w:cstheme="minorHAnsi"/>
          <w:color w:val="000000" w:themeColor="text1"/>
        </w:rPr>
        <w:t xml:space="preserve">. </w:t>
      </w:r>
      <w:r w:rsidR="004B3921">
        <w:rPr>
          <w:rFonts w:cstheme="minorHAnsi"/>
          <w:color w:val="000000" w:themeColor="text1"/>
        </w:rPr>
        <w:t xml:space="preserve">Het </w:t>
      </w:r>
      <w:r w:rsidR="00CD5B36" w:rsidRPr="003721EE">
        <w:rPr>
          <w:rFonts w:cstheme="minorHAnsi"/>
          <w:color w:val="000000" w:themeColor="text1"/>
        </w:rPr>
        <w:t xml:space="preserve">gebrek aan specialistische kennis </w:t>
      </w:r>
      <w:r w:rsidR="004B3921">
        <w:rPr>
          <w:rFonts w:cstheme="minorHAnsi"/>
          <w:color w:val="000000" w:themeColor="text1"/>
        </w:rPr>
        <w:t xml:space="preserve">over ICT </w:t>
      </w:r>
      <w:r w:rsidR="00CD5B36" w:rsidRPr="003721EE">
        <w:rPr>
          <w:rFonts w:cstheme="minorHAnsi"/>
          <w:color w:val="000000" w:themeColor="text1"/>
        </w:rPr>
        <w:t>leidt tot afhankelijkheid</w:t>
      </w:r>
      <w:r w:rsidR="00086A3D">
        <w:rPr>
          <w:rFonts w:cstheme="minorHAnsi"/>
          <w:color w:val="000000" w:themeColor="text1"/>
        </w:rPr>
        <w:t xml:space="preserve"> en</w:t>
      </w:r>
      <w:r w:rsidR="00CD5B36" w:rsidRPr="003721EE">
        <w:rPr>
          <w:rFonts w:cstheme="minorHAnsi"/>
          <w:color w:val="000000" w:themeColor="text1"/>
        </w:rPr>
        <w:t xml:space="preserve"> ongebalanceerde machtsverhouding</w:t>
      </w:r>
      <w:r w:rsidR="00086A3D">
        <w:rPr>
          <w:rFonts w:cstheme="minorHAnsi"/>
          <w:color w:val="000000" w:themeColor="text1"/>
        </w:rPr>
        <w:t xml:space="preserve">. </w:t>
      </w:r>
      <w:r w:rsidR="00086A3D" w:rsidRPr="00A31459">
        <w:rPr>
          <w:rFonts w:cstheme="minorHAnsi"/>
          <w:color w:val="000000" w:themeColor="text1"/>
        </w:rPr>
        <w:t>De kern van deze afhankelijkheid is dat er tal van mechanismen kunnen ontstaan die maken dat de partij met de kennisachterstand door die afhankelijkheid gevaar loopt om misleid te worden.</w:t>
      </w:r>
    </w:p>
    <w:p w14:paraId="077E9EC1" w14:textId="021ABA3A" w:rsidR="00CD5B36" w:rsidRDefault="00CD5B36" w:rsidP="0012042A">
      <w:pPr>
        <w:pStyle w:val="NoSpacing"/>
        <w:spacing w:line="276" w:lineRule="auto"/>
        <w:rPr>
          <w:rFonts w:cstheme="minorHAnsi"/>
          <w:color w:val="000000" w:themeColor="text1"/>
        </w:rPr>
      </w:pPr>
      <w:r w:rsidRPr="003721EE">
        <w:rPr>
          <w:rFonts w:cstheme="minorHAnsi"/>
          <w:color w:val="000000" w:themeColor="text1"/>
        </w:rPr>
        <w:t>Dit vormt een bedreiging voor de efficiëntie van inkoop. De stijgende kosten en tekorten in het onderwijs stellen onderwijsinstellingen voor de uitdaging om hun inkoop zo efficiënt mogelijk in te richten.</w:t>
      </w:r>
      <w:r w:rsidR="009C7CF5" w:rsidRPr="009C7CF5">
        <w:t xml:space="preserve"> </w:t>
      </w:r>
      <w:r w:rsidR="009C7CF5">
        <w:t>Er is onderzoek gedaan naar de variabele kennis en expertise, vertrouwen, institutionele setting van het openbaar bestuur, gezamenlijk inkoop, professionalisering en opdrachtgever-opdrachtnemer relatie.</w:t>
      </w:r>
      <w:r w:rsidR="00C6072B">
        <w:t xml:space="preserve"> De theoretische </w:t>
      </w:r>
      <w:r w:rsidR="005B3842">
        <w:t>fundering</w:t>
      </w:r>
      <w:r w:rsidR="00C6072B">
        <w:t xml:space="preserve"> van het onderzoek bestaat uit de </w:t>
      </w:r>
      <w:r w:rsidR="00A87693">
        <w:t>principaal</w:t>
      </w:r>
      <w:r w:rsidR="00C6072B">
        <w:t xml:space="preserve">-agent theorie, </w:t>
      </w:r>
      <w:r w:rsidR="005B3842">
        <w:t>afhankelijkheid</w:t>
      </w:r>
      <w:r w:rsidR="00C6072B">
        <w:t xml:space="preserve">, </w:t>
      </w:r>
      <w:r w:rsidR="00957421">
        <w:t>opdrachtgeverschap, synergie</w:t>
      </w:r>
      <w:r w:rsidR="00C6072B">
        <w:t xml:space="preserve"> en professionalisering.</w:t>
      </w:r>
      <w:r w:rsidR="005B3842">
        <w:t xml:space="preserve"> De assumpties uit de theorie dienen ter toetsing van opdrachtgever-opdrachtnemer relatie en de wijze waarop inkoop plaats vindt. </w:t>
      </w:r>
    </w:p>
    <w:p w14:paraId="6B9C7451" w14:textId="575EE22F" w:rsidR="00C6072B" w:rsidRDefault="009C7CF5" w:rsidP="00C6072B">
      <w:pPr>
        <w:pStyle w:val="NoSpacing"/>
        <w:spacing w:line="276" w:lineRule="auto"/>
      </w:pPr>
      <w:r>
        <w:tab/>
        <w:t>Dit onderzoek valt onder</w:t>
      </w:r>
      <w:r w:rsidRPr="009C7CF5">
        <w:t xml:space="preserve"> </w:t>
      </w:r>
      <w:r>
        <w:t>toetsend</w:t>
      </w:r>
      <w:r w:rsidRPr="009C7CF5">
        <w:t xml:space="preserve"> onderzoek</w:t>
      </w:r>
      <w:r>
        <w:t>. Als onderzoekdesign is gekozen voor een kwalitatieve casestudie. Middels</w:t>
      </w:r>
      <w:r w:rsidR="00CD5B36">
        <w:t xml:space="preserve"> semigestructureerd</w:t>
      </w:r>
      <w:r>
        <w:t>e</w:t>
      </w:r>
      <w:r w:rsidR="00CD5B36">
        <w:t xml:space="preserve"> interviews </w:t>
      </w:r>
      <w:r>
        <w:t xml:space="preserve">is data verzameld </w:t>
      </w:r>
      <w:r w:rsidR="00CD5B36">
        <w:t xml:space="preserve">binnen 11 afzonderlijke voortgezet onderwijsinstellingen. </w:t>
      </w:r>
      <w:r w:rsidR="005B0BBC">
        <w:t xml:space="preserve">De respondenten zijn direct verantwoordelijk voor de inkoop. </w:t>
      </w:r>
      <w:r w:rsidR="00CB7FE7">
        <w:t>Deze instellingen</w:t>
      </w:r>
      <w:r w:rsidR="00B3052A">
        <w:t xml:space="preserve"> zijn binnen deze casusvergelijking gekozen op basis van</w:t>
      </w:r>
      <w:r w:rsidR="00B3052A" w:rsidRPr="00B3052A">
        <w:t xml:space="preserve"> denominatie, profiel en omvang.</w:t>
      </w:r>
      <w:r w:rsidR="00B3052A">
        <w:t xml:space="preserve"> Ook is er aandacht geweest voor onderscheid tussen scholen gelegen in stedelijke en niet-stedelijke gebieden. Tot slot</w:t>
      </w:r>
      <w:r w:rsidR="00C6072B">
        <w:t xml:space="preserve"> is er bij </w:t>
      </w:r>
      <w:r w:rsidR="0038052D">
        <w:t>caseselectie</w:t>
      </w:r>
      <w:r w:rsidR="00C6072B">
        <w:t xml:space="preserve"> rekening gehouden met scholen die onderdeel vormen van een scholengemeenschap en gemeenschappelijk inkopen</w:t>
      </w:r>
      <w:r w:rsidR="00B3052A">
        <w:t xml:space="preserve">. </w:t>
      </w:r>
      <w:r w:rsidR="002E48BF">
        <w:t>Door rekening te houden met deze factoren worden de uitkomsten van deze studie representatief voor andere soortgelijke VO-instellingen.</w:t>
      </w:r>
    </w:p>
    <w:p w14:paraId="5F3BBFCF" w14:textId="5E5FF4B3" w:rsidR="006D4B6A" w:rsidRDefault="006D4B6A" w:rsidP="00531A97">
      <w:pPr>
        <w:pStyle w:val="NoSpacing"/>
        <w:spacing w:line="276" w:lineRule="auto"/>
        <w:jc w:val="center"/>
      </w:pPr>
    </w:p>
    <w:p w14:paraId="1DA5FCF1" w14:textId="77777777" w:rsidR="006D4B6A" w:rsidRPr="006D4B6A" w:rsidRDefault="006D4B6A" w:rsidP="006D4B6A"/>
    <w:p w14:paraId="13454F2A" w14:textId="77777777" w:rsidR="006D4B6A" w:rsidRPr="006D4B6A" w:rsidRDefault="006D4B6A" w:rsidP="006D4B6A"/>
    <w:p w14:paraId="008CCA75" w14:textId="77777777" w:rsidR="006D4B6A" w:rsidRPr="006D4B6A" w:rsidRDefault="006D4B6A" w:rsidP="006D4B6A"/>
    <w:p w14:paraId="0512D517" w14:textId="77777777" w:rsidR="006D4B6A" w:rsidRPr="006D4B6A" w:rsidRDefault="006D4B6A" w:rsidP="006D4B6A"/>
    <w:p w14:paraId="2112D7D4" w14:textId="77777777" w:rsidR="006D4B6A" w:rsidRPr="006D4B6A" w:rsidRDefault="006D4B6A" w:rsidP="006D4B6A"/>
    <w:p w14:paraId="5FD920B5" w14:textId="77777777" w:rsidR="006D4B6A" w:rsidRPr="006D4B6A" w:rsidRDefault="006D4B6A" w:rsidP="006D4B6A"/>
    <w:p w14:paraId="593FC548" w14:textId="77777777" w:rsidR="006D4B6A" w:rsidRPr="006D4B6A" w:rsidRDefault="006D4B6A" w:rsidP="006D4B6A"/>
    <w:p w14:paraId="18F95B3E" w14:textId="77777777" w:rsidR="006D4B6A" w:rsidRPr="006D4B6A" w:rsidRDefault="006D4B6A" w:rsidP="006D4B6A"/>
    <w:p w14:paraId="223B5EF4" w14:textId="312E05CF" w:rsidR="006D4B6A" w:rsidRDefault="006D4B6A" w:rsidP="006D4B6A"/>
    <w:p w14:paraId="4DA19716" w14:textId="71D72846" w:rsidR="006D4B6A" w:rsidRDefault="006D4B6A" w:rsidP="006D4B6A"/>
    <w:p w14:paraId="6630E6FC" w14:textId="77777777" w:rsidR="00531A97" w:rsidRPr="006D4B6A" w:rsidRDefault="00531A97" w:rsidP="006D4B6A">
      <w:pPr>
        <w:sectPr w:rsidR="00531A97" w:rsidRPr="006D4B6A" w:rsidSect="00531A97">
          <w:pgSz w:w="11906" w:h="16838" w:code="9"/>
          <w:pgMar w:top="720" w:right="720" w:bottom="720" w:left="720" w:header="709" w:footer="454" w:gutter="0"/>
          <w:cols w:space="708"/>
          <w:titlePg/>
          <w:docGrid w:linePitch="360"/>
        </w:sectPr>
      </w:pPr>
    </w:p>
    <w:p w14:paraId="5FE1CCDB" w14:textId="77777777" w:rsidR="00531A97" w:rsidRDefault="0057307B" w:rsidP="00531A97">
      <w:pPr>
        <w:pStyle w:val="NoSpacing"/>
        <w:spacing w:line="276" w:lineRule="auto"/>
        <w:jc w:val="center"/>
        <w:sectPr w:rsidR="00531A97" w:rsidSect="00531A97">
          <w:pgSz w:w="11906" w:h="16838" w:code="9"/>
          <w:pgMar w:top="720" w:right="454" w:bottom="720" w:left="454" w:header="709" w:footer="454" w:gutter="0"/>
          <w:cols w:space="708"/>
          <w:titlePg/>
          <w:docGrid w:linePitch="360"/>
        </w:sectPr>
      </w:pPr>
      <w:r>
        <w:rPr>
          <w:noProof/>
        </w:rPr>
        <w:lastRenderedPageBreak/>
        <w:drawing>
          <wp:inline distT="0" distB="0" distL="0" distR="0" wp14:anchorId="6D0EA99D" wp14:editId="1EBA9B12">
            <wp:extent cx="6957060" cy="3917488"/>
            <wp:effectExtent l="0" t="0" r="0" b="698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991086" cy="3936648"/>
                    </a:xfrm>
                    <a:prstGeom prst="roundRect">
                      <a:avLst>
                        <a:gd name="adj" fmla="val 8594"/>
                      </a:avLst>
                    </a:prstGeom>
                    <a:solidFill>
                      <a:srgbClr val="FFFFFF">
                        <a:shade val="85000"/>
                      </a:srgbClr>
                    </a:solidFill>
                    <a:ln>
                      <a:noFill/>
                    </a:ln>
                    <a:effectLst/>
                  </pic:spPr>
                </pic:pic>
              </a:graphicData>
            </a:graphic>
          </wp:inline>
        </w:drawing>
      </w:r>
    </w:p>
    <w:p w14:paraId="046FCF8C" w14:textId="123A4124" w:rsidR="00CB7FE7" w:rsidRDefault="00CB7FE7" w:rsidP="00531A97">
      <w:pPr>
        <w:pStyle w:val="NoSpacing"/>
        <w:spacing w:line="276" w:lineRule="auto"/>
        <w:jc w:val="center"/>
      </w:pPr>
    </w:p>
    <w:sdt>
      <w:sdtPr>
        <w:rPr>
          <w:rFonts w:ascii="Arial" w:eastAsia="Times New Roman" w:hAnsi="Arial" w:cs="Times New Roman"/>
          <w:color w:val="auto"/>
          <w:sz w:val="20"/>
          <w:szCs w:val="24"/>
          <w:lang w:eastAsia="en-US"/>
        </w:rPr>
        <w:id w:val="638225432"/>
        <w:docPartObj>
          <w:docPartGallery w:val="Table of Contents"/>
          <w:docPartUnique/>
        </w:docPartObj>
      </w:sdtPr>
      <w:sdtEndPr>
        <w:rPr>
          <w:b/>
          <w:bCs/>
        </w:rPr>
      </w:sdtEndPr>
      <w:sdtContent>
        <w:p w14:paraId="48DBD68A" w14:textId="549B2DC0" w:rsidR="00537F8E" w:rsidRPr="00F3542F" w:rsidRDefault="00537F8E">
          <w:pPr>
            <w:pStyle w:val="TOCHeading"/>
            <w:rPr>
              <w:color w:val="auto"/>
            </w:rPr>
          </w:pPr>
          <w:r w:rsidRPr="00F3542F">
            <w:rPr>
              <w:b/>
              <w:color w:val="auto"/>
            </w:rPr>
            <w:t>Inhoudsopgave</w:t>
          </w:r>
        </w:p>
        <w:p w14:paraId="5EDE3EDB" w14:textId="3082C5B0" w:rsidR="00F3542F" w:rsidRPr="00F3542F" w:rsidRDefault="00537F8E">
          <w:pPr>
            <w:pStyle w:val="TOC1"/>
            <w:rPr>
              <w:rFonts w:eastAsiaTheme="minorEastAsia"/>
              <w:b w:val="0"/>
              <w:lang w:eastAsia="nl-NL"/>
            </w:rPr>
          </w:pPr>
          <w:r>
            <w:rPr>
              <w:bCs/>
            </w:rPr>
            <w:fldChar w:fldCharType="begin"/>
          </w:r>
          <w:r>
            <w:rPr>
              <w:bCs/>
            </w:rPr>
            <w:instrText xml:space="preserve"> TOC \o "1-3" \h \z \u </w:instrText>
          </w:r>
          <w:r>
            <w:rPr>
              <w:bCs/>
            </w:rPr>
            <w:fldChar w:fldCharType="separate"/>
          </w:r>
          <w:hyperlink w:anchor="_Toc517455437" w:history="1">
            <w:r w:rsidR="00F3542F" w:rsidRPr="00F3542F">
              <w:rPr>
                <w:rStyle w:val="Hyperlink"/>
                <w:b w:val="0"/>
                <w:color w:val="auto"/>
                <w:sz w:val="28"/>
              </w:rPr>
              <w:t>1.</w:t>
            </w:r>
            <w:r w:rsidR="00F3542F" w:rsidRPr="00F3542F">
              <w:rPr>
                <w:rFonts w:eastAsiaTheme="minorEastAsia"/>
                <w:b w:val="0"/>
                <w:lang w:eastAsia="nl-NL"/>
              </w:rPr>
              <w:tab/>
            </w:r>
            <w:r w:rsidR="00F3542F" w:rsidRPr="00F3542F">
              <w:rPr>
                <w:rStyle w:val="Hyperlink"/>
                <w:color w:val="auto"/>
                <w:sz w:val="28"/>
              </w:rPr>
              <w:t>Inleiding</w:t>
            </w:r>
            <w:r w:rsidR="00F3542F" w:rsidRPr="00F3542F">
              <w:rPr>
                <w:b w:val="0"/>
                <w:webHidden/>
                <w:sz w:val="28"/>
              </w:rPr>
              <w:tab/>
            </w:r>
            <w:r w:rsidR="00F3542F" w:rsidRPr="00F3542F">
              <w:rPr>
                <w:b w:val="0"/>
                <w:webHidden/>
                <w:sz w:val="28"/>
              </w:rPr>
              <w:fldChar w:fldCharType="begin"/>
            </w:r>
            <w:r w:rsidR="00F3542F" w:rsidRPr="00F3542F">
              <w:rPr>
                <w:b w:val="0"/>
                <w:webHidden/>
                <w:sz w:val="28"/>
              </w:rPr>
              <w:instrText xml:space="preserve"> PAGEREF _Toc517455437 \h </w:instrText>
            </w:r>
            <w:r w:rsidR="00F3542F" w:rsidRPr="00F3542F">
              <w:rPr>
                <w:b w:val="0"/>
                <w:webHidden/>
                <w:sz w:val="28"/>
              </w:rPr>
            </w:r>
            <w:r w:rsidR="00F3542F" w:rsidRPr="00F3542F">
              <w:rPr>
                <w:b w:val="0"/>
                <w:webHidden/>
                <w:sz w:val="28"/>
              </w:rPr>
              <w:fldChar w:fldCharType="separate"/>
            </w:r>
            <w:r w:rsidR="00D82558">
              <w:rPr>
                <w:b w:val="0"/>
                <w:webHidden/>
                <w:sz w:val="28"/>
              </w:rPr>
              <w:t>6</w:t>
            </w:r>
            <w:r w:rsidR="00F3542F" w:rsidRPr="00F3542F">
              <w:rPr>
                <w:b w:val="0"/>
                <w:webHidden/>
                <w:sz w:val="28"/>
              </w:rPr>
              <w:fldChar w:fldCharType="end"/>
            </w:r>
          </w:hyperlink>
        </w:p>
        <w:p w14:paraId="0F1E5238" w14:textId="03A27C2A" w:rsidR="00F3542F" w:rsidRPr="00F3542F" w:rsidRDefault="003040E4">
          <w:pPr>
            <w:pStyle w:val="TOC2"/>
            <w:rPr>
              <w:rFonts w:asciiTheme="minorHAnsi" w:eastAsiaTheme="minorEastAsia" w:hAnsiTheme="minorHAnsi" w:cstheme="minorHAnsi"/>
              <w:b w:val="0"/>
              <w:noProof/>
              <w:sz w:val="24"/>
              <w:szCs w:val="22"/>
              <w:lang w:eastAsia="nl-NL"/>
            </w:rPr>
          </w:pPr>
          <w:hyperlink w:anchor="_Toc517455438" w:history="1">
            <w:r w:rsidR="00F3542F" w:rsidRPr="00F3542F">
              <w:rPr>
                <w:rStyle w:val="Hyperlink"/>
                <w:rFonts w:asciiTheme="minorHAnsi" w:hAnsiTheme="minorHAnsi" w:cstheme="minorHAnsi"/>
                <w:b w:val="0"/>
                <w:noProof/>
                <w:color w:val="auto"/>
                <w:sz w:val="22"/>
              </w:rPr>
              <w:t>1.1</w:t>
            </w:r>
            <w:r w:rsidR="00F3542F" w:rsidRPr="00F3542F">
              <w:rPr>
                <w:rFonts w:asciiTheme="minorHAnsi" w:eastAsiaTheme="minorEastAsia" w:hAnsiTheme="minorHAnsi" w:cstheme="minorHAnsi"/>
                <w:b w:val="0"/>
                <w:noProof/>
                <w:sz w:val="24"/>
                <w:szCs w:val="22"/>
                <w:lang w:eastAsia="nl-NL"/>
              </w:rPr>
              <w:tab/>
            </w:r>
            <w:r w:rsidR="00F3542F" w:rsidRPr="00F3542F">
              <w:rPr>
                <w:rStyle w:val="Hyperlink"/>
                <w:rFonts w:asciiTheme="minorHAnsi" w:hAnsiTheme="minorHAnsi" w:cstheme="minorHAnsi"/>
                <w:b w:val="0"/>
                <w:noProof/>
                <w:color w:val="auto"/>
                <w:sz w:val="22"/>
              </w:rPr>
              <w:t>Aanleiding</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_Toc517455438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6</w:t>
            </w:r>
            <w:r w:rsidR="00F3542F" w:rsidRPr="00F3542F">
              <w:rPr>
                <w:rFonts w:asciiTheme="minorHAnsi" w:hAnsiTheme="minorHAnsi" w:cstheme="minorHAnsi"/>
                <w:b w:val="0"/>
                <w:noProof/>
                <w:webHidden/>
                <w:sz w:val="22"/>
              </w:rPr>
              <w:fldChar w:fldCharType="end"/>
            </w:r>
          </w:hyperlink>
        </w:p>
        <w:p w14:paraId="1944EF16" w14:textId="146A3C6C" w:rsidR="00F3542F" w:rsidRPr="00F3542F" w:rsidRDefault="003040E4">
          <w:pPr>
            <w:pStyle w:val="TOC2"/>
            <w:rPr>
              <w:rFonts w:asciiTheme="minorHAnsi" w:eastAsiaTheme="minorEastAsia" w:hAnsiTheme="minorHAnsi" w:cstheme="minorHAnsi"/>
              <w:b w:val="0"/>
              <w:noProof/>
              <w:sz w:val="24"/>
              <w:szCs w:val="22"/>
              <w:lang w:eastAsia="nl-NL"/>
            </w:rPr>
          </w:pPr>
          <w:hyperlink w:anchor="_Toc517455439" w:history="1">
            <w:r w:rsidR="00F3542F" w:rsidRPr="00F3542F">
              <w:rPr>
                <w:rStyle w:val="Hyperlink"/>
                <w:rFonts w:asciiTheme="minorHAnsi" w:hAnsiTheme="minorHAnsi" w:cstheme="minorHAnsi"/>
                <w:b w:val="0"/>
                <w:noProof/>
                <w:color w:val="auto"/>
                <w:sz w:val="22"/>
              </w:rPr>
              <w:t>1.2</w:t>
            </w:r>
            <w:r w:rsidR="00F3542F" w:rsidRPr="00F3542F">
              <w:rPr>
                <w:rFonts w:asciiTheme="minorHAnsi" w:eastAsiaTheme="minorEastAsia" w:hAnsiTheme="minorHAnsi" w:cstheme="minorHAnsi"/>
                <w:b w:val="0"/>
                <w:noProof/>
                <w:sz w:val="24"/>
                <w:szCs w:val="22"/>
                <w:lang w:eastAsia="nl-NL"/>
              </w:rPr>
              <w:tab/>
            </w:r>
            <w:r w:rsidR="00F3542F" w:rsidRPr="00F3542F">
              <w:rPr>
                <w:rStyle w:val="Hyperlink"/>
                <w:rFonts w:asciiTheme="minorHAnsi" w:hAnsiTheme="minorHAnsi" w:cstheme="minorHAnsi"/>
                <w:b w:val="0"/>
                <w:noProof/>
                <w:color w:val="auto"/>
                <w:sz w:val="22"/>
              </w:rPr>
              <w:t>Doel- en vraagstelling van deze studie</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_Toc517455439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7</w:t>
            </w:r>
            <w:r w:rsidR="00F3542F" w:rsidRPr="00F3542F">
              <w:rPr>
                <w:rFonts w:asciiTheme="minorHAnsi" w:hAnsiTheme="minorHAnsi" w:cstheme="minorHAnsi"/>
                <w:b w:val="0"/>
                <w:noProof/>
                <w:webHidden/>
                <w:sz w:val="22"/>
              </w:rPr>
              <w:fldChar w:fldCharType="end"/>
            </w:r>
          </w:hyperlink>
        </w:p>
        <w:p w14:paraId="0494D013" w14:textId="7B7964A9" w:rsidR="00F3542F" w:rsidRPr="00F3542F" w:rsidRDefault="003040E4">
          <w:pPr>
            <w:pStyle w:val="TOC2"/>
            <w:rPr>
              <w:rFonts w:asciiTheme="minorHAnsi" w:eastAsiaTheme="minorEastAsia" w:hAnsiTheme="minorHAnsi" w:cstheme="minorHAnsi"/>
              <w:b w:val="0"/>
              <w:noProof/>
              <w:sz w:val="24"/>
              <w:szCs w:val="22"/>
              <w:lang w:eastAsia="nl-NL"/>
            </w:rPr>
          </w:pPr>
          <w:hyperlink w:anchor="_Toc517455440" w:history="1">
            <w:r w:rsidR="00F3542F" w:rsidRPr="00F3542F">
              <w:rPr>
                <w:rStyle w:val="Hyperlink"/>
                <w:rFonts w:asciiTheme="minorHAnsi" w:hAnsiTheme="minorHAnsi" w:cstheme="minorHAnsi"/>
                <w:b w:val="0"/>
                <w:noProof/>
                <w:color w:val="auto"/>
                <w:sz w:val="22"/>
              </w:rPr>
              <w:t>1.3</w:t>
            </w:r>
            <w:r w:rsidR="00F3542F" w:rsidRPr="00F3542F">
              <w:rPr>
                <w:rFonts w:asciiTheme="minorHAnsi" w:eastAsiaTheme="minorEastAsia" w:hAnsiTheme="minorHAnsi" w:cstheme="minorHAnsi"/>
                <w:b w:val="0"/>
                <w:noProof/>
                <w:sz w:val="24"/>
                <w:szCs w:val="22"/>
                <w:lang w:eastAsia="nl-NL"/>
              </w:rPr>
              <w:tab/>
            </w:r>
            <w:r w:rsidR="00F3542F" w:rsidRPr="00F3542F">
              <w:rPr>
                <w:rStyle w:val="Hyperlink"/>
                <w:rFonts w:asciiTheme="minorHAnsi" w:hAnsiTheme="minorHAnsi" w:cstheme="minorHAnsi"/>
                <w:b w:val="0"/>
                <w:noProof/>
                <w:color w:val="auto"/>
                <w:sz w:val="22"/>
              </w:rPr>
              <w:t>Relevantie</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_Toc517455440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7</w:t>
            </w:r>
            <w:r w:rsidR="00F3542F" w:rsidRPr="00F3542F">
              <w:rPr>
                <w:rFonts w:asciiTheme="minorHAnsi" w:hAnsiTheme="minorHAnsi" w:cstheme="minorHAnsi"/>
                <w:b w:val="0"/>
                <w:noProof/>
                <w:webHidden/>
                <w:sz w:val="22"/>
              </w:rPr>
              <w:fldChar w:fldCharType="end"/>
            </w:r>
          </w:hyperlink>
        </w:p>
        <w:p w14:paraId="5BFF1B67" w14:textId="548875B5" w:rsidR="00F3542F" w:rsidRPr="00F3542F" w:rsidRDefault="003040E4">
          <w:pPr>
            <w:pStyle w:val="TOC3"/>
            <w:rPr>
              <w:rFonts w:asciiTheme="minorHAnsi" w:eastAsiaTheme="minorEastAsia" w:hAnsiTheme="minorHAnsi" w:cstheme="minorHAnsi"/>
              <w:b w:val="0"/>
              <w:noProof/>
              <w:sz w:val="24"/>
              <w:szCs w:val="22"/>
              <w:lang w:eastAsia="nl-NL"/>
            </w:rPr>
          </w:pPr>
          <w:hyperlink w:anchor="_Toc517455441" w:history="1">
            <w:r w:rsidR="00F3542F" w:rsidRPr="00F3542F">
              <w:rPr>
                <w:rStyle w:val="Hyperlink"/>
                <w:rFonts w:asciiTheme="minorHAnsi" w:hAnsiTheme="minorHAnsi" w:cstheme="minorHAnsi"/>
                <w:b w:val="0"/>
                <w:noProof/>
                <w:color w:val="auto"/>
                <w:sz w:val="22"/>
              </w:rPr>
              <w:t>1.3.2 Maatschappelijke relevantie</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_Toc517455441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8</w:t>
            </w:r>
            <w:r w:rsidR="00F3542F" w:rsidRPr="00F3542F">
              <w:rPr>
                <w:rFonts w:asciiTheme="minorHAnsi" w:hAnsiTheme="minorHAnsi" w:cstheme="minorHAnsi"/>
                <w:b w:val="0"/>
                <w:noProof/>
                <w:webHidden/>
                <w:sz w:val="22"/>
              </w:rPr>
              <w:fldChar w:fldCharType="end"/>
            </w:r>
          </w:hyperlink>
        </w:p>
        <w:p w14:paraId="64CB2897" w14:textId="53BBC181" w:rsidR="00F3542F" w:rsidRPr="00F3542F" w:rsidRDefault="003040E4">
          <w:pPr>
            <w:pStyle w:val="TOC3"/>
            <w:rPr>
              <w:rFonts w:asciiTheme="minorHAnsi" w:eastAsiaTheme="minorEastAsia" w:hAnsiTheme="minorHAnsi" w:cstheme="minorHAnsi"/>
              <w:b w:val="0"/>
              <w:noProof/>
              <w:sz w:val="24"/>
              <w:szCs w:val="22"/>
              <w:lang w:eastAsia="nl-NL"/>
            </w:rPr>
          </w:pPr>
          <w:hyperlink w:anchor="_Toc517455442" w:history="1">
            <w:r w:rsidR="00F3542F" w:rsidRPr="00F3542F">
              <w:rPr>
                <w:rStyle w:val="Hyperlink"/>
                <w:rFonts w:asciiTheme="minorHAnsi" w:hAnsiTheme="minorHAnsi" w:cstheme="minorHAnsi"/>
                <w:b w:val="0"/>
                <w:noProof/>
                <w:color w:val="auto"/>
                <w:sz w:val="22"/>
              </w:rPr>
              <w:t>1.3.3 Wetenschappelijke relevantie</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_Toc517455442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8</w:t>
            </w:r>
            <w:r w:rsidR="00F3542F" w:rsidRPr="00F3542F">
              <w:rPr>
                <w:rFonts w:asciiTheme="minorHAnsi" w:hAnsiTheme="minorHAnsi" w:cstheme="minorHAnsi"/>
                <w:b w:val="0"/>
                <w:noProof/>
                <w:webHidden/>
                <w:sz w:val="22"/>
              </w:rPr>
              <w:fldChar w:fldCharType="end"/>
            </w:r>
          </w:hyperlink>
        </w:p>
        <w:p w14:paraId="60E11174" w14:textId="1B1AA175" w:rsidR="00F3542F" w:rsidRPr="00F3542F" w:rsidRDefault="003040E4">
          <w:pPr>
            <w:pStyle w:val="TOC1"/>
            <w:rPr>
              <w:rFonts w:eastAsiaTheme="minorEastAsia"/>
              <w:b w:val="0"/>
              <w:lang w:eastAsia="nl-NL"/>
            </w:rPr>
          </w:pPr>
          <w:hyperlink w:anchor="_Toc517455443" w:history="1">
            <w:r w:rsidR="00F3542F" w:rsidRPr="00F3542F">
              <w:rPr>
                <w:rStyle w:val="Hyperlink"/>
                <w:color w:val="auto"/>
                <w:sz w:val="28"/>
              </w:rPr>
              <w:t>2.</w:t>
            </w:r>
            <w:r w:rsidR="00F3542F" w:rsidRPr="00F3542F">
              <w:rPr>
                <w:rFonts w:eastAsiaTheme="minorEastAsia"/>
                <w:b w:val="0"/>
                <w:lang w:eastAsia="nl-NL"/>
              </w:rPr>
              <w:tab/>
            </w:r>
            <w:r w:rsidR="00F3542F" w:rsidRPr="00F3542F">
              <w:rPr>
                <w:rStyle w:val="Hyperlink"/>
                <w:color w:val="auto"/>
                <w:sz w:val="28"/>
              </w:rPr>
              <w:t>Achtergrond en context</w:t>
            </w:r>
            <w:r w:rsidR="00F3542F" w:rsidRPr="00F3542F">
              <w:rPr>
                <w:webHidden/>
                <w:sz w:val="28"/>
              </w:rPr>
              <w:tab/>
            </w:r>
            <w:r w:rsidR="00F3542F" w:rsidRPr="00F3542F">
              <w:rPr>
                <w:webHidden/>
                <w:sz w:val="28"/>
              </w:rPr>
              <w:fldChar w:fldCharType="begin"/>
            </w:r>
            <w:r w:rsidR="00F3542F" w:rsidRPr="00F3542F">
              <w:rPr>
                <w:webHidden/>
                <w:sz w:val="28"/>
              </w:rPr>
              <w:instrText xml:space="preserve"> PAGEREF _Toc517455443 \h </w:instrText>
            </w:r>
            <w:r w:rsidR="00F3542F" w:rsidRPr="00F3542F">
              <w:rPr>
                <w:webHidden/>
                <w:sz w:val="28"/>
              </w:rPr>
            </w:r>
            <w:r w:rsidR="00F3542F" w:rsidRPr="00F3542F">
              <w:rPr>
                <w:webHidden/>
                <w:sz w:val="28"/>
              </w:rPr>
              <w:fldChar w:fldCharType="separate"/>
            </w:r>
            <w:r w:rsidR="00D82558">
              <w:rPr>
                <w:webHidden/>
                <w:sz w:val="28"/>
              </w:rPr>
              <w:t>9</w:t>
            </w:r>
            <w:r w:rsidR="00F3542F" w:rsidRPr="00F3542F">
              <w:rPr>
                <w:webHidden/>
                <w:sz w:val="28"/>
              </w:rPr>
              <w:fldChar w:fldCharType="end"/>
            </w:r>
          </w:hyperlink>
        </w:p>
        <w:p w14:paraId="35677EDC" w14:textId="0330B5CA" w:rsidR="00F3542F" w:rsidRPr="00F3542F" w:rsidRDefault="003040E4">
          <w:pPr>
            <w:pStyle w:val="TOC2"/>
            <w:rPr>
              <w:rFonts w:asciiTheme="minorHAnsi" w:eastAsiaTheme="minorEastAsia" w:hAnsiTheme="minorHAnsi" w:cstheme="minorHAnsi"/>
              <w:b w:val="0"/>
              <w:noProof/>
              <w:sz w:val="24"/>
              <w:szCs w:val="22"/>
              <w:lang w:eastAsia="nl-NL"/>
            </w:rPr>
          </w:pPr>
          <w:hyperlink w:anchor="_Toc517455445" w:history="1">
            <w:r w:rsidR="00F3542F" w:rsidRPr="00F3542F">
              <w:rPr>
                <w:rStyle w:val="Hyperlink"/>
                <w:rFonts w:asciiTheme="minorHAnsi" w:hAnsiTheme="minorHAnsi" w:cstheme="minorHAnsi"/>
                <w:b w:val="0"/>
                <w:noProof/>
                <w:color w:val="auto"/>
                <w:sz w:val="22"/>
              </w:rPr>
              <w:t>2.1</w:t>
            </w:r>
            <w:r w:rsidR="00F3542F" w:rsidRPr="00F3542F">
              <w:rPr>
                <w:rFonts w:asciiTheme="minorHAnsi" w:eastAsiaTheme="minorEastAsia" w:hAnsiTheme="minorHAnsi" w:cstheme="minorHAnsi"/>
                <w:b w:val="0"/>
                <w:noProof/>
                <w:sz w:val="24"/>
                <w:szCs w:val="22"/>
                <w:lang w:eastAsia="nl-NL"/>
              </w:rPr>
              <w:tab/>
            </w:r>
            <w:r w:rsidR="00F3542F" w:rsidRPr="00F3542F">
              <w:rPr>
                <w:rStyle w:val="Hyperlink"/>
                <w:rFonts w:asciiTheme="minorHAnsi" w:hAnsiTheme="minorHAnsi" w:cstheme="minorHAnsi"/>
                <w:b w:val="0"/>
                <w:noProof/>
                <w:color w:val="auto"/>
                <w:sz w:val="22"/>
              </w:rPr>
              <w:t>Afbakening en situatieschets: de context deze studie</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_Toc517455445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9</w:t>
            </w:r>
            <w:r w:rsidR="00F3542F" w:rsidRPr="00F3542F">
              <w:rPr>
                <w:rFonts w:asciiTheme="minorHAnsi" w:hAnsiTheme="minorHAnsi" w:cstheme="minorHAnsi"/>
                <w:b w:val="0"/>
                <w:noProof/>
                <w:webHidden/>
                <w:sz w:val="22"/>
              </w:rPr>
              <w:fldChar w:fldCharType="end"/>
            </w:r>
          </w:hyperlink>
        </w:p>
        <w:p w14:paraId="5E7A9117" w14:textId="5B5F4B45" w:rsidR="00F3542F" w:rsidRPr="00F3542F" w:rsidRDefault="003040E4">
          <w:pPr>
            <w:pStyle w:val="TOC2"/>
            <w:rPr>
              <w:rFonts w:asciiTheme="minorHAnsi" w:eastAsiaTheme="minorEastAsia" w:hAnsiTheme="minorHAnsi" w:cstheme="minorHAnsi"/>
              <w:b w:val="0"/>
              <w:noProof/>
              <w:sz w:val="24"/>
              <w:szCs w:val="22"/>
              <w:lang w:eastAsia="nl-NL"/>
            </w:rPr>
          </w:pPr>
          <w:hyperlink w:anchor="_Toc517455446" w:history="1">
            <w:r w:rsidR="00F3542F" w:rsidRPr="00F3542F">
              <w:rPr>
                <w:rStyle w:val="Hyperlink"/>
                <w:rFonts w:asciiTheme="minorHAnsi" w:hAnsiTheme="minorHAnsi" w:cstheme="minorHAnsi"/>
                <w:b w:val="0"/>
                <w:noProof/>
                <w:color w:val="auto"/>
                <w:sz w:val="22"/>
              </w:rPr>
              <w:t>2.2</w:t>
            </w:r>
            <w:r w:rsidR="00F3542F" w:rsidRPr="00F3542F">
              <w:rPr>
                <w:rFonts w:asciiTheme="minorHAnsi" w:eastAsiaTheme="minorEastAsia" w:hAnsiTheme="minorHAnsi" w:cstheme="minorHAnsi"/>
                <w:b w:val="0"/>
                <w:noProof/>
                <w:sz w:val="24"/>
                <w:szCs w:val="22"/>
                <w:lang w:eastAsia="nl-NL"/>
              </w:rPr>
              <w:tab/>
            </w:r>
            <w:r w:rsidR="00F3542F" w:rsidRPr="00F3542F">
              <w:rPr>
                <w:rStyle w:val="Hyperlink"/>
                <w:rFonts w:asciiTheme="minorHAnsi" w:hAnsiTheme="minorHAnsi" w:cstheme="minorHAnsi"/>
                <w:b w:val="0"/>
                <w:noProof/>
                <w:color w:val="auto"/>
                <w:sz w:val="22"/>
              </w:rPr>
              <w:t>Didactische meerwaarde van ICT</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_Toc517455446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10</w:t>
            </w:r>
            <w:r w:rsidR="00F3542F" w:rsidRPr="00F3542F">
              <w:rPr>
                <w:rFonts w:asciiTheme="minorHAnsi" w:hAnsiTheme="minorHAnsi" w:cstheme="minorHAnsi"/>
                <w:b w:val="0"/>
                <w:noProof/>
                <w:webHidden/>
                <w:sz w:val="22"/>
              </w:rPr>
              <w:fldChar w:fldCharType="end"/>
            </w:r>
          </w:hyperlink>
        </w:p>
        <w:p w14:paraId="1F1D1106" w14:textId="71996131" w:rsidR="00F3542F" w:rsidRPr="00F3542F" w:rsidRDefault="003040E4">
          <w:pPr>
            <w:pStyle w:val="TOC2"/>
            <w:rPr>
              <w:rFonts w:asciiTheme="minorHAnsi" w:eastAsiaTheme="minorEastAsia" w:hAnsiTheme="minorHAnsi" w:cstheme="minorHAnsi"/>
              <w:b w:val="0"/>
              <w:noProof/>
              <w:sz w:val="24"/>
              <w:szCs w:val="22"/>
              <w:lang w:eastAsia="nl-NL"/>
            </w:rPr>
          </w:pPr>
          <w:hyperlink w:anchor="_Toc517455447" w:history="1">
            <w:r w:rsidR="00F3542F" w:rsidRPr="00F3542F">
              <w:rPr>
                <w:rStyle w:val="Hyperlink"/>
                <w:rFonts w:asciiTheme="minorHAnsi" w:hAnsiTheme="minorHAnsi" w:cstheme="minorHAnsi"/>
                <w:b w:val="0"/>
                <w:noProof/>
                <w:color w:val="auto"/>
                <w:sz w:val="22"/>
              </w:rPr>
              <w:t>2.3</w:t>
            </w:r>
            <w:r w:rsidR="00F3542F" w:rsidRPr="00F3542F">
              <w:rPr>
                <w:rFonts w:asciiTheme="minorHAnsi" w:eastAsiaTheme="minorEastAsia" w:hAnsiTheme="minorHAnsi" w:cstheme="minorHAnsi"/>
                <w:b w:val="0"/>
                <w:noProof/>
                <w:sz w:val="24"/>
                <w:szCs w:val="22"/>
                <w:lang w:eastAsia="nl-NL"/>
              </w:rPr>
              <w:tab/>
            </w:r>
            <w:r w:rsidR="00F3542F" w:rsidRPr="00F3542F">
              <w:rPr>
                <w:rStyle w:val="Hyperlink"/>
                <w:rFonts w:asciiTheme="minorHAnsi" w:hAnsiTheme="minorHAnsi" w:cstheme="minorHAnsi"/>
                <w:b w:val="0"/>
                <w:noProof/>
                <w:color w:val="auto"/>
                <w:sz w:val="22"/>
              </w:rPr>
              <w:t>Vier in balans monitor</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_Toc517455447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11</w:t>
            </w:r>
            <w:r w:rsidR="00F3542F" w:rsidRPr="00F3542F">
              <w:rPr>
                <w:rFonts w:asciiTheme="minorHAnsi" w:hAnsiTheme="minorHAnsi" w:cstheme="minorHAnsi"/>
                <w:b w:val="0"/>
                <w:noProof/>
                <w:webHidden/>
                <w:sz w:val="22"/>
              </w:rPr>
              <w:fldChar w:fldCharType="end"/>
            </w:r>
          </w:hyperlink>
        </w:p>
        <w:p w14:paraId="3922DBB6" w14:textId="40F0371D" w:rsidR="00F3542F" w:rsidRPr="00F3542F" w:rsidRDefault="003040E4">
          <w:pPr>
            <w:pStyle w:val="TOC1"/>
            <w:rPr>
              <w:rFonts w:eastAsiaTheme="minorEastAsia"/>
              <w:b w:val="0"/>
              <w:lang w:eastAsia="nl-NL"/>
            </w:rPr>
          </w:pPr>
          <w:hyperlink w:anchor="_Toc517455448" w:history="1">
            <w:r w:rsidR="00F3542F" w:rsidRPr="00F3542F">
              <w:rPr>
                <w:rStyle w:val="Hyperlink"/>
                <w:color w:val="auto"/>
                <w:sz w:val="28"/>
              </w:rPr>
              <w:t>3.</w:t>
            </w:r>
            <w:r w:rsidR="00F3542F" w:rsidRPr="00F3542F">
              <w:rPr>
                <w:rFonts w:eastAsiaTheme="minorEastAsia"/>
                <w:b w:val="0"/>
                <w:lang w:eastAsia="nl-NL"/>
              </w:rPr>
              <w:tab/>
            </w:r>
            <w:r w:rsidR="00F3542F" w:rsidRPr="00F3542F">
              <w:rPr>
                <w:rStyle w:val="Hyperlink"/>
                <w:color w:val="auto"/>
                <w:sz w:val="28"/>
              </w:rPr>
              <w:t>Theoretische kader</w:t>
            </w:r>
            <w:r w:rsidR="00F3542F" w:rsidRPr="00F3542F">
              <w:rPr>
                <w:webHidden/>
                <w:sz w:val="28"/>
              </w:rPr>
              <w:tab/>
            </w:r>
            <w:r w:rsidR="00F3542F" w:rsidRPr="00F3542F">
              <w:rPr>
                <w:webHidden/>
                <w:sz w:val="28"/>
              </w:rPr>
              <w:fldChar w:fldCharType="begin"/>
            </w:r>
            <w:r w:rsidR="00F3542F" w:rsidRPr="00F3542F">
              <w:rPr>
                <w:webHidden/>
                <w:sz w:val="28"/>
              </w:rPr>
              <w:instrText xml:space="preserve"> PAGEREF _Toc517455448 \h </w:instrText>
            </w:r>
            <w:r w:rsidR="00F3542F" w:rsidRPr="00F3542F">
              <w:rPr>
                <w:webHidden/>
                <w:sz w:val="28"/>
              </w:rPr>
            </w:r>
            <w:r w:rsidR="00F3542F" w:rsidRPr="00F3542F">
              <w:rPr>
                <w:webHidden/>
                <w:sz w:val="28"/>
              </w:rPr>
              <w:fldChar w:fldCharType="separate"/>
            </w:r>
            <w:r w:rsidR="00D82558">
              <w:rPr>
                <w:webHidden/>
                <w:sz w:val="28"/>
              </w:rPr>
              <w:t>14</w:t>
            </w:r>
            <w:r w:rsidR="00F3542F" w:rsidRPr="00F3542F">
              <w:rPr>
                <w:webHidden/>
                <w:sz w:val="28"/>
              </w:rPr>
              <w:fldChar w:fldCharType="end"/>
            </w:r>
          </w:hyperlink>
        </w:p>
        <w:p w14:paraId="0953A85E" w14:textId="5C83A778" w:rsidR="00F3542F" w:rsidRPr="00F3542F" w:rsidRDefault="003040E4">
          <w:pPr>
            <w:pStyle w:val="TOC2"/>
            <w:rPr>
              <w:rFonts w:asciiTheme="minorHAnsi" w:eastAsiaTheme="minorEastAsia" w:hAnsiTheme="minorHAnsi" w:cstheme="minorHAnsi"/>
              <w:b w:val="0"/>
              <w:noProof/>
              <w:sz w:val="24"/>
              <w:szCs w:val="22"/>
              <w:lang w:eastAsia="nl-NL"/>
            </w:rPr>
          </w:pPr>
          <w:hyperlink w:anchor="_Toc517455450" w:history="1">
            <w:r w:rsidR="00F3542F" w:rsidRPr="00F3542F">
              <w:rPr>
                <w:rStyle w:val="Hyperlink"/>
                <w:rFonts w:asciiTheme="minorHAnsi" w:hAnsiTheme="minorHAnsi" w:cstheme="minorHAnsi"/>
                <w:b w:val="0"/>
                <w:noProof/>
                <w:color w:val="auto"/>
                <w:sz w:val="22"/>
              </w:rPr>
              <w:t>3.1</w:t>
            </w:r>
            <w:r w:rsidR="00F3542F" w:rsidRPr="00F3542F">
              <w:rPr>
                <w:rFonts w:asciiTheme="minorHAnsi" w:eastAsiaTheme="minorEastAsia" w:hAnsiTheme="minorHAnsi" w:cstheme="minorHAnsi"/>
                <w:b w:val="0"/>
                <w:noProof/>
                <w:sz w:val="24"/>
                <w:szCs w:val="22"/>
                <w:lang w:eastAsia="nl-NL"/>
              </w:rPr>
              <w:tab/>
            </w:r>
            <w:r w:rsidR="00F3542F" w:rsidRPr="00F3542F">
              <w:rPr>
                <w:rStyle w:val="Hyperlink"/>
                <w:rFonts w:asciiTheme="minorHAnsi" w:hAnsiTheme="minorHAnsi" w:cstheme="minorHAnsi"/>
                <w:b w:val="0"/>
                <w:noProof/>
                <w:color w:val="auto"/>
                <w:sz w:val="22"/>
              </w:rPr>
              <w:t>Inleiding en leeswijzer</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_Toc517455450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14</w:t>
            </w:r>
            <w:r w:rsidR="00F3542F" w:rsidRPr="00F3542F">
              <w:rPr>
                <w:rFonts w:asciiTheme="minorHAnsi" w:hAnsiTheme="minorHAnsi" w:cstheme="minorHAnsi"/>
                <w:b w:val="0"/>
                <w:noProof/>
                <w:webHidden/>
                <w:sz w:val="22"/>
              </w:rPr>
              <w:fldChar w:fldCharType="end"/>
            </w:r>
          </w:hyperlink>
        </w:p>
        <w:p w14:paraId="696ECA0E" w14:textId="773ED801" w:rsidR="00F3542F" w:rsidRPr="00F3542F" w:rsidRDefault="003040E4">
          <w:pPr>
            <w:pStyle w:val="TOC2"/>
            <w:rPr>
              <w:rFonts w:asciiTheme="minorHAnsi" w:eastAsiaTheme="minorEastAsia" w:hAnsiTheme="minorHAnsi" w:cstheme="minorHAnsi"/>
              <w:b w:val="0"/>
              <w:noProof/>
              <w:sz w:val="24"/>
              <w:szCs w:val="22"/>
              <w:lang w:eastAsia="nl-NL"/>
            </w:rPr>
          </w:pPr>
          <w:hyperlink w:anchor="_Toc517455451" w:history="1">
            <w:r w:rsidR="00F3542F" w:rsidRPr="00F3542F">
              <w:rPr>
                <w:rStyle w:val="Hyperlink"/>
                <w:rFonts w:asciiTheme="minorHAnsi" w:hAnsiTheme="minorHAnsi" w:cstheme="minorHAnsi"/>
                <w:b w:val="0"/>
                <w:noProof/>
                <w:color w:val="auto"/>
                <w:sz w:val="22"/>
              </w:rPr>
              <w:t>3.2</w:t>
            </w:r>
            <w:r w:rsidR="00F3542F" w:rsidRPr="00F3542F">
              <w:rPr>
                <w:rFonts w:asciiTheme="minorHAnsi" w:eastAsiaTheme="minorEastAsia" w:hAnsiTheme="minorHAnsi" w:cstheme="minorHAnsi"/>
                <w:b w:val="0"/>
                <w:noProof/>
                <w:sz w:val="24"/>
                <w:szCs w:val="22"/>
                <w:lang w:eastAsia="nl-NL"/>
              </w:rPr>
              <w:tab/>
            </w:r>
            <w:r w:rsidR="00F3542F" w:rsidRPr="00F3542F">
              <w:rPr>
                <w:rStyle w:val="Hyperlink"/>
                <w:rFonts w:asciiTheme="minorHAnsi" w:hAnsiTheme="minorHAnsi" w:cstheme="minorHAnsi"/>
                <w:b w:val="0"/>
                <w:noProof/>
                <w:color w:val="auto"/>
                <w:sz w:val="22"/>
              </w:rPr>
              <w:t>Wat is efficiënt inkoop?</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_Toc517455451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14</w:t>
            </w:r>
            <w:r w:rsidR="00F3542F" w:rsidRPr="00F3542F">
              <w:rPr>
                <w:rFonts w:asciiTheme="minorHAnsi" w:hAnsiTheme="minorHAnsi" w:cstheme="minorHAnsi"/>
                <w:b w:val="0"/>
                <w:noProof/>
                <w:webHidden/>
                <w:sz w:val="22"/>
              </w:rPr>
              <w:fldChar w:fldCharType="end"/>
            </w:r>
          </w:hyperlink>
        </w:p>
        <w:p w14:paraId="5A4A65DC" w14:textId="0C71BFA3" w:rsidR="00F3542F" w:rsidRPr="00F3542F" w:rsidRDefault="003040E4">
          <w:pPr>
            <w:pStyle w:val="TOC2"/>
            <w:rPr>
              <w:rFonts w:asciiTheme="minorHAnsi" w:eastAsiaTheme="minorEastAsia" w:hAnsiTheme="minorHAnsi" w:cstheme="minorHAnsi"/>
              <w:b w:val="0"/>
              <w:noProof/>
              <w:sz w:val="24"/>
              <w:szCs w:val="22"/>
              <w:lang w:eastAsia="nl-NL"/>
            </w:rPr>
          </w:pPr>
          <w:hyperlink w:anchor="_Toc517455452" w:history="1">
            <w:r w:rsidR="00F3542F" w:rsidRPr="00F3542F">
              <w:rPr>
                <w:rStyle w:val="Hyperlink"/>
                <w:rFonts w:asciiTheme="minorHAnsi" w:hAnsiTheme="minorHAnsi" w:cstheme="minorHAnsi"/>
                <w:b w:val="0"/>
                <w:noProof/>
                <w:color w:val="auto"/>
                <w:sz w:val="22"/>
              </w:rPr>
              <w:t>3.3</w:t>
            </w:r>
            <w:r w:rsidR="00F3542F" w:rsidRPr="00F3542F">
              <w:rPr>
                <w:rFonts w:asciiTheme="minorHAnsi" w:eastAsiaTheme="minorEastAsia" w:hAnsiTheme="minorHAnsi" w:cstheme="minorHAnsi"/>
                <w:b w:val="0"/>
                <w:noProof/>
                <w:sz w:val="24"/>
                <w:szCs w:val="22"/>
                <w:lang w:eastAsia="nl-NL"/>
              </w:rPr>
              <w:tab/>
            </w:r>
            <w:r w:rsidR="00F3542F" w:rsidRPr="00F3542F">
              <w:rPr>
                <w:rStyle w:val="Hyperlink"/>
                <w:rFonts w:asciiTheme="minorHAnsi" w:hAnsiTheme="minorHAnsi" w:cstheme="minorHAnsi"/>
                <w:b w:val="0"/>
                <w:noProof/>
                <w:color w:val="auto"/>
                <w:sz w:val="22"/>
              </w:rPr>
              <w:t>De problematiek van afhankelijkheid</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_Toc517455452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15</w:t>
            </w:r>
            <w:r w:rsidR="00F3542F" w:rsidRPr="00F3542F">
              <w:rPr>
                <w:rFonts w:asciiTheme="minorHAnsi" w:hAnsiTheme="minorHAnsi" w:cstheme="minorHAnsi"/>
                <w:b w:val="0"/>
                <w:noProof/>
                <w:webHidden/>
                <w:sz w:val="22"/>
              </w:rPr>
              <w:fldChar w:fldCharType="end"/>
            </w:r>
          </w:hyperlink>
        </w:p>
        <w:p w14:paraId="73327C8A" w14:textId="39CD1973" w:rsidR="00F3542F" w:rsidRPr="00F3542F" w:rsidRDefault="003040E4">
          <w:pPr>
            <w:pStyle w:val="TOC3"/>
            <w:rPr>
              <w:rFonts w:asciiTheme="minorHAnsi" w:eastAsiaTheme="minorEastAsia" w:hAnsiTheme="minorHAnsi" w:cstheme="minorHAnsi"/>
              <w:b w:val="0"/>
              <w:noProof/>
              <w:sz w:val="24"/>
              <w:szCs w:val="22"/>
              <w:lang w:eastAsia="nl-NL"/>
            </w:rPr>
          </w:pPr>
          <w:hyperlink w:anchor="_Toc517455453" w:history="1">
            <w:r w:rsidR="00F3542F" w:rsidRPr="00F3542F">
              <w:rPr>
                <w:rStyle w:val="Hyperlink"/>
                <w:rFonts w:asciiTheme="minorHAnsi" w:hAnsiTheme="minorHAnsi" w:cstheme="minorHAnsi"/>
                <w:b w:val="0"/>
                <w:noProof/>
                <w:color w:val="auto"/>
                <w:sz w:val="22"/>
              </w:rPr>
              <w:t>3.3.2 De gevolgen van afhankelijkheid</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_Toc517455453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16</w:t>
            </w:r>
            <w:r w:rsidR="00F3542F" w:rsidRPr="00F3542F">
              <w:rPr>
                <w:rFonts w:asciiTheme="minorHAnsi" w:hAnsiTheme="minorHAnsi" w:cstheme="minorHAnsi"/>
                <w:b w:val="0"/>
                <w:noProof/>
                <w:webHidden/>
                <w:sz w:val="22"/>
              </w:rPr>
              <w:fldChar w:fldCharType="end"/>
            </w:r>
          </w:hyperlink>
        </w:p>
        <w:p w14:paraId="72E0AF3E" w14:textId="5EE4CCA2" w:rsidR="00F3542F" w:rsidRPr="00F3542F" w:rsidRDefault="003040E4">
          <w:pPr>
            <w:pStyle w:val="TOC2"/>
            <w:rPr>
              <w:rFonts w:asciiTheme="minorHAnsi" w:eastAsiaTheme="minorEastAsia" w:hAnsiTheme="minorHAnsi" w:cstheme="minorHAnsi"/>
              <w:b w:val="0"/>
              <w:noProof/>
              <w:sz w:val="24"/>
              <w:szCs w:val="22"/>
              <w:lang w:eastAsia="nl-NL"/>
            </w:rPr>
          </w:pPr>
          <w:hyperlink w:anchor="_Toc517455454" w:history="1">
            <w:r w:rsidR="00F3542F" w:rsidRPr="00F3542F">
              <w:rPr>
                <w:rStyle w:val="Hyperlink"/>
                <w:rFonts w:asciiTheme="minorHAnsi" w:hAnsiTheme="minorHAnsi" w:cstheme="minorHAnsi"/>
                <w:b w:val="0"/>
                <w:noProof/>
                <w:color w:val="auto"/>
                <w:sz w:val="22"/>
              </w:rPr>
              <w:t>3.4</w:t>
            </w:r>
            <w:r w:rsidR="00F3542F" w:rsidRPr="00F3542F">
              <w:rPr>
                <w:rFonts w:asciiTheme="minorHAnsi" w:eastAsiaTheme="minorEastAsia" w:hAnsiTheme="minorHAnsi" w:cstheme="minorHAnsi"/>
                <w:b w:val="0"/>
                <w:noProof/>
                <w:sz w:val="24"/>
                <w:szCs w:val="22"/>
                <w:lang w:eastAsia="nl-NL"/>
              </w:rPr>
              <w:tab/>
            </w:r>
            <w:r w:rsidR="00F3542F" w:rsidRPr="00F3542F">
              <w:rPr>
                <w:rStyle w:val="Hyperlink"/>
                <w:rFonts w:asciiTheme="minorHAnsi" w:hAnsiTheme="minorHAnsi" w:cstheme="minorHAnsi"/>
                <w:b w:val="0"/>
                <w:noProof/>
                <w:color w:val="auto"/>
                <w:sz w:val="22"/>
              </w:rPr>
              <w:t>Antwoord op de afhankelijkheid (1): professionalisering van de inkoop</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_Toc517455454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19</w:t>
            </w:r>
            <w:r w:rsidR="00F3542F" w:rsidRPr="00F3542F">
              <w:rPr>
                <w:rFonts w:asciiTheme="minorHAnsi" w:hAnsiTheme="minorHAnsi" w:cstheme="minorHAnsi"/>
                <w:b w:val="0"/>
                <w:noProof/>
                <w:webHidden/>
                <w:sz w:val="22"/>
              </w:rPr>
              <w:fldChar w:fldCharType="end"/>
            </w:r>
          </w:hyperlink>
        </w:p>
        <w:p w14:paraId="30AFDA21" w14:textId="1F6CACE2" w:rsidR="00F3542F" w:rsidRPr="00F3542F" w:rsidRDefault="003040E4">
          <w:pPr>
            <w:pStyle w:val="TOC2"/>
            <w:rPr>
              <w:rFonts w:asciiTheme="minorHAnsi" w:eastAsiaTheme="minorEastAsia" w:hAnsiTheme="minorHAnsi" w:cstheme="minorHAnsi"/>
              <w:b w:val="0"/>
              <w:noProof/>
              <w:sz w:val="24"/>
              <w:szCs w:val="22"/>
              <w:lang w:eastAsia="nl-NL"/>
            </w:rPr>
          </w:pPr>
          <w:hyperlink w:anchor="_Toc517455455" w:history="1">
            <w:r w:rsidR="00F3542F" w:rsidRPr="00F3542F">
              <w:rPr>
                <w:rStyle w:val="Hyperlink"/>
                <w:rFonts w:asciiTheme="minorHAnsi" w:hAnsiTheme="minorHAnsi" w:cstheme="minorHAnsi"/>
                <w:b w:val="0"/>
                <w:noProof/>
                <w:color w:val="auto"/>
                <w:sz w:val="22"/>
              </w:rPr>
              <w:t>3.5</w:t>
            </w:r>
            <w:r w:rsidR="00F3542F" w:rsidRPr="00F3542F">
              <w:rPr>
                <w:rFonts w:asciiTheme="minorHAnsi" w:eastAsiaTheme="minorEastAsia" w:hAnsiTheme="minorHAnsi" w:cstheme="minorHAnsi"/>
                <w:b w:val="0"/>
                <w:noProof/>
                <w:sz w:val="24"/>
                <w:szCs w:val="22"/>
                <w:lang w:eastAsia="nl-NL"/>
              </w:rPr>
              <w:tab/>
            </w:r>
            <w:r w:rsidR="00F3542F" w:rsidRPr="00F3542F">
              <w:rPr>
                <w:rStyle w:val="Hyperlink"/>
                <w:rFonts w:asciiTheme="minorHAnsi" w:hAnsiTheme="minorHAnsi" w:cstheme="minorHAnsi"/>
                <w:b w:val="0"/>
                <w:noProof/>
                <w:color w:val="auto"/>
                <w:sz w:val="22"/>
              </w:rPr>
              <w:t>Het inkoopmodel</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_Toc517455455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20</w:t>
            </w:r>
            <w:r w:rsidR="00F3542F" w:rsidRPr="00F3542F">
              <w:rPr>
                <w:rFonts w:asciiTheme="minorHAnsi" w:hAnsiTheme="minorHAnsi" w:cstheme="minorHAnsi"/>
                <w:b w:val="0"/>
                <w:noProof/>
                <w:webHidden/>
                <w:sz w:val="22"/>
              </w:rPr>
              <w:fldChar w:fldCharType="end"/>
            </w:r>
          </w:hyperlink>
        </w:p>
        <w:p w14:paraId="65500086" w14:textId="21302970" w:rsidR="00F3542F" w:rsidRPr="00F3542F" w:rsidRDefault="003040E4">
          <w:pPr>
            <w:pStyle w:val="TOC3"/>
            <w:rPr>
              <w:rFonts w:asciiTheme="minorHAnsi" w:eastAsiaTheme="minorEastAsia" w:hAnsiTheme="minorHAnsi" w:cstheme="minorHAnsi"/>
              <w:b w:val="0"/>
              <w:noProof/>
              <w:sz w:val="24"/>
              <w:szCs w:val="22"/>
              <w:lang w:eastAsia="nl-NL"/>
            </w:rPr>
          </w:pPr>
          <w:hyperlink w:anchor="_Toc517455456" w:history="1">
            <w:r w:rsidR="00F3542F" w:rsidRPr="00F3542F">
              <w:rPr>
                <w:rStyle w:val="Hyperlink"/>
                <w:rFonts w:asciiTheme="minorHAnsi" w:hAnsiTheme="minorHAnsi" w:cstheme="minorHAnsi"/>
                <w:b w:val="0"/>
                <w:noProof/>
                <w:color w:val="auto"/>
                <w:sz w:val="22"/>
              </w:rPr>
              <w:t>3.5.2 Fase specificeren</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_Toc517455456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21</w:t>
            </w:r>
            <w:r w:rsidR="00F3542F" w:rsidRPr="00F3542F">
              <w:rPr>
                <w:rFonts w:asciiTheme="minorHAnsi" w:hAnsiTheme="minorHAnsi" w:cstheme="minorHAnsi"/>
                <w:b w:val="0"/>
                <w:noProof/>
                <w:webHidden/>
                <w:sz w:val="22"/>
              </w:rPr>
              <w:fldChar w:fldCharType="end"/>
            </w:r>
          </w:hyperlink>
        </w:p>
        <w:p w14:paraId="4930FB08" w14:textId="0C4E7704" w:rsidR="00F3542F" w:rsidRPr="00F3542F" w:rsidRDefault="003040E4">
          <w:pPr>
            <w:pStyle w:val="TOC3"/>
            <w:rPr>
              <w:rFonts w:asciiTheme="minorHAnsi" w:eastAsiaTheme="minorEastAsia" w:hAnsiTheme="minorHAnsi" w:cstheme="minorHAnsi"/>
              <w:b w:val="0"/>
              <w:noProof/>
              <w:sz w:val="24"/>
              <w:szCs w:val="22"/>
              <w:lang w:eastAsia="nl-NL"/>
            </w:rPr>
          </w:pPr>
          <w:hyperlink w:anchor="_Toc517455457" w:history="1">
            <w:r w:rsidR="00F3542F" w:rsidRPr="00F3542F">
              <w:rPr>
                <w:rStyle w:val="Hyperlink"/>
                <w:rFonts w:asciiTheme="minorHAnsi" w:hAnsiTheme="minorHAnsi" w:cstheme="minorHAnsi"/>
                <w:b w:val="0"/>
                <w:noProof/>
                <w:color w:val="auto"/>
                <w:sz w:val="22"/>
              </w:rPr>
              <w:t>3.5.3 Fase selecteren</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_Toc517455457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22</w:t>
            </w:r>
            <w:r w:rsidR="00F3542F" w:rsidRPr="00F3542F">
              <w:rPr>
                <w:rFonts w:asciiTheme="minorHAnsi" w:hAnsiTheme="minorHAnsi" w:cstheme="minorHAnsi"/>
                <w:b w:val="0"/>
                <w:noProof/>
                <w:webHidden/>
                <w:sz w:val="22"/>
              </w:rPr>
              <w:fldChar w:fldCharType="end"/>
            </w:r>
          </w:hyperlink>
        </w:p>
        <w:p w14:paraId="771B4063" w14:textId="48AC882B" w:rsidR="00F3542F" w:rsidRPr="00F3542F" w:rsidRDefault="003040E4">
          <w:pPr>
            <w:pStyle w:val="TOC3"/>
            <w:rPr>
              <w:rFonts w:asciiTheme="minorHAnsi" w:eastAsiaTheme="minorEastAsia" w:hAnsiTheme="minorHAnsi" w:cstheme="minorHAnsi"/>
              <w:b w:val="0"/>
              <w:noProof/>
              <w:sz w:val="24"/>
              <w:szCs w:val="22"/>
              <w:lang w:eastAsia="nl-NL"/>
            </w:rPr>
          </w:pPr>
          <w:hyperlink w:anchor="_Toc517455458" w:history="1">
            <w:r w:rsidR="00F3542F" w:rsidRPr="00F3542F">
              <w:rPr>
                <w:rStyle w:val="Hyperlink"/>
                <w:rFonts w:asciiTheme="minorHAnsi" w:hAnsiTheme="minorHAnsi" w:cstheme="minorHAnsi"/>
                <w:b w:val="0"/>
                <w:noProof/>
                <w:color w:val="auto"/>
                <w:sz w:val="22"/>
              </w:rPr>
              <w:t>3.5.4 Fase contracteren</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_Toc517455458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24</w:t>
            </w:r>
            <w:r w:rsidR="00F3542F" w:rsidRPr="00F3542F">
              <w:rPr>
                <w:rFonts w:asciiTheme="minorHAnsi" w:hAnsiTheme="minorHAnsi" w:cstheme="minorHAnsi"/>
                <w:b w:val="0"/>
                <w:noProof/>
                <w:webHidden/>
                <w:sz w:val="22"/>
              </w:rPr>
              <w:fldChar w:fldCharType="end"/>
            </w:r>
          </w:hyperlink>
        </w:p>
        <w:p w14:paraId="6B82180A" w14:textId="354151A1" w:rsidR="00F3542F" w:rsidRPr="00F3542F" w:rsidRDefault="003040E4">
          <w:pPr>
            <w:pStyle w:val="TOC3"/>
            <w:rPr>
              <w:rFonts w:asciiTheme="minorHAnsi" w:eastAsiaTheme="minorEastAsia" w:hAnsiTheme="minorHAnsi" w:cstheme="minorHAnsi"/>
              <w:b w:val="0"/>
              <w:noProof/>
              <w:sz w:val="24"/>
              <w:szCs w:val="22"/>
              <w:lang w:eastAsia="nl-NL"/>
            </w:rPr>
          </w:pPr>
          <w:hyperlink w:anchor="_Toc517455459" w:history="1">
            <w:r w:rsidR="00F3542F" w:rsidRPr="00F3542F">
              <w:rPr>
                <w:rStyle w:val="Hyperlink"/>
                <w:rFonts w:asciiTheme="minorHAnsi" w:hAnsiTheme="minorHAnsi" w:cstheme="minorHAnsi"/>
                <w:b w:val="0"/>
                <w:noProof/>
                <w:color w:val="auto"/>
                <w:sz w:val="22"/>
              </w:rPr>
              <w:t>3.5.5 Fase bestellen</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_Toc517455459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25</w:t>
            </w:r>
            <w:r w:rsidR="00F3542F" w:rsidRPr="00F3542F">
              <w:rPr>
                <w:rFonts w:asciiTheme="minorHAnsi" w:hAnsiTheme="minorHAnsi" w:cstheme="minorHAnsi"/>
                <w:b w:val="0"/>
                <w:noProof/>
                <w:webHidden/>
                <w:sz w:val="22"/>
              </w:rPr>
              <w:fldChar w:fldCharType="end"/>
            </w:r>
          </w:hyperlink>
        </w:p>
        <w:p w14:paraId="78E11E0F" w14:textId="69167D16" w:rsidR="00F3542F" w:rsidRPr="00F3542F" w:rsidRDefault="003040E4">
          <w:pPr>
            <w:pStyle w:val="TOC3"/>
            <w:rPr>
              <w:rFonts w:asciiTheme="minorHAnsi" w:eastAsiaTheme="minorEastAsia" w:hAnsiTheme="minorHAnsi" w:cstheme="minorHAnsi"/>
              <w:b w:val="0"/>
              <w:noProof/>
              <w:sz w:val="24"/>
              <w:szCs w:val="22"/>
              <w:lang w:eastAsia="nl-NL"/>
            </w:rPr>
          </w:pPr>
          <w:hyperlink w:anchor="_Toc517455460" w:history="1">
            <w:r w:rsidR="00F3542F" w:rsidRPr="00F3542F">
              <w:rPr>
                <w:rStyle w:val="Hyperlink"/>
                <w:rFonts w:asciiTheme="minorHAnsi" w:hAnsiTheme="minorHAnsi" w:cstheme="minorHAnsi"/>
                <w:b w:val="0"/>
                <w:noProof/>
                <w:color w:val="auto"/>
                <w:sz w:val="22"/>
              </w:rPr>
              <w:t>3.5.6 Fase bewaken</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_Toc517455460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26</w:t>
            </w:r>
            <w:r w:rsidR="00F3542F" w:rsidRPr="00F3542F">
              <w:rPr>
                <w:rFonts w:asciiTheme="minorHAnsi" w:hAnsiTheme="minorHAnsi" w:cstheme="minorHAnsi"/>
                <w:b w:val="0"/>
                <w:noProof/>
                <w:webHidden/>
                <w:sz w:val="22"/>
              </w:rPr>
              <w:fldChar w:fldCharType="end"/>
            </w:r>
          </w:hyperlink>
        </w:p>
        <w:p w14:paraId="6F4B0AF9" w14:textId="3A085E8C" w:rsidR="00F3542F" w:rsidRPr="00F3542F" w:rsidRDefault="003040E4">
          <w:pPr>
            <w:pStyle w:val="TOC2"/>
            <w:rPr>
              <w:rFonts w:asciiTheme="minorHAnsi" w:eastAsiaTheme="minorEastAsia" w:hAnsiTheme="minorHAnsi" w:cstheme="minorHAnsi"/>
              <w:b w:val="0"/>
              <w:noProof/>
              <w:sz w:val="24"/>
              <w:szCs w:val="22"/>
              <w:lang w:eastAsia="nl-NL"/>
            </w:rPr>
          </w:pPr>
          <w:hyperlink w:anchor="_Toc517455461" w:history="1">
            <w:r w:rsidR="00F3542F" w:rsidRPr="00F3542F">
              <w:rPr>
                <w:rStyle w:val="Hyperlink"/>
                <w:rFonts w:asciiTheme="minorHAnsi" w:hAnsiTheme="minorHAnsi" w:cstheme="minorHAnsi"/>
                <w:b w:val="0"/>
                <w:noProof/>
                <w:color w:val="auto"/>
                <w:sz w:val="22"/>
              </w:rPr>
              <w:t>3.6</w:t>
            </w:r>
            <w:r w:rsidR="00F3542F" w:rsidRPr="00F3542F">
              <w:rPr>
                <w:rFonts w:asciiTheme="minorHAnsi" w:eastAsiaTheme="minorEastAsia" w:hAnsiTheme="minorHAnsi" w:cstheme="minorHAnsi"/>
                <w:b w:val="0"/>
                <w:noProof/>
                <w:sz w:val="24"/>
                <w:szCs w:val="22"/>
                <w:lang w:eastAsia="nl-NL"/>
              </w:rPr>
              <w:tab/>
            </w:r>
            <w:r w:rsidR="00F3542F" w:rsidRPr="00F3542F">
              <w:rPr>
                <w:rStyle w:val="Hyperlink"/>
                <w:rFonts w:asciiTheme="minorHAnsi" w:hAnsiTheme="minorHAnsi" w:cstheme="minorHAnsi"/>
                <w:b w:val="0"/>
                <w:noProof/>
                <w:color w:val="auto"/>
                <w:sz w:val="22"/>
              </w:rPr>
              <w:t>Antwoord op de afhankelijkheid (2): soort opdrachtgever-opdrachtnemer relatie</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_Toc517455461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26</w:t>
            </w:r>
            <w:r w:rsidR="00F3542F" w:rsidRPr="00F3542F">
              <w:rPr>
                <w:rFonts w:asciiTheme="minorHAnsi" w:hAnsiTheme="minorHAnsi" w:cstheme="minorHAnsi"/>
                <w:b w:val="0"/>
                <w:noProof/>
                <w:webHidden/>
                <w:sz w:val="22"/>
              </w:rPr>
              <w:fldChar w:fldCharType="end"/>
            </w:r>
          </w:hyperlink>
        </w:p>
        <w:p w14:paraId="2CF0F775" w14:textId="5849A015" w:rsidR="00F3542F" w:rsidRPr="00F3542F" w:rsidRDefault="003040E4">
          <w:pPr>
            <w:pStyle w:val="TOC2"/>
            <w:rPr>
              <w:rFonts w:asciiTheme="minorHAnsi" w:eastAsiaTheme="minorEastAsia" w:hAnsiTheme="minorHAnsi" w:cstheme="minorHAnsi"/>
              <w:b w:val="0"/>
              <w:noProof/>
              <w:sz w:val="24"/>
              <w:szCs w:val="22"/>
              <w:lang w:eastAsia="nl-NL"/>
            </w:rPr>
          </w:pPr>
          <w:hyperlink w:anchor="_Toc517455462" w:history="1">
            <w:r w:rsidR="00F3542F" w:rsidRPr="00F3542F">
              <w:rPr>
                <w:rStyle w:val="Hyperlink"/>
                <w:rFonts w:asciiTheme="minorHAnsi" w:hAnsiTheme="minorHAnsi" w:cstheme="minorHAnsi"/>
                <w:b w:val="0"/>
                <w:noProof/>
                <w:color w:val="auto"/>
                <w:sz w:val="22"/>
              </w:rPr>
              <w:t>3.7</w:t>
            </w:r>
            <w:r w:rsidR="00F3542F" w:rsidRPr="00F3542F">
              <w:rPr>
                <w:rFonts w:asciiTheme="minorHAnsi" w:eastAsiaTheme="minorEastAsia" w:hAnsiTheme="minorHAnsi" w:cstheme="minorHAnsi"/>
                <w:b w:val="0"/>
                <w:noProof/>
                <w:sz w:val="24"/>
                <w:szCs w:val="22"/>
                <w:lang w:eastAsia="nl-NL"/>
              </w:rPr>
              <w:tab/>
            </w:r>
            <w:r w:rsidR="00F3542F" w:rsidRPr="00F3542F">
              <w:rPr>
                <w:rStyle w:val="Hyperlink"/>
                <w:rFonts w:asciiTheme="minorHAnsi" w:hAnsiTheme="minorHAnsi" w:cstheme="minorHAnsi"/>
                <w:b w:val="0"/>
                <w:noProof/>
                <w:color w:val="auto"/>
                <w:sz w:val="22"/>
              </w:rPr>
              <w:t>Antwoord op de afhankelijkheid (3): gezamenlijk inkopen</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_Toc517455462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30</w:t>
            </w:r>
            <w:r w:rsidR="00F3542F" w:rsidRPr="00F3542F">
              <w:rPr>
                <w:rFonts w:asciiTheme="minorHAnsi" w:hAnsiTheme="minorHAnsi" w:cstheme="minorHAnsi"/>
                <w:b w:val="0"/>
                <w:noProof/>
                <w:webHidden/>
                <w:sz w:val="22"/>
              </w:rPr>
              <w:fldChar w:fldCharType="end"/>
            </w:r>
          </w:hyperlink>
        </w:p>
        <w:p w14:paraId="335206DE" w14:textId="5ED377F3" w:rsidR="00F3542F" w:rsidRPr="00F3542F" w:rsidRDefault="003040E4">
          <w:pPr>
            <w:pStyle w:val="TOC2"/>
            <w:rPr>
              <w:rFonts w:asciiTheme="minorHAnsi" w:eastAsiaTheme="minorEastAsia" w:hAnsiTheme="minorHAnsi" w:cstheme="minorHAnsi"/>
              <w:b w:val="0"/>
              <w:noProof/>
              <w:sz w:val="24"/>
              <w:szCs w:val="22"/>
              <w:lang w:eastAsia="nl-NL"/>
            </w:rPr>
          </w:pPr>
          <w:hyperlink w:anchor="_Toc517455463" w:history="1">
            <w:r w:rsidR="00F3542F" w:rsidRPr="00F3542F">
              <w:rPr>
                <w:rStyle w:val="Hyperlink"/>
                <w:rFonts w:asciiTheme="minorHAnsi" w:hAnsiTheme="minorHAnsi" w:cstheme="minorHAnsi"/>
                <w:b w:val="0"/>
                <w:noProof/>
                <w:color w:val="auto"/>
                <w:sz w:val="22"/>
              </w:rPr>
              <w:t>3.8</w:t>
            </w:r>
            <w:r w:rsidR="00F3542F" w:rsidRPr="00F3542F">
              <w:rPr>
                <w:rFonts w:asciiTheme="minorHAnsi" w:eastAsiaTheme="minorEastAsia" w:hAnsiTheme="minorHAnsi" w:cstheme="minorHAnsi"/>
                <w:b w:val="0"/>
                <w:noProof/>
                <w:sz w:val="24"/>
                <w:szCs w:val="22"/>
                <w:lang w:eastAsia="nl-NL"/>
              </w:rPr>
              <w:tab/>
            </w:r>
            <w:r w:rsidR="00F3542F" w:rsidRPr="00F3542F">
              <w:rPr>
                <w:rStyle w:val="Hyperlink"/>
                <w:rFonts w:asciiTheme="minorHAnsi" w:hAnsiTheme="minorHAnsi" w:cstheme="minorHAnsi"/>
                <w:b w:val="0"/>
                <w:noProof/>
                <w:color w:val="auto"/>
                <w:sz w:val="22"/>
              </w:rPr>
              <w:t>Het conceptueel model</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_Toc517455463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32</w:t>
            </w:r>
            <w:r w:rsidR="00F3542F" w:rsidRPr="00F3542F">
              <w:rPr>
                <w:rFonts w:asciiTheme="minorHAnsi" w:hAnsiTheme="minorHAnsi" w:cstheme="minorHAnsi"/>
                <w:b w:val="0"/>
                <w:noProof/>
                <w:webHidden/>
                <w:sz w:val="22"/>
              </w:rPr>
              <w:fldChar w:fldCharType="end"/>
            </w:r>
          </w:hyperlink>
        </w:p>
        <w:p w14:paraId="6CDE3170" w14:textId="2C817F11" w:rsidR="00F3542F" w:rsidRPr="00F3542F" w:rsidRDefault="003040E4">
          <w:pPr>
            <w:pStyle w:val="TOC2"/>
            <w:rPr>
              <w:rFonts w:asciiTheme="minorHAnsi" w:eastAsiaTheme="minorEastAsia" w:hAnsiTheme="minorHAnsi" w:cstheme="minorHAnsi"/>
              <w:b w:val="0"/>
              <w:noProof/>
              <w:sz w:val="24"/>
              <w:szCs w:val="22"/>
              <w:lang w:eastAsia="nl-NL"/>
            </w:rPr>
          </w:pPr>
          <w:hyperlink w:anchor="_Toc517455464" w:history="1">
            <w:r w:rsidR="00F3542F" w:rsidRPr="00F3542F">
              <w:rPr>
                <w:rStyle w:val="Hyperlink"/>
                <w:rFonts w:asciiTheme="minorHAnsi" w:hAnsiTheme="minorHAnsi" w:cstheme="minorHAnsi"/>
                <w:b w:val="0"/>
                <w:noProof/>
                <w:color w:val="auto"/>
                <w:sz w:val="22"/>
              </w:rPr>
              <w:t>3.9</w:t>
            </w:r>
            <w:r w:rsidR="00F3542F" w:rsidRPr="00F3542F">
              <w:rPr>
                <w:rFonts w:asciiTheme="minorHAnsi" w:eastAsiaTheme="minorEastAsia" w:hAnsiTheme="minorHAnsi" w:cstheme="minorHAnsi"/>
                <w:b w:val="0"/>
                <w:noProof/>
                <w:sz w:val="24"/>
                <w:szCs w:val="22"/>
                <w:lang w:eastAsia="nl-NL"/>
              </w:rPr>
              <w:tab/>
            </w:r>
            <w:r w:rsidR="00F3542F" w:rsidRPr="00F3542F">
              <w:rPr>
                <w:rStyle w:val="Hyperlink"/>
                <w:rFonts w:asciiTheme="minorHAnsi" w:hAnsiTheme="minorHAnsi" w:cstheme="minorHAnsi"/>
                <w:b w:val="0"/>
                <w:noProof/>
                <w:color w:val="auto"/>
                <w:sz w:val="22"/>
              </w:rPr>
              <w:t>Operationalisatie</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_Toc517455464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32</w:t>
            </w:r>
            <w:r w:rsidR="00F3542F" w:rsidRPr="00F3542F">
              <w:rPr>
                <w:rFonts w:asciiTheme="minorHAnsi" w:hAnsiTheme="minorHAnsi" w:cstheme="minorHAnsi"/>
                <w:b w:val="0"/>
                <w:noProof/>
                <w:webHidden/>
                <w:sz w:val="22"/>
              </w:rPr>
              <w:fldChar w:fldCharType="end"/>
            </w:r>
          </w:hyperlink>
        </w:p>
        <w:p w14:paraId="231B77C5" w14:textId="02A15983" w:rsidR="00F3542F" w:rsidRPr="00F3542F" w:rsidRDefault="003040E4">
          <w:pPr>
            <w:pStyle w:val="TOC1"/>
            <w:rPr>
              <w:rFonts w:eastAsiaTheme="minorEastAsia"/>
              <w:b w:val="0"/>
              <w:lang w:eastAsia="nl-NL"/>
            </w:rPr>
          </w:pPr>
          <w:hyperlink w:anchor="_Toc517455465" w:history="1">
            <w:r w:rsidR="00F3542F" w:rsidRPr="00F3542F">
              <w:rPr>
                <w:rStyle w:val="Hyperlink"/>
                <w:color w:val="auto"/>
                <w:sz w:val="28"/>
              </w:rPr>
              <w:t>4. Methoden en werkwijze</w:t>
            </w:r>
            <w:r w:rsidR="00F3542F" w:rsidRPr="00F3542F">
              <w:rPr>
                <w:webHidden/>
                <w:sz w:val="28"/>
              </w:rPr>
              <w:tab/>
            </w:r>
            <w:r w:rsidR="00F3542F" w:rsidRPr="00F3542F">
              <w:rPr>
                <w:webHidden/>
                <w:sz w:val="28"/>
              </w:rPr>
              <w:fldChar w:fldCharType="begin"/>
            </w:r>
            <w:r w:rsidR="00F3542F" w:rsidRPr="00F3542F">
              <w:rPr>
                <w:webHidden/>
                <w:sz w:val="28"/>
              </w:rPr>
              <w:instrText xml:space="preserve"> PAGEREF _Toc517455465 \h </w:instrText>
            </w:r>
            <w:r w:rsidR="00F3542F" w:rsidRPr="00F3542F">
              <w:rPr>
                <w:webHidden/>
                <w:sz w:val="28"/>
              </w:rPr>
            </w:r>
            <w:r w:rsidR="00F3542F" w:rsidRPr="00F3542F">
              <w:rPr>
                <w:webHidden/>
                <w:sz w:val="28"/>
              </w:rPr>
              <w:fldChar w:fldCharType="separate"/>
            </w:r>
            <w:r w:rsidR="00D82558">
              <w:rPr>
                <w:webHidden/>
                <w:sz w:val="28"/>
              </w:rPr>
              <w:t>37</w:t>
            </w:r>
            <w:r w:rsidR="00F3542F" w:rsidRPr="00F3542F">
              <w:rPr>
                <w:webHidden/>
                <w:sz w:val="28"/>
              </w:rPr>
              <w:fldChar w:fldCharType="end"/>
            </w:r>
          </w:hyperlink>
        </w:p>
        <w:p w14:paraId="6FCE9190" w14:textId="5AEC8789" w:rsidR="00F3542F" w:rsidRPr="00F3542F" w:rsidRDefault="003040E4">
          <w:pPr>
            <w:pStyle w:val="TOC2"/>
            <w:rPr>
              <w:rFonts w:asciiTheme="minorHAnsi" w:eastAsiaTheme="minorEastAsia" w:hAnsiTheme="minorHAnsi" w:cstheme="minorHAnsi"/>
              <w:b w:val="0"/>
              <w:noProof/>
              <w:sz w:val="24"/>
              <w:szCs w:val="22"/>
              <w:lang w:eastAsia="nl-NL"/>
            </w:rPr>
          </w:pPr>
          <w:hyperlink w:anchor="_Toc517455467" w:history="1">
            <w:r w:rsidR="00F3542F" w:rsidRPr="00F3542F">
              <w:rPr>
                <w:rStyle w:val="Hyperlink"/>
                <w:rFonts w:asciiTheme="minorHAnsi" w:hAnsiTheme="minorHAnsi" w:cstheme="minorHAnsi"/>
                <w:b w:val="0"/>
                <w:noProof/>
                <w:color w:val="auto"/>
                <w:sz w:val="22"/>
              </w:rPr>
              <w:t>4.1</w:t>
            </w:r>
            <w:r w:rsidR="00F3542F" w:rsidRPr="00F3542F">
              <w:rPr>
                <w:rFonts w:asciiTheme="minorHAnsi" w:eastAsiaTheme="minorEastAsia" w:hAnsiTheme="minorHAnsi" w:cstheme="minorHAnsi"/>
                <w:b w:val="0"/>
                <w:noProof/>
                <w:sz w:val="24"/>
                <w:szCs w:val="22"/>
                <w:lang w:eastAsia="nl-NL"/>
              </w:rPr>
              <w:tab/>
            </w:r>
            <w:r w:rsidR="00F3542F" w:rsidRPr="00F3542F">
              <w:rPr>
                <w:rStyle w:val="Hyperlink"/>
                <w:rFonts w:asciiTheme="minorHAnsi" w:hAnsiTheme="minorHAnsi" w:cstheme="minorHAnsi"/>
                <w:b w:val="0"/>
                <w:noProof/>
                <w:color w:val="auto"/>
                <w:sz w:val="22"/>
              </w:rPr>
              <w:t>Inleiding</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_Toc517455467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37</w:t>
            </w:r>
            <w:r w:rsidR="00F3542F" w:rsidRPr="00F3542F">
              <w:rPr>
                <w:rFonts w:asciiTheme="minorHAnsi" w:hAnsiTheme="minorHAnsi" w:cstheme="minorHAnsi"/>
                <w:b w:val="0"/>
                <w:noProof/>
                <w:webHidden/>
                <w:sz w:val="22"/>
              </w:rPr>
              <w:fldChar w:fldCharType="end"/>
            </w:r>
          </w:hyperlink>
        </w:p>
        <w:p w14:paraId="62B328B6" w14:textId="294D0658" w:rsidR="00F3542F" w:rsidRPr="00F3542F" w:rsidRDefault="003040E4">
          <w:pPr>
            <w:pStyle w:val="TOC2"/>
            <w:rPr>
              <w:rFonts w:asciiTheme="minorHAnsi" w:eastAsiaTheme="minorEastAsia" w:hAnsiTheme="minorHAnsi" w:cstheme="minorHAnsi"/>
              <w:b w:val="0"/>
              <w:noProof/>
              <w:sz w:val="24"/>
              <w:szCs w:val="22"/>
              <w:lang w:eastAsia="nl-NL"/>
            </w:rPr>
          </w:pPr>
          <w:hyperlink w:anchor="_Toc517455468" w:history="1">
            <w:r w:rsidR="00F3542F" w:rsidRPr="00F3542F">
              <w:rPr>
                <w:rStyle w:val="Hyperlink"/>
                <w:rFonts w:asciiTheme="minorHAnsi" w:hAnsiTheme="minorHAnsi" w:cstheme="minorHAnsi"/>
                <w:b w:val="0"/>
                <w:noProof/>
                <w:color w:val="auto"/>
                <w:sz w:val="22"/>
              </w:rPr>
              <w:t>4.2</w:t>
            </w:r>
            <w:r w:rsidR="00F3542F" w:rsidRPr="00F3542F">
              <w:rPr>
                <w:rFonts w:asciiTheme="minorHAnsi" w:eastAsiaTheme="minorEastAsia" w:hAnsiTheme="minorHAnsi" w:cstheme="minorHAnsi"/>
                <w:b w:val="0"/>
                <w:noProof/>
                <w:sz w:val="24"/>
                <w:szCs w:val="22"/>
                <w:lang w:eastAsia="nl-NL"/>
              </w:rPr>
              <w:tab/>
            </w:r>
            <w:r w:rsidR="00F3542F" w:rsidRPr="00F3542F">
              <w:rPr>
                <w:rStyle w:val="Hyperlink"/>
                <w:rFonts w:asciiTheme="minorHAnsi" w:hAnsiTheme="minorHAnsi" w:cstheme="minorHAnsi"/>
                <w:b w:val="0"/>
                <w:noProof/>
                <w:color w:val="auto"/>
                <w:sz w:val="22"/>
              </w:rPr>
              <w:t>Kwalitatief onderzoeksdesign: casestudie</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_Toc517455468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37</w:t>
            </w:r>
            <w:r w:rsidR="00F3542F" w:rsidRPr="00F3542F">
              <w:rPr>
                <w:rFonts w:asciiTheme="minorHAnsi" w:hAnsiTheme="minorHAnsi" w:cstheme="minorHAnsi"/>
                <w:b w:val="0"/>
                <w:noProof/>
                <w:webHidden/>
                <w:sz w:val="22"/>
              </w:rPr>
              <w:fldChar w:fldCharType="end"/>
            </w:r>
          </w:hyperlink>
        </w:p>
        <w:p w14:paraId="0E2DC16F" w14:textId="151E3A8A" w:rsidR="00F3542F" w:rsidRPr="00F3542F" w:rsidRDefault="003040E4">
          <w:pPr>
            <w:pStyle w:val="TOC2"/>
            <w:rPr>
              <w:rFonts w:asciiTheme="minorHAnsi" w:eastAsiaTheme="minorEastAsia" w:hAnsiTheme="minorHAnsi" w:cstheme="minorHAnsi"/>
              <w:b w:val="0"/>
              <w:noProof/>
              <w:sz w:val="24"/>
              <w:szCs w:val="22"/>
              <w:lang w:eastAsia="nl-NL"/>
            </w:rPr>
          </w:pPr>
          <w:hyperlink w:anchor="_Toc517455469" w:history="1">
            <w:r w:rsidR="00F3542F" w:rsidRPr="00F3542F">
              <w:rPr>
                <w:rStyle w:val="Hyperlink"/>
                <w:rFonts w:asciiTheme="minorHAnsi" w:hAnsiTheme="minorHAnsi" w:cstheme="minorHAnsi"/>
                <w:b w:val="0"/>
                <w:noProof/>
                <w:color w:val="auto"/>
                <w:sz w:val="22"/>
              </w:rPr>
              <w:t>4.3</w:t>
            </w:r>
            <w:r w:rsidR="00F3542F" w:rsidRPr="00F3542F">
              <w:rPr>
                <w:rFonts w:asciiTheme="minorHAnsi" w:eastAsiaTheme="minorEastAsia" w:hAnsiTheme="minorHAnsi" w:cstheme="minorHAnsi"/>
                <w:b w:val="0"/>
                <w:noProof/>
                <w:sz w:val="24"/>
                <w:szCs w:val="22"/>
                <w:lang w:eastAsia="nl-NL"/>
              </w:rPr>
              <w:tab/>
            </w:r>
            <w:r w:rsidR="00F3542F" w:rsidRPr="00F3542F">
              <w:rPr>
                <w:rStyle w:val="Hyperlink"/>
                <w:rFonts w:asciiTheme="minorHAnsi" w:hAnsiTheme="minorHAnsi" w:cstheme="minorHAnsi"/>
                <w:b w:val="0"/>
                <w:noProof/>
                <w:color w:val="auto"/>
                <w:sz w:val="22"/>
              </w:rPr>
              <w:t>De onderzoekspopulatie</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_Toc517455469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37</w:t>
            </w:r>
            <w:r w:rsidR="00F3542F" w:rsidRPr="00F3542F">
              <w:rPr>
                <w:rFonts w:asciiTheme="minorHAnsi" w:hAnsiTheme="minorHAnsi" w:cstheme="minorHAnsi"/>
                <w:b w:val="0"/>
                <w:noProof/>
                <w:webHidden/>
                <w:sz w:val="22"/>
              </w:rPr>
              <w:fldChar w:fldCharType="end"/>
            </w:r>
          </w:hyperlink>
        </w:p>
        <w:p w14:paraId="0C6287B5" w14:textId="17490D10" w:rsidR="00F3542F" w:rsidRPr="00F3542F" w:rsidRDefault="003040E4">
          <w:pPr>
            <w:pStyle w:val="TOC2"/>
            <w:rPr>
              <w:rFonts w:asciiTheme="minorHAnsi" w:eastAsiaTheme="minorEastAsia" w:hAnsiTheme="minorHAnsi" w:cstheme="minorHAnsi"/>
              <w:b w:val="0"/>
              <w:noProof/>
              <w:sz w:val="24"/>
              <w:szCs w:val="22"/>
              <w:lang w:eastAsia="nl-NL"/>
            </w:rPr>
          </w:pPr>
          <w:hyperlink w:anchor="_Toc517455470" w:history="1">
            <w:r w:rsidR="00F3542F" w:rsidRPr="00F3542F">
              <w:rPr>
                <w:rStyle w:val="Hyperlink"/>
                <w:rFonts w:asciiTheme="minorHAnsi" w:hAnsiTheme="minorHAnsi" w:cstheme="minorHAnsi"/>
                <w:b w:val="0"/>
                <w:noProof/>
                <w:color w:val="auto"/>
                <w:sz w:val="22"/>
              </w:rPr>
              <w:t>4.4</w:t>
            </w:r>
            <w:r w:rsidR="00F3542F" w:rsidRPr="00F3542F">
              <w:rPr>
                <w:rFonts w:asciiTheme="minorHAnsi" w:eastAsiaTheme="minorEastAsia" w:hAnsiTheme="minorHAnsi" w:cstheme="minorHAnsi"/>
                <w:b w:val="0"/>
                <w:noProof/>
                <w:sz w:val="24"/>
                <w:szCs w:val="22"/>
                <w:lang w:eastAsia="nl-NL"/>
              </w:rPr>
              <w:tab/>
            </w:r>
            <w:r w:rsidR="00F3542F" w:rsidRPr="00F3542F">
              <w:rPr>
                <w:rStyle w:val="Hyperlink"/>
                <w:rFonts w:asciiTheme="minorHAnsi" w:hAnsiTheme="minorHAnsi" w:cstheme="minorHAnsi"/>
                <w:b w:val="0"/>
                <w:noProof/>
                <w:color w:val="auto"/>
                <w:sz w:val="22"/>
              </w:rPr>
              <w:t>Semigestructureerde interview</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_Toc517455470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38</w:t>
            </w:r>
            <w:r w:rsidR="00F3542F" w:rsidRPr="00F3542F">
              <w:rPr>
                <w:rFonts w:asciiTheme="minorHAnsi" w:hAnsiTheme="minorHAnsi" w:cstheme="minorHAnsi"/>
                <w:b w:val="0"/>
                <w:noProof/>
                <w:webHidden/>
                <w:sz w:val="22"/>
              </w:rPr>
              <w:fldChar w:fldCharType="end"/>
            </w:r>
          </w:hyperlink>
        </w:p>
        <w:p w14:paraId="3AFCF010" w14:textId="15FF20EA" w:rsidR="00F3542F" w:rsidRPr="00F3542F" w:rsidRDefault="003040E4">
          <w:pPr>
            <w:pStyle w:val="TOC2"/>
            <w:rPr>
              <w:rFonts w:asciiTheme="minorHAnsi" w:eastAsiaTheme="minorEastAsia" w:hAnsiTheme="minorHAnsi" w:cstheme="minorHAnsi"/>
              <w:b w:val="0"/>
              <w:noProof/>
              <w:sz w:val="24"/>
              <w:szCs w:val="22"/>
              <w:lang w:eastAsia="nl-NL"/>
            </w:rPr>
          </w:pPr>
          <w:hyperlink w:anchor="_Toc517455471" w:history="1">
            <w:r w:rsidR="00F3542F" w:rsidRPr="00F3542F">
              <w:rPr>
                <w:rStyle w:val="Hyperlink"/>
                <w:rFonts w:asciiTheme="minorHAnsi" w:hAnsiTheme="minorHAnsi" w:cstheme="minorHAnsi"/>
                <w:b w:val="0"/>
                <w:noProof/>
                <w:color w:val="auto"/>
                <w:sz w:val="22"/>
              </w:rPr>
              <w:t>4.5</w:t>
            </w:r>
            <w:r w:rsidR="00F3542F" w:rsidRPr="00F3542F">
              <w:rPr>
                <w:rFonts w:asciiTheme="minorHAnsi" w:eastAsiaTheme="minorEastAsia" w:hAnsiTheme="minorHAnsi" w:cstheme="minorHAnsi"/>
                <w:b w:val="0"/>
                <w:noProof/>
                <w:sz w:val="24"/>
                <w:szCs w:val="22"/>
                <w:lang w:eastAsia="nl-NL"/>
              </w:rPr>
              <w:tab/>
            </w:r>
            <w:r w:rsidR="00F3542F" w:rsidRPr="00F3542F">
              <w:rPr>
                <w:rStyle w:val="Hyperlink"/>
                <w:rFonts w:asciiTheme="minorHAnsi" w:hAnsiTheme="minorHAnsi" w:cstheme="minorHAnsi"/>
                <w:b w:val="0"/>
                <w:noProof/>
                <w:color w:val="auto"/>
                <w:sz w:val="22"/>
              </w:rPr>
              <w:t>Betrouwbaarheid en validiteit</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_Toc517455471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38</w:t>
            </w:r>
            <w:r w:rsidR="00F3542F" w:rsidRPr="00F3542F">
              <w:rPr>
                <w:rFonts w:asciiTheme="minorHAnsi" w:hAnsiTheme="minorHAnsi" w:cstheme="minorHAnsi"/>
                <w:b w:val="0"/>
                <w:noProof/>
                <w:webHidden/>
                <w:sz w:val="22"/>
              </w:rPr>
              <w:fldChar w:fldCharType="end"/>
            </w:r>
          </w:hyperlink>
        </w:p>
        <w:p w14:paraId="14927054" w14:textId="1200608B" w:rsidR="00F3542F" w:rsidRPr="00F3542F" w:rsidRDefault="003040E4">
          <w:pPr>
            <w:pStyle w:val="TOC1"/>
            <w:rPr>
              <w:rFonts w:eastAsiaTheme="minorEastAsia"/>
              <w:b w:val="0"/>
              <w:lang w:eastAsia="nl-NL"/>
            </w:rPr>
          </w:pPr>
          <w:hyperlink w:anchor="_Toc517455472" w:history="1">
            <w:r w:rsidR="00F3542F" w:rsidRPr="00F3542F">
              <w:rPr>
                <w:rStyle w:val="Hyperlink"/>
                <w:color w:val="auto"/>
                <w:sz w:val="28"/>
              </w:rPr>
              <w:t>5. Resultaten</w:t>
            </w:r>
            <w:r w:rsidR="00F3542F" w:rsidRPr="00F3542F">
              <w:rPr>
                <w:webHidden/>
                <w:sz w:val="28"/>
              </w:rPr>
              <w:tab/>
            </w:r>
            <w:r w:rsidR="00F3542F" w:rsidRPr="00F3542F">
              <w:rPr>
                <w:webHidden/>
                <w:sz w:val="28"/>
              </w:rPr>
              <w:fldChar w:fldCharType="begin"/>
            </w:r>
            <w:r w:rsidR="00F3542F" w:rsidRPr="00F3542F">
              <w:rPr>
                <w:webHidden/>
                <w:sz w:val="28"/>
              </w:rPr>
              <w:instrText xml:space="preserve"> PAGEREF _Toc517455472 \h </w:instrText>
            </w:r>
            <w:r w:rsidR="00F3542F" w:rsidRPr="00F3542F">
              <w:rPr>
                <w:webHidden/>
                <w:sz w:val="28"/>
              </w:rPr>
            </w:r>
            <w:r w:rsidR="00F3542F" w:rsidRPr="00F3542F">
              <w:rPr>
                <w:webHidden/>
                <w:sz w:val="28"/>
              </w:rPr>
              <w:fldChar w:fldCharType="separate"/>
            </w:r>
            <w:r w:rsidR="00D82558">
              <w:rPr>
                <w:webHidden/>
                <w:sz w:val="28"/>
              </w:rPr>
              <w:t>39</w:t>
            </w:r>
            <w:r w:rsidR="00F3542F" w:rsidRPr="00F3542F">
              <w:rPr>
                <w:webHidden/>
                <w:sz w:val="28"/>
              </w:rPr>
              <w:fldChar w:fldCharType="end"/>
            </w:r>
          </w:hyperlink>
        </w:p>
        <w:p w14:paraId="50EC0A2D" w14:textId="7892D8C4" w:rsidR="00F3542F" w:rsidRPr="00F3542F" w:rsidRDefault="003040E4">
          <w:pPr>
            <w:pStyle w:val="TOC2"/>
            <w:rPr>
              <w:rFonts w:asciiTheme="minorHAnsi" w:eastAsiaTheme="minorEastAsia" w:hAnsiTheme="minorHAnsi" w:cstheme="minorHAnsi"/>
              <w:b w:val="0"/>
              <w:noProof/>
              <w:sz w:val="24"/>
              <w:szCs w:val="22"/>
              <w:lang w:eastAsia="nl-NL"/>
            </w:rPr>
          </w:pPr>
          <w:hyperlink w:anchor="_Toc517455474" w:history="1">
            <w:r w:rsidR="00F3542F" w:rsidRPr="00F3542F">
              <w:rPr>
                <w:rStyle w:val="Hyperlink"/>
                <w:rFonts w:asciiTheme="minorHAnsi" w:hAnsiTheme="minorHAnsi" w:cstheme="minorHAnsi"/>
                <w:b w:val="0"/>
                <w:noProof/>
                <w:color w:val="auto"/>
                <w:sz w:val="22"/>
              </w:rPr>
              <w:t>5.1</w:t>
            </w:r>
            <w:r w:rsidR="00F3542F" w:rsidRPr="00F3542F">
              <w:rPr>
                <w:rFonts w:asciiTheme="minorHAnsi" w:eastAsiaTheme="minorEastAsia" w:hAnsiTheme="minorHAnsi" w:cstheme="minorHAnsi"/>
                <w:b w:val="0"/>
                <w:noProof/>
                <w:sz w:val="24"/>
                <w:szCs w:val="22"/>
                <w:lang w:eastAsia="nl-NL"/>
              </w:rPr>
              <w:tab/>
            </w:r>
            <w:r w:rsidR="00F3542F" w:rsidRPr="00F3542F">
              <w:rPr>
                <w:rStyle w:val="Hyperlink"/>
                <w:rFonts w:asciiTheme="minorHAnsi" w:hAnsiTheme="minorHAnsi" w:cstheme="minorHAnsi"/>
                <w:b w:val="0"/>
                <w:noProof/>
                <w:color w:val="auto"/>
                <w:sz w:val="22"/>
              </w:rPr>
              <w:t>Casusbeschrijving</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_Toc517455474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39</w:t>
            </w:r>
            <w:r w:rsidR="00F3542F" w:rsidRPr="00F3542F">
              <w:rPr>
                <w:rFonts w:asciiTheme="minorHAnsi" w:hAnsiTheme="minorHAnsi" w:cstheme="minorHAnsi"/>
                <w:b w:val="0"/>
                <w:noProof/>
                <w:webHidden/>
                <w:sz w:val="22"/>
              </w:rPr>
              <w:fldChar w:fldCharType="end"/>
            </w:r>
          </w:hyperlink>
        </w:p>
        <w:p w14:paraId="0A4F3B04" w14:textId="7E649949" w:rsidR="00F3542F" w:rsidRPr="00F3542F" w:rsidRDefault="003040E4">
          <w:pPr>
            <w:pStyle w:val="TOC2"/>
            <w:rPr>
              <w:rFonts w:asciiTheme="minorHAnsi" w:eastAsiaTheme="minorEastAsia" w:hAnsiTheme="minorHAnsi" w:cstheme="minorHAnsi"/>
              <w:b w:val="0"/>
              <w:noProof/>
              <w:sz w:val="24"/>
              <w:szCs w:val="22"/>
              <w:lang w:eastAsia="nl-NL"/>
            </w:rPr>
          </w:pPr>
          <w:hyperlink w:anchor="_Toc517455475" w:history="1">
            <w:r w:rsidR="00F3542F" w:rsidRPr="00F3542F">
              <w:rPr>
                <w:rStyle w:val="Hyperlink"/>
                <w:rFonts w:asciiTheme="minorHAnsi" w:hAnsiTheme="minorHAnsi" w:cstheme="minorHAnsi"/>
                <w:b w:val="0"/>
                <w:noProof/>
                <w:color w:val="auto"/>
                <w:sz w:val="22"/>
              </w:rPr>
              <w:t>5.2</w:t>
            </w:r>
            <w:r w:rsidR="00F3542F" w:rsidRPr="00F3542F">
              <w:rPr>
                <w:rFonts w:asciiTheme="minorHAnsi" w:eastAsiaTheme="minorEastAsia" w:hAnsiTheme="minorHAnsi" w:cstheme="minorHAnsi"/>
                <w:b w:val="0"/>
                <w:noProof/>
                <w:sz w:val="24"/>
                <w:szCs w:val="22"/>
                <w:lang w:eastAsia="nl-NL"/>
              </w:rPr>
              <w:tab/>
            </w:r>
            <w:r w:rsidR="00F3542F" w:rsidRPr="00F3542F">
              <w:rPr>
                <w:rStyle w:val="Hyperlink"/>
                <w:rFonts w:asciiTheme="minorHAnsi" w:hAnsiTheme="minorHAnsi" w:cstheme="minorHAnsi"/>
                <w:b w:val="0"/>
                <w:noProof/>
                <w:color w:val="auto"/>
                <w:sz w:val="22"/>
              </w:rPr>
              <w:t>De presentatie van de resultaten op de variabele ‘afhankelijkheid’</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_Toc517455475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41</w:t>
            </w:r>
            <w:r w:rsidR="00F3542F" w:rsidRPr="00F3542F">
              <w:rPr>
                <w:rFonts w:asciiTheme="minorHAnsi" w:hAnsiTheme="minorHAnsi" w:cstheme="minorHAnsi"/>
                <w:b w:val="0"/>
                <w:noProof/>
                <w:webHidden/>
                <w:sz w:val="22"/>
              </w:rPr>
              <w:fldChar w:fldCharType="end"/>
            </w:r>
          </w:hyperlink>
        </w:p>
        <w:p w14:paraId="1C97B3B0" w14:textId="29DBF6FD" w:rsidR="00F3542F" w:rsidRPr="00F3542F" w:rsidRDefault="003040E4">
          <w:pPr>
            <w:pStyle w:val="TOC2"/>
            <w:rPr>
              <w:rFonts w:asciiTheme="minorHAnsi" w:eastAsiaTheme="minorEastAsia" w:hAnsiTheme="minorHAnsi" w:cstheme="minorHAnsi"/>
              <w:b w:val="0"/>
              <w:noProof/>
              <w:sz w:val="24"/>
              <w:szCs w:val="22"/>
              <w:lang w:eastAsia="nl-NL"/>
            </w:rPr>
          </w:pPr>
          <w:hyperlink w:anchor="_Toc517455476" w:history="1">
            <w:r w:rsidR="00F3542F" w:rsidRPr="00F3542F">
              <w:rPr>
                <w:rStyle w:val="Hyperlink"/>
                <w:rFonts w:asciiTheme="minorHAnsi" w:eastAsia="Calibri" w:hAnsiTheme="minorHAnsi" w:cstheme="minorHAnsi"/>
                <w:b w:val="0"/>
                <w:noProof/>
                <w:color w:val="auto"/>
                <w:sz w:val="22"/>
              </w:rPr>
              <w:t>5.3</w:t>
            </w:r>
            <w:r w:rsidR="00F3542F" w:rsidRPr="00F3542F">
              <w:rPr>
                <w:rFonts w:asciiTheme="minorHAnsi" w:eastAsiaTheme="minorEastAsia" w:hAnsiTheme="minorHAnsi" w:cstheme="minorHAnsi"/>
                <w:b w:val="0"/>
                <w:noProof/>
                <w:sz w:val="24"/>
                <w:szCs w:val="22"/>
                <w:lang w:eastAsia="nl-NL"/>
              </w:rPr>
              <w:tab/>
            </w:r>
            <w:r w:rsidR="00F3542F" w:rsidRPr="00F3542F">
              <w:rPr>
                <w:rStyle w:val="Hyperlink"/>
                <w:rFonts w:asciiTheme="minorHAnsi" w:hAnsiTheme="minorHAnsi" w:cstheme="minorHAnsi"/>
                <w:b w:val="0"/>
                <w:noProof/>
                <w:color w:val="auto"/>
                <w:sz w:val="22"/>
              </w:rPr>
              <w:t>Reflectie op de resultaten ‘vertrouwen’, ‘kennis en expertise’ en ‘institutionele setting van het openbaar bestuur’.</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_Toc517455476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44</w:t>
            </w:r>
            <w:r w:rsidR="00F3542F" w:rsidRPr="00F3542F">
              <w:rPr>
                <w:rFonts w:asciiTheme="minorHAnsi" w:hAnsiTheme="minorHAnsi" w:cstheme="minorHAnsi"/>
                <w:b w:val="0"/>
                <w:noProof/>
                <w:webHidden/>
                <w:sz w:val="22"/>
              </w:rPr>
              <w:fldChar w:fldCharType="end"/>
            </w:r>
          </w:hyperlink>
        </w:p>
        <w:p w14:paraId="02D5395D" w14:textId="4D104BC6" w:rsidR="00F3542F" w:rsidRPr="00F3542F" w:rsidRDefault="003040E4">
          <w:pPr>
            <w:pStyle w:val="TOC3"/>
            <w:rPr>
              <w:rFonts w:asciiTheme="minorHAnsi" w:eastAsiaTheme="minorEastAsia" w:hAnsiTheme="minorHAnsi" w:cstheme="minorHAnsi"/>
              <w:b w:val="0"/>
              <w:noProof/>
              <w:sz w:val="24"/>
              <w:szCs w:val="22"/>
              <w:lang w:eastAsia="nl-NL"/>
            </w:rPr>
          </w:pPr>
          <w:hyperlink w:anchor="_Toc517455477" w:history="1">
            <w:r w:rsidR="00F3542F" w:rsidRPr="00F3542F">
              <w:rPr>
                <w:rStyle w:val="Hyperlink"/>
                <w:rFonts w:asciiTheme="minorHAnsi" w:hAnsiTheme="minorHAnsi" w:cstheme="minorHAnsi"/>
                <w:b w:val="0"/>
                <w:noProof/>
                <w:color w:val="auto"/>
                <w:sz w:val="22"/>
              </w:rPr>
              <w:t>5.3.1 Vertrouwen</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_Toc517455477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44</w:t>
            </w:r>
            <w:r w:rsidR="00F3542F" w:rsidRPr="00F3542F">
              <w:rPr>
                <w:rFonts w:asciiTheme="minorHAnsi" w:hAnsiTheme="minorHAnsi" w:cstheme="minorHAnsi"/>
                <w:b w:val="0"/>
                <w:noProof/>
                <w:webHidden/>
                <w:sz w:val="22"/>
              </w:rPr>
              <w:fldChar w:fldCharType="end"/>
            </w:r>
          </w:hyperlink>
        </w:p>
        <w:p w14:paraId="490650C5" w14:textId="47568D4F" w:rsidR="00F3542F" w:rsidRPr="00F3542F" w:rsidRDefault="003040E4">
          <w:pPr>
            <w:pStyle w:val="TOC3"/>
            <w:rPr>
              <w:rFonts w:asciiTheme="minorHAnsi" w:eastAsiaTheme="minorEastAsia" w:hAnsiTheme="minorHAnsi" w:cstheme="minorHAnsi"/>
              <w:b w:val="0"/>
              <w:noProof/>
              <w:sz w:val="24"/>
              <w:szCs w:val="22"/>
              <w:lang w:eastAsia="nl-NL"/>
            </w:rPr>
          </w:pPr>
          <w:hyperlink w:anchor="_Toc517455478" w:history="1">
            <w:r w:rsidR="00F3542F" w:rsidRPr="00F3542F">
              <w:rPr>
                <w:rStyle w:val="Hyperlink"/>
                <w:rFonts w:asciiTheme="minorHAnsi" w:hAnsiTheme="minorHAnsi" w:cstheme="minorHAnsi"/>
                <w:b w:val="0"/>
                <w:noProof/>
                <w:color w:val="auto"/>
                <w:sz w:val="22"/>
              </w:rPr>
              <w:t>5.3.2 Kennis en expertise</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_Toc517455478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45</w:t>
            </w:r>
            <w:r w:rsidR="00F3542F" w:rsidRPr="00F3542F">
              <w:rPr>
                <w:rFonts w:asciiTheme="minorHAnsi" w:hAnsiTheme="minorHAnsi" w:cstheme="minorHAnsi"/>
                <w:b w:val="0"/>
                <w:noProof/>
                <w:webHidden/>
                <w:sz w:val="22"/>
              </w:rPr>
              <w:fldChar w:fldCharType="end"/>
            </w:r>
          </w:hyperlink>
        </w:p>
        <w:p w14:paraId="125560F3" w14:textId="3797F834" w:rsidR="00F3542F" w:rsidRPr="00F3542F" w:rsidRDefault="003040E4">
          <w:pPr>
            <w:pStyle w:val="TOC3"/>
            <w:rPr>
              <w:rFonts w:asciiTheme="minorHAnsi" w:eastAsiaTheme="minorEastAsia" w:hAnsiTheme="minorHAnsi" w:cstheme="minorHAnsi"/>
              <w:b w:val="0"/>
              <w:noProof/>
              <w:sz w:val="24"/>
              <w:szCs w:val="22"/>
              <w:lang w:eastAsia="nl-NL"/>
            </w:rPr>
          </w:pPr>
          <w:hyperlink w:anchor="_Toc517455479" w:history="1">
            <w:r w:rsidR="00F3542F" w:rsidRPr="00F3542F">
              <w:rPr>
                <w:rStyle w:val="Hyperlink"/>
                <w:rFonts w:asciiTheme="minorHAnsi" w:hAnsiTheme="minorHAnsi" w:cstheme="minorHAnsi"/>
                <w:b w:val="0"/>
                <w:noProof/>
                <w:color w:val="auto"/>
                <w:sz w:val="22"/>
              </w:rPr>
              <w:t>5.3.3 Institutionele setting van de publieke sector</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_Toc517455479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45</w:t>
            </w:r>
            <w:r w:rsidR="00F3542F" w:rsidRPr="00F3542F">
              <w:rPr>
                <w:rFonts w:asciiTheme="minorHAnsi" w:hAnsiTheme="minorHAnsi" w:cstheme="minorHAnsi"/>
                <w:b w:val="0"/>
                <w:noProof/>
                <w:webHidden/>
                <w:sz w:val="22"/>
              </w:rPr>
              <w:fldChar w:fldCharType="end"/>
            </w:r>
          </w:hyperlink>
        </w:p>
        <w:p w14:paraId="70750A6A" w14:textId="62FF9CE1" w:rsidR="00F3542F" w:rsidRPr="00F3542F" w:rsidRDefault="003040E4">
          <w:pPr>
            <w:pStyle w:val="TOC2"/>
            <w:rPr>
              <w:rFonts w:asciiTheme="minorHAnsi" w:eastAsiaTheme="minorEastAsia" w:hAnsiTheme="minorHAnsi" w:cstheme="minorHAnsi"/>
              <w:b w:val="0"/>
              <w:noProof/>
              <w:sz w:val="24"/>
              <w:szCs w:val="22"/>
              <w:lang w:eastAsia="nl-NL"/>
            </w:rPr>
          </w:pPr>
          <w:hyperlink w:anchor="_Toc517455480" w:history="1">
            <w:r w:rsidR="00F3542F" w:rsidRPr="00F3542F">
              <w:rPr>
                <w:rStyle w:val="Hyperlink"/>
                <w:rFonts w:asciiTheme="minorHAnsi" w:hAnsiTheme="minorHAnsi" w:cstheme="minorHAnsi"/>
                <w:b w:val="0"/>
                <w:noProof/>
                <w:color w:val="auto"/>
                <w:sz w:val="22"/>
              </w:rPr>
              <w:t>5.4</w:t>
            </w:r>
            <w:r w:rsidR="00F3542F" w:rsidRPr="00F3542F">
              <w:rPr>
                <w:rFonts w:asciiTheme="minorHAnsi" w:eastAsiaTheme="minorEastAsia" w:hAnsiTheme="minorHAnsi" w:cstheme="minorHAnsi"/>
                <w:b w:val="0"/>
                <w:noProof/>
                <w:sz w:val="24"/>
                <w:szCs w:val="22"/>
                <w:lang w:eastAsia="nl-NL"/>
              </w:rPr>
              <w:tab/>
            </w:r>
            <w:r w:rsidR="00F3542F" w:rsidRPr="00F3542F">
              <w:rPr>
                <w:rStyle w:val="Hyperlink"/>
                <w:rFonts w:asciiTheme="minorHAnsi" w:hAnsiTheme="minorHAnsi" w:cstheme="minorHAnsi"/>
                <w:b w:val="0"/>
                <w:noProof/>
                <w:color w:val="auto"/>
                <w:sz w:val="22"/>
              </w:rPr>
              <w:t>De presentatie van de resultaten op de faciliterende variabelen</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_Toc517455480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46</w:t>
            </w:r>
            <w:r w:rsidR="00F3542F" w:rsidRPr="00F3542F">
              <w:rPr>
                <w:rFonts w:asciiTheme="minorHAnsi" w:hAnsiTheme="minorHAnsi" w:cstheme="minorHAnsi"/>
                <w:b w:val="0"/>
                <w:noProof/>
                <w:webHidden/>
                <w:sz w:val="22"/>
              </w:rPr>
              <w:fldChar w:fldCharType="end"/>
            </w:r>
          </w:hyperlink>
        </w:p>
        <w:p w14:paraId="551D70EE" w14:textId="3BC14DCC" w:rsidR="00F3542F" w:rsidRPr="00F3542F" w:rsidRDefault="003040E4">
          <w:pPr>
            <w:pStyle w:val="TOC2"/>
            <w:rPr>
              <w:rFonts w:asciiTheme="minorHAnsi" w:eastAsiaTheme="minorEastAsia" w:hAnsiTheme="minorHAnsi" w:cstheme="minorHAnsi"/>
              <w:b w:val="0"/>
              <w:noProof/>
              <w:sz w:val="24"/>
              <w:szCs w:val="22"/>
              <w:lang w:eastAsia="nl-NL"/>
            </w:rPr>
          </w:pPr>
          <w:hyperlink w:anchor="_Toc517455481" w:history="1">
            <w:r w:rsidR="00F3542F" w:rsidRPr="00F3542F">
              <w:rPr>
                <w:rStyle w:val="Hyperlink"/>
                <w:rFonts w:asciiTheme="minorHAnsi" w:eastAsia="Calibri" w:hAnsiTheme="minorHAnsi" w:cstheme="minorHAnsi"/>
                <w:b w:val="0"/>
                <w:noProof/>
                <w:color w:val="auto"/>
                <w:sz w:val="22"/>
              </w:rPr>
              <w:t>5.5</w:t>
            </w:r>
            <w:r w:rsidR="00F3542F" w:rsidRPr="00F3542F">
              <w:rPr>
                <w:rFonts w:asciiTheme="minorHAnsi" w:eastAsiaTheme="minorEastAsia" w:hAnsiTheme="minorHAnsi" w:cstheme="minorHAnsi"/>
                <w:b w:val="0"/>
                <w:noProof/>
                <w:sz w:val="24"/>
                <w:szCs w:val="22"/>
                <w:lang w:eastAsia="nl-NL"/>
              </w:rPr>
              <w:tab/>
            </w:r>
            <w:r w:rsidR="00F3542F" w:rsidRPr="00F3542F">
              <w:rPr>
                <w:rStyle w:val="Hyperlink"/>
                <w:rFonts w:asciiTheme="minorHAnsi" w:hAnsiTheme="minorHAnsi" w:cstheme="minorHAnsi"/>
                <w:b w:val="0"/>
                <w:noProof/>
                <w:color w:val="auto"/>
                <w:sz w:val="22"/>
              </w:rPr>
              <w:t>Reflectie op de resultaten ‘gezamenlijk inkopen’, ‘professionalisering’ en ‘opdrachtgever-opdrachtnemer relatie’.</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_Toc517455481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49</w:t>
            </w:r>
            <w:r w:rsidR="00F3542F" w:rsidRPr="00F3542F">
              <w:rPr>
                <w:rFonts w:asciiTheme="minorHAnsi" w:hAnsiTheme="minorHAnsi" w:cstheme="minorHAnsi"/>
                <w:b w:val="0"/>
                <w:noProof/>
                <w:webHidden/>
                <w:sz w:val="22"/>
              </w:rPr>
              <w:fldChar w:fldCharType="end"/>
            </w:r>
          </w:hyperlink>
        </w:p>
        <w:p w14:paraId="65822E01" w14:textId="7EA8B043" w:rsidR="00F3542F" w:rsidRPr="00F3542F" w:rsidRDefault="003040E4">
          <w:pPr>
            <w:pStyle w:val="TOC3"/>
            <w:rPr>
              <w:rFonts w:asciiTheme="minorHAnsi" w:eastAsiaTheme="minorEastAsia" w:hAnsiTheme="minorHAnsi" w:cstheme="minorHAnsi"/>
              <w:b w:val="0"/>
              <w:noProof/>
              <w:sz w:val="24"/>
              <w:szCs w:val="22"/>
              <w:lang w:eastAsia="nl-NL"/>
            </w:rPr>
          </w:pPr>
          <w:hyperlink w:anchor="_Toc517455482" w:history="1">
            <w:r w:rsidR="00F3542F" w:rsidRPr="00F3542F">
              <w:rPr>
                <w:rStyle w:val="Hyperlink"/>
                <w:rFonts w:asciiTheme="minorHAnsi" w:hAnsiTheme="minorHAnsi" w:cstheme="minorHAnsi"/>
                <w:b w:val="0"/>
                <w:noProof/>
                <w:color w:val="auto"/>
                <w:sz w:val="22"/>
              </w:rPr>
              <w:t>5.5.1 Gezamenlijk inkopen</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_Toc517455482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49</w:t>
            </w:r>
            <w:r w:rsidR="00F3542F" w:rsidRPr="00F3542F">
              <w:rPr>
                <w:rFonts w:asciiTheme="minorHAnsi" w:hAnsiTheme="minorHAnsi" w:cstheme="minorHAnsi"/>
                <w:b w:val="0"/>
                <w:noProof/>
                <w:webHidden/>
                <w:sz w:val="22"/>
              </w:rPr>
              <w:fldChar w:fldCharType="end"/>
            </w:r>
          </w:hyperlink>
        </w:p>
        <w:p w14:paraId="4E2BCA82" w14:textId="276A9143" w:rsidR="00F3542F" w:rsidRPr="00F3542F" w:rsidRDefault="003040E4">
          <w:pPr>
            <w:pStyle w:val="TOC3"/>
            <w:rPr>
              <w:rFonts w:asciiTheme="minorHAnsi" w:eastAsiaTheme="minorEastAsia" w:hAnsiTheme="minorHAnsi" w:cstheme="minorHAnsi"/>
              <w:b w:val="0"/>
              <w:noProof/>
              <w:sz w:val="24"/>
              <w:szCs w:val="22"/>
              <w:lang w:eastAsia="nl-NL"/>
            </w:rPr>
          </w:pPr>
          <w:hyperlink w:anchor="_Toc517455483" w:history="1">
            <w:r w:rsidR="00F3542F" w:rsidRPr="00F3542F">
              <w:rPr>
                <w:rStyle w:val="Hyperlink"/>
                <w:rFonts w:asciiTheme="minorHAnsi" w:hAnsiTheme="minorHAnsi" w:cstheme="minorHAnsi"/>
                <w:b w:val="0"/>
                <w:noProof/>
                <w:color w:val="auto"/>
                <w:sz w:val="22"/>
              </w:rPr>
              <w:t>5.5.2 Mate van professionalisering</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_Toc517455483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50</w:t>
            </w:r>
            <w:r w:rsidR="00F3542F" w:rsidRPr="00F3542F">
              <w:rPr>
                <w:rFonts w:asciiTheme="minorHAnsi" w:hAnsiTheme="minorHAnsi" w:cstheme="minorHAnsi"/>
                <w:b w:val="0"/>
                <w:noProof/>
                <w:webHidden/>
                <w:sz w:val="22"/>
              </w:rPr>
              <w:fldChar w:fldCharType="end"/>
            </w:r>
          </w:hyperlink>
        </w:p>
        <w:p w14:paraId="0104B785" w14:textId="2246B950" w:rsidR="00F3542F" w:rsidRPr="00F3542F" w:rsidRDefault="003040E4">
          <w:pPr>
            <w:pStyle w:val="TOC3"/>
            <w:rPr>
              <w:rFonts w:asciiTheme="minorHAnsi" w:eastAsiaTheme="minorEastAsia" w:hAnsiTheme="minorHAnsi" w:cstheme="minorHAnsi"/>
              <w:b w:val="0"/>
              <w:noProof/>
              <w:sz w:val="24"/>
              <w:szCs w:val="22"/>
              <w:lang w:eastAsia="nl-NL"/>
            </w:rPr>
          </w:pPr>
          <w:hyperlink w:anchor="_Toc517455484" w:history="1">
            <w:r w:rsidR="00F3542F" w:rsidRPr="00F3542F">
              <w:rPr>
                <w:rStyle w:val="Hyperlink"/>
                <w:rFonts w:asciiTheme="minorHAnsi" w:hAnsiTheme="minorHAnsi" w:cstheme="minorHAnsi"/>
                <w:b w:val="0"/>
                <w:noProof/>
                <w:color w:val="auto"/>
                <w:sz w:val="22"/>
              </w:rPr>
              <w:t>5.5.3 Opdrachtgever-opdrachtnemer relatie</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_Toc517455484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51</w:t>
            </w:r>
            <w:r w:rsidR="00F3542F" w:rsidRPr="00F3542F">
              <w:rPr>
                <w:rFonts w:asciiTheme="minorHAnsi" w:hAnsiTheme="minorHAnsi" w:cstheme="minorHAnsi"/>
                <w:b w:val="0"/>
                <w:noProof/>
                <w:webHidden/>
                <w:sz w:val="22"/>
              </w:rPr>
              <w:fldChar w:fldCharType="end"/>
            </w:r>
          </w:hyperlink>
        </w:p>
        <w:p w14:paraId="2D011813" w14:textId="48D65CF2" w:rsidR="00F3542F" w:rsidRPr="00F3542F" w:rsidRDefault="003040E4">
          <w:pPr>
            <w:pStyle w:val="TOC2"/>
            <w:rPr>
              <w:rFonts w:asciiTheme="minorHAnsi" w:eastAsiaTheme="minorEastAsia" w:hAnsiTheme="minorHAnsi" w:cstheme="minorHAnsi"/>
              <w:b w:val="0"/>
              <w:noProof/>
              <w:sz w:val="24"/>
              <w:szCs w:val="22"/>
              <w:lang w:eastAsia="nl-NL"/>
            </w:rPr>
          </w:pPr>
          <w:hyperlink w:anchor="_Toc517455485" w:history="1">
            <w:r w:rsidR="00F3542F" w:rsidRPr="00F3542F">
              <w:rPr>
                <w:rStyle w:val="Hyperlink"/>
                <w:rFonts w:asciiTheme="minorHAnsi" w:hAnsiTheme="minorHAnsi" w:cstheme="minorHAnsi"/>
                <w:b w:val="0"/>
                <w:noProof/>
                <w:color w:val="auto"/>
                <w:sz w:val="22"/>
              </w:rPr>
              <w:t>5.6</w:t>
            </w:r>
            <w:r w:rsidR="00F3542F" w:rsidRPr="00F3542F">
              <w:rPr>
                <w:rFonts w:asciiTheme="minorHAnsi" w:eastAsiaTheme="minorEastAsia" w:hAnsiTheme="minorHAnsi" w:cstheme="minorHAnsi"/>
                <w:b w:val="0"/>
                <w:noProof/>
                <w:sz w:val="24"/>
                <w:szCs w:val="22"/>
                <w:lang w:eastAsia="nl-NL"/>
              </w:rPr>
              <w:tab/>
            </w:r>
            <w:r w:rsidR="00F3542F" w:rsidRPr="00F3542F">
              <w:rPr>
                <w:rStyle w:val="Hyperlink"/>
                <w:rFonts w:asciiTheme="minorHAnsi" w:hAnsiTheme="minorHAnsi" w:cstheme="minorHAnsi"/>
                <w:b w:val="0"/>
                <w:noProof/>
                <w:color w:val="auto"/>
                <w:sz w:val="22"/>
              </w:rPr>
              <w:t>Zichtbare patronen in de antwoorden van de 11 respondenten</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_Toc517455485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52</w:t>
            </w:r>
            <w:r w:rsidR="00F3542F" w:rsidRPr="00F3542F">
              <w:rPr>
                <w:rFonts w:asciiTheme="minorHAnsi" w:hAnsiTheme="minorHAnsi" w:cstheme="minorHAnsi"/>
                <w:b w:val="0"/>
                <w:noProof/>
                <w:webHidden/>
                <w:sz w:val="22"/>
              </w:rPr>
              <w:fldChar w:fldCharType="end"/>
            </w:r>
          </w:hyperlink>
        </w:p>
        <w:p w14:paraId="1E055192" w14:textId="5C08289A" w:rsidR="00F3542F" w:rsidRPr="00F3542F" w:rsidRDefault="003040E4">
          <w:pPr>
            <w:pStyle w:val="TOC1"/>
            <w:rPr>
              <w:rFonts w:eastAsiaTheme="minorEastAsia"/>
              <w:b w:val="0"/>
              <w:lang w:eastAsia="nl-NL"/>
            </w:rPr>
          </w:pPr>
          <w:hyperlink w:anchor="_Toc517455486" w:history="1">
            <w:r w:rsidR="00F3542F" w:rsidRPr="00F3542F">
              <w:rPr>
                <w:rStyle w:val="Hyperlink"/>
                <w:color w:val="auto"/>
                <w:sz w:val="28"/>
              </w:rPr>
              <w:t>6. Analyse</w:t>
            </w:r>
            <w:r w:rsidR="00F3542F" w:rsidRPr="00F3542F">
              <w:rPr>
                <w:webHidden/>
                <w:sz w:val="28"/>
              </w:rPr>
              <w:tab/>
            </w:r>
            <w:r w:rsidR="00F3542F" w:rsidRPr="00F3542F">
              <w:rPr>
                <w:webHidden/>
                <w:sz w:val="28"/>
              </w:rPr>
              <w:fldChar w:fldCharType="begin"/>
            </w:r>
            <w:r w:rsidR="00F3542F" w:rsidRPr="00F3542F">
              <w:rPr>
                <w:webHidden/>
                <w:sz w:val="28"/>
              </w:rPr>
              <w:instrText xml:space="preserve"> PAGEREF _Toc517455486 \h </w:instrText>
            </w:r>
            <w:r w:rsidR="00F3542F" w:rsidRPr="00F3542F">
              <w:rPr>
                <w:webHidden/>
                <w:sz w:val="28"/>
              </w:rPr>
            </w:r>
            <w:r w:rsidR="00F3542F" w:rsidRPr="00F3542F">
              <w:rPr>
                <w:webHidden/>
                <w:sz w:val="28"/>
              </w:rPr>
              <w:fldChar w:fldCharType="separate"/>
            </w:r>
            <w:r w:rsidR="00D82558">
              <w:rPr>
                <w:webHidden/>
                <w:sz w:val="28"/>
              </w:rPr>
              <w:t>54</w:t>
            </w:r>
            <w:r w:rsidR="00F3542F" w:rsidRPr="00F3542F">
              <w:rPr>
                <w:webHidden/>
                <w:sz w:val="28"/>
              </w:rPr>
              <w:fldChar w:fldCharType="end"/>
            </w:r>
          </w:hyperlink>
        </w:p>
        <w:p w14:paraId="4D1703A6" w14:textId="710F9B3E" w:rsidR="00F3542F" w:rsidRPr="00F3542F" w:rsidRDefault="003040E4">
          <w:pPr>
            <w:pStyle w:val="TOC2"/>
            <w:rPr>
              <w:rFonts w:asciiTheme="minorHAnsi" w:eastAsiaTheme="minorEastAsia" w:hAnsiTheme="minorHAnsi" w:cstheme="minorHAnsi"/>
              <w:b w:val="0"/>
              <w:noProof/>
              <w:sz w:val="24"/>
              <w:szCs w:val="22"/>
              <w:lang w:eastAsia="nl-NL"/>
            </w:rPr>
          </w:pPr>
          <w:hyperlink w:anchor="_Toc517455488" w:history="1">
            <w:r w:rsidR="00F3542F" w:rsidRPr="00F3542F">
              <w:rPr>
                <w:rStyle w:val="Hyperlink"/>
                <w:rFonts w:asciiTheme="minorHAnsi" w:hAnsiTheme="minorHAnsi" w:cstheme="minorHAnsi"/>
                <w:b w:val="0"/>
                <w:noProof/>
                <w:color w:val="auto"/>
                <w:sz w:val="22"/>
              </w:rPr>
              <w:t>6.1</w:t>
            </w:r>
            <w:r w:rsidR="00F3542F" w:rsidRPr="00F3542F">
              <w:rPr>
                <w:rFonts w:asciiTheme="minorHAnsi" w:eastAsiaTheme="minorEastAsia" w:hAnsiTheme="minorHAnsi" w:cstheme="minorHAnsi"/>
                <w:b w:val="0"/>
                <w:noProof/>
                <w:sz w:val="24"/>
                <w:szCs w:val="22"/>
                <w:lang w:eastAsia="nl-NL"/>
              </w:rPr>
              <w:tab/>
            </w:r>
            <w:r w:rsidR="00F3542F" w:rsidRPr="00F3542F">
              <w:rPr>
                <w:rStyle w:val="Hyperlink"/>
                <w:rFonts w:asciiTheme="minorHAnsi" w:hAnsiTheme="minorHAnsi" w:cstheme="minorHAnsi"/>
                <w:b w:val="0"/>
                <w:noProof/>
                <w:color w:val="auto"/>
                <w:sz w:val="22"/>
              </w:rPr>
              <w:t>Variabele ‘beschikbaarheid van informatie en kennis’</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_Toc517455488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54</w:t>
            </w:r>
            <w:r w:rsidR="00F3542F" w:rsidRPr="00F3542F">
              <w:rPr>
                <w:rFonts w:asciiTheme="minorHAnsi" w:hAnsiTheme="minorHAnsi" w:cstheme="minorHAnsi"/>
                <w:b w:val="0"/>
                <w:noProof/>
                <w:webHidden/>
                <w:sz w:val="22"/>
              </w:rPr>
              <w:fldChar w:fldCharType="end"/>
            </w:r>
          </w:hyperlink>
        </w:p>
        <w:p w14:paraId="06F3E2F1" w14:textId="2F91760B" w:rsidR="00F3542F" w:rsidRPr="00F3542F" w:rsidRDefault="003040E4">
          <w:pPr>
            <w:pStyle w:val="TOC3"/>
            <w:rPr>
              <w:rFonts w:asciiTheme="minorHAnsi" w:eastAsiaTheme="minorEastAsia" w:hAnsiTheme="minorHAnsi" w:cstheme="minorHAnsi"/>
              <w:b w:val="0"/>
              <w:noProof/>
              <w:sz w:val="24"/>
              <w:szCs w:val="22"/>
              <w:lang w:eastAsia="nl-NL"/>
            </w:rPr>
          </w:pPr>
          <w:hyperlink w:anchor="_Toc517455489" w:history="1">
            <w:r w:rsidR="00F3542F" w:rsidRPr="00F3542F">
              <w:rPr>
                <w:rStyle w:val="Hyperlink"/>
                <w:rFonts w:asciiTheme="minorHAnsi" w:hAnsiTheme="minorHAnsi" w:cstheme="minorHAnsi"/>
                <w:b w:val="0"/>
                <w:noProof/>
                <w:color w:val="auto"/>
                <w:sz w:val="22"/>
              </w:rPr>
              <w:t>6.1.1 De bevindingen uit de empirie</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_Toc517455489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54</w:t>
            </w:r>
            <w:r w:rsidR="00F3542F" w:rsidRPr="00F3542F">
              <w:rPr>
                <w:rFonts w:asciiTheme="minorHAnsi" w:hAnsiTheme="minorHAnsi" w:cstheme="minorHAnsi"/>
                <w:b w:val="0"/>
                <w:noProof/>
                <w:webHidden/>
                <w:sz w:val="22"/>
              </w:rPr>
              <w:fldChar w:fldCharType="end"/>
            </w:r>
          </w:hyperlink>
        </w:p>
        <w:p w14:paraId="5555FB6F" w14:textId="59E45759" w:rsidR="00F3542F" w:rsidRPr="00F3542F" w:rsidRDefault="003040E4">
          <w:pPr>
            <w:pStyle w:val="TOC3"/>
            <w:rPr>
              <w:rFonts w:asciiTheme="minorHAnsi" w:eastAsiaTheme="minorEastAsia" w:hAnsiTheme="minorHAnsi" w:cstheme="minorHAnsi"/>
              <w:b w:val="0"/>
              <w:noProof/>
              <w:sz w:val="24"/>
              <w:szCs w:val="22"/>
              <w:lang w:eastAsia="nl-NL"/>
            </w:rPr>
          </w:pPr>
          <w:hyperlink w:anchor="_Toc517455490" w:history="1">
            <w:r w:rsidR="00F3542F" w:rsidRPr="00F3542F">
              <w:rPr>
                <w:rStyle w:val="Hyperlink"/>
                <w:rFonts w:asciiTheme="minorHAnsi" w:hAnsiTheme="minorHAnsi" w:cstheme="minorHAnsi"/>
                <w:b w:val="0"/>
                <w:noProof/>
                <w:color w:val="auto"/>
                <w:sz w:val="22"/>
              </w:rPr>
              <w:t>6.1.2 Toetsing van de empirie aan de theoretische verwachting</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_Toc517455490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55</w:t>
            </w:r>
            <w:r w:rsidR="00F3542F" w:rsidRPr="00F3542F">
              <w:rPr>
                <w:rFonts w:asciiTheme="minorHAnsi" w:hAnsiTheme="minorHAnsi" w:cstheme="minorHAnsi"/>
                <w:b w:val="0"/>
                <w:noProof/>
                <w:webHidden/>
                <w:sz w:val="22"/>
              </w:rPr>
              <w:fldChar w:fldCharType="end"/>
            </w:r>
          </w:hyperlink>
        </w:p>
        <w:p w14:paraId="5E9BC0E4" w14:textId="6BFFFD33" w:rsidR="00F3542F" w:rsidRPr="00F3542F" w:rsidRDefault="003040E4">
          <w:pPr>
            <w:pStyle w:val="TOC2"/>
            <w:rPr>
              <w:rFonts w:asciiTheme="minorHAnsi" w:eastAsiaTheme="minorEastAsia" w:hAnsiTheme="minorHAnsi" w:cstheme="minorHAnsi"/>
              <w:b w:val="0"/>
              <w:noProof/>
              <w:sz w:val="24"/>
              <w:szCs w:val="22"/>
              <w:lang w:eastAsia="nl-NL"/>
            </w:rPr>
          </w:pPr>
          <w:hyperlink w:anchor="_Toc517455491" w:history="1">
            <w:r w:rsidR="00F3542F" w:rsidRPr="00F3542F">
              <w:rPr>
                <w:rStyle w:val="Hyperlink"/>
                <w:rFonts w:asciiTheme="minorHAnsi" w:hAnsiTheme="minorHAnsi" w:cstheme="minorHAnsi"/>
                <w:b w:val="0"/>
                <w:noProof/>
                <w:color w:val="auto"/>
                <w:sz w:val="22"/>
              </w:rPr>
              <w:t>6.2</w:t>
            </w:r>
            <w:r w:rsidR="00F3542F" w:rsidRPr="00F3542F">
              <w:rPr>
                <w:rFonts w:asciiTheme="minorHAnsi" w:eastAsiaTheme="minorEastAsia" w:hAnsiTheme="minorHAnsi" w:cstheme="minorHAnsi"/>
                <w:b w:val="0"/>
                <w:noProof/>
                <w:sz w:val="24"/>
                <w:szCs w:val="22"/>
                <w:lang w:eastAsia="nl-NL"/>
              </w:rPr>
              <w:tab/>
            </w:r>
            <w:r w:rsidR="00F3542F" w:rsidRPr="00F3542F">
              <w:rPr>
                <w:rStyle w:val="Hyperlink"/>
                <w:rFonts w:asciiTheme="minorHAnsi" w:hAnsiTheme="minorHAnsi" w:cstheme="minorHAnsi"/>
                <w:b w:val="0"/>
                <w:noProof/>
                <w:color w:val="auto"/>
                <w:sz w:val="22"/>
              </w:rPr>
              <w:t>Variabele ‘vertrouwen’</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_Toc517455491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56</w:t>
            </w:r>
            <w:r w:rsidR="00F3542F" w:rsidRPr="00F3542F">
              <w:rPr>
                <w:rFonts w:asciiTheme="minorHAnsi" w:hAnsiTheme="minorHAnsi" w:cstheme="minorHAnsi"/>
                <w:b w:val="0"/>
                <w:noProof/>
                <w:webHidden/>
                <w:sz w:val="22"/>
              </w:rPr>
              <w:fldChar w:fldCharType="end"/>
            </w:r>
          </w:hyperlink>
        </w:p>
        <w:p w14:paraId="1843D66E" w14:textId="0E2BD7AB" w:rsidR="00F3542F" w:rsidRPr="00F3542F" w:rsidRDefault="003040E4">
          <w:pPr>
            <w:pStyle w:val="TOC3"/>
            <w:rPr>
              <w:rFonts w:asciiTheme="minorHAnsi" w:eastAsiaTheme="minorEastAsia" w:hAnsiTheme="minorHAnsi" w:cstheme="minorHAnsi"/>
              <w:b w:val="0"/>
              <w:noProof/>
              <w:sz w:val="24"/>
              <w:szCs w:val="22"/>
              <w:lang w:eastAsia="nl-NL"/>
            </w:rPr>
          </w:pPr>
          <w:hyperlink w:anchor="_Toc517455492" w:history="1">
            <w:r w:rsidR="00F3542F" w:rsidRPr="00F3542F">
              <w:rPr>
                <w:rStyle w:val="Hyperlink"/>
                <w:rFonts w:asciiTheme="minorHAnsi" w:hAnsiTheme="minorHAnsi" w:cstheme="minorHAnsi"/>
                <w:b w:val="0"/>
                <w:noProof/>
                <w:color w:val="auto"/>
                <w:sz w:val="22"/>
              </w:rPr>
              <w:t>6.2.1 De bevindingen uit de empirie</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_Toc517455492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56</w:t>
            </w:r>
            <w:r w:rsidR="00F3542F" w:rsidRPr="00F3542F">
              <w:rPr>
                <w:rFonts w:asciiTheme="minorHAnsi" w:hAnsiTheme="minorHAnsi" w:cstheme="minorHAnsi"/>
                <w:b w:val="0"/>
                <w:noProof/>
                <w:webHidden/>
                <w:sz w:val="22"/>
              </w:rPr>
              <w:fldChar w:fldCharType="end"/>
            </w:r>
          </w:hyperlink>
        </w:p>
        <w:p w14:paraId="7D85E724" w14:textId="0F5D9732" w:rsidR="00F3542F" w:rsidRPr="00F3542F" w:rsidRDefault="003040E4">
          <w:pPr>
            <w:pStyle w:val="TOC3"/>
            <w:rPr>
              <w:rFonts w:asciiTheme="minorHAnsi" w:eastAsiaTheme="minorEastAsia" w:hAnsiTheme="minorHAnsi" w:cstheme="minorHAnsi"/>
              <w:b w:val="0"/>
              <w:noProof/>
              <w:sz w:val="24"/>
              <w:szCs w:val="22"/>
              <w:lang w:eastAsia="nl-NL"/>
            </w:rPr>
          </w:pPr>
          <w:hyperlink w:anchor="_Toc517455493" w:history="1">
            <w:r w:rsidR="00F3542F" w:rsidRPr="00F3542F">
              <w:rPr>
                <w:rStyle w:val="Hyperlink"/>
                <w:rFonts w:asciiTheme="minorHAnsi" w:hAnsiTheme="minorHAnsi" w:cstheme="minorHAnsi"/>
                <w:b w:val="0"/>
                <w:noProof/>
                <w:color w:val="auto"/>
                <w:sz w:val="22"/>
              </w:rPr>
              <w:t>6.2.2 Toetsing van de empirie aan de theoretische verwachting</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_Toc517455493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57</w:t>
            </w:r>
            <w:r w:rsidR="00F3542F" w:rsidRPr="00F3542F">
              <w:rPr>
                <w:rFonts w:asciiTheme="minorHAnsi" w:hAnsiTheme="minorHAnsi" w:cstheme="minorHAnsi"/>
                <w:b w:val="0"/>
                <w:noProof/>
                <w:webHidden/>
                <w:sz w:val="22"/>
              </w:rPr>
              <w:fldChar w:fldCharType="end"/>
            </w:r>
          </w:hyperlink>
        </w:p>
        <w:p w14:paraId="15013E3A" w14:textId="462A398C" w:rsidR="00F3542F" w:rsidRPr="00F3542F" w:rsidRDefault="003040E4">
          <w:pPr>
            <w:pStyle w:val="TOC2"/>
            <w:rPr>
              <w:rFonts w:asciiTheme="minorHAnsi" w:eastAsiaTheme="minorEastAsia" w:hAnsiTheme="minorHAnsi" w:cstheme="minorHAnsi"/>
              <w:b w:val="0"/>
              <w:noProof/>
              <w:sz w:val="24"/>
              <w:szCs w:val="22"/>
              <w:lang w:eastAsia="nl-NL"/>
            </w:rPr>
          </w:pPr>
          <w:hyperlink w:anchor="_Toc517455494" w:history="1">
            <w:r w:rsidR="00F3542F" w:rsidRPr="00F3542F">
              <w:rPr>
                <w:rStyle w:val="Hyperlink"/>
                <w:rFonts w:asciiTheme="minorHAnsi" w:hAnsiTheme="minorHAnsi" w:cstheme="minorHAnsi"/>
                <w:b w:val="0"/>
                <w:noProof/>
                <w:color w:val="auto"/>
                <w:sz w:val="22"/>
              </w:rPr>
              <w:t>6.3</w:t>
            </w:r>
            <w:r w:rsidR="00F3542F" w:rsidRPr="00F3542F">
              <w:rPr>
                <w:rFonts w:asciiTheme="minorHAnsi" w:eastAsiaTheme="minorEastAsia" w:hAnsiTheme="minorHAnsi" w:cstheme="minorHAnsi"/>
                <w:b w:val="0"/>
                <w:noProof/>
                <w:sz w:val="24"/>
                <w:szCs w:val="22"/>
                <w:lang w:eastAsia="nl-NL"/>
              </w:rPr>
              <w:tab/>
            </w:r>
            <w:r w:rsidR="00F3542F" w:rsidRPr="00F3542F">
              <w:rPr>
                <w:rStyle w:val="Hyperlink"/>
                <w:rFonts w:asciiTheme="minorHAnsi" w:hAnsiTheme="minorHAnsi" w:cstheme="minorHAnsi"/>
                <w:b w:val="0"/>
                <w:noProof/>
                <w:color w:val="auto"/>
                <w:sz w:val="22"/>
              </w:rPr>
              <w:t>Variabele ‘Institutionele setting van de publieke sector’</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_Toc517455494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59</w:t>
            </w:r>
            <w:r w:rsidR="00F3542F" w:rsidRPr="00F3542F">
              <w:rPr>
                <w:rFonts w:asciiTheme="minorHAnsi" w:hAnsiTheme="minorHAnsi" w:cstheme="minorHAnsi"/>
                <w:b w:val="0"/>
                <w:noProof/>
                <w:webHidden/>
                <w:sz w:val="22"/>
              </w:rPr>
              <w:fldChar w:fldCharType="end"/>
            </w:r>
          </w:hyperlink>
        </w:p>
        <w:p w14:paraId="6BBCEB25" w14:textId="4633C90D" w:rsidR="00F3542F" w:rsidRPr="00F3542F" w:rsidRDefault="003040E4">
          <w:pPr>
            <w:pStyle w:val="TOC3"/>
            <w:rPr>
              <w:rFonts w:asciiTheme="minorHAnsi" w:eastAsiaTheme="minorEastAsia" w:hAnsiTheme="minorHAnsi" w:cstheme="minorHAnsi"/>
              <w:b w:val="0"/>
              <w:noProof/>
              <w:sz w:val="24"/>
              <w:szCs w:val="22"/>
              <w:lang w:eastAsia="nl-NL"/>
            </w:rPr>
          </w:pPr>
          <w:hyperlink w:anchor="_Toc517455495" w:history="1">
            <w:r w:rsidR="00F3542F" w:rsidRPr="00F3542F">
              <w:rPr>
                <w:rStyle w:val="Hyperlink"/>
                <w:rFonts w:asciiTheme="minorHAnsi" w:hAnsiTheme="minorHAnsi" w:cstheme="minorHAnsi"/>
                <w:b w:val="0"/>
                <w:noProof/>
                <w:color w:val="auto"/>
                <w:sz w:val="22"/>
              </w:rPr>
              <w:t>6.3.1 De bevindingen uit de empirie</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_Toc517455495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59</w:t>
            </w:r>
            <w:r w:rsidR="00F3542F" w:rsidRPr="00F3542F">
              <w:rPr>
                <w:rFonts w:asciiTheme="minorHAnsi" w:hAnsiTheme="minorHAnsi" w:cstheme="minorHAnsi"/>
                <w:b w:val="0"/>
                <w:noProof/>
                <w:webHidden/>
                <w:sz w:val="22"/>
              </w:rPr>
              <w:fldChar w:fldCharType="end"/>
            </w:r>
          </w:hyperlink>
        </w:p>
        <w:p w14:paraId="4995CD7F" w14:textId="7570551B" w:rsidR="00F3542F" w:rsidRPr="00F3542F" w:rsidRDefault="003040E4">
          <w:pPr>
            <w:pStyle w:val="TOC3"/>
            <w:rPr>
              <w:rFonts w:asciiTheme="minorHAnsi" w:eastAsiaTheme="minorEastAsia" w:hAnsiTheme="minorHAnsi" w:cstheme="minorHAnsi"/>
              <w:b w:val="0"/>
              <w:noProof/>
              <w:sz w:val="24"/>
              <w:szCs w:val="22"/>
              <w:lang w:eastAsia="nl-NL"/>
            </w:rPr>
          </w:pPr>
          <w:hyperlink w:anchor="_Toc517455496" w:history="1">
            <w:r w:rsidR="00F3542F" w:rsidRPr="00F3542F">
              <w:rPr>
                <w:rStyle w:val="Hyperlink"/>
                <w:rFonts w:asciiTheme="minorHAnsi" w:hAnsiTheme="minorHAnsi" w:cstheme="minorHAnsi"/>
                <w:b w:val="0"/>
                <w:noProof/>
                <w:color w:val="auto"/>
                <w:sz w:val="22"/>
              </w:rPr>
              <w:t>6.3.2 Toetsing van de empirie aan de theoretische verwachting</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_Toc517455496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59</w:t>
            </w:r>
            <w:r w:rsidR="00F3542F" w:rsidRPr="00F3542F">
              <w:rPr>
                <w:rFonts w:asciiTheme="minorHAnsi" w:hAnsiTheme="minorHAnsi" w:cstheme="minorHAnsi"/>
                <w:b w:val="0"/>
                <w:noProof/>
                <w:webHidden/>
                <w:sz w:val="22"/>
              </w:rPr>
              <w:fldChar w:fldCharType="end"/>
            </w:r>
          </w:hyperlink>
        </w:p>
        <w:p w14:paraId="12F96013" w14:textId="07FA3241" w:rsidR="00F3542F" w:rsidRPr="00F3542F" w:rsidRDefault="003040E4">
          <w:pPr>
            <w:pStyle w:val="TOC2"/>
            <w:rPr>
              <w:rFonts w:asciiTheme="minorHAnsi" w:eastAsiaTheme="minorEastAsia" w:hAnsiTheme="minorHAnsi" w:cstheme="minorHAnsi"/>
              <w:b w:val="0"/>
              <w:noProof/>
              <w:sz w:val="24"/>
              <w:szCs w:val="22"/>
              <w:lang w:eastAsia="nl-NL"/>
            </w:rPr>
          </w:pPr>
          <w:hyperlink w:anchor="_Toc517455497" w:history="1">
            <w:r w:rsidR="00F3542F" w:rsidRPr="00F3542F">
              <w:rPr>
                <w:rStyle w:val="Hyperlink"/>
                <w:rFonts w:asciiTheme="minorHAnsi" w:hAnsiTheme="minorHAnsi" w:cstheme="minorHAnsi"/>
                <w:b w:val="0"/>
                <w:noProof/>
                <w:color w:val="auto"/>
                <w:sz w:val="22"/>
              </w:rPr>
              <w:t>6.4</w:t>
            </w:r>
            <w:r w:rsidR="00F3542F" w:rsidRPr="00F3542F">
              <w:rPr>
                <w:rFonts w:asciiTheme="minorHAnsi" w:eastAsiaTheme="minorEastAsia" w:hAnsiTheme="minorHAnsi" w:cstheme="minorHAnsi"/>
                <w:b w:val="0"/>
                <w:noProof/>
                <w:sz w:val="24"/>
                <w:szCs w:val="22"/>
                <w:lang w:eastAsia="nl-NL"/>
              </w:rPr>
              <w:tab/>
            </w:r>
            <w:r w:rsidR="00F3542F" w:rsidRPr="00F3542F">
              <w:rPr>
                <w:rStyle w:val="Hyperlink"/>
                <w:rFonts w:asciiTheme="minorHAnsi" w:hAnsiTheme="minorHAnsi" w:cstheme="minorHAnsi"/>
                <w:b w:val="0"/>
                <w:noProof/>
                <w:color w:val="auto"/>
                <w:sz w:val="22"/>
              </w:rPr>
              <w:t>Variabelen die bijdragen aan efficiënt inkoop</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_Toc517455497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60</w:t>
            </w:r>
            <w:r w:rsidR="00F3542F" w:rsidRPr="00F3542F">
              <w:rPr>
                <w:rFonts w:asciiTheme="minorHAnsi" w:hAnsiTheme="minorHAnsi" w:cstheme="minorHAnsi"/>
                <w:b w:val="0"/>
                <w:noProof/>
                <w:webHidden/>
                <w:sz w:val="22"/>
              </w:rPr>
              <w:fldChar w:fldCharType="end"/>
            </w:r>
          </w:hyperlink>
        </w:p>
        <w:p w14:paraId="03E771B4" w14:textId="11D0F694" w:rsidR="00F3542F" w:rsidRPr="00F3542F" w:rsidRDefault="003040E4">
          <w:pPr>
            <w:pStyle w:val="TOC3"/>
            <w:rPr>
              <w:rFonts w:asciiTheme="minorHAnsi" w:eastAsiaTheme="minorEastAsia" w:hAnsiTheme="minorHAnsi" w:cstheme="minorHAnsi"/>
              <w:b w:val="0"/>
              <w:noProof/>
              <w:sz w:val="24"/>
              <w:szCs w:val="22"/>
              <w:lang w:eastAsia="nl-NL"/>
            </w:rPr>
          </w:pPr>
          <w:hyperlink w:anchor="_Toc517455498" w:history="1">
            <w:r w:rsidR="00F3542F" w:rsidRPr="00F3542F">
              <w:rPr>
                <w:rStyle w:val="Hyperlink"/>
                <w:rFonts w:asciiTheme="minorHAnsi" w:hAnsiTheme="minorHAnsi" w:cstheme="minorHAnsi"/>
                <w:b w:val="0"/>
                <w:noProof/>
                <w:color w:val="auto"/>
                <w:sz w:val="22"/>
              </w:rPr>
              <w:t>6.4.1 Gezamenlijk inkopen</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_Toc517455498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60</w:t>
            </w:r>
            <w:r w:rsidR="00F3542F" w:rsidRPr="00F3542F">
              <w:rPr>
                <w:rFonts w:asciiTheme="minorHAnsi" w:hAnsiTheme="minorHAnsi" w:cstheme="minorHAnsi"/>
                <w:b w:val="0"/>
                <w:noProof/>
                <w:webHidden/>
                <w:sz w:val="22"/>
              </w:rPr>
              <w:fldChar w:fldCharType="end"/>
            </w:r>
          </w:hyperlink>
        </w:p>
        <w:p w14:paraId="6101ADBA" w14:textId="72E227A8" w:rsidR="00F3542F" w:rsidRPr="00F3542F" w:rsidRDefault="003040E4">
          <w:pPr>
            <w:pStyle w:val="TOC3"/>
            <w:rPr>
              <w:rFonts w:asciiTheme="minorHAnsi" w:eastAsiaTheme="minorEastAsia" w:hAnsiTheme="minorHAnsi" w:cstheme="minorHAnsi"/>
              <w:b w:val="0"/>
              <w:noProof/>
              <w:sz w:val="24"/>
              <w:szCs w:val="22"/>
              <w:lang w:eastAsia="nl-NL"/>
            </w:rPr>
          </w:pPr>
          <w:hyperlink w:anchor="_Toc517455499" w:history="1">
            <w:r w:rsidR="00F3542F" w:rsidRPr="00F3542F">
              <w:rPr>
                <w:rStyle w:val="Hyperlink"/>
                <w:rFonts w:asciiTheme="minorHAnsi" w:hAnsiTheme="minorHAnsi" w:cstheme="minorHAnsi"/>
                <w:b w:val="0"/>
                <w:noProof/>
                <w:color w:val="auto"/>
                <w:sz w:val="22"/>
              </w:rPr>
              <w:t>6.4.2 Mate van professionalisering en het inkoopproces van Van Weele</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_Toc517455499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62</w:t>
            </w:r>
            <w:r w:rsidR="00F3542F" w:rsidRPr="00F3542F">
              <w:rPr>
                <w:rFonts w:asciiTheme="minorHAnsi" w:hAnsiTheme="minorHAnsi" w:cstheme="minorHAnsi"/>
                <w:b w:val="0"/>
                <w:noProof/>
                <w:webHidden/>
                <w:sz w:val="22"/>
              </w:rPr>
              <w:fldChar w:fldCharType="end"/>
            </w:r>
          </w:hyperlink>
        </w:p>
        <w:p w14:paraId="1872A046" w14:textId="62C1ECCA" w:rsidR="00F3542F" w:rsidRPr="00F3542F" w:rsidRDefault="003040E4">
          <w:pPr>
            <w:pStyle w:val="TOC3"/>
            <w:rPr>
              <w:rFonts w:asciiTheme="minorHAnsi" w:eastAsiaTheme="minorEastAsia" w:hAnsiTheme="minorHAnsi" w:cstheme="minorHAnsi"/>
              <w:b w:val="0"/>
              <w:noProof/>
              <w:sz w:val="24"/>
              <w:szCs w:val="22"/>
              <w:lang w:eastAsia="nl-NL"/>
            </w:rPr>
          </w:pPr>
          <w:hyperlink w:anchor="_Toc517455500" w:history="1">
            <w:r w:rsidR="00F3542F" w:rsidRPr="00F3542F">
              <w:rPr>
                <w:rStyle w:val="Hyperlink"/>
                <w:rFonts w:asciiTheme="minorHAnsi" w:hAnsiTheme="minorHAnsi" w:cstheme="minorHAnsi"/>
                <w:b w:val="0"/>
                <w:noProof/>
                <w:color w:val="auto"/>
                <w:sz w:val="22"/>
              </w:rPr>
              <w:t>6.4.3 Opdrachtgever-opdrachtnemer relatie</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_Toc517455500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64</w:t>
            </w:r>
            <w:r w:rsidR="00F3542F" w:rsidRPr="00F3542F">
              <w:rPr>
                <w:rFonts w:asciiTheme="minorHAnsi" w:hAnsiTheme="minorHAnsi" w:cstheme="minorHAnsi"/>
                <w:b w:val="0"/>
                <w:noProof/>
                <w:webHidden/>
                <w:sz w:val="22"/>
              </w:rPr>
              <w:fldChar w:fldCharType="end"/>
            </w:r>
          </w:hyperlink>
        </w:p>
        <w:p w14:paraId="007B5FE5" w14:textId="2A760445" w:rsidR="00F3542F" w:rsidRPr="00F3542F" w:rsidRDefault="003040E4">
          <w:pPr>
            <w:pStyle w:val="TOC1"/>
            <w:rPr>
              <w:rFonts w:eastAsiaTheme="minorEastAsia"/>
              <w:b w:val="0"/>
              <w:lang w:eastAsia="nl-NL"/>
            </w:rPr>
          </w:pPr>
          <w:hyperlink w:anchor="_Toc517455501" w:history="1">
            <w:r w:rsidR="00F3542F" w:rsidRPr="00F3542F">
              <w:rPr>
                <w:rStyle w:val="Hyperlink"/>
                <w:color w:val="auto"/>
                <w:sz w:val="28"/>
              </w:rPr>
              <w:t>7. Conclusie</w:t>
            </w:r>
            <w:r w:rsidR="00F3542F" w:rsidRPr="00F3542F">
              <w:rPr>
                <w:webHidden/>
                <w:sz w:val="28"/>
              </w:rPr>
              <w:tab/>
            </w:r>
            <w:r w:rsidR="00F3542F" w:rsidRPr="00F3542F">
              <w:rPr>
                <w:webHidden/>
                <w:sz w:val="28"/>
              </w:rPr>
              <w:fldChar w:fldCharType="begin"/>
            </w:r>
            <w:r w:rsidR="00F3542F" w:rsidRPr="00F3542F">
              <w:rPr>
                <w:webHidden/>
                <w:sz w:val="28"/>
              </w:rPr>
              <w:instrText xml:space="preserve"> PAGEREF _Toc517455501 \h </w:instrText>
            </w:r>
            <w:r w:rsidR="00F3542F" w:rsidRPr="00F3542F">
              <w:rPr>
                <w:webHidden/>
                <w:sz w:val="28"/>
              </w:rPr>
            </w:r>
            <w:r w:rsidR="00F3542F" w:rsidRPr="00F3542F">
              <w:rPr>
                <w:webHidden/>
                <w:sz w:val="28"/>
              </w:rPr>
              <w:fldChar w:fldCharType="separate"/>
            </w:r>
            <w:r w:rsidR="00D82558">
              <w:rPr>
                <w:webHidden/>
                <w:sz w:val="28"/>
              </w:rPr>
              <w:t>66</w:t>
            </w:r>
            <w:r w:rsidR="00F3542F" w:rsidRPr="00F3542F">
              <w:rPr>
                <w:webHidden/>
                <w:sz w:val="28"/>
              </w:rPr>
              <w:fldChar w:fldCharType="end"/>
            </w:r>
          </w:hyperlink>
        </w:p>
        <w:p w14:paraId="181A8C17" w14:textId="520F46DD" w:rsidR="00F3542F" w:rsidRPr="00F3542F" w:rsidRDefault="003040E4">
          <w:pPr>
            <w:pStyle w:val="TOC2"/>
            <w:rPr>
              <w:rFonts w:asciiTheme="minorHAnsi" w:eastAsiaTheme="minorEastAsia" w:hAnsiTheme="minorHAnsi" w:cstheme="minorHAnsi"/>
              <w:b w:val="0"/>
              <w:noProof/>
              <w:sz w:val="24"/>
              <w:szCs w:val="22"/>
              <w:lang w:eastAsia="nl-NL"/>
            </w:rPr>
          </w:pPr>
          <w:hyperlink w:anchor="_Toc517455503" w:history="1">
            <w:r w:rsidR="00F3542F" w:rsidRPr="00F3542F">
              <w:rPr>
                <w:rStyle w:val="Hyperlink"/>
                <w:rFonts w:asciiTheme="minorHAnsi" w:hAnsiTheme="minorHAnsi" w:cstheme="minorHAnsi"/>
                <w:b w:val="0"/>
                <w:noProof/>
                <w:color w:val="auto"/>
                <w:sz w:val="22"/>
              </w:rPr>
              <w:t>7.1</w:t>
            </w:r>
            <w:r w:rsidR="00F3542F" w:rsidRPr="00F3542F">
              <w:rPr>
                <w:rFonts w:asciiTheme="minorHAnsi" w:eastAsiaTheme="minorEastAsia" w:hAnsiTheme="minorHAnsi" w:cstheme="minorHAnsi"/>
                <w:b w:val="0"/>
                <w:noProof/>
                <w:sz w:val="24"/>
                <w:szCs w:val="22"/>
                <w:lang w:eastAsia="nl-NL"/>
              </w:rPr>
              <w:tab/>
            </w:r>
            <w:r w:rsidR="00F3542F" w:rsidRPr="00F3542F">
              <w:rPr>
                <w:rStyle w:val="Hyperlink"/>
                <w:rFonts w:asciiTheme="minorHAnsi" w:hAnsiTheme="minorHAnsi" w:cstheme="minorHAnsi"/>
                <w:b w:val="0"/>
                <w:noProof/>
                <w:color w:val="auto"/>
                <w:sz w:val="22"/>
              </w:rPr>
              <w:t>De onderzoeksvraag</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_Toc517455503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66</w:t>
            </w:r>
            <w:r w:rsidR="00F3542F" w:rsidRPr="00F3542F">
              <w:rPr>
                <w:rFonts w:asciiTheme="minorHAnsi" w:hAnsiTheme="minorHAnsi" w:cstheme="minorHAnsi"/>
                <w:b w:val="0"/>
                <w:noProof/>
                <w:webHidden/>
                <w:sz w:val="22"/>
              </w:rPr>
              <w:fldChar w:fldCharType="end"/>
            </w:r>
          </w:hyperlink>
        </w:p>
        <w:p w14:paraId="4D7D152A" w14:textId="3F9C24A1" w:rsidR="00F3542F" w:rsidRPr="00F3542F" w:rsidRDefault="003040E4">
          <w:pPr>
            <w:pStyle w:val="TOC2"/>
            <w:rPr>
              <w:rFonts w:asciiTheme="minorHAnsi" w:eastAsiaTheme="minorEastAsia" w:hAnsiTheme="minorHAnsi" w:cstheme="minorHAnsi"/>
              <w:b w:val="0"/>
              <w:noProof/>
              <w:sz w:val="24"/>
              <w:szCs w:val="22"/>
              <w:lang w:eastAsia="nl-NL"/>
            </w:rPr>
          </w:pPr>
          <w:hyperlink w:anchor="_Toc517455504" w:history="1">
            <w:r w:rsidR="00F3542F" w:rsidRPr="00F3542F">
              <w:rPr>
                <w:rStyle w:val="Hyperlink"/>
                <w:rFonts w:asciiTheme="minorHAnsi" w:hAnsiTheme="minorHAnsi" w:cstheme="minorHAnsi"/>
                <w:b w:val="0"/>
                <w:noProof/>
                <w:color w:val="auto"/>
                <w:sz w:val="22"/>
              </w:rPr>
              <w:t>7.2</w:t>
            </w:r>
            <w:r w:rsidR="00F3542F" w:rsidRPr="00F3542F">
              <w:rPr>
                <w:rFonts w:asciiTheme="minorHAnsi" w:eastAsiaTheme="minorEastAsia" w:hAnsiTheme="minorHAnsi" w:cstheme="minorHAnsi"/>
                <w:b w:val="0"/>
                <w:noProof/>
                <w:sz w:val="24"/>
                <w:szCs w:val="22"/>
                <w:lang w:eastAsia="nl-NL"/>
              </w:rPr>
              <w:tab/>
            </w:r>
            <w:r w:rsidR="00F3542F" w:rsidRPr="00F3542F">
              <w:rPr>
                <w:rStyle w:val="Hyperlink"/>
                <w:rFonts w:asciiTheme="minorHAnsi" w:hAnsiTheme="minorHAnsi" w:cstheme="minorHAnsi"/>
                <w:b w:val="0"/>
                <w:noProof/>
                <w:color w:val="auto"/>
                <w:sz w:val="22"/>
              </w:rPr>
              <w:t>Faciliterende factoren</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_Toc517455504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66</w:t>
            </w:r>
            <w:r w:rsidR="00F3542F" w:rsidRPr="00F3542F">
              <w:rPr>
                <w:rFonts w:asciiTheme="minorHAnsi" w:hAnsiTheme="minorHAnsi" w:cstheme="minorHAnsi"/>
                <w:b w:val="0"/>
                <w:noProof/>
                <w:webHidden/>
                <w:sz w:val="22"/>
              </w:rPr>
              <w:fldChar w:fldCharType="end"/>
            </w:r>
          </w:hyperlink>
        </w:p>
        <w:p w14:paraId="52A1C42F" w14:textId="080FE6DB" w:rsidR="00F3542F" w:rsidRPr="00F3542F" w:rsidRDefault="003040E4">
          <w:pPr>
            <w:pStyle w:val="TOC2"/>
            <w:rPr>
              <w:rFonts w:asciiTheme="minorHAnsi" w:eastAsiaTheme="minorEastAsia" w:hAnsiTheme="minorHAnsi" w:cstheme="minorHAnsi"/>
              <w:b w:val="0"/>
              <w:noProof/>
              <w:sz w:val="24"/>
              <w:szCs w:val="22"/>
              <w:lang w:eastAsia="nl-NL"/>
            </w:rPr>
          </w:pPr>
          <w:hyperlink w:anchor="_Toc517455505" w:history="1">
            <w:r w:rsidR="00F3542F" w:rsidRPr="00F3542F">
              <w:rPr>
                <w:rStyle w:val="Hyperlink"/>
                <w:rFonts w:asciiTheme="minorHAnsi" w:hAnsiTheme="minorHAnsi" w:cstheme="minorHAnsi"/>
                <w:b w:val="0"/>
                <w:noProof/>
                <w:color w:val="auto"/>
                <w:sz w:val="22"/>
              </w:rPr>
              <w:t>7.3</w:t>
            </w:r>
            <w:r w:rsidR="00F3542F" w:rsidRPr="00F3542F">
              <w:rPr>
                <w:rFonts w:asciiTheme="minorHAnsi" w:eastAsiaTheme="minorEastAsia" w:hAnsiTheme="minorHAnsi" w:cstheme="minorHAnsi"/>
                <w:b w:val="0"/>
                <w:noProof/>
                <w:sz w:val="24"/>
                <w:szCs w:val="22"/>
                <w:lang w:eastAsia="nl-NL"/>
              </w:rPr>
              <w:tab/>
            </w:r>
            <w:r w:rsidR="00F3542F" w:rsidRPr="00F3542F">
              <w:rPr>
                <w:rStyle w:val="Hyperlink"/>
                <w:rFonts w:asciiTheme="minorHAnsi" w:hAnsiTheme="minorHAnsi" w:cstheme="minorHAnsi"/>
                <w:b w:val="0"/>
                <w:noProof/>
                <w:color w:val="auto"/>
                <w:sz w:val="22"/>
              </w:rPr>
              <w:t>Belemmerende factoren</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_Toc517455505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68</w:t>
            </w:r>
            <w:r w:rsidR="00F3542F" w:rsidRPr="00F3542F">
              <w:rPr>
                <w:rFonts w:asciiTheme="minorHAnsi" w:hAnsiTheme="minorHAnsi" w:cstheme="minorHAnsi"/>
                <w:b w:val="0"/>
                <w:noProof/>
                <w:webHidden/>
                <w:sz w:val="22"/>
              </w:rPr>
              <w:fldChar w:fldCharType="end"/>
            </w:r>
          </w:hyperlink>
        </w:p>
        <w:p w14:paraId="22F03204" w14:textId="68B025A7" w:rsidR="00F3542F" w:rsidRPr="00F3542F" w:rsidRDefault="003040E4">
          <w:pPr>
            <w:pStyle w:val="TOC2"/>
            <w:rPr>
              <w:rFonts w:asciiTheme="minorHAnsi" w:eastAsiaTheme="minorEastAsia" w:hAnsiTheme="minorHAnsi" w:cstheme="minorHAnsi"/>
              <w:b w:val="0"/>
              <w:noProof/>
              <w:sz w:val="24"/>
              <w:szCs w:val="22"/>
              <w:lang w:eastAsia="nl-NL"/>
            </w:rPr>
          </w:pPr>
          <w:hyperlink w:anchor="_Toc517455506" w:history="1">
            <w:r w:rsidR="00F3542F" w:rsidRPr="00F3542F">
              <w:rPr>
                <w:rStyle w:val="Hyperlink"/>
                <w:rFonts w:asciiTheme="minorHAnsi" w:hAnsiTheme="minorHAnsi" w:cstheme="minorHAnsi"/>
                <w:b w:val="0"/>
                <w:noProof/>
                <w:color w:val="auto"/>
                <w:sz w:val="22"/>
              </w:rPr>
              <w:t>7.4</w:t>
            </w:r>
            <w:r w:rsidR="00F3542F" w:rsidRPr="00F3542F">
              <w:rPr>
                <w:rFonts w:asciiTheme="minorHAnsi" w:eastAsiaTheme="minorEastAsia" w:hAnsiTheme="minorHAnsi" w:cstheme="minorHAnsi"/>
                <w:b w:val="0"/>
                <w:noProof/>
                <w:sz w:val="24"/>
                <w:szCs w:val="22"/>
                <w:lang w:eastAsia="nl-NL"/>
              </w:rPr>
              <w:tab/>
            </w:r>
            <w:r w:rsidR="00F3542F" w:rsidRPr="00F3542F">
              <w:rPr>
                <w:rStyle w:val="Hyperlink"/>
                <w:rFonts w:asciiTheme="minorHAnsi" w:hAnsiTheme="minorHAnsi" w:cstheme="minorHAnsi"/>
                <w:b w:val="0"/>
                <w:noProof/>
                <w:color w:val="auto"/>
                <w:sz w:val="22"/>
              </w:rPr>
              <w:t>De maatschappelijke meerwaarde en aanbevelingen</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_Toc517455506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70</w:t>
            </w:r>
            <w:r w:rsidR="00F3542F" w:rsidRPr="00F3542F">
              <w:rPr>
                <w:rFonts w:asciiTheme="minorHAnsi" w:hAnsiTheme="minorHAnsi" w:cstheme="minorHAnsi"/>
                <w:b w:val="0"/>
                <w:noProof/>
                <w:webHidden/>
                <w:sz w:val="22"/>
              </w:rPr>
              <w:fldChar w:fldCharType="end"/>
            </w:r>
          </w:hyperlink>
        </w:p>
        <w:p w14:paraId="73BB8F5A" w14:textId="74416609" w:rsidR="00F3542F" w:rsidRPr="00F3542F" w:rsidRDefault="003040E4">
          <w:pPr>
            <w:pStyle w:val="TOC2"/>
            <w:rPr>
              <w:rFonts w:asciiTheme="minorHAnsi" w:eastAsiaTheme="minorEastAsia" w:hAnsiTheme="minorHAnsi" w:cstheme="minorHAnsi"/>
              <w:b w:val="0"/>
              <w:noProof/>
              <w:sz w:val="24"/>
              <w:szCs w:val="22"/>
              <w:lang w:eastAsia="nl-NL"/>
            </w:rPr>
          </w:pPr>
          <w:hyperlink w:anchor="_Toc517455507" w:history="1">
            <w:r w:rsidR="00F3542F" w:rsidRPr="00F3542F">
              <w:rPr>
                <w:rStyle w:val="Hyperlink"/>
                <w:rFonts w:asciiTheme="minorHAnsi" w:hAnsiTheme="minorHAnsi" w:cstheme="minorHAnsi"/>
                <w:b w:val="0"/>
                <w:noProof/>
                <w:color w:val="auto"/>
                <w:sz w:val="22"/>
              </w:rPr>
              <w:t>7.5</w:t>
            </w:r>
            <w:r w:rsidR="00F3542F" w:rsidRPr="00F3542F">
              <w:rPr>
                <w:rFonts w:asciiTheme="minorHAnsi" w:eastAsiaTheme="minorEastAsia" w:hAnsiTheme="minorHAnsi" w:cstheme="minorHAnsi"/>
                <w:b w:val="0"/>
                <w:noProof/>
                <w:sz w:val="24"/>
                <w:szCs w:val="22"/>
                <w:lang w:eastAsia="nl-NL"/>
              </w:rPr>
              <w:tab/>
            </w:r>
            <w:r w:rsidR="00F3542F" w:rsidRPr="00F3542F">
              <w:rPr>
                <w:rStyle w:val="Hyperlink"/>
                <w:rFonts w:asciiTheme="minorHAnsi" w:hAnsiTheme="minorHAnsi" w:cstheme="minorHAnsi"/>
                <w:b w:val="0"/>
                <w:noProof/>
                <w:color w:val="auto"/>
                <w:sz w:val="22"/>
              </w:rPr>
              <w:t>Reflectie op het onderzoek</w:t>
            </w:r>
            <w:r w:rsidR="00F3542F" w:rsidRPr="00F3542F">
              <w:rPr>
                <w:rFonts w:asciiTheme="minorHAnsi" w:hAnsiTheme="minorHAnsi" w:cstheme="minorHAnsi"/>
                <w:b w:val="0"/>
                <w:noProof/>
                <w:webHidden/>
                <w:sz w:val="22"/>
              </w:rPr>
              <w:tab/>
            </w:r>
            <w:r w:rsidR="00F3542F" w:rsidRPr="00F3542F">
              <w:rPr>
                <w:rFonts w:asciiTheme="minorHAnsi" w:hAnsiTheme="minorHAnsi" w:cstheme="minorHAnsi"/>
                <w:b w:val="0"/>
                <w:noProof/>
                <w:webHidden/>
                <w:sz w:val="22"/>
              </w:rPr>
              <w:fldChar w:fldCharType="begin"/>
            </w:r>
            <w:r w:rsidR="00F3542F" w:rsidRPr="00F3542F">
              <w:rPr>
                <w:rFonts w:asciiTheme="minorHAnsi" w:hAnsiTheme="minorHAnsi" w:cstheme="minorHAnsi"/>
                <w:b w:val="0"/>
                <w:noProof/>
                <w:webHidden/>
                <w:sz w:val="22"/>
              </w:rPr>
              <w:instrText xml:space="preserve"> PAGEREF _Toc517455507 \h </w:instrText>
            </w:r>
            <w:r w:rsidR="00F3542F" w:rsidRPr="00F3542F">
              <w:rPr>
                <w:rFonts w:asciiTheme="minorHAnsi" w:hAnsiTheme="minorHAnsi" w:cstheme="minorHAnsi"/>
                <w:b w:val="0"/>
                <w:noProof/>
                <w:webHidden/>
                <w:sz w:val="22"/>
              </w:rPr>
            </w:r>
            <w:r w:rsidR="00F3542F" w:rsidRPr="00F3542F">
              <w:rPr>
                <w:rFonts w:asciiTheme="minorHAnsi" w:hAnsiTheme="minorHAnsi" w:cstheme="minorHAnsi"/>
                <w:b w:val="0"/>
                <w:noProof/>
                <w:webHidden/>
                <w:sz w:val="22"/>
              </w:rPr>
              <w:fldChar w:fldCharType="separate"/>
            </w:r>
            <w:r w:rsidR="00D82558">
              <w:rPr>
                <w:rFonts w:asciiTheme="minorHAnsi" w:hAnsiTheme="minorHAnsi" w:cstheme="minorHAnsi"/>
                <w:b w:val="0"/>
                <w:noProof/>
                <w:webHidden/>
                <w:sz w:val="22"/>
              </w:rPr>
              <w:t>70</w:t>
            </w:r>
            <w:r w:rsidR="00F3542F" w:rsidRPr="00F3542F">
              <w:rPr>
                <w:rFonts w:asciiTheme="minorHAnsi" w:hAnsiTheme="minorHAnsi" w:cstheme="minorHAnsi"/>
                <w:b w:val="0"/>
                <w:noProof/>
                <w:webHidden/>
                <w:sz w:val="22"/>
              </w:rPr>
              <w:fldChar w:fldCharType="end"/>
            </w:r>
          </w:hyperlink>
        </w:p>
        <w:p w14:paraId="7D776FF8" w14:textId="39B10499" w:rsidR="00F3542F" w:rsidRPr="00F3542F" w:rsidRDefault="003040E4">
          <w:pPr>
            <w:pStyle w:val="TOC1"/>
            <w:rPr>
              <w:rFonts w:eastAsiaTheme="minorEastAsia"/>
              <w:b w:val="0"/>
              <w:lang w:eastAsia="nl-NL"/>
            </w:rPr>
          </w:pPr>
          <w:hyperlink w:anchor="_Toc517455508" w:history="1">
            <w:r w:rsidR="00F3542F" w:rsidRPr="00F3542F">
              <w:rPr>
                <w:rStyle w:val="Hyperlink"/>
                <w:color w:val="auto"/>
                <w:sz w:val="28"/>
              </w:rPr>
              <w:t>8. Literatuurlijst</w:t>
            </w:r>
            <w:r w:rsidR="00F3542F" w:rsidRPr="00F3542F">
              <w:rPr>
                <w:webHidden/>
                <w:sz w:val="28"/>
              </w:rPr>
              <w:tab/>
            </w:r>
            <w:r w:rsidR="00F3542F" w:rsidRPr="00F3542F">
              <w:rPr>
                <w:webHidden/>
                <w:sz w:val="28"/>
              </w:rPr>
              <w:fldChar w:fldCharType="begin"/>
            </w:r>
            <w:r w:rsidR="00F3542F" w:rsidRPr="00F3542F">
              <w:rPr>
                <w:webHidden/>
                <w:sz w:val="28"/>
              </w:rPr>
              <w:instrText xml:space="preserve"> PAGEREF _Toc517455508 \h </w:instrText>
            </w:r>
            <w:r w:rsidR="00F3542F" w:rsidRPr="00F3542F">
              <w:rPr>
                <w:webHidden/>
                <w:sz w:val="28"/>
              </w:rPr>
            </w:r>
            <w:r w:rsidR="00F3542F" w:rsidRPr="00F3542F">
              <w:rPr>
                <w:webHidden/>
                <w:sz w:val="28"/>
              </w:rPr>
              <w:fldChar w:fldCharType="separate"/>
            </w:r>
            <w:r w:rsidR="00D82558">
              <w:rPr>
                <w:webHidden/>
                <w:sz w:val="28"/>
              </w:rPr>
              <w:t>72</w:t>
            </w:r>
            <w:r w:rsidR="00F3542F" w:rsidRPr="00F3542F">
              <w:rPr>
                <w:webHidden/>
                <w:sz w:val="28"/>
              </w:rPr>
              <w:fldChar w:fldCharType="end"/>
            </w:r>
          </w:hyperlink>
        </w:p>
        <w:p w14:paraId="6A0F7C18" w14:textId="3FA7839F" w:rsidR="00F3542F" w:rsidRPr="00F3542F" w:rsidRDefault="003040E4">
          <w:pPr>
            <w:pStyle w:val="TOC1"/>
            <w:rPr>
              <w:rFonts w:eastAsiaTheme="minorEastAsia"/>
              <w:b w:val="0"/>
              <w:lang w:eastAsia="nl-NL"/>
            </w:rPr>
          </w:pPr>
          <w:hyperlink w:anchor="_Toc517455509" w:history="1">
            <w:r w:rsidR="00F3542F" w:rsidRPr="00F3542F">
              <w:rPr>
                <w:rStyle w:val="Hyperlink"/>
                <w:color w:val="auto"/>
                <w:sz w:val="28"/>
              </w:rPr>
              <w:t>Bijlagen</w:t>
            </w:r>
            <w:r w:rsidR="00F3542F" w:rsidRPr="00F3542F">
              <w:rPr>
                <w:webHidden/>
                <w:sz w:val="28"/>
              </w:rPr>
              <w:tab/>
            </w:r>
            <w:r w:rsidR="00F3542F" w:rsidRPr="00F3542F">
              <w:rPr>
                <w:webHidden/>
                <w:sz w:val="28"/>
              </w:rPr>
              <w:fldChar w:fldCharType="begin"/>
            </w:r>
            <w:r w:rsidR="00F3542F" w:rsidRPr="00F3542F">
              <w:rPr>
                <w:webHidden/>
                <w:sz w:val="28"/>
              </w:rPr>
              <w:instrText xml:space="preserve"> PAGEREF _Toc517455509 \h </w:instrText>
            </w:r>
            <w:r w:rsidR="00F3542F" w:rsidRPr="00F3542F">
              <w:rPr>
                <w:webHidden/>
                <w:sz w:val="28"/>
              </w:rPr>
            </w:r>
            <w:r w:rsidR="00F3542F" w:rsidRPr="00F3542F">
              <w:rPr>
                <w:webHidden/>
                <w:sz w:val="28"/>
              </w:rPr>
              <w:fldChar w:fldCharType="separate"/>
            </w:r>
            <w:r w:rsidR="00D82558">
              <w:rPr>
                <w:webHidden/>
                <w:sz w:val="28"/>
              </w:rPr>
              <w:t>79</w:t>
            </w:r>
            <w:r w:rsidR="00F3542F" w:rsidRPr="00F3542F">
              <w:rPr>
                <w:webHidden/>
                <w:sz w:val="28"/>
              </w:rPr>
              <w:fldChar w:fldCharType="end"/>
            </w:r>
          </w:hyperlink>
        </w:p>
        <w:p w14:paraId="6F18A06C" w14:textId="4B2287F9" w:rsidR="00F3542F" w:rsidRPr="00F3542F" w:rsidRDefault="003040E4">
          <w:pPr>
            <w:pStyle w:val="TOC2"/>
            <w:rPr>
              <w:rFonts w:asciiTheme="minorHAnsi" w:eastAsiaTheme="minorEastAsia" w:hAnsiTheme="minorHAnsi" w:cstheme="minorHAnsi"/>
              <w:b w:val="0"/>
              <w:noProof/>
              <w:sz w:val="24"/>
              <w:szCs w:val="22"/>
              <w:lang w:eastAsia="nl-NL"/>
            </w:rPr>
          </w:pPr>
          <w:hyperlink w:anchor="_Toc517455510" w:history="1">
            <w:r w:rsidR="00F3542F" w:rsidRPr="00F3542F">
              <w:rPr>
                <w:rStyle w:val="Hyperlink"/>
                <w:rFonts w:asciiTheme="minorHAnsi" w:hAnsiTheme="minorHAnsi" w:cstheme="minorHAnsi"/>
                <w:noProof/>
                <w:color w:val="auto"/>
                <w:sz w:val="22"/>
              </w:rPr>
              <w:t>1.</w:t>
            </w:r>
            <w:r w:rsidR="00F3542F" w:rsidRPr="00F3542F">
              <w:rPr>
                <w:rFonts w:asciiTheme="minorHAnsi" w:eastAsiaTheme="minorEastAsia" w:hAnsiTheme="minorHAnsi" w:cstheme="minorHAnsi"/>
                <w:b w:val="0"/>
                <w:noProof/>
                <w:sz w:val="24"/>
                <w:szCs w:val="22"/>
                <w:lang w:eastAsia="nl-NL"/>
              </w:rPr>
              <w:tab/>
            </w:r>
            <w:r w:rsidR="00F3542F" w:rsidRPr="00F3542F">
              <w:rPr>
                <w:rStyle w:val="Hyperlink"/>
                <w:rFonts w:asciiTheme="minorHAnsi" w:hAnsiTheme="minorHAnsi" w:cstheme="minorHAnsi"/>
                <w:b w:val="0"/>
                <w:noProof/>
                <w:color w:val="auto"/>
                <w:sz w:val="22"/>
              </w:rPr>
              <w:t>Interviewguide</w:t>
            </w:r>
            <w:r w:rsidR="00F3542F" w:rsidRPr="00F3542F">
              <w:rPr>
                <w:rFonts w:asciiTheme="minorHAnsi" w:hAnsiTheme="minorHAnsi" w:cstheme="minorHAnsi"/>
                <w:noProof/>
                <w:webHidden/>
                <w:sz w:val="22"/>
              </w:rPr>
              <w:tab/>
            </w:r>
            <w:r w:rsidR="00F3542F" w:rsidRPr="00F3542F">
              <w:rPr>
                <w:rFonts w:asciiTheme="minorHAnsi" w:hAnsiTheme="minorHAnsi" w:cstheme="minorHAnsi"/>
                <w:noProof/>
                <w:webHidden/>
                <w:sz w:val="22"/>
              </w:rPr>
              <w:fldChar w:fldCharType="begin"/>
            </w:r>
            <w:r w:rsidR="00F3542F" w:rsidRPr="00F3542F">
              <w:rPr>
                <w:rFonts w:asciiTheme="minorHAnsi" w:hAnsiTheme="minorHAnsi" w:cstheme="minorHAnsi"/>
                <w:noProof/>
                <w:webHidden/>
                <w:sz w:val="22"/>
              </w:rPr>
              <w:instrText xml:space="preserve"> PAGEREF _Toc517455510 \h </w:instrText>
            </w:r>
            <w:r w:rsidR="00F3542F" w:rsidRPr="00F3542F">
              <w:rPr>
                <w:rFonts w:asciiTheme="minorHAnsi" w:hAnsiTheme="minorHAnsi" w:cstheme="minorHAnsi"/>
                <w:noProof/>
                <w:webHidden/>
                <w:sz w:val="22"/>
              </w:rPr>
            </w:r>
            <w:r w:rsidR="00F3542F" w:rsidRPr="00F3542F">
              <w:rPr>
                <w:rFonts w:asciiTheme="minorHAnsi" w:hAnsiTheme="minorHAnsi" w:cstheme="minorHAnsi"/>
                <w:noProof/>
                <w:webHidden/>
                <w:sz w:val="22"/>
              </w:rPr>
              <w:fldChar w:fldCharType="separate"/>
            </w:r>
            <w:r w:rsidR="00D82558">
              <w:rPr>
                <w:rFonts w:asciiTheme="minorHAnsi" w:hAnsiTheme="minorHAnsi" w:cstheme="minorHAnsi"/>
                <w:noProof/>
                <w:webHidden/>
                <w:sz w:val="22"/>
              </w:rPr>
              <w:t>79</w:t>
            </w:r>
            <w:r w:rsidR="00F3542F" w:rsidRPr="00F3542F">
              <w:rPr>
                <w:rFonts w:asciiTheme="minorHAnsi" w:hAnsiTheme="minorHAnsi" w:cstheme="minorHAnsi"/>
                <w:noProof/>
                <w:webHidden/>
                <w:sz w:val="22"/>
              </w:rPr>
              <w:fldChar w:fldCharType="end"/>
            </w:r>
          </w:hyperlink>
        </w:p>
        <w:p w14:paraId="34C237BD" w14:textId="62BBEF75" w:rsidR="00537F8E" w:rsidRDefault="00537F8E">
          <w:r>
            <w:rPr>
              <w:b/>
              <w:bCs/>
            </w:rPr>
            <w:fldChar w:fldCharType="end"/>
          </w:r>
        </w:p>
      </w:sdtContent>
    </w:sdt>
    <w:p w14:paraId="224AB702" w14:textId="77777777" w:rsidR="00C15396" w:rsidRDefault="00C15396" w:rsidP="009C6A05">
      <w:pPr>
        <w:pStyle w:val="NoSpacing"/>
        <w:rPr>
          <w:b/>
          <w:sz w:val="32"/>
        </w:rPr>
      </w:pPr>
    </w:p>
    <w:p w14:paraId="67902409" w14:textId="7B286C3B" w:rsidR="00CD5B36" w:rsidRPr="00C15396" w:rsidRDefault="00CD5B36" w:rsidP="009C6A05">
      <w:pPr>
        <w:pStyle w:val="NoSpacing"/>
        <w:rPr>
          <w:b/>
          <w:sz w:val="32"/>
          <w:lang w:val="en-US"/>
        </w:rPr>
      </w:pPr>
      <w:r w:rsidRPr="00C15396">
        <w:rPr>
          <w:b/>
          <w:sz w:val="32"/>
          <w:lang w:val="en-US"/>
        </w:rPr>
        <w:br w:type="page"/>
      </w:r>
    </w:p>
    <w:p w14:paraId="713711BF" w14:textId="0F98D442" w:rsidR="002912E2" w:rsidRPr="00827EE2" w:rsidRDefault="002912E2" w:rsidP="002915EA">
      <w:pPr>
        <w:pStyle w:val="Heading1"/>
      </w:pPr>
      <w:bookmarkStart w:id="2" w:name="_Toc517455437"/>
      <w:r w:rsidRPr="00827EE2">
        <w:lastRenderedPageBreak/>
        <w:t>1.</w:t>
      </w:r>
      <w:r w:rsidRPr="00827EE2">
        <w:tab/>
      </w:r>
      <w:r w:rsidRPr="002915EA">
        <w:t>Inleiding</w:t>
      </w:r>
      <w:bookmarkEnd w:id="2"/>
    </w:p>
    <w:p w14:paraId="68B0AF97" w14:textId="77777777" w:rsidR="002912E2" w:rsidRDefault="002912E2" w:rsidP="002912E2">
      <w:pPr>
        <w:pStyle w:val="NoSpacing"/>
      </w:pPr>
    </w:p>
    <w:p w14:paraId="72E796BE" w14:textId="7CE8CC0D" w:rsidR="002912E2" w:rsidRPr="009B71F1" w:rsidRDefault="002912E2" w:rsidP="002915EA">
      <w:pPr>
        <w:pStyle w:val="Heading2"/>
        <w:rPr>
          <w:color w:val="1F3864" w:themeColor="accent1" w:themeShade="80"/>
        </w:rPr>
      </w:pPr>
      <w:bookmarkStart w:id="3" w:name="_Toc517455438"/>
      <w:r w:rsidRPr="009B71F1">
        <w:rPr>
          <w:color w:val="1F3864" w:themeColor="accent1" w:themeShade="80"/>
        </w:rPr>
        <w:t>Aanleiding</w:t>
      </w:r>
      <w:bookmarkEnd w:id="3"/>
    </w:p>
    <w:p w14:paraId="398EF414" w14:textId="1D78D92D" w:rsidR="002912E2" w:rsidRPr="009C6A05" w:rsidRDefault="002912E2" w:rsidP="002912E2">
      <w:pPr>
        <w:pStyle w:val="NoSpacing"/>
        <w:spacing w:line="276" w:lineRule="auto"/>
        <w:rPr>
          <w:rStyle w:val="CommentReference"/>
          <w:rFonts w:cstheme="minorHAnsi"/>
          <w:sz w:val="22"/>
          <w:szCs w:val="22"/>
        </w:rPr>
      </w:pPr>
      <w:r w:rsidRPr="009C6A05">
        <w:rPr>
          <w:rFonts w:cstheme="minorHAnsi"/>
          <w:szCs w:val="22"/>
        </w:rPr>
        <w:t>De Nederlandse publieke sector heeft in de afgelopen jaren miljarden euro’s verspilt aan mislukte ICT-projecten (</w:t>
      </w:r>
      <w:proofErr w:type="spellStart"/>
      <w:r w:rsidR="007A74BD">
        <w:rPr>
          <w:rStyle w:val="Hyperlink"/>
          <w:rFonts w:cstheme="minorHAnsi"/>
          <w:color w:val="auto"/>
          <w:szCs w:val="22"/>
          <w:u w:val="none"/>
        </w:rPr>
        <w:t>Deira</w:t>
      </w:r>
      <w:proofErr w:type="spellEnd"/>
      <w:r w:rsidRPr="009C6A05">
        <w:rPr>
          <w:rFonts w:cstheme="minorHAnsi"/>
          <w:szCs w:val="22"/>
        </w:rPr>
        <w:t>, 2014). Door de complexiteit van de projecten en kennisgebrek worden de risico’s niet overzien. Daarnaast is de inkoopfunctie onprofessioneel (Tweede Kamer der Staten-Generaal, 2014). Echter wordt diezelfde overheid door steeds sterkere financiële druk gedwongen om efficiënt en doelmatig om te gaan met publieke middelen (Gemeente Bunnik, 2016). De overheid dient dan ook grip te krijgen op deze projecten. ICT is door technologische ontwikkelingen sterk ingebed binnen de sector (</w:t>
      </w:r>
      <w:proofErr w:type="spellStart"/>
      <w:r w:rsidRPr="009C6A05">
        <w:rPr>
          <w:rFonts w:cstheme="minorHAnsi"/>
          <w:szCs w:val="22"/>
        </w:rPr>
        <w:t>Rozemeijer</w:t>
      </w:r>
      <w:proofErr w:type="spellEnd"/>
      <w:r w:rsidRPr="009C6A05">
        <w:rPr>
          <w:rFonts w:cstheme="minorHAnsi"/>
          <w:szCs w:val="22"/>
        </w:rPr>
        <w:t>, 2000). Dit zal de komende almaar toenemen. ICT is binnen een breder proces van digitalisering teven</w:t>
      </w:r>
      <w:r w:rsidR="00957421">
        <w:rPr>
          <w:rFonts w:cstheme="minorHAnsi"/>
          <w:szCs w:val="22"/>
        </w:rPr>
        <w:t>s</w:t>
      </w:r>
      <w:r w:rsidRPr="009C6A05">
        <w:rPr>
          <w:rFonts w:cstheme="minorHAnsi"/>
          <w:szCs w:val="22"/>
        </w:rPr>
        <w:t xml:space="preserve"> tot andere lagen van de samenleving doorgedrongen. Zo ook in het onderwijs. Onderwijsinstellingen zijn voor nieuwe uitdagingen gesteld om hier adequaat mee om te gaan (PlatformOnderwijs2032, 2016). ICT vormt een belangrijke eis van modern en kwalitatief onderwijs (Wereldbank, 2016; Simons, 2002). Het vormt de basis voor het primair proces (Fischer, 1997). ICT dient binnen de scholen in orde te zijn. Inkoop vormt de eerste en wellicht de belangrijkste stap om te voldoen aan deze uitdaging. Bij inkoop gaat het feitelijk om de aanschaf van producten en diensten die de organisatie nodig heeft </w:t>
      </w:r>
      <w:r w:rsidR="00957421">
        <w:rPr>
          <w:rFonts w:cstheme="minorHAnsi"/>
          <w:szCs w:val="22"/>
        </w:rPr>
        <w:t xml:space="preserve">voor </w:t>
      </w:r>
      <w:r w:rsidRPr="009C6A05">
        <w:rPr>
          <w:rFonts w:cstheme="minorHAnsi"/>
          <w:szCs w:val="22"/>
        </w:rPr>
        <w:t xml:space="preserve">haar voortbestaan, maar niet in staat is deze zelf tot stand te brengen (Van Weele, 1994). Inkoop heeft direct en indirect invloed op het functioneren van organisaties en vormt een zichtbaar deel van de begroting (Telgen, 2001; Gelderman &amp; </w:t>
      </w:r>
      <w:proofErr w:type="spellStart"/>
      <w:r w:rsidRPr="009C6A05">
        <w:rPr>
          <w:rFonts w:cstheme="minorHAnsi"/>
          <w:szCs w:val="22"/>
        </w:rPr>
        <w:t>Albronda</w:t>
      </w:r>
      <w:proofErr w:type="spellEnd"/>
      <w:r w:rsidRPr="009C6A05">
        <w:rPr>
          <w:rFonts w:cstheme="minorHAnsi"/>
          <w:szCs w:val="22"/>
        </w:rPr>
        <w:t>, 1999, Van Weele, 1992).</w:t>
      </w:r>
      <w:r w:rsidRPr="009C6A05">
        <w:rPr>
          <w:rStyle w:val="CommentReference"/>
          <w:rFonts w:cstheme="minorHAnsi"/>
          <w:sz w:val="22"/>
          <w:szCs w:val="22"/>
        </w:rPr>
        <w:t xml:space="preserve"> </w:t>
      </w:r>
    </w:p>
    <w:p w14:paraId="3C368340" w14:textId="78126E44" w:rsidR="002912E2" w:rsidRPr="009C6A05" w:rsidRDefault="002912E2" w:rsidP="002912E2">
      <w:pPr>
        <w:pStyle w:val="NoSpacing"/>
        <w:spacing w:line="276" w:lineRule="auto"/>
        <w:rPr>
          <w:rFonts w:cstheme="minorHAnsi"/>
          <w:szCs w:val="22"/>
        </w:rPr>
      </w:pPr>
      <w:r w:rsidRPr="009C6A05">
        <w:rPr>
          <w:rStyle w:val="CommentReference"/>
          <w:rFonts w:cstheme="minorHAnsi"/>
          <w:sz w:val="22"/>
          <w:szCs w:val="22"/>
        </w:rPr>
        <w:tab/>
        <w:t>Echter is in</w:t>
      </w:r>
      <w:r w:rsidRPr="009C6A05">
        <w:rPr>
          <w:rFonts w:cstheme="minorHAnsi"/>
          <w:szCs w:val="22"/>
        </w:rPr>
        <w:t>koop van ICT complex en behoeft specialistische kennis (</w:t>
      </w:r>
      <w:hyperlink r:id="rId12" w:history="1"/>
      <w:r w:rsidRPr="009C6A05">
        <w:rPr>
          <w:rFonts w:cstheme="minorHAnsi"/>
          <w:szCs w:val="22"/>
        </w:rPr>
        <w:t xml:space="preserve">Kennisnet, 2007). Deze kennis is onvoldoende aanwezig binnen </w:t>
      </w:r>
      <w:r w:rsidR="00957421">
        <w:rPr>
          <w:rFonts w:cstheme="minorHAnsi"/>
          <w:szCs w:val="22"/>
        </w:rPr>
        <w:t xml:space="preserve">de </w:t>
      </w:r>
      <w:r w:rsidRPr="009C6A05">
        <w:rPr>
          <w:rFonts w:cstheme="minorHAnsi"/>
          <w:szCs w:val="22"/>
        </w:rPr>
        <w:t xml:space="preserve">scholen. De disruptieve ontwikkeling van technologie vraagt om aandacht. Er zijn nieuwe uitdagingen ontstaan. De eisen waaraan een digitale leerbord aan moet voldoen zijn immers omvangrijker en complexer dan de producten die de scholen van oudsher kopen. Naast een relatief korte levensduur is ICT doorgaans ook verbonden aan stelselmatig onderhoud. Scholen kopen veelal (tijdelijke) licenties in voor specifieke platformen. Er is behoefte aan duurzame samenwerking met de leverancier om de continuïteit te waarborgen. De mate van efficiëntie van inkoop hangt af van de prestaties van de leverancier. Tevens ná de inkoop. </w:t>
      </w:r>
    </w:p>
    <w:p w14:paraId="1255FBE1" w14:textId="795FEE35" w:rsidR="002912E2" w:rsidRPr="009C6A05" w:rsidRDefault="002912E2" w:rsidP="002912E2">
      <w:pPr>
        <w:pStyle w:val="NoSpacing"/>
        <w:spacing w:line="276" w:lineRule="auto"/>
        <w:ind w:firstLine="708"/>
        <w:rPr>
          <w:rFonts w:cstheme="minorHAnsi"/>
          <w:color w:val="000000" w:themeColor="text1"/>
          <w:szCs w:val="22"/>
        </w:rPr>
      </w:pPr>
      <w:r w:rsidRPr="009C6A05">
        <w:rPr>
          <w:rFonts w:cstheme="minorHAnsi"/>
          <w:color w:val="000000" w:themeColor="text1"/>
          <w:szCs w:val="22"/>
        </w:rPr>
        <w:t xml:space="preserve">De complexiteit van ICT zorgt voor kennisasymmetrie binnen </w:t>
      </w:r>
      <w:r w:rsidR="00957421">
        <w:rPr>
          <w:rFonts w:cstheme="minorHAnsi"/>
          <w:color w:val="000000" w:themeColor="text1"/>
          <w:szCs w:val="22"/>
        </w:rPr>
        <w:t xml:space="preserve">de </w:t>
      </w:r>
      <w:r w:rsidRPr="009C6A05">
        <w:rPr>
          <w:rFonts w:cstheme="minorHAnsi"/>
          <w:color w:val="000000" w:themeColor="text1"/>
          <w:szCs w:val="22"/>
        </w:rPr>
        <w:t>opdrachtgeverschap. De ICT-leverancier is de specialist en bezit kennis wat de onderwijsinstelling niet in huis heeft. Uit onderzoek blijk dat onderwijsinstellingen te maken hebben met kennisachterstand en gebrek aan professionaliteit wanneer het op technologische producten en diensten aankomt (</w:t>
      </w:r>
      <w:r w:rsidR="003040E4">
        <w:fldChar w:fldCharType="begin"/>
      </w:r>
      <w:r w:rsidR="003040E4">
        <w:instrText xml:space="preserve"> HYPERLINK "https://www.doorbraakonderwijsenict.nl/2017/04/03/aanbestedingsadviesraad-onderwijs-ict/" </w:instrText>
      </w:r>
      <w:r w:rsidR="003040E4">
        <w:fldChar w:fldCharType="separate"/>
      </w:r>
      <w:r w:rsidR="003040E4">
        <w:fldChar w:fldCharType="end"/>
      </w:r>
      <w:r w:rsidRPr="009C6A05">
        <w:rPr>
          <w:rStyle w:val="Hyperlink"/>
          <w:rFonts w:cstheme="minorHAnsi"/>
          <w:color w:val="000000" w:themeColor="text1"/>
          <w:szCs w:val="22"/>
          <w:u w:val="none"/>
        </w:rPr>
        <w:t>Stuurgroep Doorbraakproject Onderwijs &amp; ICT, 2018</w:t>
      </w:r>
      <w:r w:rsidRPr="009C6A05">
        <w:rPr>
          <w:rFonts w:cstheme="minorHAnsi"/>
          <w:color w:val="000000" w:themeColor="text1"/>
          <w:szCs w:val="22"/>
        </w:rPr>
        <w:t>). Schoolbesturen worstelen dan ook regelmatig met hun inkooptrajecten en aanbestedingen. De opdrachtnemer bezit meer kennis dan de opdrachtgever, waardoor er gevaar van misleiding ontstaat. Dit gebrek aan specialistische kennis leidt tot grote afhankelijkheid van de leverancier</w:t>
      </w:r>
      <w:r w:rsidR="003040E4">
        <w:rPr>
          <w:rFonts w:cstheme="minorHAnsi"/>
          <w:color w:val="000000" w:themeColor="text1"/>
          <w:szCs w:val="22"/>
        </w:rPr>
        <w:t xml:space="preserve"> </w:t>
      </w:r>
      <w:r w:rsidRPr="009C6A05">
        <w:rPr>
          <w:rFonts w:cstheme="minorHAnsi"/>
          <w:color w:val="000000" w:themeColor="text1"/>
          <w:szCs w:val="22"/>
        </w:rPr>
        <w:t>(</w:t>
      </w:r>
      <w:r w:rsidR="003040E4">
        <w:fldChar w:fldCharType="begin"/>
      </w:r>
      <w:r w:rsidR="003040E4">
        <w:instrText xml:space="preserve"> HYPERLINK "https://www.inkoopportal.com/inkoopportal/download/inkoopfunctie/waarde-cre-ren-in-de-keten-kibbeling-van-weele.pdf" </w:instrText>
      </w:r>
      <w:r w:rsidR="003040E4">
        <w:fldChar w:fldCharType="separate"/>
      </w:r>
      <w:r w:rsidR="003040E4">
        <w:fldChar w:fldCharType="end"/>
      </w:r>
      <w:r w:rsidRPr="009C6A05">
        <w:rPr>
          <w:rFonts w:cstheme="minorHAnsi"/>
          <w:color w:val="000000" w:themeColor="text1"/>
          <w:szCs w:val="22"/>
        </w:rPr>
        <w:t>Van Weele &amp; Kibbeling, 2010). Kennis- en informatieasymmetrie creëert een situatie waarbij een partij substantieel een betere positie heeft dan de partij met minder kennis. Wanneer dit tot ongebalanceerde machtsverhouding</w:t>
      </w:r>
      <w:r w:rsidR="003040E4">
        <w:rPr>
          <w:rFonts w:cstheme="minorHAnsi"/>
          <w:color w:val="000000" w:themeColor="text1"/>
          <w:szCs w:val="22"/>
        </w:rPr>
        <w:t>en</w:t>
      </w:r>
      <w:r w:rsidRPr="009C6A05">
        <w:rPr>
          <w:rFonts w:cstheme="minorHAnsi"/>
          <w:color w:val="000000" w:themeColor="text1"/>
          <w:szCs w:val="22"/>
        </w:rPr>
        <w:t xml:space="preserve"> leidt, lopen de scholen het gevaar om misleidt te worden door opdrachtnemers. </w:t>
      </w:r>
    </w:p>
    <w:p w14:paraId="07ACA11C" w14:textId="704251B9" w:rsidR="002912E2" w:rsidRPr="009C6A05" w:rsidRDefault="002912E2" w:rsidP="002912E2">
      <w:pPr>
        <w:pStyle w:val="NoSpacing"/>
        <w:spacing w:line="276" w:lineRule="auto"/>
        <w:ind w:firstLine="708"/>
        <w:rPr>
          <w:rFonts w:cstheme="minorHAnsi"/>
          <w:szCs w:val="22"/>
        </w:rPr>
      </w:pPr>
      <w:r w:rsidRPr="009C6A05">
        <w:rPr>
          <w:rFonts w:cstheme="minorHAnsi"/>
          <w:color w:val="000000" w:themeColor="text1"/>
          <w:szCs w:val="22"/>
        </w:rPr>
        <w:t>Dit vormt een bedreiging voor de efficiëntie van inkoop. De stijgende kosten en tekorten in het onderwijs stellen onderwijsinstellingen voor de uitdaging om hun inkoop zo efficiënt mogelijk in te richten. Naast deze financiële aspecten spelen ook de didactische factoren een belangrijk</w:t>
      </w:r>
      <w:r w:rsidR="003040E4">
        <w:rPr>
          <w:rFonts w:cstheme="minorHAnsi"/>
          <w:color w:val="000000" w:themeColor="text1"/>
          <w:szCs w:val="22"/>
        </w:rPr>
        <w:t>e</w:t>
      </w:r>
      <w:r w:rsidRPr="009C6A05">
        <w:rPr>
          <w:rFonts w:cstheme="minorHAnsi"/>
          <w:color w:val="000000" w:themeColor="text1"/>
          <w:szCs w:val="22"/>
        </w:rPr>
        <w:t xml:space="preserve"> rol. Echter, ondanks de vele investeringen in mensen en middelen is het onderwijs er tot nu toe onvoldoende in geslaagd om van ICT een ‘nutsvoorziening’ te maken (Delen et al. 2006; Kennisnet, 2007). Dit komt onder andere door het ontbreken aan continuïteit, flexibiliteit, schaalbaarheid en kostentransparantie binnen de sector. Volgens </w:t>
      </w:r>
      <w:proofErr w:type="spellStart"/>
      <w:r w:rsidRPr="009C6A05">
        <w:rPr>
          <w:rFonts w:cstheme="minorHAnsi"/>
          <w:color w:val="000000" w:themeColor="text1"/>
          <w:szCs w:val="22"/>
        </w:rPr>
        <w:t>Bathélemy</w:t>
      </w:r>
      <w:proofErr w:type="spellEnd"/>
      <w:r w:rsidRPr="009C6A05">
        <w:rPr>
          <w:rFonts w:cstheme="minorHAnsi"/>
          <w:color w:val="000000" w:themeColor="text1"/>
          <w:szCs w:val="22"/>
        </w:rPr>
        <w:t xml:space="preserve"> (Barthélemy &amp; </w:t>
      </w:r>
      <w:proofErr w:type="spellStart"/>
      <w:r w:rsidRPr="009C6A05">
        <w:rPr>
          <w:rFonts w:cstheme="minorHAnsi"/>
          <w:color w:val="000000" w:themeColor="text1"/>
          <w:szCs w:val="22"/>
        </w:rPr>
        <w:t>Adsit</w:t>
      </w:r>
      <w:proofErr w:type="spellEnd"/>
      <w:r w:rsidRPr="009C6A05">
        <w:rPr>
          <w:rFonts w:cstheme="minorHAnsi"/>
          <w:color w:val="000000" w:themeColor="text1"/>
          <w:szCs w:val="22"/>
        </w:rPr>
        <w:t xml:space="preserve">, 2003) wordt het falen van </w:t>
      </w:r>
      <w:r w:rsidRPr="009C6A05">
        <w:rPr>
          <w:rFonts w:cstheme="minorHAnsi"/>
          <w:szCs w:val="22"/>
        </w:rPr>
        <w:t xml:space="preserve">ICT-uitbestedingsprojecten met name veroorzaakt door onnodig uitbesteden van activiteiten, verkeerde leverancierskeuze, slechte contracten, verlies aan controle en geen aandacht hebben voor de verborgen kosten. </w:t>
      </w:r>
    </w:p>
    <w:p w14:paraId="04AD75C2" w14:textId="06E27427" w:rsidR="002912E2" w:rsidRPr="009C6A05" w:rsidRDefault="002912E2" w:rsidP="002912E2">
      <w:pPr>
        <w:pStyle w:val="NoSpacing"/>
        <w:spacing w:line="276" w:lineRule="auto"/>
        <w:ind w:firstLine="708"/>
        <w:rPr>
          <w:szCs w:val="22"/>
        </w:rPr>
      </w:pPr>
      <w:r w:rsidRPr="009C6A05">
        <w:rPr>
          <w:rFonts w:cstheme="minorHAnsi"/>
          <w:szCs w:val="22"/>
        </w:rPr>
        <w:t xml:space="preserve">Onderwijsinstellingen dienen dan ook meer aandacht te hebben voor inkoop </w:t>
      </w:r>
      <w:r w:rsidRPr="009C6A05">
        <w:rPr>
          <w:rFonts w:cstheme="minorHAnsi"/>
          <w:color w:val="000000" w:themeColor="text1"/>
          <w:szCs w:val="22"/>
        </w:rPr>
        <w:t>(</w:t>
      </w:r>
      <w:proofErr w:type="spellStart"/>
      <w:r w:rsidRPr="009C6A05">
        <w:rPr>
          <w:rFonts w:cstheme="minorHAnsi"/>
          <w:color w:val="000000" w:themeColor="text1"/>
          <w:szCs w:val="22"/>
        </w:rPr>
        <w:t>Brun</w:t>
      </w:r>
      <w:proofErr w:type="spellEnd"/>
      <w:r w:rsidRPr="009C6A05">
        <w:rPr>
          <w:rFonts w:cstheme="minorHAnsi"/>
          <w:color w:val="000000" w:themeColor="text1"/>
          <w:szCs w:val="22"/>
        </w:rPr>
        <w:t xml:space="preserve"> et al. 2013). Door efficiënt in te kopen houden schoolbesturen geld over, wat ingezet kan worden in het primaire </w:t>
      </w:r>
      <w:r w:rsidRPr="009C6A05">
        <w:rPr>
          <w:rFonts w:cstheme="minorHAnsi"/>
          <w:szCs w:val="22"/>
        </w:rPr>
        <w:t>onderwijsproces</w:t>
      </w:r>
      <w:r w:rsidR="00384D6E">
        <w:rPr>
          <w:rFonts w:cstheme="minorHAnsi"/>
          <w:szCs w:val="22"/>
        </w:rPr>
        <w:t>.</w:t>
      </w:r>
      <w:r w:rsidRPr="009C6A05">
        <w:rPr>
          <w:rFonts w:cstheme="minorHAnsi"/>
          <w:szCs w:val="22"/>
        </w:rPr>
        <w:t xml:space="preserve"> Dit kan worden bereikt door een antwoord te bieden aan </w:t>
      </w:r>
      <w:r w:rsidR="003040E4">
        <w:rPr>
          <w:rFonts w:cstheme="minorHAnsi"/>
          <w:szCs w:val="22"/>
        </w:rPr>
        <w:t xml:space="preserve">de </w:t>
      </w:r>
      <w:r w:rsidRPr="009C6A05">
        <w:rPr>
          <w:rFonts w:cstheme="minorHAnsi"/>
          <w:szCs w:val="22"/>
        </w:rPr>
        <w:t>kennisasymmetrie en het professionaliseren van de inkoopfunctie. Professionalisering leidt tot efficiënte bedrijfsvoering en</w:t>
      </w:r>
      <w:r w:rsidR="003040E4">
        <w:rPr>
          <w:rFonts w:cstheme="minorHAnsi"/>
          <w:szCs w:val="22"/>
        </w:rPr>
        <w:t xml:space="preserve"> het</w:t>
      </w:r>
      <w:r w:rsidRPr="009C6A05">
        <w:rPr>
          <w:rFonts w:cstheme="minorHAnsi"/>
          <w:szCs w:val="22"/>
        </w:rPr>
        <w:t xml:space="preserve"> levert geld op (</w:t>
      </w:r>
      <w:r w:rsidR="003040E4">
        <w:fldChar w:fldCharType="begin"/>
      </w:r>
      <w:r w:rsidR="003040E4">
        <w:instrText xml:space="preserve"> HYPERLINK "http://www.schoolfacilities.nl/bedrijfsvoering/inkoop/3418-john-schreijer-professionalisering-van-inkoop-bevordert-een-efficiente-bedrijfsvoering-en-levert-veel-geld-op" </w:instrText>
      </w:r>
      <w:r w:rsidR="003040E4">
        <w:fldChar w:fldCharType="separate"/>
      </w:r>
      <w:r w:rsidR="003040E4">
        <w:fldChar w:fldCharType="end"/>
      </w:r>
      <w:r w:rsidRPr="009C6A05">
        <w:rPr>
          <w:rFonts w:cstheme="minorHAnsi"/>
          <w:szCs w:val="22"/>
        </w:rPr>
        <w:t xml:space="preserve">Schreijer,2013). Echter </w:t>
      </w:r>
      <w:r w:rsidRPr="009C6A05">
        <w:rPr>
          <w:rFonts w:cstheme="minorHAnsi"/>
          <w:szCs w:val="22"/>
        </w:rPr>
        <w:lastRenderedPageBreak/>
        <w:t>ontbreekt er binnen de (semi)publieke organisaties vooralsnog aan duidelijke handvaten om inkoop te organiseren. Inkoop sluit vaak niet aan de onderwijsvisie, docenten hebben een marginale zeggenschap en wordt de prestatie van de leverancier niet geëvalueerd (</w:t>
      </w:r>
      <w:r w:rsidR="003040E4">
        <w:fldChar w:fldCharType="begin"/>
      </w:r>
      <w:r w:rsidR="003040E4">
        <w:instrText xml:space="preserve"> HYPERLINK "https://www.kennisnet.nl/fileadmin/kennisnet/publicatie/vierinbalans/Slim-ict-inkopen-in-het-onderwijs.pdf" </w:instrText>
      </w:r>
      <w:r w:rsidR="003040E4">
        <w:fldChar w:fldCharType="separate"/>
      </w:r>
      <w:r w:rsidR="003040E4">
        <w:fldChar w:fldCharType="end"/>
      </w:r>
      <w:r w:rsidRPr="009C6A05">
        <w:rPr>
          <w:rFonts w:cstheme="minorHAnsi"/>
          <w:szCs w:val="22"/>
        </w:rPr>
        <w:t>Kappert et al. 2017). Gebrek aan</w:t>
      </w:r>
      <w:r w:rsidRPr="009C6A05">
        <w:rPr>
          <w:szCs w:val="22"/>
        </w:rPr>
        <w:t xml:space="preserve"> kennis draagt hieraan bij. Het kopen van producten of diensten tegen de beste voorwaarden vraagt immer om (specialistische) kennis. Naast kennis zijn er anderen factoren van invloed op de prestatie van inkoop. Hierom is het noodzakelijk om te achterhalen hoe inkoop tot stand komt en in hoeverre ruimte bestaat voor efficiëntie. Deze empirische studie legt zich toe op het achterhalen van factoren die invloed hebben op de inkoop van ICT binnen voortgezet onderwijsinstellingen. Daarnaast doet het een poging </w:t>
      </w:r>
      <w:r w:rsidR="003040E4">
        <w:rPr>
          <w:szCs w:val="22"/>
        </w:rPr>
        <w:t>tot</w:t>
      </w:r>
      <w:r w:rsidRPr="009C6A05">
        <w:rPr>
          <w:szCs w:val="22"/>
        </w:rPr>
        <w:t xml:space="preserve"> achterhalen van factoren die efficiëntie van inkoop positief beïnvloeden.</w:t>
      </w:r>
    </w:p>
    <w:p w14:paraId="0D8B4B00" w14:textId="77777777" w:rsidR="002912E2" w:rsidRDefault="002912E2" w:rsidP="002912E2">
      <w:pPr>
        <w:pStyle w:val="NoSpacing"/>
        <w:spacing w:line="276" w:lineRule="auto"/>
        <w:rPr>
          <w:szCs w:val="22"/>
        </w:rPr>
      </w:pPr>
    </w:p>
    <w:p w14:paraId="33C90954" w14:textId="21F9B37D" w:rsidR="002912E2" w:rsidRDefault="002912E2" w:rsidP="002915EA">
      <w:pPr>
        <w:pStyle w:val="Heading2"/>
      </w:pPr>
      <w:bookmarkStart w:id="4" w:name="_Toc517455439"/>
      <w:r w:rsidRPr="009B71F1">
        <w:rPr>
          <w:color w:val="1F3864" w:themeColor="accent1" w:themeShade="80"/>
        </w:rPr>
        <w:t>Doel- en vraagstelling van deze studie</w:t>
      </w:r>
      <w:bookmarkEnd w:id="4"/>
    </w:p>
    <w:p w14:paraId="4277BC8C" w14:textId="7646EAC0" w:rsidR="002912E2" w:rsidRPr="00185C10" w:rsidRDefault="002912E2" w:rsidP="002912E2">
      <w:pPr>
        <w:pStyle w:val="NoSpacing"/>
        <w:spacing w:line="276" w:lineRule="auto"/>
      </w:pPr>
      <w:r w:rsidRPr="00185C10">
        <w:t>Dit onderzoek draagt bij aan efficiënt</w:t>
      </w:r>
      <w:r w:rsidR="003040E4">
        <w:t xml:space="preserve">e </w:t>
      </w:r>
      <w:r w:rsidRPr="00185C10">
        <w:t>inkoop door voortgezet onderwijsinstellingen door in te zoomen op het inkooptraject en factoren</w:t>
      </w:r>
      <w:r w:rsidR="003040E4">
        <w:t xml:space="preserve"> </w:t>
      </w:r>
      <w:r w:rsidRPr="00185C10">
        <w:t>die efficiënt</w:t>
      </w:r>
      <w:r w:rsidR="003040E4">
        <w:t>e</w:t>
      </w:r>
      <w:r w:rsidRPr="00185C10">
        <w:t xml:space="preserve"> inkoop faciliteren en factoren die dit belemmeren. </w:t>
      </w:r>
    </w:p>
    <w:p w14:paraId="06892952" w14:textId="5C9DDE7D" w:rsidR="002912E2" w:rsidRPr="00185C10" w:rsidRDefault="002912E2" w:rsidP="002912E2">
      <w:pPr>
        <w:pStyle w:val="NoSpacing"/>
        <w:spacing w:line="276" w:lineRule="auto"/>
      </w:pPr>
      <w:r w:rsidRPr="00185C10">
        <w:t xml:space="preserve">Het onderzoek draagt bij aan kennisvergaring over factoren die invloed hebben op de inkoop binnen de onderwijsinstellingen. Het doel van deze empirische studie is </w:t>
      </w:r>
      <w:r w:rsidR="003040E4">
        <w:t>toetsend</w:t>
      </w:r>
      <w:r w:rsidRPr="00185C10">
        <w:t xml:space="preserve"> onderzoek doen naar factoren die invloed hebben op de wijze waarop scholen producten en diensten kopen of aanbesteden. Inkoop van ICT in de vorm van een dienst of product dient als casus, met name vanwege de breder problematiek wat hiermee gepaard gaat. Het onderzoek brengt factoren in kaart die volgens de theorie inkoop belemmeren en factoren die inkoop faciliteren. Na een heldere uiteenzetting van de literatuur, zullen</w:t>
      </w:r>
      <w:r w:rsidR="003040E4">
        <w:t xml:space="preserve"> de theoretische</w:t>
      </w:r>
      <w:r w:rsidRPr="00185C10">
        <w:t xml:space="preserve"> assumpties worden getoetst aan de empirie. </w:t>
      </w:r>
    </w:p>
    <w:p w14:paraId="5702D5D3" w14:textId="77777777" w:rsidR="002912E2" w:rsidRDefault="002912E2" w:rsidP="002912E2">
      <w:pPr>
        <w:pStyle w:val="NoSpacing"/>
        <w:spacing w:line="276" w:lineRule="auto"/>
      </w:pPr>
      <w:r>
        <w:t xml:space="preserve">   </w:t>
      </w:r>
    </w:p>
    <w:p w14:paraId="22D1F1D8" w14:textId="77777777" w:rsidR="002912E2" w:rsidRDefault="002912E2" w:rsidP="002912E2">
      <w:pPr>
        <w:pStyle w:val="NoSpacing"/>
        <w:spacing w:line="276" w:lineRule="auto"/>
      </w:pPr>
      <w:r>
        <w:t>Doelstelling van het onderzoek luidt als volgt:</w:t>
      </w:r>
      <w:r w:rsidRPr="00BD6CD9">
        <w:rPr>
          <w:noProof/>
          <w:lang w:eastAsia="nl-NL"/>
        </w:rPr>
        <mc:AlternateContent>
          <mc:Choice Requires="wps">
            <w:drawing>
              <wp:inline distT="0" distB="0" distL="0" distR="0" wp14:anchorId="3C3151E5" wp14:editId="4B1F9256">
                <wp:extent cx="692470" cy="6244590"/>
                <wp:effectExtent l="5080" t="0" r="0" b="0"/>
                <wp:docPr id="306" name="AutoVorm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692470" cy="6244590"/>
                        </a:xfrm>
                        <a:prstGeom prst="bracePair">
                          <a:avLst>
                            <a:gd name="adj" fmla="val 8333"/>
                          </a:avLst>
                        </a:prstGeom>
                        <a:solidFill>
                          <a:srgbClr val="1F497D"/>
                        </a:solidFill>
                        <a:extLst>
                          <a:ext uri="{91240B29-F687-4F45-9708-019B960494DF}">
                            <a14:hiddenLine xmlns:a14="http://schemas.microsoft.com/office/drawing/2010/main" w="3175">
                              <a:solidFill>
                                <a:srgbClr val="5C83B4"/>
                              </a:solidFill>
                              <a:round/>
                              <a:headEnd/>
                              <a:tailEnd/>
                            </a14:hiddenLine>
                          </a:ext>
                          <a:ext uri="{AF507438-7753-43E0-B8FC-AC1667EBCBE1}">
                            <a14:hiddenEffects xmlns:a14="http://schemas.microsoft.com/office/drawing/2010/main">
                              <a:effectLst>
                                <a:outerShdw dist="35921" dir="2700000" algn="ctr" rotWithShape="0">
                                  <a:srgbClr val="808080">
                                    <a:alpha val="50000"/>
                                  </a:srgbClr>
                                </a:outerShdw>
                              </a:effectLst>
                            </a14:hiddenEffects>
                          </a:ext>
                        </a:extLst>
                      </wps:spPr>
                      <wps:txbx>
                        <w:txbxContent>
                          <w:p w14:paraId="43BC0328" w14:textId="77777777" w:rsidR="003040E4" w:rsidRPr="0026201D" w:rsidRDefault="003040E4" w:rsidP="002912E2">
                            <w:pPr>
                              <w:pStyle w:val="NoSpacing"/>
                              <w:jc w:val="center"/>
                              <w:rPr>
                                <w:i/>
                                <w:color w:val="FFFFFF" w:themeColor="background1"/>
                              </w:rPr>
                            </w:pPr>
                            <w:r>
                              <w:rPr>
                                <w:i/>
                                <w:color w:val="FFFFFF" w:themeColor="background1"/>
                              </w:rPr>
                              <w:t>“</w:t>
                            </w:r>
                            <w:r w:rsidRPr="00E86C20">
                              <w:rPr>
                                <w:i/>
                                <w:color w:val="FFFFFF" w:themeColor="background1"/>
                              </w:rPr>
                              <w:t>Het in kaart brengen van faciliterende en belemmerende factoren die van invloed zijn op de inkoop van ICT door VO-instellingen, teneinde bij te dragen aan efficiënte inkoop</w:t>
                            </w:r>
                            <w:r>
                              <w:rPr>
                                <w:i/>
                                <w:color w:val="FFFFFF" w:themeColor="background1"/>
                              </w:rPr>
                              <w:t xml:space="preserve">”. </w:t>
                            </w:r>
                            <w:r w:rsidRPr="000B3E63">
                              <w:rPr>
                                <w:i/>
                                <w:color w:val="FFFFFF" w:themeColor="background1"/>
                              </w:rPr>
                              <w:t xml:space="preserve">    </w:t>
                            </w:r>
                          </w:p>
                          <w:p w14:paraId="1ED1DB84" w14:textId="77777777" w:rsidR="003040E4" w:rsidRPr="00BD6CD9" w:rsidRDefault="003040E4" w:rsidP="002912E2">
                            <w:pPr>
                              <w:spacing w:after="0" w:line="288" w:lineRule="auto"/>
                              <w:jc w:val="center"/>
                              <w:rPr>
                                <w:rFonts w:asciiTheme="majorHAnsi" w:eastAsiaTheme="majorEastAsia" w:hAnsiTheme="majorHAnsi" w:cstheme="majorBidi"/>
                                <w:i/>
                                <w:iCs/>
                                <w:color w:val="CFDBF0" w:themeColor="accent1" w:themeTint="40"/>
                                <w:sz w:val="24"/>
                                <w:szCs w:val="28"/>
                              </w:rPr>
                            </w:pPr>
                          </w:p>
                        </w:txbxContent>
                      </wps:txbx>
                      <wps:bodyPr rot="0" vert="horz" wrap="square" lIns="91440" tIns="45720" rIns="91440" bIns="45720" anchor="ctr" anchorCtr="0" upright="1">
                        <a:noAutofit/>
                      </wps:bodyPr>
                    </wps:wsp>
                  </a:graphicData>
                </a:graphic>
              </wp:inline>
            </w:drawing>
          </mc:Choice>
          <mc:Fallback>
            <w:pict>
              <v:shapetype w14:anchorId="3C3151E5" id="_x0000_t186" coordsize="21600,21600" o:spt="186" adj="1800" path="m@9,nfqx@0@0l@0@7qy0@4@0@8l@0@6qy@9,21600em@10,nfqx@5@0l@5@7qy21600@4@5@8l@5@6qy@10,21600em@9,nsqx@0@0l@0@7qy0@4@0@8l@0@6qy@9,21600l@10,21600qx@5@6l@5@8qy21600@4@5@7l@5@0qy@10,xe" filled="f">
                <v:formulas>
                  <v:f eqn="val #0"/>
                  <v:f eqn="val width"/>
                  <v:f eqn="val height"/>
                  <v:f eqn="prod width 1 2"/>
                  <v:f eqn="prod height 1 2"/>
                  <v:f eqn="sum width 0 #0"/>
                  <v:f eqn="sum height 0 #0"/>
                  <v:f eqn="sum @4 0 #0"/>
                  <v:f eqn="sum @4 #0 0"/>
                  <v:f eqn="prod #0 2 1"/>
                  <v:f eqn="sum width 0 @9"/>
                  <v:f eqn="prod #0 9598 32768"/>
                  <v:f eqn="sum height 0 @11"/>
                  <v:f eqn="sum @11 #0 0"/>
                  <v:f eqn="sum width 0 @13"/>
                </v:formulas>
                <v:path o:extrusionok="f" limo="10800,10800" o:connecttype="custom" o:connectlocs="@3,0;0,@4;@3,@2;@1,@4" textboxrect="@13,@11,@14,@12"/>
                <v:handles>
                  <v:h position="topLeft,#0" switch="" yrange="0,5400"/>
                </v:handles>
              </v:shapetype>
              <v:shape id="AutoVorm 2" o:spid="_x0000_s1026" type="#_x0000_t186" style="width:54.55pt;height:491.7pt;rotation:90;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" filled="t" fillcolor="#1f497d" stroked="f" strokecolor="#5c83b4" strokeweight=".25pt">
                <v:shadow opacity=".5"/>
                <v:textbox>
                  <w:txbxContent>
                    <w:p w14:paraId="43BC0328" w14:textId="77777777" w:rsidR="003040E4" w:rsidRPr="0026201D" w:rsidRDefault="003040E4" w:rsidP="002912E2">
                      <w:pPr>
                        <w:pStyle w:val="NoSpacing"/>
                        <w:jc w:val="center"/>
                        <w:rPr>
                          <w:i/>
                          <w:color w:val="FFFFFF" w:themeColor="background1"/>
                        </w:rPr>
                      </w:pPr>
                      <w:r>
                        <w:rPr>
                          <w:i/>
                          <w:color w:val="FFFFFF" w:themeColor="background1"/>
                        </w:rPr>
                        <w:t>“</w:t>
                      </w:r>
                      <w:r w:rsidRPr="00E86C20">
                        <w:rPr>
                          <w:i/>
                          <w:color w:val="FFFFFF" w:themeColor="background1"/>
                        </w:rPr>
                        <w:t>Het in kaart brengen van faciliterende en belemmerende factoren die van invloed zijn op de inkoop van ICT door VO-instellingen, teneinde bij te dragen aan efficiënte inkoop</w:t>
                      </w:r>
                      <w:r>
                        <w:rPr>
                          <w:i/>
                          <w:color w:val="FFFFFF" w:themeColor="background1"/>
                        </w:rPr>
                        <w:t xml:space="preserve">”. </w:t>
                      </w:r>
                      <w:r w:rsidRPr="000B3E63">
                        <w:rPr>
                          <w:i/>
                          <w:color w:val="FFFFFF" w:themeColor="background1"/>
                        </w:rPr>
                        <w:t xml:space="preserve">    </w:t>
                      </w:r>
                    </w:p>
                    <w:p w14:paraId="1ED1DB84" w14:textId="77777777" w:rsidR="003040E4" w:rsidRPr="00BD6CD9" w:rsidRDefault="003040E4" w:rsidP="002912E2">
                      <w:pPr>
                        <w:spacing w:after="0" w:line="288" w:lineRule="auto"/>
                        <w:jc w:val="center"/>
                        <w:rPr>
                          <w:rFonts w:asciiTheme="majorHAnsi" w:eastAsiaTheme="majorEastAsia" w:hAnsiTheme="majorHAnsi" w:cstheme="majorBidi"/>
                          <w:i/>
                          <w:iCs/>
                          <w:color w:val="CFDBF0" w:themeColor="accent1" w:themeTint="40"/>
                          <w:sz w:val="24"/>
                          <w:szCs w:val="28"/>
                        </w:rPr>
                      </w:pPr>
                    </w:p>
                  </w:txbxContent>
                </v:textbox>
                <w10:anchorlock/>
              </v:shape>
            </w:pict>
          </mc:Fallback>
        </mc:AlternateContent>
      </w:r>
    </w:p>
    <w:p w14:paraId="6B37BE69" w14:textId="77777777" w:rsidR="002912E2" w:rsidRPr="00C12C2E" w:rsidRDefault="002912E2" w:rsidP="002912E2">
      <w:pPr>
        <w:pStyle w:val="NoSpacing"/>
      </w:pPr>
    </w:p>
    <w:p w14:paraId="5490C545" w14:textId="77777777" w:rsidR="002912E2" w:rsidRDefault="002912E2" w:rsidP="002912E2">
      <w:pPr>
        <w:pStyle w:val="NoSpacing"/>
        <w:spacing w:line="276" w:lineRule="auto"/>
      </w:pPr>
      <w:r w:rsidRPr="00C12C2E">
        <w:t>De gekozen doelstelling is in te delen in de volgende subonderdelen:</w:t>
      </w:r>
    </w:p>
    <w:p w14:paraId="50ECBD1C" w14:textId="77777777" w:rsidR="002912E2" w:rsidRPr="00C12C2E" w:rsidRDefault="002912E2" w:rsidP="002912E2">
      <w:pPr>
        <w:pStyle w:val="NoSpacing"/>
        <w:spacing w:line="276" w:lineRule="auto"/>
        <w:rPr>
          <w:i/>
        </w:rPr>
      </w:pPr>
      <w:r w:rsidRPr="00C12C2E">
        <w:rPr>
          <w:i/>
        </w:rPr>
        <w:t>a. Inzicht bieden in belemmerende factoren</w:t>
      </w:r>
    </w:p>
    <w:p w14:paraId="251FBB3B" w14:textId="77777777" w:rsidR="002912E2" w:rsidRPr="00C12C2E" w:rsidRDefault="002912E2" w:rsidP="002912E2">
      <w:pPr>
        <w:pStyle w:val="NoSpacing"/>
        <w:spacing w:line="276" w:lineRule="auto"/>
        <w:rPr>
          <w:i/>
        </w:rPr>
      </w:pPr>
      <w:r w:rsidRPr="00C12C2E">
        <w:rPr>
          <w:i/>
        </w:rPr>
        <w:t>b. Inzicht bieden in faciliterende factoren</w:t>
      </w:r>
    </w:p>
    <w:p w14:paraId="4D5E9B07" w14:textId="77777777" w:rsidR="002912E2" w:rsidRDefault="002912E2" w:rsidP="002912E2">
      <w:pPr>
        <w:pStyle w:val="NoSpacing"/>
        <w:spacing w:line="276" w:lineRule="auto"/>
        <w:rPr>
          <w:b/>
          <w:highlight w:val="yellow"/>
        </w:rPr>
      </w:pPr>
    </w:p>
    <w:p w14:paraId="416E3828" w14:textId="77777777" w:rsidR="002912E2" w:rsidRDefault="002912E2" w:rsidP="002912E2">
      <w:pPr>
        <w:pStyle w:val="NoSpacing"/>
        <w:spacing w:line="276" w:lineRule="auto"/>
      </w:pPr>
      <w:r w:rsidRPr="00E67D9C">
        <w:t>De doelstelling</w:t>
      </w:r>
      <w:r>
        <w:t xml:space="preserve"> van het onderzoek</w:t>
      </w:r>
      <w:r w:rsidRPr="00E67D9C">
        <w:t xml:space="preserve"> heeft geleid tot de volgende centrale vraag: </w:t>
      </w:r>
    </w:p>
    <w:p w14:paraId="40050EB5" w14:textId="23C51E6A" w:rsidR="00480D32" w:rsidRPr="00135A4A" w:rsidRDefault="002912E2" w:rsidP="002912E2">
      <w:pPr>
        <w:pStyle w:val="NoSpacing"/>
        <w:spacing w:line="276" w:lineRule="auto"/>
        <w:rPr>
          <w:i/>
          <w:noProof/>
        </w:rPr>
      </w:pPr>
      <w:r w:rsidRPr="00135A4A">
        <w:rPr>
          <w:i/>
          <w:noProof/>
        </w:rPr>
        <w:t>“</w:t>
      </w:r>
      <w:r w:rsidR="00480D32" w:rsidRPr="00135A4A">
        <w:rPr>
          <w:i/>
          <w:noProof/>
        </w:rPr>
        <w:t>W</w:t>
      </w:r>
      <w:r w:rsidR="00480D32" w:rsidRPr="00135A4A">
        <w:rPr>
          <w:i/>
        </w:rPr>
        <w:t>elke organisatorische en institutionele factoren zijn van invloed op de ICT-inkoop door instellingen voor voortgezet onderwijs?”</w:t>
      </w:r>
    </w:p>
    <w:p w14:paraId="48D66E04" w14:textId="24E07BC5" w:rsidR="002912E2" w:rsidRDefault="002912E2" w:rsidP="002912E2">
      <w:pPr>
        <w:pStyle w:val="NoSpacing"/>
        <w:spacing w:line="276" w:lineRule="auto"/>
        <w:rPr>
          <w:i/>
          <w:color w:val="000000" w:themeColor="text1"/>
        </w:rPr>
      </w:pPr>
    </w:p>
    <w:p w14:paraId="30EA45EC" w14:textId="67B27CFE" w:rsidR="00135A4A" w:rsidRPr="00135A4A" w:rsidRDefault="00135A4A" w:rsidP="00135A4A">
      <w:pPr>
        <w:pStyle w:val="NoSpacing"/>
        <w:spacing w:line="276" w:lineRule="auto"/>
        <w:rPr>
          <w:color w:val="000000" w:themeColor="text1"/>
        </w:rPr>
      </w:pPr>
      <w:r>
        <w:rPr>
          <w:color w:val="000000" w:themeColor="text1"/>
        </w:rPr>
        <w:t>Deze vraagstelling wordt beantwoord in delen door drie afzonderlijke deelvragen:</w:t>
      </w:r>
    </w:p>
    <w:p w14:paraId="26892E5A" w14:textId="77777777" w:rsidR="00135A4A" w:rsidRPr="00135A4A" w:rsidRDefault="00135A4A" w:rsidP="00135A4A">
      <w:pPr>
        <w:pStyle w:val="NoSpacing"/>
        <w:spacing w:line="276" w:lineRule="auto"/>
        <w:rPr>
          <w:i/>
          <w:color w:val="000000" w:themeColor="text1"/>
        </w:rPr>
      </w:pPr>
      <w:r w:rsidRPr="00135A4A">
        <w:rPr>
          <w:i/>
          <w:color w:val="000000" w:themeColor="text1"/>
        </w:rPr>
        <w:t>1.</w:t>
      </w:r>
      <w:r w:rsidRPr="00135A4A">
        <w:rPr>
          <w:i/>
          <w:color w:val="000000" w:themeColor="text1"/>
        </w:rPr>
        <w:tab/>
        <w:t>Welke factoren uit de theorie belemmeren een efficiënt inkoop door voortgezet onderwijsinstellingen?</w:t>
      </w:r>
    </w:p>
    <w:p w14:paraId="77C3EE56" w14:textId="77777777" w:rsidR="00135A4A" w:rsidRPr="00135A4A" w:rsidRDefault="00135A4A" w:rsidP="00135A4A">
      <w:pPr>
        <w:pStyle w:val="NoSpacing"/>
        <w:spacing w:line="276" w:lineRule="auto"/>
        <w:rPr>
          <w:i/>
          <w:color w:val="000000" w:themeColor="text1"/>
        </w:rPr>
      </w:pPr>
      <w:r w:rsidRPr="00135A4A">
        <w:rPr>
          <w:i/>
          <w:color w:val="000000" w:themeColor="text1"/>
        </w:rPr>
        <w:t xml:space="preserve">2. </w:t>
      </w:r>
      <w:r w:rsidRPr="00135A4A">
        <w:rPr>
          <w:i/>
          <w:color w:val="000000" w:themeColor="text1"/>
        </w:rPr>
        <w:tab/>
        <w:t>Welke factoren uit de theorie faciliteren een efficiënt inkoop door voortgezet onderwijsinstellingen?</w:t>
      </w:r>
    </w:p>
    <w:p w14:paraId="52F8F408" w14:textId="1C4AEAC0" w:rsidR="00135A4A" w:rsidRDefault="00135A4A" w:rsidP="00135A4A">
      <w:pPr>
        <w:pStyle w:val="NoSpacing"/>
        <w:spacing w:line="276" w:lineRule="auto"/>
        <w:rPr>
          <w:i/>
          <w:color w:val="000000" w:themeColor="text1"/>
        </w:rPr>
      </w:pPr>
      <w:r w:rsidRPr="00135A4A">
        <w:rPr>
          <w:i/>
          <w:color w:val="000000" w:themeColor="text1"/>
        </w:rPr>
        <w:t>3.</w:t>
      </w:r>
      <w:r w:rsidRPr="00135A4A">
        <w:rPr>
          <w:i/>
          <w:color w:val="000000" w:themeColor="text1"/>
        </w:rPr>
        <w:tab/>
        <w:t>Welke belemmerende en faciliterende factoren treffen we in de praktijk van voortgezet onderwijsinstellingen aan?</w:t>
      </w:r>
    </w:p>
    <w:p w14:paraId="011C868B" w14:textId="77777777" w:rsidR="00135A4A" w:rsidRPr="00DF1B9D" w:rsidRDefault="00135A4A" w:rsidP="00135A4A">
      <w:pPr>
        <w:pStyle w:val="NoSpacing"/>
        <w:spacing w:line="276" w:lineRule="auto"/>
        <w:rPr>
          <w:i/>
          <w:color w:val="000000" w:themeColor="text1"/>
        </w:rPr>
      </w:pPr>
    </w:p>
    <w:p w14:paraId="6547725B" w14:textId="5132ABBC" w:rsidR="002912E2" w:rsidRPr="009B71F1" w:rsidRDefault="002912E2" w:rsidP="002915EA">
      <w:pPr>
        <w:pStyle w:val="Heading2"/>
        <w:rPr>
          <w:color w:val="1F3864" w:themeColor="accent1" w:themeShade="80"/>
        </w:rPr>
      </w:pPr>
      <w:bookmarkStart w:id="5" w:name="_Toc517455440"/>
      <w:bookmarkStart w:id="6" w:name="_Hlk484108378"/>
      <w:r w:rsidRPr="009B71F1">
        <w:rPr>
          <w:color w:val="1F3864" w:themeColor="accent1" w:themeShade="80"/>
        </w:rPr>
        <w:t>Relevantie</w:t>
      </w:r>
      <w:bookmarkEnd w:id="5"/>
    </w:p>
    <w:bookmarkEnd w:id="6"/>
    <w:p w14:paraId="00FB0446" w14:textId="1329907F" w:rsidR="002912E2" w:rsidRPr="00ED76EB" w:rsidRDefault="0037767F" w:rsidP="002912E2">
      <w:pPr>
        <w:pStyle w:val="NoSpacing"/>
        <w:spacing w:line="276" w:lineRule="auto"/>
      </w:pPr>
      <w:r>
        <w:t>Dit onderzoek is zowel relevant als eigentijds.</w:t>
      </w:r>
      <w:r w:rsidR="002912E2" w:rsidRPr="00DF1B9D">
        <w:t xml:space="preserve"> </w:t>
      </w:r>
      <w:r w:rsidR="00072060">
        <w:t xml:space="preserve">Het gebruik van ICT binnen </w:t>
      </w:r>
      <w:r w:rsidR="003040E4">
        <w:t xml:space="preserve">in het onderwijs </w:t>
      </w:r>
      <w:r w:rsidR="00072060">
        <w:t xml:space="preserve">is meermaals aanzet geweest tot wetenschappelijk onderzoek. </w:t>
      </w:r>
      <w:r w:rsidR="002912E2" w:rsidRPr="00DF1B9D">
        <w:t xml:space="preserve">Er </w:t>
      </w:r>
      <w:r w:rsidR="00072060">
        <w:t xml:space="preserve">zijn </w:t>
      </w:r>
      <w:r w:rsidR="002912E2" w:rsidRPr="00DF1B9D">
        <w:t>onderzoeken gedaan naar de gevolgen van digitalisering in het onderwijs</w:t>
      </w:r>
      <w:r w:rsidR="00072060">
        <w:t xml:space="preserve"> en de invloed van ICT op individuele leerlingen </w:t>
      </w:r>
      <w:r w:rsidR="002912E2" w:rsidRPr="00DF1B9D">
        <w:t xml:space="preserve">(OESO, 2014). Echter </w:t>
      </w:r>
      <w:r w:rsidR="002912E2">
        <w:t>richt</w:t>
      </w:r>
      <w:r w:rsidR="002912E2" w:rsidRPr="00DF1B9D">
        <w:t xml:space="preserve"> het meervoud van deze </w:t>
      </w:r>
      <w:r w:rsidR="002912E2">
        <w:t>academische werken</w:t>
      </w:r>
      <w:r w:rsidR="002912E2" w:rsidRPr="00DF1B9D">
        <w:t xml:space="preserve"> zich </w:t>
      </w:r>
      <w:r w:rsidR="002912E2">
        <w:t xml:space="preserve">tot didactische </w:t>
      </w:r>
      <w:r w:rsidR="00072060">
        <w:t>aspecten</w:t>
      </w:r>
      <w:r w:rsidR="002912E2" w:rsidRPr="00DF1B9D">
        <w:t xml:space="preserve">, </w:t>
      </w:r>
      <w:r w:rsidR="00216BE0">
        <w:t>waarbij de gevolgen van digitalisering worden onderzocht</w:t>
      </w:r>
      <w:r w:rsidR="002912E2" w:rsidRPr="00DF1B9D">
        <w:t xml:space="preserve"> (Simons, 2002; Wereldbank, 2016). </w:t>
      </w:r>
      <w:r w:rsidR="00216BE0">
        <w:t>H</w:t>
      </w:r>
      <w:r w:rsidR="002912E2">
        <w:t xml:space="preserve">ierin </w:t>
      </w:r>
      <w:r w:rsidR="00216BE0">
        <w:t xml:space="preserve">is echter </w:t>
      </w:r>
      <w:r w:rsidR="002912E2">
        <w:t xml:space="preserve">de aandacht voor inkoop </w:t>
      </w:r>
      <w:r w:rsidR="00216BE0">
        <w:t>beperkt</w:t>
      </w:r>
      <w:r w:rsidR="002912E2" w:rsidRPr="00DF1B9D">
        <w:t>. Alvorens digitale lee</w:t>
      </w:r>
      <w:r w:rsidR="002912E2">
        <w:t>r</w:t>
      </w:r>
      <w:r w:rsidR="002912E2" w:rsidRPr="00DF1B9D">
        <w:t xml:space="preserve">middelen in te kunnen zetten, dienen deze producten en diensten in huis worden gehaald. Dit aspect blijft in de </w:t>
      </w:r>
      <w:r w:rsidR="002912E2">
        <w:t xml:space="preserve">wetenschappelijke </w:t>
      </w:r>
      <w:r w:rsidR="002912E2" w:rsidRPr="00DF1B9D">
        <w:t xml:space="preserve">literatuur onderbelicht. </w:t>
      </w:r>
      <w:r w:rsidR="002912E2">
        <w:t>Deze studie</w:t>
      </w:r>
      <w:r w:rsidR="002912E2" w:rsidRPr="00DF1B9D">
        <w:t xml:space="preserve"> onderzoekt het inkoopbeleid van onderwijsinstellingen op het gebied van ICT vanuit een pragmatisch invalshoek</w:t>
      </w:r>
      <w:r w:rsidR="00216BE0">
        <w:t xml:space="preserve">, </w:t>
      </w:r>
      <w:r w:rsidR="002912E2" w:rsidRPr="00DF1B9D">
        <w:t>d.w.z. met meerwaarde in de praktijk.</w:t>
      </w:r>
      <w:r w:rsidR="00216BE0">
        <w:t xml:space="preserve"> </w:t>
      </w:r>
      <w:r w:rsidR="002912E2">
        <w:t xml:space="preserve">Er wordt een poging </w:t>
      </w:r>
      <w:r w:rsidR="002912E2">
        <w:lastRenderedPageBreak/>
        <w:t>gedaan om</w:t>
      </w:r>
      <w:r w:rsidR="002912E2" w:rsidRPr="00DF1B9D">
        <w:t xml:space="preserve"> een antwoord te bieden op</w:t>
      </w:r>
      <w:r w:rsidR="002912E2">
        <w:t xml:space="preserve"> de</w:t>
      </w:r>
      <w:r w:rsidR="002912E2" w:rsidRPr="00DF1B9D">
        <w:t xml:space="preserve"> vraag welke factoren bijdragen aan een efficiënt inkoop en</w:t>
      </w:r>
      <w:r w:rsidR="003040E4">
        <w:t xml:space="preserve"> </w:t>
      </w:r>
      <w:r w:rsidR="002912E2" w:rsidRPr="00DF1B9D">
        <w:t>factoren dit belemmeren</w:t>
      </w:r>
      <w:r w:rsidR="002912E2">
        <w:t xml:space="preserve"> binnen de scholen</w:t>
      </w:r>
      <w:r w:rsidR="002912E2" w:rsidRPr="00DF1B9D">
        <w:t>.</w:t>
      </w:r>
      <w:r w:rsidR="002912E2">
        <w:t xml:space="preserve"> </w:t>
      </w:r>
      <w:r w:rsidR="002912E2" w:rsidRPr="00DF1B9D">
        <w:rPr>
          <w:color w:val="000000" w:themeColor="text1"/>
        </w:rPr>
        <w:t xml:space="preserve">Meerwaarde van dit onderzoek </w:t>
      </w:r>
      <w:r w:rsidR="00216BE0">
        <w:rPr>
          <w:color w:val="000000" w:themeColor="text1"/>
        </w:rPr>
        <w:t>in wetenschappelijke zin is kennisvergaring over factoren die inkoop binnen scholen vergaren. E</w:t>
      </w:r>
      <w:r w:rsidR="002912E2" w:rsidRPr="00DF1B9D">
        <w:rPr>
          <w:color w:val="000000" w:themeColor="text1"/>
        </w:rPr>
        <w:t>nerzijds</w:t>
      </w:r>
      <w:r w:rsidR="00216BE0">
        <w:rPr>
          <w:color w:val="000000" w:themeColor="text1"/>
        </w:rPr>
        <w:t xml:space="preserve"> biedt onderzoek </w:t>
      </w:r>
      <w:r w:rsidR="002912E2" w:rsidRPr="00DF1B9D">
        <w:rPr>
          <w:color w:val="000000" w:themeColor="text1"/>
        </w:rPr>
        <w:t>handvaten om doelmatig om te gaan met ICT-vraagstukken</w:t>
      </w:r>
      <w:r w:rsidR="002912E2">
        <w:rPr>
          <w:color w:val="000000" w:themeColor="text1"/>
        </w:rPr>
        <w:t xml:space="preserve"> </w:t>
      </w:r>
      <w:r w:rsidR="00216BE0">
        <w:rPr>
          <w:color w:val="000000" w:themeColor="text1"/>
        </w:rPr>
        <w:t>en a</w:t>
      </w:r>
      <w:r w:rsidR="002912E2" w:rsidRPr="00DF1B9D">
        <w:rPr>
          <w:color w:val="000000" w:themeColor="text1"/>
        </w:rPr>
        <w:t xml:space="preserve">nderzijds verbreedt </w:t>
      </w:r>
      <w:r w:rsidR="002912E2">
        <w:rPr>
          <w:color w:val="000000" w:themeColor="text1"/>
        </w:rPr>
        <w:t xml:space="preserve">deze empirische studie kennis </w:t>
      </w:r>
      <w:r w:rsidR="00216BE0">
        <w:rPr>
          <w:color w:val="000000" w:themeColor="text1"/>
        </w:rPr>
        <w:t>belemmerende en faciliterende factoren</w:t>
      </w:r>
      <w:r w:rsidR="002912E2">
        <w:rPr>
          <w:color w:val="000000" w:themeColor="text1"/>
        </w:rPr>
        <w:t xml:space="preserve">. </w:t>
      </w:r>
      <w:r w:rsidR="002912E2" w:rsidRPr="00DF1B9D">
        <w:rPr>
          <w:color w:val="000000" w:themeColor="text1"/>
        </w:rPr>
        <w:t xml:space="preserve">Dit onderzoek is hiermee zowel maatschappelijk als wetenschappelijk relevant. </w:t>
      </w:r>
    </w:p>
    <w:p w14:paraId="38DFA488" w14:textId="77777777" w:rsidR="002912E2" w:rsidRPr="009B71F1" w:rsidRDefault="002912E2" w:rsidP="002912E2">
      <w:pPr>
        <w:pStyle w:val="NoSpacing"/>
        <w:spacing w:line="276" w:lineRule="auto"/>
        <w:rPr>
          <w:i/>
          <w:color w:val="1F3864" w:themeColor="accent1" w:themeShade="80"/>
        </w:rPr>
      </w:pPr>
    </w:p>
    <w:p w14:paraId="76B7CA99" w14:textId="77777777" w:rsidR="002912E2" w:rsidRPr="009B71F1" w:rsidRDefault="002912E2" w:rsidP="002915EA">
      <w:pPr>
        <w:pStyle w:val="Heading3"/>
        <w:rPr>
          <w:color w:val="1F3864" w:themeColor="accent1" w:themeShade="80"/>
        </w:rPr>
      </w:pPr>
      <w:bookmarkStart w:id="7" w:name="_Toc517455441"/>
      <w:bookmarkStart w:id="8" w:name="_Hlk484108501"/>
      <w:r w:rsidRPr="009B71F1">
        <w:rPr>
          <w:color w:val="1F3864" w:themeColor="accent1" w:themeShade="80"/>
        </w:rPr>
        <w:t xml:space="preserve">1.3.2 </w:t>
      </w:r>
      <w:r w:rsidRPr="009B71F1">
        <w:rPr>
          <w:rStyle w:val="Heading3Char"/>
          <w:b/>
          <w:color w:val="1F3864" w:themeColor="accent1" w:themeShade="80"/>
        </w:rPr>
        <w:t>Maatschappelijke relevantie</w:t>
      </w:r>
      <w:bookmarkEnd w:id="7"/>
    </w:p>
    <w:bookmarkEnd w:id="8"/>
    <w:p w14:paraId="03E4490B" w14:textId="4227A8E6" w:rsidR="002912E2" w:rsidRPr="009C6A05" w:rsidRDefault="002912E2" w:rsidP="002912E2">
      <w:pPr>
        <w:pStyle w:val="NoSpacing"/>
        <w:spacing w:line="276" w:lineRule="auto"/>
      </w:pPr>
      <w:r w:rsidRPr="009C6A05">
        <w:t>Onderwijs is een van de belangrijkste pilaren waar de moderne samenleving op leunt. Het belang van kwalitatief goed en toegankelijk onderwijs is een onbetwistbaar basisrecht binnen de rechtstaat (</w:t>
      </w:r>
      <w:proofErr w:type="spellStart"/>
      <w:r w:rsidRPr="009C6A05">
        <w:t>Kochuyt</w:t>
      </w:r>
      <w:proofErr w:type="spellEnd"/>
      <w:r w:rsidRPr="009C6A05">
        <w:t xml:space="preserve"> &amp; Verhoeven,1995; Karsten, 1999). Volgens </w:t>
      </w:r>
      <w:proofErr w:type="spellStart"/>
      <w:r w:rsidRPr="009C6A05">
        <w:t>Teulings</w:t>
      </w:r>
      <w:proofErr w:type="spellEnd"/>
      <w:r w:rsidRPr="009C6A05">
        <w:t xml:space="preserve"> (2000) is het maatschappelijk rendement van onderwijs groot. Het legt de basis voor sociaaleconomische positie van leerlingen en versterkt het socialisatieproces. Onderwijs heeft namelijk drie maatschappelijke functies: kwalificatie-, allocatie- en socialisatiefunctie. Om kwalitatief sterk onderwijs ook in de toekomst </w:t>
      </w:r>
      <w:r w:rsidR="003040E4">
        <w:t>te garanderen</w:t>
      </w:r>
      <w:r w:rsidRPr="009C6A05">
        <w:t xml:space="preserve">, dient het verbeterpotentieel constant benut te worden. ICT biedt hierin zowel kansen als uitdagingen. </w:t>
      </w:r>
    </w:p>
    <w:p w14:paraId="67D2EF67" w14:textId="493B2DC3" w:rsidR="002912E2" w:rsidRDefault="002912E2" w:rsidP="002912E2">
      <w:pPr>
        <w:pStyle w:val="NoSpacing"/>
        <w:spacing w:line="276" w:lineRule="auto"/>
      </w:pPr>
      <w:r w:rsidRPr="009C6A05">
        <w:t>Een belangrijke uitdaging vormt de inkoop van ICT. Dit onderzoek biedt inzicht in efficiënt inkoop door factoren die invloed hierop hebben in kaart te brengen. Hiermee worden onderwijsinstellingen in staat gesteld om doelmatiger om te gaan met de beschikbare financiële middelen. Dit is geheel in lijn met de paradigmawisseling naar New Public Management, waarin de besturings- en beheersingsmechanismen van de publieke sector veranderd zijn (</w:t>
      </w:r>
      <w:proofErr w:type="spellStart"/>
      <w:r w:rsidRPr="009C6A05">
        <w:t>Osborne</w:t>
      </w:r>
      <w:proofErr w:type="spellEnd"/>
      <w:r w:rsidRPr="009C6A05">
        <w:t xml:space="preserve"> &amp; </w:t>
      </w:r>
      <w:proofErr w:type="spellStart"/>
      <w:r w:rsidRPr="009C6A05">
        <w:t>Gaebler</w:t>
      </w:r>
      <w:proofErr w:type="spellEnd"/>
      <w:r w:rsidRPr="009C6A05">
        <w:t>, 1992). De pijlen zijn hiermee gericht op beheersbaar overheidsuitgaven, doelmatigheid en prestatiemeting (</w:t>
      </w:r>
      <w:proofErr w:type="spellStart"/>
      <w:r w:rsidRPr="009C6A05">
        <w:t>Corra</w:t>
      </w:r>
      <w:proofErr w:type="spellEnd"/>
      <w:r w:rsidRPr="009C6A05">
        <w:t xml:space="preserve"> et </w:t>
      </w:r>
      <w:r w:rsidR="000B47A7">
        <w:t>al.</w:t>
      </w:r>
      <w:r w:rsidRPr="009C6A05">
        <w:t xml:space="preserve"> 2011). Deze, deels ontleedt aan de markt, mechanismen kunnen ook op onderwijsinstellingen worden toegepast. Scholen zijn maatschappelijke ondernemingen die zich zowel voor maatschappelijke als voor financiële doelstellingen moeten verantwoorden (Camps et </w:t>
      </w:r>
      <w:r w:rsidR="000B47A7">
        <w:t>al.</w:t>
      </w:r>
      <w:r w:rsidRPr="009C6A05">
        <w:t xml:space="preserve"> 2009). Volgens Camps </w:t>
      </w:r>
      <w:r w:rsidR="000B47A7">
        <w:t>et</w:t>
      </w:r>
      <w:r w:rsidRPr="009C6A05">
        <w:t xml:space="preserve"> al. (2011) hebben deze organisaties met een ‘</w:t>
      </w:r>
      <w:r w:rsidRPr="009C6A05">
        <w:rPr>
          <w:i/>
        </w:rPr>
        <w:t xml:space="preserve">double </w:t>
      </w:r>
      <w:proofErr w:type="spellStart"/>
      <w:r w:rsidRPr="009C6A05">
        <w:rPr>
          <w:i/>
        </w:rPr>
        <w:t>bottom</w:t>
      </w:r>
      <w:proofErr w:type="spellEnd"/>
      <w:r w:rsidRPr="009C6A05">
        <w:rPr>
          <w:i/>
        </w:rPr>
        <w:t xml:space="preserve"> line</w:t>
      </w:r>
      <w:r w:rsidRPr="009C6A05">
        <w:t xml:space="preserve">’ te maken. Naast het waarborgen van publieke waarden, kent de maatschappelijke onderneming de randvoorwaarde om financieel gezond te zijn en te blijven (Camps et </w:t>
      </w:r>
      <w:r w:rsidR="000B47A7">
        <w:t>al.</w:t>
      </w:r>
      <w:r w:rsidRPr="009C6A05">
        <w:t xml:space="preserve"> 2011). Het efficiënt inkopen van digitale leermiddelen en ander ICT draagt hier in sterke mate aan bij. Dit onderzoek heeft een maatschappelijke bijdrage doordat twee aspecten binnen semipublieke instellingen worden belicht: (1) slim inkopen leidt tot meer ruimte voor het onderwijs en (2) het leidt tot zorgvuldig en doelmatig besteding van overheidsfinanciën. Met andere woorden: het gaat om </w:t>
      </w:r>
      <w:r w:rsidR="003040E4">
        <w:t>doelmatig</w:t>
      </w:r>
      <w:r w:rsidRPr="009C6A05">
        <w:t xml:space="preserve"> en verantwoord handelen.   </w:t>
      </w:r>
    </w:p>
    <w:p w14:paraId="22373C67" w14:textId="77777777" w:rsidR="002912E2" w:rsidRDefault="002912E2" w:rsidP="002912E2">
      <w:pPr>
        <w:pStyle w:val="NoSpacing"/>
        <w:spacing w:line="276" w:lineRule="auto"/>
        <w:rPr>
          <w:i/>
        </w:rPr>
      </w:pPr>
    </w:p>
    <w:p w14:paraId="3C150A2B" w14:textId="77777777" w:rsidR="002912E2" w:rsidRPr="00DF4899" w:rsidRDefault="002912E2" w:rsidP="002915EA">
      <w:pPr>
        <w:pStyle w:val="Heading3"/>
      </w:pPr>
      <w:bookmarkStart w:id="9" w:name="_Toc517455442"/>
      <w:bookmarkStart w:id="10" w:name="_Hlk484108575"/>
      <w:r w:rsidRPr="009B71F1">
        <w:rPr>
          <w:color w:val="1F3864" w:themeColor="accent1" w:themeShade="80"/>
        </w:rPr>
        <w:t>1.3.3 Wetenschappelijke relevantie</w:t>
      </w:r>
      <w:bookmarkEnd w:id="9"/>
    </w:p>
    <w:bookmarkEnd w:id="10"/>
    <w:p w14:paraId="50FBA10E" w14:textId="1453AA2A" w:rsidR="002912E2" w:rsidRPr="00531A97" w:rsidRDefault="002912E2" w:rsidP="00A321DC">
      <w:pPr>
        <w:pStyle w:val="NoSpacing"/>
        <w:spacing w:line="276" w:lineRule="auto"/>
      </w:pPr>
      <w:r w:rsidRPr="00BC2DC6">
        <w:t xml:space="preserve">Volgens </w:t>
      </w:r>
      <w:proofErr w:type="spellStart"/>
      <w:r w:rsidRPr="00BC2DC6">
        <w:t>Boeije</w:t>
      </w:r>
      <w:proofErr w:type="spellEnd"/>
      <w:r w:rsidRPr="00BC2DC6">
        <w:t xml:space="preserve"> (</w:t>
      </w:r>
      <w:r>
        <w:t>2005</w:t>
      </w:r>
      <w:r w:rsidRPr="00BC2DC6">
        <w:t>) is het doel van wetenschappelijk onderzoek theorieontwikkeling of –toetsing, waarbij de bestaande theorieën als ondersteuning worden gebruikt. Van Thiel (</w:t>
      </w:r>
      <w:r>
        <w:t>201</w:t>
      </w:r>
      <w:r w:rsidR="00B82A28">
        <w:t>5</w:t>
      </w:r>
      <w:r w:rsidRPr="00BC2DC6">
        <w:t>) stelt dat de wetenschappelijke relevantie van een onderzoek voortkomt uit de mate waarin de verworven kennis een bijdrage levert aan de bestaande theorieën omtrent een onderwe</w:t>
      </w:r>
      <w:r>
        <w:t>rp. De wijze waarop voortgezet onderwijsinstellingen inkope</w:t>
      </w:r>
      <w:r w:rsidR="003040E4">
        <w:t>n</w:t>
      </w:r>
      <w:r>
        <w:t xml:space="preserve"> en de factoren die hierbij een rol spelen, </w:t>
      </w:r>
      <w:r w:rsidR="00F233E8">
        <w:t>kent</w:t>
      </w:r>
      <w:r w:rsidRPr="00871B33">
        <w:t xml:space="preserve"> geen breed fundament in de </w:t>
      </w:r>
      <w:r>
        <w:t xml:space="preserve">wetenschappelijke </w:t>
      </w:r>
      <w:r w:rsidRPr="00871B33">
        <w:t>literat</w:t>
      </w:r>
      <w:r>
        <w:t xml:space="preserve">uur. In de wetenschappelijk literatuur ontbreekt er aan </w:t>
      </w:r>
      <w:r w:rsidR="00F233E8">
        <w:t xml:space="preserve">een </w:t>
      </w:r>
      <w:r>
        <w:t xml:space="preserve">integraal overzicht van factoren die efficiëntie belemmeren of faciliteren. Zo uit Murray (2009) kritiek op de bestaande literatuur met de stelling dat het politieke aspect in </w:t>
      </w:r>
      <w:r w:rsidR="00F233E8">
        <w:t xml:space="preserve">het </w:t>
      </w:r>
      <w:r>
        <w:t xml:space="preserve">inkooponderzoek geen aandacht krijgt. Het inkoopproces van een onderwijsinstelling wijkt op verschillende </w:t>
      </w:r>
      <w:r w:rsidR="00F233E8">
        <w:t>aspecten</w:t>
      </w:r>
      <w:r>
        <w:t xml:space="preserve"> af van inkoop binnen de private sector waar de vele onderzoeken zich doorgaans op richten (Murray, 2009). Er zijn weliswaar een aantal onderzoeken die zich specifiek richten tot</w:t>
      </w:r>
      <w:r w:rsidRPr="00871B33">
        <w:t xml:space="preserve"> </w:t>
      </w:r>
      <w:r>
        <w:t>inkoop door publieke organisaties. Echter is de cruciale rol van</w:t>
      </w:r>
      <w:r w:rsidRPr="00871B33">
        <w:t xml:space="preserve"> ICT daarin </w:t>
      </w:r>
      <w:r>
        <w:t xml:space="preserve">vooralsnog </w:t>
      </w:r>
      <w:r w:rsidRPr="00871B33">
        <w:t>onderbelicht gebleven.</w:t>
      </w:r>
      <w:r>
        <w:t xml:space="preserve"> Ook zijn de onderzoeken </w:t>
      </w:r>
      <w:r w:rsidRPr="009C6A05">
        <w:t xml:space="preserve">niet expliciet binnen onderwijsinstellingen uitgevoerd. </w:t>
      </w:r>
    </w:p>
    <w:p w14:paraId="789CBFDF" w14:textId="57A43980" w:rsidR="002912E2" w:rsidRDefault="002912E2" w:rsidP="002912E2">
      <w:pPr>
        <w:pStyle w:val="NoSpacing"/>
        <w:spacing w:line="276" w:lineRule="auto"/>
        <w:rPr>
          <w:b/>
          <w:sz w:val="32"/>
        </w:rPr>
      </w:pPr>
      <w:r w:rsidRPr="009C6A05">
        <w:t xml:space="preserve">Dit onderzoek vult deze leemte binnen de wetenschappelijk kennis over het inkoopproces en de factoren die hier invloed op hebben en draagt tevens bij aan het achterhalen van handvaten voor efficiënt inkoop binnen </w:t>
      </w:r>
      <w:r w:rsidR="00F233E8">
        <w:t xml:space="preserve">het voortgezet onderwijs. </w:t>
      </w:r>
      <w:r w:rsidRPr="009C6A05">
        <w:t xml:space="preserve"> </w:t>
      </w:r>
      <w:bookmarkStart w:id="11" w:name="_Hlk484108793"/>
      <w:r>
        <w:rPr>
          <w:b/>
          <w:sz w:val="32"/>
        </w:rPr>
        <w:br w:type="page"/>
      </w:r>
    </w:p>
    <w:p w14:paraId="3079D7E2" w14:textId="77777777" w:rsidR="002912E2" w:rsidRPr="00DF4899" w:rsidRDefault="002912E2" w:rsidP="002915EA">
      <w:pPr>
        <w:pStyle w:val="Heading1"/>
        <w:rPr>
          <w:rStyle w:val="NoSpacingChar"/>
          <w:b w:val="0"/>
        </w:rPr>
      </w:pPr>
      <w:bookmarkStart w:id="12" w:name="_Toc517455443"/>
      <w:r w:rsidRPr="00DF4899">
        <w:lastRenderedPageBreak/>
        <w:t>2.</w:t>
      </w:r>
      <w:r w:rsidRPr="00DF4899">
        <w:tab/>
        <w:t xml:space="preserve">Achtergrond en </w:t>
      </w:r>
      <w:r w:rsidRPr="002915EA">
        <w:rPr>
          <w:rStyle w:val="NoSpacingChar"/>
        </w:rPr>
        <w:t>context</w:t>
      </w:r>
      <w:bookmarkEnd w:id="12"/>
    </w:p>
    <w:bookmarkEnd w:id="11"/>
    <w:p w14:paraId="4D5BB4F8" w14:textId="77777777" w:rsidR="002912E2" w:rsidRDefault="002912E2" w:rsidP="002912E2">
      <w:pPr>
        <w:pStyle w:val="NoSpacing"/>
        <w:spacing w:line="360" w:lineRule="auto"/>
        <w:rPr>
          <w:b/>
          <w:sz w:val="24"/>
        </w:rPr>
      </w:pPr>
    </w:p>
    <w:p w14:paraId="2E91F957" w14:textId="77777777" w:rsidR="00BD2550" w:rsidRPr="00BD2550" w:rsidRDefault="00BD2550" w:rsidP="00BD2550">
      <w:pPr>
        <w:pStyle w:val="ListParagraph"/>
        <w:numPr>
          <w:ilvl w:val="0"/>
          <w:numId w:val="8"/>
        </w:numPr>
        <w:spacing w:after="0" w:line="276" w:lineRule="auto"/>
        <w:contextualSpacing w:val="0"/>
        <w:outlineLvl w:val="1"/>
        <w:rPr>
          <w:rFonts w:asciiTheme="minorHAnsi" w:eastAsiaTheme="minorHAnsi" w:hAnsiTheme="minorHAnsi"/>
          <w:b/>
          <w:vanish/>
          <w:sz w:val="24"/>
        </w:rPr>
      </w:pPr>
      <w:bookmarkStart w:id="13" w:name="_Toc517450979"/>
      <w:bookmarkStart w:id="14" w:name="_Toc517451053"/>
      <w:bookmarkStart w:id="15" w:name="_Toc517451127"/>
      <w:bookmarkStart w:id="16" w:name="_Toc517455444"/>
      <w:bookmarkEnd w:id="13"/>
      <w:bookmarkEnd w:id="14"/>
      <w:bookmarkEnd w:id="15"/>
      <w:bookmarkEnd w:id="16"/>
    </w:p>
    <w:p w14:paraId="523A6CF4" w14:textId="017C5205" w:rsidR="002912E2" w:rsidRPr="00BD2550" w:rsidRDefault="002912E2" w:rsidP="00BD2550">
      <w:pPr>
        <w:pStyle w:val="Heading2"/>
      </w:pPr>
      <w:bookmarkStart w:id="17" w:name="_Toc517455445"/>
      <w:r w:rsidRPr="00BD2550">
        <w:rPr>
          <w:color w:val="1F3864" w:themeColor="accent1" w:themeShade="80"/>
        </w:rPr>
        <w:t>Afbakening en situatieschets: de context deze studie</w:t>
      </w:r>
      <w:bookmarkEnd w:id="17"/>
    </w:p>
    <w:p w14:paraId="2672A4D5" w14:textId="185D412A" w:rsidR="002912E2" w:rsidRPr="009C6A05" w:rsidRDefault="002912E2" w:rsidP="002912E2">
      <w:pPr>
        <w:pStyle w:val="NoSpacing"/>
        <w:spacing w:line="276" w:lineRule="auto"/>
        <w:rPr>
          <w:rStyle w:val="NoSpacingChar"/>
          <w:rFonts w:cstheme="minorHAnsi"/>
        </w:rPr>
      </w:pPr>
      <w:r w:rsidRPr="009C6A05">
        <w:rPr>
          <w:szCs w:val="22"/>
        </w:rPr>
        <w:t>Zoals in het vorige hoofdstuk is aangehaald, is het kwalitatieve belang van het voortgezet onderwijs groot binnen de Nederlandse kenniseconomie. Maar ook kwantitatief doet dit toe. Anno 2016 wordt door 951.700 leerlingen onderwijs genoten op 643 verschillende middelbare scholen (</w:t>
      </w:r>
      <w:r w:rsidR="003040E4">
        <w:fldChar w:fldCharType="begin"/>
      </w:r>
      <w:r w:rsidR="003040E4">
        <w:instrText xml:space="preserve"> HYPERLINK "http://www.rijksbegroting.nl/2015/voorbereiding/begroting,kst199424_7.html" </w:instrText>
      </w:r>
      <w:r w:rsidR="003040E4">
        <w:fldChar w:fldCharType="separate"/>
      </w:r>
      <w:r w:rsidR="003040E4">
        <w:fldChar w:fldCharType="end"/>
      </w:r>
      <w:r w:rsidRPr="009C6A05">
        <w:rPr>
          <w:szCs w:val="22"/>
        </w:rPr>
        <w:t xml:space="preserve">Rijksbegroting, 2015). </w:t>
      </w:r>
    </w:p>
    <w:p w14:paraId="172A5134" w14:textId="01607DCC" w:rsidR="002912E2" w:rsidRPr="009C6A05" w:rsidRDefault="002912E2" w:rsidP="002912E2">
      <w:pPr>
        <w:pStyle w:val="NoSpacing"/>
        <w:spacing w:line="276" w:lineRule="auto"/>
        <w:rPr>
          <w:szCs w:val="22"/>
        </w:rPr>
      </w:pPr>
      <w:r w:rsidRPr="009C6A05">
        <w:rPr>
          <w:rStyle w:val="NoSpacingChar"/>
          <w:rFonts w:cstheme="minorHAnsi"/>
        </w:rPr>
        <w:t xml:space="preserve">Onderwijs is een publiek belang met publieke doelen volgens publieke normen (De Bruijn &amp; </w:t>
      </w:r>
      <w:proofErr w:type="spellStart"/>
      <w:r w:rsidRPr="009C6A05">
        <w:rPr>
          <w:rStyle w:val="NoSpacingChar"/>
          <w:rFonts w:cstheme="minorHAnsi"/>
        </w:rPr>
        <w:t>Dicke</w:t>
      </w:r>
      <w:proofErr w:type="spellEnd"/>
      <w:r w:rsidRPr="009C6A05">
        <w:rPr>
          <w:rStyle w:val="NoSpacingChar"/>
          <w:rFonts w:cstheme="minorHAnsi"/>
        </w:rPr>
        <w:t xml:space="preserve">, 2006). Zonder overheidsbemoeienis komt de waarborging van deze belangen </w:t>
      </w:r>
      <w:r w:rsidRPr="009C6A05">
        <w:rPr>
          <w:szCs w:val="22"/>
        </w:rPr>
        <w:t>in gevaar (WRR, 2000). De Rijksoverheid, het ministerie van OCW in het bijzonder, ondersteunt de scholen hierbij met een jaarlijks subsidie van ruim zes miljard euro (</w:t>
      </w:r>
      <w:proofErr w:type="spellStart"/>
      <w:r w:rsidR="00996BF1">
        <w:rPr>
          <w:rStyle w:val="Hyperlink"/>
          <w:rFonts w:cstheme="minorHAnsi"/>
          <w:color w:val="auto"/>
          <w:szCs w:val="22"/>
          <w:u w:val="none"/>
        </w:rPr>
        <w:fldChar w:fldCharType="begin"/>
      </w:r>
      <w:r w:rsidR="00996BF1">
        <w:rPr>
          <w:rStyle w:val="Hyperlink"/>
          <w:rFonts w:cstheme="minorHAnsi"/>
          <w:color w:val="auto"/>
          <w:szCs w:val="22"/>
          <w:u w:val="none"/>
        </w:rPr>
        <w:instrText xml:space="preserve"> HYPERLINK "http://www.onderwijsincijfers.nl/kengetallen/voortgezet-onderwijs/financienvo/uitgaven-ocw" </w:instrText>
      </w:r>
      <w:r w:rsidR="00996BF1">
        <w:rPr>
          <w:rStyle w:val="Hyperlink"/>
          <w:rFonts w:cstheme="minorHAnsi"/>
          <w:color w:val="auto"/>
          <w:szCs w:val="22"/>
          <w:u w:val="none"/>
        </w:rPr>
        <w:fldChar w:fldCharType="end"/>
      </w:r>
      <w:r w:rsidRPr="009C6A05">
        <w:rPr>
          <w:szCs w:val="22"/>
        </w:rPr>
        <w:t>Onderwijsincijfers</w:t>
      </w:r>
      <w:proofErr w:type="spellEnd"/>
      <w:r w:rsidRPr="009C6A05">
        <w:rPr>
          <w:szCs w:val="22"/>
        </w:rPr>
        <w:t>, z.j.</w:t>
      </w:r>
      <w:r w:rsidRPr="009C6A05">
        <w:rPr>
          <w:rStyle w:val="Hyperlink"/>
          <w:rFonts w:cstheme="minorHAnsi"/>
          <w:color w:val="auto"/>
          <w:szCs w:val="22"/>
          <w:u w:val="none"/>
        </w:rPr>
        <w:t>)</w:t>
      </w:r>
      <w:r w:rsidRPr="009C6A05">
        <w:rPr>
          <w:szCs w:val="22"/>
        </w:rPr>
        <w:t xml:space="preserve">. Per leerling komt dit neer op 7826 euro. Hierin is een stijgende trend te herkennen. Rijksbekostiging in het VO is de afgelopen jaren stelselmatig </w:t>
      </w:r>
      <w:r w:rsidRPr="0052756E">
        <w:rPr>
          <w:szCs w:val="22"/>
        </w:rPr>
        <w:t>toegenomen (zie figuur 1).</w:t>
      </w:r>
      <w:r w:rsidRPr="009C6A05">
        <w:rPr>
          <w:szCs w:val="22"/>
        </w:rPr>
        <w:t xml:space="preserve"> Er zijn diverse onderzoeken uitgevoerd om de stijging van de schoolkosten in kaart te brengen. Zo verscheen na het ‘</w:t>
      </w:r>
      <w:r w:rsidRPr="009C6A05">
        <w:rPr>
          <w:i/>
          <w:szCs w:val="22"/>
        </w:rPr>
        <w:t>Schoolkostenonderzoek’</w:t>
      </w:r>
      <w:r w:rsidRPr="009C6A05">
        <w:rPr>
          <w:szCs w:val="22"/>
        </w:rPr>
        <w:t xml:space="preserve"> de ‘</w:t>
      </w:r>
      <w:r w:rsidRPr="009C6A05">
        <w:rPr>
          <w:i/>
          <w:szCs w:val="22"/>
        </w:rPr>
        <w:t>Aanvullend onderzoek stijging schoolkosten</w:t>
      </w:r>
      <w:r w:rsidRPr="009C6A05">
        <w:rPr>
          <w:szCs w:val="22"/>
        </w:rPr>
        <w:t>’ en een ‘</w:t>
      </w:r>
      <w:r w:rsidRPr="009C6A05">
        <w:rPr>
          <w:i/>
          <w:szCs w:val="22"/>
        </w:rPr>
        <w:t>Verklarend onderzoek schoolkosten</w:t>
      </w:r>
      <w:r w:rsidRPr="009C6A05">
        <w:rPr>
          <w:szCs w:val="22"/>
        </w:rPr>
        <w:t>’. Uit deze verschillende onderzoeken blijkt dat over de afgelopen drie jaar schoolkosten met gemiddeld 15% zijn gestegen (</w:t>
      </w:r>
      <w:r w:rsidR="003040E4">
        <w:fldChar w:fldCharType="begin"/>
      </w:r>
      <w:r w:rsidR="003040E4">
        <w:instrText xml:space="preserve"> HYPERLINK "file:///C:\\Users\\hana\\Downloads\\84839a.pdf" </w:instrText>
      </w:r>
      <w:r w:rsidR="003040E4">
        <w:fldChar w:fldCharType="separate"/>
      </w:r>
      <w:r w:rsidR="003040E4">
        <w:fldChar w:fldCharType="end"/>
      </w:r>
      <w:r w:rsidRPr="009C6A05">
        <w:rPr>
          <w:szCs w:val="22"/>
        </w:rPr>
        <w:t xml:space="preserve">Nationaal expertisecentrum voor leerplanontwikkeling, 2008). Een duidelijk oorzaak blijft achterwege.   </w:t>
      </w:r>
    </w:p>
    <w:p w14:paraId="4D79F8DA" w14:textId="77777777" w:rsidR="002912E2" w:rsidRDefault="002912E2" w:rsidP="002912E2">
      <w:pPr>
        <w:pStyle w:val="NoSpacing"/>
        <w:spacing w:line="276" w:lineRule="auto"/>
        <w:rPr>
          <w:color w:val="000000" w:themeColor="text1"/>
          <w:szCs w:val="22"/>
        </w:rPr>
      </w:pPr>
    </w:p>
    <w:p w14:paraId="5B4CAF8A" w14:textId="77777777" w:rsidR="002912E2" w:rsidRDefault="002912E2" w:rsidP="002912E2">
      <w:pPr>
        <w:pStyle w:val="NoSpacing"/>
        <w:spacing w:line="276" w:lineRule="auto"/>
      </w:pPr>
      <w:r>
        <w:rPr>
          <w:noProof/>
          <w:lang w:eastAsia="nl-NL"/>
        </w:rPr>
        <w:drawing>
          <wp:inline distT="0" distB="0" distL="0" distR="0" wp14:anchorId="153DC669" wp14:editId="4B3BA9D0">
            <wp:extent cx="4610100" cy="4732554"/>
            <wp:effectExtent l="19050" t="19050" r="19050" b="1143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641073" cy="4764350"/>
                    </a:xfrm>
                    <a:prstGeom prst="rect">
                      <a:avLst/>
                    </a:prstGeom>
                    <a:ln>
                      <a:solidFill>
                        <a:schemeClr val="tx1">
                          <a:lumMod val="50000"/>
                          <a:lumOff val="50000"/>
                        </a:schemeClr>
                      </a:solidFill>
                    </a:ln>
                  </pic:spPr>
                </pic:pic>
              </a:graphicData>
            </a:graphic>
          </wp:inline>
        </w:drawing>
      </w:r>
    </w:p>
    <w:p w14:paraId="27F73400" w14:textId="77777777" w:rsidR="002912E2" w:rsidRPr="002915EA" w:rsidRDefault="002912E2" w:rsidP="002915EA">
      <w:pPr>
        <w:pStyle w:val="Caption"/>
        <w:rPr>
          <w:highlight w:val="yellow"/>
        </w:rPr>
      </w:pPr>
      <w:bookmarkStart w:id="18" w:name="_Hlk484351254"/>
      <w:r w:rsidRPr="002915EA">
        <w:t>Figuur 1: Rijksbekostiging per leerling in het VO. Bron: Kerncijfers Onderwijs 2009-2013, Ministerie van OCW.</w:t>
      </w:r>
    </w:p>
    <w:bookmarkEnd w:id="18"/>
    <w:p w14:paraId="5192A8EF" w14:textId="77777777" w:rsidR="002912E2" w:rsidRDefault="002912E2" w:rsidP="002912E2">
      <w:pPr>
        <w:pStyle w:val="NoSpacing"/>
        <w:spacing w:line="276" w:lineRule="auto"/>
      </w:pPr>
    </w:p>
    <w:p w14:paraId="0267B6DD" w14:textId="77777777" w:rsidR="002912E2" w:rsidRDefault="002912E2" w:rsidP="002912E2">
      <w:pPr>
        <w:kinsoku/>
        <w:autoSpaceDE/>
        <w:autoSpaceDN/>
        <w:adjustRightInd/>
        <w:spacing w:after="160" w:line="259" w:lineRule="auto"/>
        <w:rPr>
          <w:rFonts w:asciiTheme="minorHAnsi" w:eastAsiaTheme="minorHAnsi" w:hAnsiTheme="minorHAnsi"/>
          <w:sz w:val="22"/>
        </w:rPr>
      </w:pPr>
      <w:r>
        <w:br w:type="page"/>
      </w:r>
    </w:p>
    <w:p w14:paraId="0CE9FD04" w14:textId="0C78505B" w:rsidR="002912E2" w:rsidRPr="009C6A05" w:rsidRDefault="009E5854" w:rsidP="002912E2">
      <w:pPr>
        <w:pStyle w:val="NoSpacing"/>
        <w:spacing w:line="276" w:lineRule="auto"/>
      </w:pPr>
      <w:r>
        <w:lastRenderedPageBreak/>
        <w:t xml:space="preserve">De toegenomen kosten, zoals geïllustreerd in figuur 1, stellen scholen voor uitdagingen. </w:t>
      </w:r>
      <w:r w:rsidR="002912E2" w:rsidRPr="009C6A05">
        <w:t xml:space="preserve">Het kabinet heeft in 2011 een aantal hervormingen aangekondigd waarmee de totale uitgaven gereduceerd dienen te worden (Berenschot &amp; VKA, 2012). </w:t>
      </w:r>
      <w:r>
        <w:t>Binnen de scholen is er een trend</w:t>
      </w:r>
      <w:r w:rsidR="002912E2" w:rsidRPr="009C6A05">
        <w:t xml:space="preserve"> zichtbaar waarbij marktgerichte mechanismen ingevoerd worden. Scholen worden geacht meer competitief en verantwoord te werken. Er worden diverse kwaliteitsmonitoren gehanteerd om goede prestaties aan te moedigen (</w:t>
      </w:r>
      <w:r w:rsidR="003040E4">
        <w:fldChar w:fldCharType="begin"/>
      </w:r>
      <w:r w:rsidR="003040E4">
        <w:instrText xml:space="preserve"> HYPERLINK "http://www.cpb.nl/sites/default/files/publicaties/download/bijz29.pdf" </w:instrText>
      </w:r>
      <w:r w:rsidR="003040E4">
        <w:fldChar w:fldCharType="separate"/>
      </w:r>
      <w:r w:rsidR="003040E4">
        <w:fldChar w:fldCharType="end"/>
      </w:r>
      <w:r w:rsidR="002912E2" w:rsidRPr="009C6A05">
        <w:t>CPB, 2011). In de praktijk is dit complex. Standaardisering in het onderwijs is problematisch gezien de complexiteit van het werk en gebrek aan eenduidige resultaten (</w:t>
      </w:r>
      <w:proofErr w:type="spellStart"/>
      <w:r w:rsidR="00996BF1">
        <w:rPr>
          <w:rStyle w:val="Hyperlink"/>
          <w:color w:val="auto"/>
          <w:u w:val="none"/>
        </w:rPr>
        <w:fldChar w:fldCharType="begin"/>
      </w:r>
      <w:r w:rsidR="00996BF1">
        <w:rPr>
          <w:rStyle w:val="Hyperlink"/>
          <w:color w:val="auto"/>
          <w:u w:val="none"/>
        </w:rPr>
        <w:instrText xml:space="preserve"> HYPERLINK "https://books.google.nl/books?id=6-zI2AYgPNMC&amp;pg=PA271&amp;lpg=PA271&amp;dq=marktgerichte+mechanisme+onderwijs&amp;source=bl&amp;ots=dYWS3Eujdm&amp;sig=UDFrArMlkyA-7yl35Ec85n4hK2I&amp;hl=nl&amp;sa=X&amp;ved=0ahUKEwijh4bE4cXNAhWH1hQKHaO6BBMQ6AEIMDAD" \l "v=onepage&amp;q=marktgerichte%20mechanisme%20onderwijs&amp;f=false" </w:instrText>
      </w:r>
      <w:r w:rsidR="00996BF1">
        <w:rPr>
          <w:rStyle w:val="Hyperlink"/>
          <w:color w:val="auto"/>
          <w:u w:val="none"/>
        </w:rPr>
        <w:fldChar w:fldCharType="end"/>
      </w:r>
      <w:r w:rsidR="002912E2" w:rsidRPr="009C6A05">
        <w:t>Fortuijn</w:t>
      </w:r>
      <w:proofErr w:type="spellEnd"/>
      <w:r w:rsidR="002912E2" w:rsidRPr="009C6A05">
        <w:t xml:space="preserve">, 2003). Beleidsbepalers moeten zich constant afvragen hoe het verbeterpotentieel benut kan worden. Op het terrein van inkoop zijn er kansen voor het verbeterpotentieel. Immers, het efficiënt inkopen van </w:t>
      </w:r>
      <w:r w:rsidR="00230781">
        <w:t>(</w:t>
      </w:r>
      <w:r w:rsidR="002912E2" w:rsidRPr="009C6A05">
        <w:t>digitale</w:t>
      </w:r>
      <w:r w:rsidR="00230781">
        <w:t>)</w:t>
      </w:r>
      <w:r w:rsidR="002912E2" w:rsidRPr="009C6A05">
        <w:t xml:space="preserve"> leermiddelen en ander ICT leidt tot een lagere kostenpost. Deze efficiëntieslag draagt bij aan een groter bestedingsruimte voor het primair proces: leerlingen kwalitatief hoogwaardig onderwijs bieden (</w:t>
      </w:r>
      <w:r w:rsidR="003040E4">
        <w:fldChar w:fldCharType="begin"/>
      </w:r>
      <w:r w:rsidR="003040E4">
        <w:instrText xml:space="preserve"> HYPERLINK "http://arjanvanweele.com/42/records/14/Revolution%20in%20purchasing%201996%20JPSM.pdf" </w:instrText>
      </w:r>
      <w:r w:rsidR="003040E4">
        <w:fldChar w:fldCharType="separate"/>
      </w:r>
      <w:r w:rsidR="003040E4">
        <w:fldChar w:fldCharType="end"/>
      </w:r>
      <w:r w:rsidR="002912E2" w:rsidRPr="009C6A05">
        <w:t xml:space="preserve">Van Weele &amp; </w:t>
      </w:r>
      <w:proofErr w:type="spellStart"/>
      <w:r w:rsidR="002912E2" w:rsidRPr="009C6A05">
        <w:t>Rozemeijer</w:t>
      </w:r>
      <w:proofErr w:type="spellEnd"/>
      <w:r w:rsidR="002912E2" w:rsidRPr="009C6A05">
        <w:t>, 1996). Hiervoor dient de bedrijfsvoering in orde te zijn. De term bedrijfsvoering betreft de sturing en beheersing van bedrijfsprocessen binnen een organisatie</w:t>
      </w:r>
      <w:r w:rsidR="00F233E8">
        <w:t xml:space="preserve">. </w:t>
      </w:r>
      <w:r w:rsidR="002912E2" w:rsidRPr="009C6A05">
        <w:t>De gezamenlijke ICT</w:t>
      </w:r>
      <w:r w:rsidR="00F233E8">
        <w:t>-</w:t>
      </w:r>
      <w:r w:rsidR="002912E2" w:rsidRPr="009C6A05">
        <w:t>kosten van scholen maken ongeveer 4.5% deel uit van de totale kosten</w:t>
      </w:r>
      <w:r w:rsidR="00230781">
        <w:t>.</w:t>
      </w:r>
      <w:r w:rsidR="002912E2" w:rsidRPr="009C6A05">
        <w:t xml:space="preserve"> Echter is er slechts weinig bekend over de werkelijke kosten van ICT in het onderwijs (Wereldbank, 2016). Het gaat hier om een kostenpost dat een stijgende trend laat zien binnen een onbekend gebied. Bovendien stelt het onderwijsinstellingen voor een extra uitdaging gelet op het feit dat subsidies voor ICT-projecten vanuit het Rijk per 2016 stopgezet zijn, zoals </w:t>
      </w:r>
      <w:r w:rsidR="002912E2" w:rsidRPr="00D12C93">
        <w:t>tabel</w:t>
      </w:r>
      <w:r w:rsidR="002912E2" w:rsidRPr="009C6A05">
        <w:t xml:space="preserve"> </w:t>
      </w:r>
      <w:r w:rsidR="005A38AE">
        <w:t>1</w:t>
      </w:r>
      <w:r w:rsidR="002912E2" w:rsidRPr="009C6A05">
        <w:t xml:space="preserve"> illustreert (</w:t>
      </w:r>
      <w:r w:rsidR="003040E4">
        <w:fldChar w:fldCharType="begin"/>
      </w:r>
      <w:r w:rsidR="003040E4">
        <w:instrText xml:space="preserve"> HYPERLINK "http://www.rijksbegroting.nl/2015/voorbereiding/begroting,kst199424_7.html" </w:instrText>
      </w:r>
      <w:r w:rsidR="003040E4">
        <w:fldChar w:fldCharType="separate"/>
      </w:r>
      <w:r w:rsidR="003040E4">
        <w:fldChar w:fldCharType="end"/>
      </w:r>
      <w:r w:rsidR="002912E2" w:rsidRPr="009C6A05">
        <w:t>Rijksbegroting, 2015).</w:t>
      </w:r>
    </w:p>
    <w:p w14:paraId="079C27C5" w14:textId="77777777" w:rsidR="002912E2" w:rsidRDefault="002912E2" w:rsidP="002912E2">
      <w:pPr>
        <w:pStyle w:val="NoSpacing"/>
        <w:spacing w:line="276" w:lineRule="auto"/>
        <w:rPr>
          <w:color w:val="000000" w:themeColor="text1"/>
        </w:rPr>
      </w:pPr>
    </w:p>
    <w:tbl>
      <w:tblPr>
        <w:tblStyle w:val="GridTable1Light"/>
        <w:tblW w:w="10485" w:type="dxa"/>
        <w:tblLook w:val="04A0" w:firstRow="1" w:lastRow="0" w:firstColumn="1" w:lastColumn="0" w:noHBand="0" w:noVBand="1"/>
      </w:tblPr>
      <w:tblGrid>
        <w:gridCol w:w="2263"/>
        <w:gridCol w:w="1134"/>
        <w:gridCol w:w="1134"/>
        <w:gridCol w:w="1134"/>
        <w:gridCol w:w="1134"/>
        <w:gridCol w:w="1276"/>
        <w:gridCol w:w="1276"/>
        <w:gridCol w:w="1134"/>
      </w:tblGrid>
      <w:tr w:rsidR="002912E2" w14:paraId="6DDE0408" w14:textId="77777777" w:rsidTr="00F814F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shd w:val="clear" w:color="auto" w:fill="auto"/>
          </w:tcPr>
          <w:p w14:paraId="0CAE7594" w14:textId="77777777" w:rsidR="002912E2" w:rsidRPr="00BB3AA5" w:rsidRDefault="002912E2" w:rsidP="007E665C">
            <w:pPr>
              <w:pStyle w:val="NoSpacing"/>
              <w:spacing w:line="276" w:lineRule="auto"/>
              <w:rPr>
                <w:color w:val="000000" w:themeColor="text1"/>
                <w:sz w:val="20"/>
              </w:rPr>
            </w:pPr>
            <w:r w:rsidRPr="00BB3AA5">
              <w:rPr>
                <w:color w:val="000000" w:themeColor="text1"/>
                <w:sz w:val="20"/>
              </w:rPr>
              <w:t>Jaar</w:t>
            </w:r>
          </w:p>
        </w:tc>
        <w:tc>
          <w:tcPr>
            <w:tcW w:w="1134" w:type="dxa"/>
            <w:shd w:val="clear" w:color="auto" w:fill="auto"/>
          </w:tcPr>
          <w:p w14:paraId="1BE16D69" w14:textId="77777777" w:rsidR="002912E2" w:rsidRPr="00BB3AA5" w:rsidRDefault="002912E2" w:rsidP="007E665C">
            <w:pPr>
              <w:pStyle w:val="NoSpacing"/>
              <w:spacing w:line="276" w:lineRule="auto"/>
              <w:cnfStyle w:val="100000000000" w:firstRow="1" w:lastRow="0" w:firstColumn="0" w:lastColumn="0" w:oddVBand="0" w:evenVBand="0" w:oddHBand="0" w:evenHBand="0" w:firstRowFirstColumn="0" w:firstRowLastColumn="0" w:lastRowFirstColumn="0" w:lastRowLastColumn="0"/>
              <w:rPr>
                <w:color w:val="000000" w:themeColor="text1"/>
                <w:sz w:val="20"/>
              </w:rPr>
            </w:pPr>
            <w:r w:rsidRPr="00BB3AA5">
              <w:rPr>
                <w:color w:val="000000" w:themeColor="text1"/>
                <w:sz w:val="20"/>
              </w:rPr>
              <w:t>2013</w:t>
            </w:r>
          </w:p>
        </w:tc>
        <w:tc>
          <w:tcPr>
            <w:tcW w:w="1134" w:type="dxa"/>
            <w:shd w:val="clear" w:color="auto" w:fill="auto"/>
          </w:tcPr>
          <w:p w14:paraId="322F02ED" w14:textId="77777777" w:rsidR="002912E2" w:rsidRPr="00BB3AA5" w:rsidRDefault="002912E2" w:rsidP="007E665C">
            <w:pPr>
              <w:pStyle w:val="NoSpacing"/>
              <w:spacing w:line="276" w:lineRule="auto"/>
              <w:cnfStyle w:val="100000000000" w:firstRow="1" w:lastRow="0" w:firstColumn="0" w:lastColumn="0" w:oddVBand="0" w:evenVBand="0" w:oddHBand="0" w:evenHBand="0" w:firstRowFirstColumn="0" w:firstRowLastColumn="0" w:lastRowFirstColumn="0" w:lastRowLastColumn="0"/>
              <w:rPr>
                <w:color w:val="000000" w:themeColor="text1"/>
                <w:sz w:val="20"/>
              </w:rPr>
            </w:pPr>
            <w:r w:rsidRPr="00BB3AA5">
              <w:rPr>
                <w:color w:val="000000" w:themeColor="text1"/>
                <w:sz w:val="20"/>
              </w:rPr>
              <w:t>2014</w:t>
            </w:r>
          </w:p>
        </w:tc>
        <w:tc>
          <w:tcPr>
            <w:tcW w:w="1134" w:type="dxa"/>
            <w:shd w:val="clear" w:color="auto" w:fill="auto"/>
          </w:tcPr>
          <w:p w14:paraId="50901743" w14:textId="77777777" w:rsidR="002912E2" w:rsidRPr="00BB3AA5" w:rsidRDefault="002912E2" w:rsidP="007E665C">
            <w:pPr>
              <w:pStyle w:val="NoSpacing"/>
              <w:spacing w:line="276" w:lineRule="auto"/>
              <w:cnfStyle w:val="100000000000" w:firstRow="1" w:lastRow="0" w:firstColumn="0" w:lastColumn="0" w:oddVBand="0" w:evenVBand="0" w:oddHBand="0" w:evenHBand="0" w:firstRowFirstColumn="0" w:firstRowLastColumn="0" w:lastRowFirstColumn="0" w:lastRowLastColumn="0"/>
              <w:rPr>
                <w:color w:val="000000" w:themeColor="text1"/>
                <w:sz w:val="20"/>
              </w:rPr>
            </w:pPr>
            <w:r w:rsidRPr="00BB3AA5">
              <w:rPr>
                <w:color w:val="000000" w:themeColor="text1"/>
                <w:sz w:val="20"/>
              </w:rPr>
              <w:t>2015</w:t>
            </w:r>
          </w:p>
        </w:tc>
        <w:tc>
          <w:tcPr>
            <w:tcW w:w="1134" w:type="dxa"/>
            <w:shd w:val="clear" w:color="auto" w:fill="auto"/>
          </w:tcPr>
          <w:p w14:paraId="42D94506" w14:textId="77777777" w:rsidR="002912E2" w:rsidRPr="00BB3AA5" w:rsidRDefault="002912E2" w:rsidP="007E665C">
            <w:pPr>
              <w:pStyle w:val="NoSpacing"/>
              <w:spacing w:line="276" w:lineRule="auto"/>
              <w:cnfStyle w:val="100000000000" w:firstRow="1" w:lastRow="0" w:firstColumn="0" w:lastColumn="0" w:oddVBand="0" w:evenVBand="0" w:oddHBand="0" w:evenHBand="0" w:firstRowFirstColumn="0" w:firstRowLastColumn="0" w:lastRowFirstColumn="0" w:lastRowLastColumn="0"/>
              <w:rPr>
                <w:color w:val="000000" w:themeColor="text1"/>
                <w:sz w:val="20"/>
              </w:rPr>
            </w:pPr>
            <w:r w:rsidRPr="00BB3AA5">
              <w:rPr>
                <w:color w:val="000000" w:themeColor="text1"/>
                <w:sz w:val="20"/>
              </w:rPr>
              <w:t>2016</w:t>
            </w:r>
          </w:p>
        </w:tc>
        <w:tc>
          <w:tcPr>
            <w:tcW w:w="1276" w:type="dxa"/>
            <w:shd w:val="clear" w:color="auto" w:fill="auto"/>
          </w:tcPr>
          <w:p w14:paraId="2439CF4C" w14:textId="77777777" w:rsidR="002912E2" w:rsidRPr="00BB3AA5" w:rsidRDefault="002912E2" w:rsidP="007E665C">
            <w:pPr>
              <w:pStyle w:val="NoSpacing"/>
              <w:spacing w:line="276" w:lineRule="auto"/>
              <w:cnfStyle w:val="100000000000" w:firstRow="1" w:lastRow="0" w:firstColumn="0" w:lastColumn="0" w:oddVBand="0" w:evenVBand="0" w:oddHBand="0" w:evenHBand="0" w:firstRowFirstColumn="0" w:firstRowLastColumn="0" w:lastRowFirstColumn="0" w:lastRowLastColumn="0"/>
              <w:rPr>
                <w:color w:val="000000" w:themeColor="text1"/>
                <w:sz w:val="20"/>
              </w:rPr>
            </w:pPr>
            <w:r w:rsidRPr="00BB3AA5">
              <w:rPr>
                <w:color w:val="000000" w:themeColor="text1"/>
                <w:sz w:val="20"/>
              </w:rPr>
              <w:t>2017</w:t>
            </w:r>
          </w:p>
        </w:tc>
        <w:tc>
          <w:tcPr>
            <w:tcW w:w="1276" w:type="dxa"/>
            <w:shd w:val="clear" w:color="auto" w:fill="auto"/>
          </w:tcPr>
          <w:p w14:paraId="58D26176" w14:textId="77777777" w:rsidR="002912E2" w:rsidRPr="00BB3AA5" w:rsidRDefault="002912E2" w:rsidP="007E665C">
            <w:pPr>
              <w:pStyle w:val="NoSpacing"/>
              <w:spacing w:line="276" w:lineRule="auto"/>
              <w:cnfStyle w:val="100000000000" w:firstRow="1" w:lastRow="0" w:firstColumn="0" w:lastColumn="0" w:oddVBand="0" w:evenVBand="0" w:oddHBand="0" w:evenHBand="0" w:firstRowFirstColumn="0" w:firstRowLastColumn="0" w:lastRowFirstColumn="0" w:lastRowLastColumn="0"/>
              <w:rPr>
                <w:color w:val="000000" w:themeColor="text1"/>
                <w:sz w:val="20"/>
              </w:rPr>
            </w:pPr>
            <w:r w:rsidRPr="00BB3AA5">
              <w:rPr>
                <w:color w:val="000000" w:themeColor="text1"/>
                <w:sz w:val="20"/>
              </w:rPr>
              <w:t>2018</w:t>
            </w:r>
          </w:p>
        </w:tc>
        <w:tc>
          <w:tcPr>
            <w:tcW w:w="1134" w:type="dxa"/>
            <w:shd w:val="clear" w:color="auto" w:fill="auto"/>
          </w:tcPr>
          <w:p w14:paraId="19F1D751" w14:textId="77777777" w:rsidR="002912E2" w:rsidRPr="00BB3AA5" w:rsidRDefault="002912E2" w:rsidP="007E665C">
            <w:pPr>
              <w:pStyle w:val="NoSpacing"/>
              <w:spacing w:line="276" w:lineRule="auto"/>
              <w:cnfStyle w:val="100000000000" w:firstRow="1" w:lastRow="0" w:firstColumn="0" w:lastColumn="0" w:oddVBand="0" w:evenVBand="0" w:oddHBand="0" w:evenHBand="0" w:firstRowFirstColumn="0" w:firstRowLastColumn="0" w:lastRowFirstColumn="0" w:lastRowLastColumn="0"/>
              <w:rPr>
                <w:color w:val="000000" w:themeColor="text1"/>
                <w:sz w:val="20"/>
              </w:rPr>
            </w:pPr>
            <w:r w:rsidRPr="00BB3AA5">
              <w:rPr>
                <w:color w:val="000000" w:themeColor="text1"/>
                <w:sz w:val="20"/>
              </w:rPr>
              <w:t>2019</w:t>
            </w:r>
          </w:p>
        </w:tc>
      </w:tr>
      <w:tr w:rsidR="002912E2" w14:paraId="409A1DF8" w14:textId="77777777" w:rsidTr="00F01515">
        <w:tc>
          <w:tcPr>
            <w:cnfStyle w:val="001000000000" w:firstRow="0" w:lastRow="0" w:firstColumn="1" w:lastColumn="0" w:oddVBand="0" w:evenVBand="0" w:oddHBand="0" w:evenHBand="0" w:firstRowFirstColumn="0" w:firstRowLastColumn="0" w:lastRowFirstColumn="0" w:lastRowLastColumn="0"/>
            <w:tcW w:w="2263" w:type="dxa"/>
          </w:tcPr>
          <w:p w14:paraId="794D9D4A" w14:textId="77777777" w:rsidR="002912E2" w:rsidRPr="00BB3AA5" w:rsidRDefault="002912E2" w:rsidP="007E665C">
            <w:pPr>
              <w:pStyle w:val="NoSpacing"/>
              <w:rPr>
                <w:color w:val="000000" w:themeColor="text1"/>
                <w:sz w:val="20"/>
              </w:rPr>
            </w:pPr>
            <w:r w:rsidRPr="00BB3AA5">
              <w:rPr>
                <w:color w:val="000000" w:themeColor="text1"/>
                <w:sz w:val="20"/>
              </w:rPr>
              <w:t>Subsidie ICT-projecten</w:t>
            </w:r>
          </w:p>
        </w:tc>
        <w:tc>
          <w:tcPr>
            <w:tcW w:w="1134" w:type="dxa"/>
          </w:tcPr>
          <w:p w14:paraId="31981FC9" w14:textId="77777777" w:rsidR="002912E2" w:rsidRPr="00BB3AA5" w:rsidRDefault="002912E2" w:rsidP="007E665C">
            <w:pPr>
              <w:pStyle w:val="NoSpacing"/>
              <w:spacing w:line="276" w:lineRule="auto"/>
              <w:cnfStyle w:val="000000000000" w:firstRow="0" w:lastRow="0" w:firstColumn="0" w:lastColumn="0" w:oddVBand="0" w:evenVBand="0" w:oddHBand="0" w:evenHBand="0" w:firstRowFirstColumn="0" w:firstRowLastColumn="0" w:lastRowFirstColumn="0" w:lastRowLastColumn="0"/>
              <w:rPr>
                <w:color w:val="000000" w:themeColor="text1"/>
                <w:sz w:val="20"/>
              </w:rPr>
            </w:pPr>
            <w:r w:rsidRPr="00BB3AA5">
              <w:rPr>
                <w:color w:val="000000" w:themeColor="text1"/>
                <w:sz w:val="20"/>
              </w:rPr>
              <w:t>570.000</w:t>
            </w:r>
          </w:p>
        </w:tc>
        <w:tc>
          <w:tcPr>
            <w:tcW w:w="1134" w:type="dxa"/>
          </w:tcPr>
          <w:p w14:paraId="34083E42" w14:textId="77777777" w:rsidR="002912E2" w:rsidRPr="00BB3AA5" w:rsidRDefault="002912E2" w:rsidP="007E665C">
            <w:pPr>
              <w:pStyle w:val="NoSpacing"/>
              <w:spacing w:line="276" w:lineRule="auto"/>
              <w:cnfStyle w:val="000000000000" w:firstRow="0" w:lastRow="0" w:firstColumn="0" w:lastColumn="0" w:oddVBand="0" w:evenVBand="0" w:oddHBand="0" w:evenHBand="0" w:firstRowFirstColumn="0" w:firstRowLastColumn="0" w:lastRowFirstColumn="0" w:lastRowLastColumn="0"/>
              <w:rPr>
                <w:color w:val="000000" w:themeColor="text1"/>
                <w:sz w:val="20"/>
              </w:rPr>
            </w:pPr>
            <w:r w:rsidRPr="00BB3AA5">
              <w:rPr>
                <w:color w:val="000000" w:themeColor="text1"/>
                <w:sz w:val="20"/>
              </w:rPr>
              <w:t>1.796.000</w:t>
            </w:r>
          </w:p>
        </w:tc>
        <w:tc>
          <w:tcPr>
            <w:tcW w:w="1134" w:type="dxa"/>
          </w:tcPr>
          <w:p w14:paraId="3B493475" w14:textId="77777777" w:rsidR="002912E2" w:rsidRPr="00BB3AA5" w:rsidRDefault="002912E2" w:rsidP="007E665C">
            <w:pPr>
              <w:pStyle w:val="NoSpacing"/>
              <w:spacing w:line="276" w:lineRule="auto"/>
              <w:cnfStyle w:val="000000000000" w:firstRow="0" w:lastRow="0" w:firstColumn="0" w:lastColumn="0" w:oddVBand="0" w:evenVBand="0" w:oddHBand="0" w:evenHBand="0" w:firstRowFirstColumn="0" w:firstRowLastColumn="0" w:lastRowFirstColumn="0" w:lastRowLastColumn="0"/>
              <w:rPr>
                <w:color w:val="000000" w:themeColor="text1"/>
                <w:sz w:val="20"/>
              </w:rPr>
            </w:pPr>
            <w:r w:rsidRPr="00BB3AA5">
              <w:rPr>
                <w:color w:val="000000" w:themeColor="text1"/>
                <w:sz w:val="20"/>
              </w:rPr>
              <w:t>700.000</w:t>
            </w:r>
          </w:p>
        </w:tc>
        <w:tc>
          <w:tcPr>
            <w:tcW w:w="1134" w:type="dxa"/>
          </w:tcPr>
          <w:p w14:paraId="026E351D" w14:textId="77777777" w:rsidR="002912E2" w:rsidRPr="00BB3AA5" w:rsidRDefault="002912E2" w:rsidP="007E665C">
            <w:pPr>
              <w:pStyle w:val="NoSpacing"/>
              <w:spacing w:line="276" w:lineRule="auto"/>
              <w:cnfStyle w:val="000000000000" w:firstRow="0" w:lastRow="0" w:firstColumn="0" w:lastColumn="0" w:oddVBand="0" w:evenVBand="0" w:oddHBand="0" w:evenHBand="0" w:firstRowFirstColumn="0" w:firstRowLastColumn="0" w:lastRowFirstColumn="0" w:lastRowLastColumn="0"/>
              <w:rPr>
                <w:color w:val="000000" w:themeColor="text1"/>
                <w:sz w:val="20"/>
              </w:rPr>
            </w:pPr>
            <w:r w:rsidRPr="00BB3AA5">
              <w:rPr>
                <w:color w:val="000000" w:themeColor="text1"/>
                <w:sz w:val="20"/>
              </w:rPr>
              <w:t>0</w:t>
            </w:r>
          </w:p>
        </w:tc>
        <w:tc>
          <w:tcPr>
            <w:tcW w:w="1276" w:type="dxa"/>
          </w:tcPr>
          <w:p w14:paraId="58F84D62" w14:textId="77777777" w:rsidR="002912E2" w:rsidRPr="00BB3AA5" w:rsidRDefault="002912E2" w:rsidP="007E665C">
            <w:pPr>
              <w:pStyle w:val="NoSpacing"/>
              <w:spacing w:line="276" w:lineRule="auto"/>
              <w:cnfStyle w:val="000000000000" w:firstRow="0" w:lastRow="0" w:firstColumn="0" w:lastColumn="0" w:oddVBand="0" w:evenVBand="0" w:oddHBand="0" w:evenHBand="0" w:firstRowFirstColumn="0" w:firstRowLastColumn="0" w:lastRowFirstColumn="0" w:lastRowLastColumn="0"/>
              <w:rPr>
                <w:color w:val="000000" w:themeColor="text1"/>
                <w:sz w:val="20"/>
              </w:rPr>
            </w:pPr>
            <w:r w:rsidRPr="00BB3AA5">
              <w:rPr>
                <w:color w:val="000000" w:themeColor="text1"/>
                <w:sz w:val="20"/>
              </w:rPr>
              <w:t>0</w:t>
            </w:r>
          </w:p>
        </w:tc>
        <w:tc>
          <w:tcPr>
            <w:tcW w:w="1276" w:type="dxa"/>
          </w:tcPr>
          <w:p w14:paraId="48BD9D1E" w14:textId="77777777" w:rsidR="002912E2" w:rsidRPr="00BB3AA5" w:rsidRDefault="002912E2" w:rsidP="007E665C">
            <w:pPr>
              <w:pStyle w:val="NoSpacing"/>
              <w:spacing w:line="276" w:lineRule="auto"/>
              <w:cnfStyle w:val="000000000000" w:firstRow="0" w:lastRow="0" w:firstColumn="0" w:lastColumn="0" w:oddVBand="0" w:evenVBand="0" w:oddHBand="0" w:evenHBand="0" w:firstRowFirstColumn="0" w:firstRowLastColumn="0" w:lastRowFirstColumn="0" w:lastRowLastColumn="0"/>
              <w:rPr>
                <w:color w:val="000000" w:themeColor="text1"/>
                <w:sz w:val="20"/>
              </w:rPr>
            </w:pPr>
            <w:r w:rsidRPr="00BB3AA5">
              <w:rPr>
                <w:color w:val="000000" w:themeColor="text1"/>
                <w:sz w:val="20"/>
              </w:rPr>
              <w:t>0</w:t>
            </w:r>
          </w:p>
        </w:tc>
        <w:tc>
          <w:tcPr>
            <w:tcW w:w="1134" w:type="dxa"/>
          </w:tcPr>
          <w:p w14:paraId="2D4163B0" w14:textId="77777777" w:rsidR="002912E2" w:rsidRPr="00BB3AA5" w:rsidRDefault="002912E2" w:rsidP="007E665C">
            <w:pPr>
              <w:pStyle w:val="NoSpacing"/>
              <w:spacing w:line="276" w:lineRule="auto"/>
              <w:cnfStyle w:val="000000000000" w:firstRow="0" w:lastRow="0" w:firstColumn="0" w:lastColumn="0" w:oddVBand="0" w:evenVBand="0" w:oddHBand="0" w:evenHBand="0" w:firstRowFirstColumn="0" w:firstRowLastColumn="0" w:lastRowFirstColumn="0" w:lastRowLastColumn="0"/>
              <w:rPr>
                <w:color w:val="000000" w:themeColor="text1"/>
                <w:sz w:val="20"/>
              </w:rPr>
            </w:pPr>
            <w:r w:rsidRPr="00BB3AA5">
              <w:rPr>
                <w:color w:val="000000" w:themeColor="text1"/>
                <w:sz w:val="20"/>
              </w:rPr>
              <w:t>0</w:t>
            </w:r>
          </w:p>
        </w:tc>
      </w:tr>
    </w:tbl>
    <w:p w14:paraId="737C946C" w14:textId="191B9789" w:rsidR="002912E2" w:rsidRPr="00C744A5" w:rsidRDefault="002912E2" w:rsidP="00C744A5">
      <w:pPr>
        <w:pStyle w:val="Caption"/>
      </w:pPr>
      <w:r w:rsidRPr="00DF1B9D">
        <w:rPr>
          <w:color w:val="000000" w:themeColor="text1"/>
        </w:rPr>
        <w:t xml:space="preserve"> </w:t>
      </w:r>
      <w:bookmarkStart w:id="19" w:name="_Hlk484353500"/>
      <w:r w:rsidRPr="00C744A5">
        <w:t xml:space="preserve">Tabel </w:t>
      </w:r>
      <w:r w:rsidR="005A38AE">
        <w:t>1</w:t>
      </w:r>
      <w:r w:rsidRPr="00C744A5">
        <w:t>: Rijkssubsidiëring ICT-projecten VO</w:t>
      </w:r>
      <w:r w:rsidR="00F233E8">
        <w:t>.</w:t>
      </w:r>
      <w:r w:rsidRPr="00C744A5">
        <w:t xml:space="preserve"> Bron: www.Rijksbegroting.nl, peiljaar 2015</w:t>
      </w:r>
      <w:bookmarkEnd w:id="19"/>
    </w:p>
    <w:p w14:paraId="5B7E04BE" w14:textId="50A39BA7" w:rsidR="002912E2" w:rsidRDefault="002912E2" w:rsidP="002912E2">
      <w:pPr>
        <w:kinsoku/>
        <w:autoSpaceDE/>
        <w:autoSpaceDN/>
        <w:adjustRightInd/>
        <w:spacing w:after="160" w:line="259" w:lineRule="auto"/>
        <w:rPr>
          <w:rFonts w:asciiTheme="minorHAnsi" w:eastAsiaTheme="minorHAnsi" w:hAnsiTheme="minorHAnsi"/>
          <w:b/>
          <w:sz w:val="24"/>
        </w:rPr>
      </w:pPr>
      <w:bookmarkStart w:id="20" w:name="_Hlk484109114"/>
    </w:p>
    <w:p w14:paraId="0C88C84A" w14:textId="79D9DC2D" w:rsidR="002912E2" w:rsidRPr="00B83012" w:rsidRDefault="002912E2" w:rsidP="00FD0459">
      <w:pPr>
        <w:pStyle w:val="Heading2"/>
        <w:rPr>
          <w:color w:val="1F3864" w:themeColor="accent1" w:themeShade="80"/>
        </w:rPr>
      </w:pPr>
      <w:bookmarkStart w:id="21" w:name="_Toc516315336"/>
      <w:bookmarkStart w:id="22" w:name="_Toc517357599"/>
      <w:bookmarkStart w:id="23" w:name="_Toc517360445"/>
      <w:bookmarkStart w:id="24" w:name="_Toc517360511"/>
      <w:bookmarkStart w:id="25" w:name="_Toc517450709"/>
      <w:bookmarkStart w:id="26" w:name="_Toc517450784"/>
      <w:bookmarkStart w:id="27" w:name="_Toc517455446"/>
      <w:bookmarkEnd w:id="21"/>
      <w:bookmarkEnd w:id="22"/>
      <w:bookmarkEnd w:id="23"/>
      <w:bookmarkEnd w:id="24"/>
      <w:bookmarkEnd w:id="25"/>
      <w:bookmarkEnd w:id="26"/>
      <w:r w:rsidRPr="00B83012">
        <w:rPr>
          <w:color w:val="1F3864" w:themeColor="accent1" w:themeShade="80"/>
        </w:rPr>
        <w:t>Didactische meerwaarde van ICT</w:t>
      </w:r>
      <w:bookmarkEnd w:id="27"/>
    </w:p>
    <w:bookmarkEnd w:id="20"/>
    <w:p w14:paraId="76787B7F" w14:textId="79B8C614" w:rsidR="002912E2" w:rsidRPr="009C6A05" w:rsidRDefault="002912E2" w:rsidP="002912E2">
      <w:pPr>
        <w:pStyle w:val="NoSpacing"/>
        <w:spacing w:line="276" w:lineRule="auto"/>
        <w:rPr>
          <w:rFonts w:cstheme="minorHAnsi"/>
          <w:szCs w:val="22"/>
        </w:rPr>
      </w:pPr>
      <w:r w:rsidRPr="009C6A05">
        <w:rPr>
          <w:rFonts w:cstheme="minorHAnsi"/>
        </w:rPr>
        <w:t xml:space="preserve">Volgens </w:t>
      </w:r>
      <w:proofErr w:type="spellStart"/>
      <w:r w:rsidRPr="009C6A05">
        <w:rPr>
          <w:rFonts w:cstheme="minorHAnsi"/>
        </w:rPr>
        <w:t>Weill</w:t>
      </w:r>
      <w:proofErr w:type="spellEnd"/>
      <w:r w:rsidRPr="009C6A05">
        <w:rPr>
          <w:rFonts w:cstheme="minorHAnsi"/>
        </w:rPr>
        <w:t xml:space="preserve"> (aangehaald in </w:t>
      </w:r>
      <w:proofErr w:type="spellStart"/>
      <w:r w:rsidRPr="009C6A05">
        <w:rPr>
          <w:rFonts w:cstheme="minorHAnsi"/>
        </w:rPr>
        <w:t>Banerjee</w:t>
      </w:r>
      <w:proofErr w:type="spellEnd"/>
      <w:r w:rsidRPr="009C6A05">
        <w:rPr>
          <w:rFonts w:cstheme="minorHAnsi"/>
        </w:rPr>
        <w:t xml:space="preserve"> et al, 1997) dragen investeringen in ICT bij aan de toekomstbestendigheid van de organisatie en versterking van de eigen positie in de omgeving. Door adequaat gebruik te maken van ICT kunnen onderwijsinstellingen de komende jaren zich nadrukkelijk profileren met aanbod van hoogwaardig en modern onderwijs. ICT voor het primair proces dient dan aan te </w:t>
      </w:r>
      <w:r w:rsidRPr="009C6A05">
        <w:rPr>
          <w:rStyle w:val="NoSpacingChar"/>
          <w:rFonts w:cstheme="minorHAnsi"/>
        </w:rPr>
        <w:t xml:space="preserve">sluiten op de behoeften van de individuele leerling. Voogt &amp; </w:t>
      </w:r>
      <w:proofErr w:type="spellStart"/>
      <w:r w:rsidRPr="009C6A05">
        <w:rPr>
          <w:rStyle w:val="NoSpacingChar"/>
          <w:rFonts w:cstheme="minorHAnsi"/>
        </w:rPr>
        <w:t>Pareja-Roblin</w:t>
      </w:r>
      <w:proofErr w:type="spellEnd"/>
      <w:r w:rsidRPr="009C6A05">
        <w:rPr>
          <w:rStyle w:val="NoSpacingChar"/>
          <w:rFonts w:cstheme="minorHAnsi"/>
        </w:rPr>
        <w:t xml:space="preserve"> (2010) betogen dat ICT een brug kan slaan tussen formele en informele setting waarin wordt geleerd.</w:t>
      </w:r>
      <w:r w:rsidR="00F233E8">
        <w:rPr>
          <w:rStyle w:val="NoSpacingChar"/>
          <w:rFonts w:cstheme="minorHAnsi"/>
        </w:rPr>
        <w:t xml:space="preserve"> </w:t>
      </w:r>
      <w:proofErr w:type="spellStart"/>
      <w:r w:rsidRPr="009C6A05">
        <w:rPr>
          <w:rFonts w:cstheme="minorHAnsi"/>
          <w:szCs w:val="22"/>
        </w:rPr>
        <w:t>Weill</w:t>
      </w:r>
      <w:proofErr w:type="spellEnd"/>
      <w:r w:rsidRPr="009C6A05">
        <w:rPr>
          <w:rFonts w:cstheme="minorHAnsi"/>
          <w:szCs w:val="22"/>
        </w:rPr>
        <w:t xml:space="preserve"> (aangehaald in </w:t>
      </w:r>
      <w:proofErr w:type="spellStart"/>
      <w:r w:rsidRPr="009C6A05">
        <w:rPr>
          <w:rFonts w:cstheme="minorHAnsi"/>
          <w:szCs w:val="22"/>
        </w:rPr>
        <w:t>Banerjee</w:t>
      </w:r>
      <w:proofErr w:type="spellEnd"/>
      <w:r w:rsidRPr="009C6A05">
        <w:rPr>
          <w:rFonts w:cstheme="minorHAnsi"/>
          <w:szCs w:val="22"/>
        </w:rPr>
        <w:t xml:space="preserve"> et al, 1997) heeft een significante relatie gevonden tussen ICT-investeringen en de financiële prestatie van de organisatie. In de praktijk kunnen bijvoorbeeld arbeidsintensieve werkzaamheden tot een gegeven mate worden geautomatiseerd en geoptimaliseerd. ICT in het onderwijs kan als een middel dienen in het passend onderwijs, wat van oudsher arbeidsintensief is. De traditionele nadruk op cognitief en groep georiënteerd onderwijs maakt dan plaats voor een meer gedifferentieerd onderwijs waarin het individueel leerproces centraal staat (</w:t>
      </w:r>
      <w:r w:rsidR="003040E4">
        <w:fldChar w:fldCharType="begin"/>
      </w:r>
      <w:r w:rsidR="003040E4">
        <w:instrText xml:space="preserve"> HYPERLINK "https://www.google.nl/url?sa=t&amp;rct=j&amp;q=&amp;esrc=s&amp;source=web&amp;cd=2&amp;cad=rja&amp;uact=8&amp;ved=0ahUKEwjQ1pK71KTNAhVFnRoKHS9qB3YQFggiMAE&amp;url=http%3A%2F%2Fwww.theoveltman.com%2FPUBLICATIES%2FARTIKELEN%2FICT%2520alleen%2520werkt%2520niet%2520casus%2520PO%2520en%2520VO%25202001.doc&amp;usg=AFQjCNF1A1JiV2UW2BREKCtIYEhRazDUQw&amp;sig2=TxE7awInVfJRjymTkrHLkA&amp;bvm=bv.124272578,d.ZGg" </w:instrText>
      </w:r>
      <w:r w:rsidR="003040E4">
        <w:fldChar w:fldCharType="separate"/>
      </w:r>
      <w:r w:rsidR="003040E4">
        <w:fldChar w:fldCharType="end"/>
      </w:r>
      <w:r w:rsidRPr="009C6A05">
        <w:rPr>
          <w:rFonts w:cstheme="minorHAnsi"/>
          <w:szCs w:val="22"/>
        </w:rPr>
        <w:t>Veltman, 2011).</w:t>
      </w:r>
      <w:r w:rsidR="00F233E8">
        <w:rPr>
          <w:rFonts w:cstheme="minorHAnsi"/>
          <w:szCs w:val="22"/>
        </w:rPr>
        <w:t xml:space="preserve"> </w:t>
      </w:r>
      <w:r w:rsidRPr="009C6A05">
        <w:t>Diverse onderzoeken hebben de invloed van ICT op de ontwikkeling van scholieren onderstreept (</w:t>
      </w:r>
      <w:proofErr w:type="spellStart"/>
      <w:r w:rsidRPr="009C6A05">
        <w:t>Ilomäki</w:t>
      </w:r>
      <w:proofErr w:type="spellEnd"/>
      <w:r w:rsidRPr="009C6A05">
        <w:t xml:space="preserve"> &amp; </w:t>
      </w:r>
      <w:proofErr w:type="spellStart"/>
      <w:r w:rsidRPr="009C6A05">
        <w:t>Rantanen</w:t>
      </w:r>
      <w:proofErr w:type="spellEnd"/>
      <w:r w:rsidRPr="009C6A05">
        <w:t xml:space="preserve"> 2004; Schreurs, 2007; </w:t>
      </w:r>
      <w:proofErr w:type="spellStart"/>
      <w:r w:rsidRPr="009C6A05">
        <w:t>Ilomäki</w:t>
      </w:r>
      <w:proofErr w:type="spellEnd"/>
      <w:r w:rsidRPr="009C6A05">
        <w:t xml:space="preserve">, 2008). Waar tien jaar geleden ICT als een op zichzelf staand aspect werd beschouwd en onderbracht in een ‘mediatheek’, is het tegenwoordig breed geïntegreerd in de lessen. Smart boards, digiborden, portable </w:t>
      </w:r>
      <w:proofErr w:type="spellStart"/>
      <w:r w:rsidRPr="009C6A05">
        <w:t>devices</w:t>
      </w:r>
      <w:proofErr w:type="spellEnd"/>
      <w:r w:rsidRPr="009C6A05">
        <w:t>, draadloze netwerken en online platforms vormen gezamenlijk het vertrouwde gezicht van het ICT-infrastructuur op scholen. Deze middelen zijn breed toepast in het primair</w:t>
      </w:r>
      <w:r w:rsidR="00F233E8">
        <w:t>e</w:t>
      </w:r>
      <w:r w:rsidRPr="009C6A05">
        <w:t xml:space="preserve"> proces. Bovendien leidt ICT de leerlingen op voor een samenleving dat veranderd is naar een informatie- of kennismaatschappij</w:t>
      </w:r>
      <w:r w:rsidRPr="009C6A05">
        <w:rPr>
          <w:vertAlign w:val="superscript"/>
        </w:rPr>
        <w:footnoteReference w:id="1"/>
      </w:r>
      <w:r w:rsidRPr="009C6A05">
        <w:t>. Tot slot bevordert het integraal samenwerken, interactie en biedt de docent meer zicht in het groepsproces (</w:t>
      </w:r>
      <w:r w:rsidR="003040E4">
        <w:fldChar w:fldCharType="begin"/>
      </w:r>
      <w:r w:rsidR="003040E4">
        <w:instrText xml:space="preserve"> HYPERLINK "file:///C:\\Users\\hana\\Downloads\\dub_-_de_voor-_en_nadelen_van_ict_in_het_onderwijs_-_2012-04-24.pdf" </w:instrText>
      </w:r>
      <w:r w:rsidR="003040E4">
        <w:fldChar w:fldCharType="separate"/>
      </w:r>
      <w:r w:rsidR="003040E4">
        <w:fldChar w:fldCharType="end"/>
      </w:r>
      <w:r w:rsidRPr="009C6A05">
        <w:t>Hamel, 2011). Het belang van ICT en digitalisering in het onderwijs is met name sterk doorgedrongen tot de oprichters van Steve Job scholen</w:t>
      </w:r>
      <w:r w:rsidRPr="009C6A05">
        <w:rPr>
          <w:vertAlign w:val="superscript"/>
        </w:rPr>
        <w:footnoteReference w:id="2"/>
      </w:r>
      <w:r w:rsidRPr="009C6A05">
        <w:t xml:space="preserve">. Sinds 2013 kent Nederland een twintigtal scholen waar leerlingen </w:t>
      </w:r>
      <w:r w:rsidRPr="009C6A05">
        <w:lastRenderedPageBreak/>
        <w:t xml:space="preserve">individueel onderwijs volledig via een iPad krijgen. </w:t>
      </w:r>
      <w:r w:rsidRPr="009C6A05">
        <w:rPr>
          <w:rFonts w:cstheme="minorHAnsi"/>
          <w:szCs w:val="22"/>
        </w:rPr>
        <w:t>Door leermiddelen te digitaliseren kan techniek een deel van de arbeid op zich nemen. Daarnaast worden docenten beter in staat gesteld om resultaten van leerlingen ‘in real time’ bij te houden en sneller te schakelen. Docenten zien ook zelf de meerwaarde van ICT, zoals blijkt uit de ICT-monitor uit 1999 (</w:t>
      </w:r>
      <w:r w:rsidR="003040E4">
        <w:fldChar w:fldCharType="begin"/>
      </w:r>
      <w:r w:rsidR="003040E4">
        <w:instrText xml:space="preserve"> HYPERLINK "https://www.rijksoverheid.nl/binaries/rijksoverheid/documenten/rapporten/2005/10/14/ict-monitor/ict-pdf-ictmonitormaart2001.pdf" </w:instrText>
      </w:r>
      <w:r w:rsidR="003040E4">
        <w:fldChar w:fldCharType="separate"/>
      </w:r>
      <w:r w:rsidR="003040E4">
        <w:fldChar w:fldCharType="end"/>
      </w:r>
      <w:r w:rsidRPr="009C6A05">
        <w:rPr>
          <w:rFonts w:cstheme="minorHAnsi"/>
          <w:szCs w:val="22"/>
        </w:rPr>
        <w:t xml:space="preserve">Rijksoverheid, 1999). </w:t>
      </w:r>
    </w:p>
    <w:p w14:paraId="0726B552" w14:textId="4E902E94" w:rsidR="002912E2" w:rsidRPr="001C15E6" w:rsidRDefault="002912E2" w:rsidP="002912E2">
      <w:pPr>
        <w:pStyle w:val="NoSpacing"/>
        <w:spacing w:line="276" w:lineRule="auto"/>
        <w:rPr>
          <w:rFonts w:cstheme="minorHAnsi"/>
        </w:rPr>
      </w:pPr>
      <w:r w:rsidRPr="009C6A05">
        <w:rPr>
          <w:rFonts w:cstheme="minorHAnsi"/>
          <w:szCs w:val="22"/>
        </w:rPr>
        <w:tab/>
        <w:t>Echter lo</w:t>
      </w:r>
      <w:r w:rsidR="00F233E8">
        <w:rPr>
          <w:rFonts w:cstheme="minorHAnsi"/>
          <w:szCs w:val="22"/>
        </w:rPr>
        <w:t>opt het onderwijs</w:t>
      </w:r>
      <w:r w:rsidRPr="009C6A05">
        <w:rPr>
          <w:rFonts w:cstheme="minorHAnsi"/>
          <w:szCs w:val="22"/>
        </w:rPr>
        <w:t xml:space="preserve"> achter op andere sectoren. </w:t>
      </w:r>
      <w:r w:rsidRPr="009C6A05">
        <w:rPr>
          <w:rFonts w:cs="Arial"/>
        </w:rPr>
        <w:t>Volgens de onderwijsinspectie wordt innovatie op scholen onder andere belemmerd door de beperkte ICT-vaardigheden van leraren en hun houding ten opzichte van digitale leermiddelen (Innovatieplan, 2005). Hiermee blijft het didactisch gebruik van ICT achter</w:t>
      </w:r>
      <w:r w:rsidR="00A95D51">
        <w:rPr>
          <w:rFonts w:cs="Arial"/>
        </w:rPr>
        <w:t>. Verder</w:t>
      </w:r>
      <w:r w:rsidRPr="009C6A05">
        <w:rPr>
          <w:rFonts w:cs="Arial"/>
        </w:rPr>
        <w:t xml:space="preserve"> </w:t>
      </w:r>
      <w:r w:rsidR="00A95D51">
        <w:rPr>
          <w:rFonts w:cs="Arial"/>
        </w:rPr>
        <w:t xml:space="preserve">is het </w:t>
      </w:r>
      <w:r w:rsidRPr="009C6A05">
        <w:rPr>
          <w:rFonts w:cs="Arial"/>
        </w:rPr>
        <w:t xml:space="preserve">noodzakelijk dat de kennis omtrent ICT beter met elkaar wordt gedeeld en dat er standaarden komen voor hardware en (educatieve) software en ander content. </w:t>
      </w:r>
      <w:r w:rsidRPr="009C6A05">
        <w:rPr>
          <w:rFonts w:cstheme="minorHAnsi"/>
          <w:szCs w:val="22"/>
        </w:rPr>
        <w:t>Het gebruik van digitale leermiddelen zal niet leiden tot een bijrol van de docent (</w:t>
      </w:r>
      <w:r w:rsidR="003040E4">
        <w:fldChar w:fldCharType="begin"/>
      </w:r>
      <w:r w:rsidR="003040E4">
        <w:instrText xml:space="preserve"> HYPERLINK "http://web.worldbank.org/WBSITE/EXTERNAL/TOPICS/EXTEDUCATION/0,,contentMDK:20533883~menuPK:617610~pagePK:148956~piPK:216618~theSitePK:282386,00.html" </w:instrText>
      </w:r>
      <w:r w:rsidR="003040E4">
        <w:fldChar w:fldCharType="separate"/>
      </w:r>
      <w:r w:rsidR="003040E4">
        <w:fldChar w:fldCharType="end"/>
      </w:r>
      <w:r w:rsidRPr="009C6A05">
        <w:rPr>
          <w:rFonts w:cstheme="minorHAnsi"/>
          <w:szCs w:val="22"/>
        </w:rPr>
        <w:t xml:space="preserve">Wereldbank, z.j.). Als ondersteunend middel is ICT in staat om bij te dragen aan realisatie van aantrekkelijk en efficiënter onderwijs (Kennisnet, 2013). Digitale leermiddelen kunnen worden ingezet om leerlingen uit te dagen en te enthousiasmeren. De docent kan ICT </w:t>
      </w:r>
      <w:r w:rsidRPr="00F20EE0">
        <w:rPr>
          <w:rFonts w:cstheme="minorHAnsi"/>
          <w:color w:val="000000" w:themeColor="text1"/>
          <w:szCs w:val="22"/>
        </w:rPr>
        <w:t xml:space="preserve">inzetten om het leerproces efficiënt te laten verlopen. Volgens </w:t>
      </w:r>
      <w:proofErr w:type="spellStart"/>
      <w:r w:rsidRPr="00F20EE0">
        <w:rPr>
          <w:rFonts w:cstheme="minorHAnsi"/>
          <w:color w:val="000000" w:themeColor="text1"/>
          <w:szCs w:val="22"/>
        </w:rPr>
        <w:t>Underwood</w:t>
      </w:r>
      <w:proofErr w:type="spellEnd"/>
      <w:r w:rsidRPr="00F20EE0">
        <w:rPr>
          <w:rFonts w:cstheme="minorHAnsi"/>
          <w:color w:val="000000" w:themeColor="text1"/>
          <w:szCs w:val="22"/>
        </w:rPr>
        <w:t xml:space="preserve"> (2009) stimuleert ICT de ontwikkeling van cognitieve en niet-cognitieve leerprestaties van leerlingen. ICT draagt daarnaast bij aan efficiënter verloop van communicatiestromen. Er is meer ruimte om input te genereren, bewerken en opslaan. Docenten kunnen via e-mail en intranetportalen beter met elkaar en met leerlingen communiceren. </w:t>
      </w:r>
      <w:r>
        <w:rPr>
          <w:rFonts w:cstheme="minorHAnsi"/>
          <w:color w:val="000000" w:themeColor="text1"/>
          <w:szCs w:val="22"/>
        </w:rPr>
        <w:t>Tot slot kan de e</w:t>
      </w:r>
      <w:r w:rsidRPr="00F20EE0">
        <w:rPr>
          <w:rFonts w:cstheme="minorHAnsi"/>
          <w:color w:val="000000" w:themeColor="text1"/>
          <w:szCs w:val="22"/>
        </w:rPr>
        <w:t xml:space="preserve">fficiëntie </w:t>
      </w:r>
      <w:r>
        <w:rPr>
          <w:rFonts w:cstheme="minorHAnsi"/>
          <w:color w:val="000000" w:themeColor="text1"/>
          <w:szCs w:val="22"/>
        </w:rPr>
        <w:t>in de besluitvorming worden versterkt.</w:t>
      </w:r>
      <w:r w:rsidR="00BF1B69">
        <w:rPr>
          <w:color w:val="000000" w:themeColor="text1"/>
        </w:rPr>
        <w:t xml:space="preserve"> In het </w:t>
      </w:r>
      <w:r w:rsidR="00BF1B69" w:rsidRPr="00BF1B69">
        <w:rPr>
          <w:color w:val="000000" w:themeColor="text1"/>
        </w:rPr>
        <w:t>sectorakkoord VO van het Ministerie van Onderwijs, Cultuur en Wetenschap voor de jaren 2014 tot met 2017 (</w:t>
      </w:r>
      <w:r w:rsidR="003040E4">
        <w:fldChar w:fldCharType="begin"/>
      </w:r>
      <w:r w:rsidR="003040E4">
        <w:instrText xml:space="preserve"> HYPERLINK "https://www.rijksoverheid.nl/documenten/convenanten/2014/04/17/sectorakkoord-vo-2014-2017" </w:instrText>
      </w:r>
      <w:r w:rsidR="003040E4">
        <w:fldChar w:fldCharType="separate"/>
      </w:r>
      <w:r w:rsidR="003040E4">
        <w:fldChar w:fldCharType="end"/>
      </w:r>
      <w:r w:rsidR="00BF1B69" w:rsidRPr="00BF1B69">
        <w:rPr>
          <w:color w:val="000000" w:themeColor="text1"/>
        </w:rPr>
        <w:t>Rijksoverheid, 2014)</w:t>
      </w:r>
      <w:r w:rsidR="00273501">
        <w:rPr>
          <w:color w:val="000000" w:themeColor="text1"/>
        </w:rPr>
        <w:t xml:space="preserve"> zijn de ambitie vastgelegd (zie figuur 2). </w:t>
      </w:r>
    </w:p>
    <w:p w14:paraId="7306B9C4" w14:textId="77777777" w:rsidR="002912E2" w:rsidRDefault="002912E2" w:rsidP="002912E2">
      <w:pPr>
        <w:pStyle w:val="NoSpacing"/>
        <w:spacing w:line="360" w:lineRule="auto"/>
        <w:rPr>
          <w:b/>
          <w:sz w:val="24"/>
        </w:rPr>
      </w:pPr>
      <w:bookmarkStart w:id="28" w:name="_Hlk484109163"/>
    </w:p>
    <w:bookmarkEnd w:id="28"/>
    <w:p w14:paraId="5D54C37C" w14:textId="77777777" w:rsidR="002912E2" w:rsidRPr="0013105F" w:rsidRDefault="002912E2" w:rsidP="002912E2">
      <w:pPr>
        <w:spacing w:line="276" w:lineRule="auto"/>
        <w:rPr>
          <w:rFonts w:asciiTheme="minorHAnsi" w:hAnsiTheme="minorHAnsi"/>
          <w:sz w:val="22"/>
          <w:szCs w:val="22"/>
        </w:rPr>
      </w:pPr>
      <w:r>
        <w:rPr>
          <w:rFonts w:asciiTheme="minorHAnsi" w:hAnsiTheme="minorHAnsi"/>
          <w:noProof/>
          <w:sz w:val="22"/>
          <w:szCs w:val="22"/>
          <w:lang w:eastAsia="nl-NL"/>
        </w:rPr>
        <mc:AlternateContent>
          <mc:Choice Requires="wps">
            <w:drawing>
              <wp:inline distT="0" distB="0" distL="0" distR="0" wp14:anchorId="3081A459" wp14:editId="788AB52F">
                <wp:extent cx="1189852" cy="6427470"/>
                <wp:effectExtent l="0" t="9207" r="1587" b="1588"/>
                <wp:docPr id="27" name="AutoShap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1189852" cy="6427470"/>
                        </a:xfrm>
                        <a:prstGeom prst="bracePair">
                          <a:avLst>
                            <a:gd name="adj" fmla="val 8333"/>
                          </a:avLst>
                        </a:prstGeom>
                        <a:solidFill>
                          <a:srgbClr val="1F497D"/>
                        </a:solidFill>
                        <a:ln>
                          <a:noFill/>
                        </a:ln>
                        <a:effectLst/>
                        <a:extLst>
                          <a:ext uri="{91240B29-F687-4F45-9708-019B960494DF}">
                            <a14:hiddenLine xmlns:a14="http://schemas.microsoft.com/office/drawing/2010/main" w="3175">
                              <a:solidFill>
                                <a:srgbClr val="5C83B4"/>
                              </a:solidFill>
                              <a:round/>
                              <a:headEnd/>
                              <a:tailEnd/>
                            </a14:hiddenLine>
                          </a:ext>
                          <a:ext uri="{AF507438-7753-43E0-B8FC-AC1667EBCBE1}">
                            <a14:hiddenEffects xmlns:a14="http://schemas.microsoft.com/office/drawing/2010/main">
                              <a:effectLst>
                                <a:outerShdw dist="35921" dir="2700000" algn="ctr" rotWithShape="0">
                                  <a:srgbClr val="808080">
                                    <a:alpha val="50000"/>
                                  </a:srgbClr>
                                </a:outerShdw>
                              </a:effectLst>
                            </a14:hiddenEffects>
                          </a:ext>
                        </a:extLst>
                      </wps:spPr>
                      <wps:txbx>
                        <w:txbxContent>
                          <w:p w14:paraId="73DF2374" w14:textId="77777777" w:rsidR="003040E4" w:rsidRPr="00AD1C73" w:rsidRDefault="003040E4" w:rsidP="002912E2">
                            <w:pPr>
                              <w:pStyle w:val="NoSpacing"/>
                              <w:spacing w:line="276" w:lineRule="auto"/>
                              <w:jc w:val="center"/>
                              <w:rPr>
                                <w:rFonts w:eastAsiaTheme="majorEastAsia"/>
                                <w:color w:val="FFFFFF" w:themeColor="background1"/>
                                <w:sz w:val="20"/>
                                <w:szCs w:val="22"/>
                              </w:rPr>
                            </w:pPr>
                            <w:r w:rsidRPr="00AD1C73">
                              <w:rPr>
                                <w:rFonts w:eastAsiaTheme="majorEastAsia"/>
                                <w:i/>
                                <w:color w:val="FFFFFF" w:themeColor="background1"/>
                                <w:sz w:val="20"/>
                                <w:szCs w:val="22"/>
                              </w:rPr>
                              <w:t>“</w:t>
                            </w:r>
                            <w:r>
                              <w:rPr>
                                <w:rFonts w:eastAsiaTheme="majorEastAsia"/>
                                <w:i/>
                                <w:color w:val="FFFFFF" w:themeColor="background1"/>
                                <w:sz w:val="24"/>
                                <w:szCs w:val="22"/>
                              </w:rPr>
                              <w:t xml:space="preserve">We hebben de ambitie </w:t>
                            </w:r>
                            <w:r w:rsidRPr="00AD1C73">
                              <w:rPr>
                                <w:rFonts w:eastAsiaTheme="majorEastAsia"/>
                                <w:i/>
                                <w:color w:val="FFFFFF" w:themeColor="background1"/>
                                <w:sz w:val="24"/>
                                <w:szCs w:val="22"/>
                              </w:rPr>
                              <w:t xml:space="preserve">dat in 2017 </w:t>
                            </w:r>
                          </w:p>
                          <w:p w14:paraId="52600470" w14:textId="77777777" w:rsidR="003040E4" w:rsidRPr="00AD1C73" w:rsidRDefault="003040E4" w:rsidP="002912E2">
                            <w:pPr>
                              <w:pStyle w:val="NoSpacing"/>
                              <w:spacing w:line="276" w:lineRule="auto"/>
                              <w:jc w:val="center"/>
                              <w:rPr>
                                <w:rFonts w:eastAsiaTheme="majorEastAsia"/>
                                <w:i/>
                                <w:color w:val="FFFFFF" w:themeColor="background1"/>
                                <w:sz w:val="20"/>
                              </w:rPr>
                            </w:pPr>
                            <w:r w:rsidRPr="00AD1C73">
                              <w:rPr>
                                <w:rFonts w:eastAsiaTheme="majorEastAsia"/>
                                <w:i/>
                                <w:color w:val="FFFFFF" w:themeColor="background1"/>
                                <w:sz w:val="20"/>
                              </w:rPr>
                              <w:t>• Scholen gefundeerde keuzes kunnen maken over hoe ICT in te zetten bij gepersonaliseerd leren;</w:t>
                            </w:r>
                          </w:p>
                          <w:p w14:paraId="48971AB9" w14:textId="77777777" w:rsidR="003040E4" w:rsidRPr="00AD1C73" w:rsidRDefault="003040E4" w:rsidP="002912E2">
                            <w:pPr>
                              <w:pStyle w:val="NoSpacing"/>
                              <w:spacing w:line="276" w:lineRule="auto"/>
                              <w:jc w:val="center"/>
                              <w:rPr>
                                <w:rFonts w:eastAsiaTheme="majorEastAsia"/>
                                <w:i/>
                                <w:color w:val="FFFFFF" w:themeColor="background1"/>
                                <w:sz w:val="20"/>
                              </w:rPr>
                            </w:pPr>
                            <w:r w:rsidRPr="00AD1C73">
                              <w:rPr>
                                <w:rFonts w:eastAsiaTheme="majorEastAsia"/>
                                <w:i/>
                                <w:color w:val="FFFFFF" w:themeColor="background1"/>
                                <w:sz w:val="20"/>
                              </w:rPr>
                              <w:t>• Belemmeringen zijn weggenomen in de markt en systeem die de realisatie van deze keuze in de weg staan;</w:t>
                            </w:r>
                          </w:p>
                          <w:p w14:paraId="67E90378" w14:textId="77777777" w:rsidR="003040E4" w:rsidRPr="00AD1C73" w:rsidRDefault="003040E4" w:rsidP="002912E2">
                            <w:pPr>
                              <w:pStyle w:val="NoSpacing"/>
                              <w:spacing w:line="276" w:lineRule="auto"/>
                              <w:jc w:val="center"/>
                              <w:rPr>
                                <w:rFonts w:eastAsiaTheme="majorEastAsia"/>
                                <w:i/>
                                <w:sz w:val="20"/>
                              </w:rPr>
                            </w:pPr>
                            <w:r w:rsidRPr="00AD1C73">
                              <w:rPr>
                                <w:rFonts w:eastAsiaTheme="majorEastAsia"/>
                                <w:i/>
                                <w:color w:val="FFFFFF" w:themeColor="background1"/>
                                <w:sz w:val="20"/>
                              </w:rPr>
                              <w:t>• Het voor scholen duidelijk is hoe ze de gemaakte (ICT-)keuzes kunnen implementeren”.</w:t>
                            </w:r>
                          </w:p>
                        </w:txbxContent>
                      </wps:txbx>
                      <wps:bodyPr rot="0" vert="horz" wrap="square" lIns="91440" tIns="45720" rIns="91440" bIns="45720" anchor="ctr" anchorCtr="0" upright="1">
                        <a:noAutofit/>
                      </wps:bodyPr>
                    </wps:wsp>
                  </a:graphicData>
                </a:graphic>
              </wp:inline>
            </w:drawing>
          </mc:Choice>
          <mc:Fallback>
            <w:pict>
              <v:shape w14:anchorId="3081A459" id="AutoShape 21" o:spid="_x0000_s1027" type="#_x0000_t186" style="width:93.7pt;height:506.1pt;rotation:90;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" filled="t" fillcolor="#1f497d" stroked="f" strokecolor="#5c83b4" strokeweight=".25pt">
                <v:shadow opacity=".5"/>
                <v:textbox>
                  <w:txbxContent>
                    <w:p w14:paraId="73DF2374" w14:textId="77777777" w:rsidR="003040E4" w:rsidRPr="00AD1C73" w:rsidRDefault="003040E4" w:rsidP="002912E2">
                      <w:pPr>
                        <w:pStyle w:val="NoSpacing"/>
                        <w:spacing w:line="276" w:lineRule="auto"/>
                        <w:jc w:val="center"/>
                        <w:rPr>
                          <w:rFonts w:eastAsiaTheme="majorEastAsia"/>
                          <w:color w:val="FFFFFF" w:themeColor="background1"/>
                          <w:sz w:val="20"/>
                          <w:szCs w:val="22"/>
                        </w:rPr>
                      </w:pPr>
                      <w:r w:rsidRPr="00AD1C73">
                        <w:rPr>
                          <w:rFonts w:eastAsiaTheme="majorEastAsia"/>
                          <w:i/>
                          <w:color w:val="FFFFFF" w:themeColor="background1"/>
                          <w:sz w:val="20"/>
                          <w:szCs w:val="22"/>
                        </w:rPr>
                        <w:t>“</w:t>
                      </w:r>
                      <w:r>
                        <w:rPr>
                          <w:rFonts w:eastAsiaTheme="majorEastAsia"/>
                          <w:i/>
                          <w:color w:val="FFFFFF" w:themeColor="background1"/>
                          <w:sz w:val="24"/>
                          <w:szCs w:val="22"/>
                        </w:rPr>
                        <w:t xml:space="preserve">We hebben de ambitie </w:t>
                      </w:r>
                      <w:r w:rsidRPr="00AD1C73">
                        <w:rPr>
                          <w:rFonts w:eastAsiaTheme="majorEastAsia"/>
                          <w:i/>
                          <w:color w:val="FFFFFF" w:themeColor="background1"/>
                          <w:sz w:val="24"/>
                          <w:szCs w:val="22"/>
                        </w:rPr>
                        <w:t xml:space="preserve">dat in 2017 </w:t>
                      </w:r>
                    </w:p>
                    <w:p w14:paraId="52600470" w14:textId="77777777" w:rsidR="003040E4" w:rsidRPr="00AD1C73" w:rsidRDefault="003040E4" w:rsidP="002912E2">
                      <w:pPr>
                        <w:pStyle w:val="NoSpacing"/>
                        <w:spacing w:line="276" w:lineRule="auto"/>
                        <w:jc w:val="center"/>
                        <w:rPr>
                          <w:rFonts w:eastAsiaTheme="majorEastAsia"/>
                          <w:i/>
                          <w:color w:val="FFFFFF" w:themeColor="background1"/>
                          <w:sz w:val="20"/>
                        </w:rPr>
                      </w:pPr>
                      <w:r w:rsidRPr="00AD1C73">
                        <w:rPr>
                          <w:rFonts w:eastAsiaTheme="majorEastAsia"/>
                          <w:i/>
                          <w:color w:val="FFFFFF" w:themeColor="background1"/>
                          <w:sz w:val="20"/>
                        </w:rPr>
                        <w:t>• Scholen gefundeerde keuzes kunnen maken over hoe ICT in te zetten bij gepersonaliseerd leren;</w:t>
                      </w:r>
                    </w:p>
                    <w:p w14:paraId="48971AB9" w14:textId="77777777" w:rsidR="003040E4" w:rsidRPr="00AD1C73" w:rsidRDefault="003040E4" w:rsidP="002912E2">
                      <w:pPr>
                        <w:pStyle w:val="NoSpacing"/>
                        <w:spacing w:line="276" w:lineRule="auto"/>
                        <w:jc w:val="center"/>
                        <w:rPr>
                          <w:rFonts w:eastAsiaTheme="majorEastAsia"/>
                          <w:i/>
                          <w:color w:val="FFFFFF" w:themeColor="background1"/>
                          <w:sz w:val="20"/>
                        </w:rPr>
                      </w:pPr>
                      <w:r w:rsidRPr="00AD1C73">
                        <w:rPr>
                          <w:rFonts w:eastAsiaTheme="majorEastAsia"/>
                          <w:i/>
                          <w:color w:val="FFFFFF" w:themeColor="background1"/>
                          <w:sz w:val="20"/>
                        </w:rPr>
                        <w:t>• Belemmeringen zijn weggenomen in de markt en systeem die de realisatie van deze keuze in de weg staan;</w:t>
                      </w:r>
                    </w:p>
                    <w:p w14:paraId="67E90378" w14:textId="77777777" w:rsidR="003040E4" w:rsidRPr="00AD1C73" w:rsidRDefault="003040E4" w:rsidP="002912E2">
                      <w:pPr>
                        <w:pStyle w:val="NoSpacing"/>
                        <w:spacing w:line="276" w:lineRule="auto"/>
                        <w:jc w:val="center"/>
                        <w:rPr>
                          <w:rFonts w:eastAsiaTheme="majorEastAsia"/>
                          <w:i/>
                          <w:sz w:val="20"/>
                        </w:rPr>
                      </w:pPr>
                      <w:r w:rsidRPr="00AD1C73">
                        <w:rPr>
                          <w:rFonts w:eastAsiaTheme="majorEastAsia"/>
                          <w:i/>
                          <w:color w:val="FFFFFF" w:themeColor="background1"/>
                          <w:sz w:val="20"/>
                        </w:rPr>
                        <w:t>• Het voor scholen duidelijk is hoe ze de gemaakte (ICT-)keuzes kunnen implementeren”.</w:t>
                      </w:r>
                    </w:p>
                  </w:txbxContent>
                </v:textbox>
                <w10:anchorlock/>
              </v:shape>
            </w:pict>
          </mc:Fallback>
        </mc:AlternateContent>
      </w:r>
    </w:p>
    <w:p w14:paraId="17DC5181" w14:textId="0A47043B" w:rsidR="002912E2" w:rsidRPr="00534B7C" w:rsidRDefault="002912E2" w:rsidP="00534B7C">
      <w:pPr>
        <w:pStyle w:val="Caption"/>
        <w:rPr>
          <w:rFonts w:eastAsiaTheme="minorHAnsi"/>
        </w:rPr>
      </w:pPr>
      <w:bookmarkStart w:id="29" w:name="_Hlk484358824"/>
      <w:r w:rsidRPr="00534B7C">
        <w:t>Figuur</w:t>
      </w:r>
      <w:r w:rsidR="00534B7C">
        <w:t xml:space="preserve"> 2</w:t>
      </w:r>
      <w:r w:rsidRPr="00534B7C">
        <w:t>: Van Lunteren, stuurgroep Doorbraakproject Onderwijs en ICT</w:t>
      </w:r>
    </w:p>
    <w:p w14:paraId="7A2F7317" w14:textId="77777777" w:rsidR="002912E2" w:rsidRDefault="002912E2" w:rsidP="002912E2">
      <w:pPr>
        <w:pStyle w:val="NoSpacing"/>
        <w:spacing w:line="360" w:lineRule="auto"/>
        <w:rPr>
          <w:b/>
          <w:sz w:val="24"/>
        </w:rPr>
      </w:pPr>
      <w:bookmarkStart w:id="30" w:name="_Hlk484109216"/>
      <w:bookmarkEnd w:id="29"/>
    </w:p>
    <w:p w14:paraId="095F2029" w14:textId="6DAD5B59" w:rsidR="002912E2" w:rsidRPr="009B71F1" w:rsidRDefault="002912E2" w:rsidP="00534B7C">
      <w:pPr>
        <w:pStyle w:val="Heading2"/>
        <w:rPr>
          <w:color w:val="1F3864" w:themeColor="accent1" w:themeShade="80"/>
        </w:rPr>
      </w:pPr>
      <w:bookmarkStart w:id="31" w:name="_Toc517455447"/>
      <w:r w:rsidRPr="009B71F1">
        <w:rPr>
          <w:color w:val="1F3864" w:themeColor="accent1" w:themeShade="80"/>
        </w:rPr>
        <w:t>Vier in balans monitor</w:t>
      </w:r>
      <w:bookmarkEnd w:id="31"/>
    </w:p>
    <w:bookmarkEnd w:id="30"/>
    <w:p w14:paraId="21618077" w14:textId="0012CA49" w:rsidR="002912E2" w:rsidRPr="009C6A05" w:rsidRDefault="002912E2" w:rsidP="002912E2">
      <w:pPr>
        <w:spacing w:after="0" w:line="276" w:lineRule="auto"/>
        <w:rPr>
          <w:rFonts w:asciiTheme="minorHAnsi" w:hAnsiTheme="minorHAnsi" w:cstheme="minorHAnsi"/>
          <w:sz w:val="22"/>
          <w:szCs w:val="22"/>
        </w:rPr>
      </w:pPr>
      <w:r w:rsidRPr="009C6A05">
        <w:rPr>
          <w:rFonts w:asciiTheme="minorHAnsi" w:hAnsiTheme="minorHAnsi" w:cstheme="minorHAnsi"/>
          <w:sz w:val="22"/>
          <w:szCs w:val="22"/>
        </w:rPr>
        <w:t>De ICT-markt is complex en dynamisch waar de scholen nauwelijks grip op hebben</w:t>
      </w:r>
      <w:r w:rsidRPr="009C6A05">
        <w:rPr>
          <w:rFonts w:asciiTheme="minorHAnsi" w:eastAsiaTheme="minorHAnsi" w:hAnsiTheme="minorHAnsi" w:cstheme="minorHAnsi"/>
          <w:sz w:val="22"/>
          <w:szCs w:val="22"/>
        </w:rPr>
        <w:t xml:space="preserve">. Om de ambities op het gebied van ICT effectief door te vertalen in de visie binnen het onderwijsveld is onderzoek noodzakelijk. </w:t>
      </w:r>
      <w:r w:rsidRPr="009C6A05">
        <w:rPr>
          <w:rFonts w:asciiTheme="minorHAnsi" w:hAnsiTheme="minorHAnsi" w:cstheme="minorHAnsi"/>
          <w:sz w:val="22"/>
          <w:szCs w:val="22"/>
        </w:rPr>
        <w:t>Stichting Kennisnet en de Ministerie van Onderwijs, Cultuur en Wetenschap (OCW) hebben een monitor ontwikkeld wat als handvat kan dienen voor schoolbesturen bij aanpak van het ICT-vraagstuk. Veel scholen zien de bekostiging van ICT namelijk als een knelpunt voor verdere integratie in het onderwijs (</w:t>
      </w:r>
      <w:r w:rsidR="003040E4">
        <w:fldChar w:fldCharType="begin"/>
      </w:r>
      <w:r w:rsidR="003040E4">
        <w:instrText xml:space="preserve"> HYPERLINK "http://www.leermiddelenvo.nl/subpage/kosten_grootste_drempel_bij_integratie_ict" </w:instrText>
      </w:r>
      <w:r w:rsidR="003040E4">
        <w:fldChar w:fldCharType="separate"/>
      </w:r>
      <w:r w:rsidR="003040E4">
        <w:fldChar w:fldCharType="end"/>
      </w:r>
      <w:r w:rsidRPr="009C6A05">
        <w:rPr>
          <w:rFonts w:asciiTheme="minorHAnsi" w:hAnsiTheme="minorHAnsi" w:cstheme="minorHAnsi"/>
          <w:sz w:val="22"/>
          <w:szCs w:val="22"/>
        </w:rPr>
        <w:t xml:space="preserve">Leermiddelen VO, z.j.). Zij stellen inkoop zoveel mogelijk uit. Daarnaast is er sterke behoefte aan expertise en ondersteuning bij het ontwikkelen van een goede visie op ICT. Dit is problematisch vanwege het gebrek aan deskundigheid op dit terrein. Er speelt de vraag wát en hoé digitale leermiddelen en ICT ingekocht moet worden. Stichting Kennisnet ondersteunt scholen in dit proces door het ontwikkelen van een monitor. Reeds in 2007 is de zogenaamde ‘Vier in Balans Monitor ontwikkeld’. Beoogd doel is dat scholen optimaal rendement halen uit de ICT-voorzieningen. De volgende ICT-randvoorwaarden dienen met elkaar in balans te zijn: </w:t>
      </w:r>
      <w:r w:rsidRPr="009C6A05">
        <w:rPr>
          <w:rFonts w:asciiTheme="minorHAnsi" w:hAnsiTheme="minorHAnsi" w:cstheme="minorHAnsi"/>
          <w:i/>
          <w:sz w:val="22"/>
          <w:szCs w:val="22"/>
        </w:rPr>
        <w:t>visie</w:t>
      </w:r>
      <w:r w:rsidRPr="009C6A05">
        <w:rPr>
          <w:rFonts w:asciiTheme="minorHAnsi" w:hAnsiTheme="minorHAnsi" w:cstheme="minorHAnsi"/>
          <w:sz w:val="22"/>
          <w:szCs w:val="22"/>
        </w:rPr>
        <w:t xml:space="preserve">, </w:t>
      </w:r>
      <w:r w:rsidRPr="009C6A05">
        <w:rPr>
          <w:rFonts w:asciiTheme="minorHAnsi" w:hAnsiTheme="minorHAnsi" w:cstheme="minorHAnsi"/>
          <w:i/>
          <w:sz w:val="22"/>
          <w:szCs w:val="22"/>
        </w:rPr>
        <w:t>deskundigheid</w:t>
      </w:r>
      <w:r w:rsidRPr="009C6A05">
        <w:rPr>
          <w:rFonts w:asciiTheme="minorHAnsi" w:hAnsiTheme="minorHAnsi" w:cstheme="minorHAnsi"/>
          <w:sz w:val="22"/>
          <w:szCs w:val="22"/>
        </w:rPr>
        <w:t xml:space="preserve">, </w:t>
      </w:r>
      <w:r w:rsidRPr="009C6A05">
        <w:rPr>
          <w:rFonts w:asciiTheme="minorHAnsi" w:hAnsiTheme="minorHAnsi" w:cstheme="minorHAnsi"/>
          <w:i/>
          <w:sz w:val="22"/>
          <w:szCs w:val="22"/>
        </w:rPr>
        <w:t>inhoud</w:t>
      </w:r>
      <w:r w:rsidRPr="009C6A05">
        <w:rPr>
          <w:rFonts w:asciiTheme="minorHAnsi" w:hAnsiTheme="minorHAnsi" w:cstheme="minorHAnsi"/>
          <w:sz w:val="22"/>
          <w:szCs w:val="22"/>
        </w:rPr>
        <w:t xml:space="preserve"> en </w:t>
      </w:r>
      <w:r w:rsidRPr="009C6A05">
        <w:rPr>
          <w:rFonts w:asciiTheme="minorHAnsi" w:hAnsiTheme="minorHAnsi" w:cstheme="minorHAnsi"/>
          <w:i/>
          <w:sz w:val="22"/>
          <w:szCs w:val="22"/>
        </w:rPr>
        <w:t>infrastructuur</w:t>
      </w:r>
      <w:r w:rsidRPr="009C6A05">
        <w:rPr>
          <w:rFonts w:asciiTheme="minorHAnsi" w:hAnsiTheme="minorHAnsi" w:cstheme="minorHAnsi"/>
          <w:sz w:val="22"/>
          <w:szCs w:val="22"/>
        </w:rPr>
        <w:t xml:space="preserve">. Ter verheldering worden deze voorwaarden kort besproken. </w:t>
      </w:r>
    </w:p>
    <w:p w14:paraId="348A1838" w14:textId="77777777" w:rsidR="002912E2" w:rsidRPr="009C6A05" w:rsidRDefault="002912E2" w:rsidP="002912E2">
      <w:pPr>
        <w:spacing w:after="0" w:line="276" w:lineRule="auto"/>
        <w:rPr>
          <w:rFonts w:asciiTheme="minorHAnsi" w:hAnsiTheme="minorHAnsi" w:cstheme="minorHAnsi"/>
          <w:sz w:val="22"/>
          <w:szCs w:val="22"/>
        </w:rPr>
      </w:pPr>
      <w:r w:rsidRPr="009C6A05">
        <w:rPr>
          <w:rFonts w:asciiTheme="minorHAnsi" w:hAnsiTheme="minorHAnsi" w:cstheme="minorHAnsi"/>
          <w:sz w:val="22"/>
          <w:szCs w:val="22"/>
        </w:rPr>
        <w:t xml:space="preserve">1. Er dient een </w:t>
      </w:r>
      <w:r w:rsidRPr="009C6A05">
        <w:rPr>
          <w:rFonts w:asciiTheme="minorHAnsi" w:hAnsiTheme="minorHAnsi" w:cstheme="minorHAnsi"/>
          <w:i/>
          <w:sz w:val="22"/>
          <w:szCs w:val="22"/>
        </w:rPr>
        <w:t>visie</w:t>
      </w:r>
      <w:r w:rsidRPr="009C6A05">
        <w:rPr>
          <w:rFonts w:asciiTheme="minorHAnsi" w:hAnsiTheme="minorHAnsi" w:cstheme="minorHAnsi"/>
          <w:sz w:val="22"/>
          <w:szCs w:val="22"/>
        </w:rPr>
        <w:t xml:space="preserve"> op de inzet van ICT te worden ontwikkeld. </w:t>
      </w:r>
    </w:p>
    <w:p w14:paraId="30CFDEA8" w14:textId="6BE6F31C" w:rsidR="002912E2" w:rsidRPr="00F20EE0" w:rsidRDefault="002912E2" w:rsidP="002912E2">
      <w:pPr>
        <w:spacing w:after="0" w:line="276" w:lineRule="auto"/>
        <w:rPr>
          <w:rFonts w:asciiTheme="minorHAnsi" w:hAnsiTheme="minorHAnsi" w:cstheme="minorHAnsi"/>
          <w:color w:val="000000" w:themeColor="text1"/>
          <w:sz w:val="22"/>
          <w:szCs w:val="22"/>
        </w:rPr>
      </w:pPr>
      <w:r w:rsidRPr="00F20EE0">
        <w:rPr>
          <w:rFonts w:asciiTheme="minorHAnsi" w:hAnsiTheme="minorHAnsi" w:cstheme="minorHAnsi"/>
          <w:color w:val="000000" w:themeColor="text1"/>
          <w:sz w:val="22"/>
          <w:szCs w:val="22"/>
        </w:rPr>
        <w:lastRenderedPageBreak/>
        <w:t>Uit het rapport ‘Doorbraak Onderwijs en ICT’</w:t>
      </w:r>
      <w:r w:rsidRPr="00F20EE0">
        <w:rPr>
          <w:rStyle w:val="FootnoteReference"/>
          <w:rFonts w:asciiTheme="minorHAnsi" w:hAnsiTheme="minorHAnsi" w:cstheme="minorHAnsi"/>
          <w:color w:val="000000" w:themeColor="text1"/>
          <w:sz w:val="22"/>
          <w:szCs w:val="22"/>
        </w:rPr>
        <w:footnoteReference w:id="3"/>
      </w:r>
      <w:r w:rsidRPr="00F20EE0">
        <w:rPr>
          <w:rFonts w:asciiTheme="minorHAnsi" w:hAnsiTheme="minorHAnsi" w:cstheme="minorHAnsi"/>
          <w:color w:val="000000" w:themeColor="text1"/>
          <w:sz w:val="22"/>
          <w:szCs w:val="22"/>
        </w:rPr>
        <w:t xml:space="preserve"> blijkt dat ICT niet consequent opgenomen wordt in de visie van onderwijsinstellingen. Er is dan ook de uitdaging gesteld voor alle scholen om hun visie op digitale leermiddelen op papier te zetten. Dit biedt een mogelijkheid om ICT structureel op te pakken en invoeren van adaptieve systemen. </w:t>
      </w:r>
      <w:proofErr w:type="spellStart"/>
      <w:r w:rsidRPr="00F20EE0">
        <w:rPr>
          <w:rFonts w:asciiTheme="minorHAnsi" w:hAnsiTheme="minorHAnsi" w:cstheme="minorHAnsi"/>
          <w:color w:val="000000" w:themeColor="text1"/>
          <w:sz w:val="22"/>
          <w:szCs w:val="22"/>
        </w:rPr>
        <w:t>Teulings</w:t>
      </w:r>
      <w:proofErr w:type="spellEnd"/>
      <w:r w:rsidRPr="00F20EE0">
        <w:rPr>
          <w:rFonts w:asciiTheme="minorHAnsi" w:hAnsiTheme="minorHAnsi" w:cstheme="minorHAnsi"/>
          <w:color w:val="000000" w:themeColor="text1"/>
          <w:sz w:val="22"/>
          <w:szCs w:val="22"/>
        </w:rPr>
        <w:t xml:space="preserve"> (2000) geeft aan dat scholen zelf het beste in staat zijn om te beoordelen wat in hun concrete situatie de beste besteding is van de middelen. </w:t>
      </w:r>
    </w:p>
    <w:p w14:paraId="319DA35B" w14:textId="77777777" w:rsidR="002912E2" w:rsidRPr="00F20EE0" w:rsidRDefault="002912E2" w:rsidP="002912E2">
      <w:pPr>
        <w:spacing w:after="0" w:line="276" w:lineRule="auto"/>
        <w:rPr>
          <w:rFonts w:asciiTheme="minorHAnsi" w:hAnsiTheme="minorHAnsi"/>
          <w:noProof/>
          <w:color w:val="000000" w:themeColor="text1"/>
          <w:sz w:val="22"/>
          <w:szCs w:val="22"/>
          <w:lang w:eastAsia="nl-NL"/>
        </w:rPr>
      </w:pPr>
      <w:r w:rsidRPr="00F20EE0">
        <w:rPr>
          <w:rFonts w:asciiTheme="minorHAnsi" w:hAnsiTheme="minorHAnsi"/>
          <w:color w:val="000000" w:themeColor="text1"/>
          <w:sz w:val="22"/>
          <w:szCs w:val="22"/>
        </w:rPr>
        <w:t xml:space="preserve">2.  </w:t>
      </w:r>
      <w:r w:rsidRPr="00F20EE0">
        <w:rPr>
          <w:rFonts w:asciiTheme="minorHAnsi" w:hAnsiTheme="minorHAnsi"/>
          <w:i/>
          <w:color w:val="000000" w:themeColor="text1"/>
          <w:sz w:val="22"/>
          <w:szCs w:val="22"/>
        </w:rPr>
        <w:t>Deskundigheid</w:t>
      </w:r>
      <w:r w:rsidRPr="00F20EE0">
        <w:rPr>
          <w:rFonts w:asciiTheme="minorHAnsi" w:hAnsiTheme="minorHAnsi"/>
          <w:color w:val="000000" w:themeColor="text1"/>
          <w:sz w:val="22"/>
          <w:szCs w:val="22"/>
        </w:rPr>
        <w:t xml:space="preserve"> en bekwaamheid van medewerkers. Betrokkenen dienen de benodigde competenties te bezitten om ICT goed in te zetten.</w:t>
      </w:r>
    </w:p>
    <w:p w14:paraId="0790A91D" w14:textId="4A80B9D7" w:rsidR="002912E2" w:rsidRPr="00F20EE0" w:rsidRDefault="002912E2" w:rsidP="002912E2">
      <w:pPr>
        <w:spacing w:after="0" w:line="276" w:lineRule="auto"/>
        <w:rPr>
          <w:rFonts w:asciiTheme="minorHAnsi" w:hAnsiTheme="minorHAnsi"/>
          <w:color w:val="000000" w:themeColor="text1"/>
          <w:sz w:val="22"/>
          <w:szCs w:val="22"/>
        </w:rPr>
      </w:pPr>
      <w:r w:rsidRPr="00F20EE0">
        <w:rPr>
          <w:rFonts w:asciiTheme="minorHAnsi" w:hAnsiTheme="minorHAnsi"/>
          <w:color w:val="000000" w:themeColor="text1"/>
          <w:sz w:val="22"/>
          <w:szCs w:val="22"/>
        </w:rPr>
        <w:t>Er is meer aandacht nodig voor de professionaliser</w:t>
      </w:r>
      <w:r>
        <w:rPr>
          <w:rFonts w:asciiTheme="minorHAnsi" w:hAnsiTheme="minorHAnsi"/>
          <w:color w:val="000000" w:themeColor="text1"/>
          <w:sz w:val="22"/>
          <w:szCs w:val="22"/>
        </w:rPr>
        <w:t>ing van onderwijsinstellingen, met name op het gebied van ICT.</w:t>
      </w:r>
      <w:r w:rsidRPr="00F20EE0">
        <w:rPr>
          <w:rFonts w:asciiTheme="minorHAnsi" w:hAnsiTheme="minorHAnsi"/>
          <w:color w:val="000000" w:themeColor="text1"/>
          <w:sz w:val="22"/>
          <w:szCs w:val="22"/>
        </w:rPr>
        <w:t xml:space="preserve"> Er dient geïnvesteerd te worden in meer ruimte voor leraren bij de inrichting van </w:t>
      </w:r>
      <w:r w:rsidR="00A95D51">
        <w:rPr>
          <w:rFonts w:asciiTheme="minorHAnsi" w:hAnsiTheme="minorHAnsi"/>
          <w:color w:val="000000" w:themeColor="text1"/>
          <w:sz w:val="22"/>
          <w:szCs w:val="22"/>
        </w:rPr>
        <w:t xml:space="preserve">het </w:t>
      </w:r>
      <w:r w:rsidRPr="00F20EE0">
        <w:rPr>
          <w:rFonts w:asciiTheme="minorHAnsi" w:hAnsiTheme="minorHAnsi"/>
          <w:color w:val="000000" w:themeColor="text1"/>
          <w:sz w:val="22"/>
          <w:szCs w:val="22"/>
        </w:rPr>
        <w:t xml:space="preserve">onderwijs en het doorvoeren van vernieuwingen. Om hoogwaardig onderwijs te kunnen bieden dienen </w:t>
      </w:r>
      <w:r>
        <w:rPr>
          <w:rFonts w:asciiTheme="minorHAnsi" w:hAnsiTheme="minorHAnsi"/>
          <w:color w:val="000000" w:themeColor="text1"/>
          <w:sz w:val="22"/>
          <w:szCs w:val="22"/>
        </w:rPr>
        <w:t xml:space="preserve">afdelingen, </w:t>
      </w:r>
      <w:r w:rsidRPr="00F20EE0">
        <w:rPr>
          <w:rFonts w:asciiTheme="minorHAnsi" w:hAnsiTheme="minorHAnsi"/>
          <w:color w:val="000000" w:themeColor="text1"/>
          <w:sz w:val="22"/>
          <w:szCs w:val="22"/>
        </w:rPr>
        <w:t xml:space="preserve">schoolleiders, bestuurders en leraren over de juiste kennis en vaardigheden te beschikken. Ontwikkelen van kennis en vaardigheden over de inzet van ICT is een vorm van professionalisering binnen de scholen. </w:t>
      </w:r>
    </w:p>
    <w:p w14:paraId="53B462D9" w14:textId="77777777" w:rsidR="002912E2" w:rsidRPr="00F20EE0" w:rsidRDefault="002912E2" w:rsidP="002912E2">
      <w:pPr>
        <w:spacing w:after="0" w:line="276" w:lineRule="auto"/>
        <w:rPr>
          <w:rFonts w:asciiTheme="minorHAnsi" w:hAnsiTheme="minorHAnsi"/>
          <w:color w:val="000000" w:themeColor="text1"/>
          <w:sz w:val="22"/>
          <w:szCs w:val="22"/>
        </w:rPr>
      </w:pPr>
      <w:r w:rsidRPr="00F20EE0">
        <w:rPr>
          <w:rFonts w:asciiTheme="minorHAnsi" w:hAnsiTheme="minorHAnsi"/>
          <w:color w:val="000000" w:themeColor="text1"/>
          <w:sz w:val="22"/>
          <w:szCs w:val="22"/>
        </w:rPr>
        <w:t xml:space="preserve">3. Software en hardware dienen een </w:t>
      </w:r>
      <w:r w:rsidRPr="00F20EE0">
        <w:rPr>
          <w:rFonts w:asciiTheme="minorHAnsi" w:hAnsiTheme="minorHAnsi"/>
          <w:i/>
          <w:color w:val="000000" w:themeColor="text1"/>
          <w:sz w:val="22"/>
          <w:szCs w:val="22"/>
        </w:rPr>
        <w:t>informatief</w:t>
      </w:r>
      <w:r w:rsidRPr="00F20EE0">
        <w:rPr>
          <w:rFonts w:asciiTheme="minorHAnsi" w:hAnsiTheme="minorHAnsi"/>
          <w:color w:val="000000" w:themeColor="text1"/>
          <w:sz w:val="22"/>
          <w:szCs w:val="22"/>
        </w:rPr>
        <w:t xml:space="preserve"> </w:t>
      </w:r>
      <w:r w:rsidRPr="00F20EE0">
        <w:rPr>
          <w:rFonts w:asciiTheme="minorHAnsi" w:hAnsiTheme="minorHAnsi"/>
          <w:i/>
          <w:color w:val="000000" w:themeColor="text1"/>
          <w:sz w:val="22"/>
          <w:szCs w:val="22"/>
        </w:rPr>
        <w:t>en</w:t>
      </w:r>
      <w:r w:rsidRPr="00F20EE0">
        <w:rPr>
          <w:rFonts w:asciiTheme="minorHAnsi" w:hAnsiTheme="minorHAnsi"/>
          <w:color w:val="000000" w:themeColor="text1"/>
          <w:sz w:val="22"/>
          <w:szCs w:val="22"/>
        </w:rPr>
        <w:t xml:space="preserve"> </w:t>
      </w:r>
      <w:r w:rsidRPr="00F20EE0">
        <w:rPr>
          <w:rFonts w:asciiTheme="minorHAnsi" w:hAnsiTheme="minorHAnsi"/>
          <w:i/>
          <w:color w:val="000000" w:themeColor="text1"/>
          <w:sz w:val="22"/>
          <w:szCs w:val="22"/>
        </w:rPr>
        <w:t>educatief</w:t>
      </w:r>
      <w:r w:rsidRPr="00F20EE0">
        <w:rPr>
          <w:rFonts w:asciiTheme="minorHAnsi" w:hAnsiTheme="minorHAnsi"/>
          <w:color w:val="000000" w:themeColor="text1"/>
          <w:sz w:val="22"/>
          <w:szCs w:val="22"/>
        </w:rPr>
        <w:t xml:space="preserve"> karakter te bezitten. Digitale leermiddelen dienen dan ook speciaal voor het onderwijs gemaakt te zijn. Bij inkoop van ICT dient hier nadrukkelijk op gelet te worden. </w:t>
      </w:r>
    </w:p>
    <w:p w14:paraId="0F360E27" w14:textId="77777777" w:rsidR="0057307B" w:rsidRDefault="002912E2" w:rsidP="002912E2">
      <w:pPr>
        <w:kinsoku/>
        <w:autoSpaceDE/>
        <w:autoSpaceDN/>
        <w:adjustRightInd/>
        <w:spacing w:after="160" w:line="259" w:lineRule="auto"/>
        <w:rPr>
          <w:rFonts w:asciiTheme="minorHAnsi" w:hAnsiTheme="minorHAnsi"/>
          <w:color w:val="000000" w:themeColor="text1"/>
          <w:sz w:val="22"/>
          <w:szCs w:val="22"/>
        </w:rPr>
      </w:pPr>
      <w:r w:rsidRPr="00F20EE0">
        <w:rPr>
          <w:rFonts w:asciiTheme="minorHAnsi" w:hAnsiTheme="minorHAnsi"/>
          <w:color w:val="000000" w:themeColor="text1"/>
          <w:sz w:val="22"/>
          <w:szCs w:val="22"/>
        </w:rPr>
        <w:t xml:space="preserve">4. Tot slot moet de inrichting van de infrastructuur zorgvuldig worden verricht. Programma’s en ander software functioneren enkel wanneer de beschikbaarheid en kwaliteit van hardware en het netwerk op peil is. Met andere woorden: het fundament waarop digitale leermiddelen draaien moet stevig genoeg zijn. Dit is een essentieel aspect wat aandacht vergt bij inkoop van diensten en middelen. Een software of hardware wat niet functioneert op het bestaand infrastructuur is gedoemd te mislukken. </w:t>
      </w:r>
    </w:p>
    <w:p w14:paraId="7EC397AB" w14:textId="77777777" w:rsidR="0057307B" w:rsidRDefault="0057307B">
      <w:pPr>
        <w:kinsoku/>
        <w:autoSpaceDE/>
        <w:autoSpaceDN/>
        <w:adjustRightInd/>
        <w:spacing w:after="160" w:line="259" w:lineRule="auto"/>
        <w:rPr>
          <w:rFonts w:asciiTheme="minorHAnsi" w:hAnsiTheme="minorHAnsi"/>
          <w:color w:val="000000" w:themeColor="text1"/>
          <w:sz w:val="22"/>
          <w:szCs w:val="22"/>
        </w:rPr>
      </w:pPr>
      <w:r>
        <w:rPr>
          <w:rFonts w:asciiTheme="minorHAnsi" w:hAnsiTheme="minorHAnsi"/>
          <w:color w:val="000000" w:themeColor="text1"/>
          <w:sz w:val="22"/>
          <w:szCs w:val="22"/>
        </w:rPr>
        <w:br w:type="page"/>
      </w:r>
    </w:p>
    <w:p w14:paraId="11862AB5" w14:textId="77777777" w:rsidR="003E68AA" w:rsidRDefault="003E68AA" w:rsidP="002912E2">
      <w:pPr>
        <w:kinsoku/>
        <w:autoSpaceDE/>
        <w:autoSpaceDN/>
        <w:adjustRightInd/>
        <w:spacing w:after="160" w:line="259" w:lineRule="auto"/>
        <w:rPr>
          <w:rFonts w:asciiTheme="minorHAnsi" w:hAnsiTheme="minorHAnsi"/>
          <w:b/>
          <w:sz w:val="32"/>
        </w:rPr>
        <w:sectPr w:rsidR="003E68AA" w:rsidSect="00531A97">
          <w:footerReference w:type="default" r:id="rId14"/>
          <w:footerReference w:type="first" r:id="rId15"/>
          <w:pgSz w:w="11906" w:h="16838" w:code="9"/>
          <w:pgMar w:top="720" w:right="720" w:bottom="720" w:left="720" w:header="709" w:footer="454" w:gutter="0"/>
          <w:cols w:space="708"/>
          <w:titlePg/>
          <w:docGrid w:linePitch="360"/>
        </w:sectPr>
      </w:pPr>
    </w:p>
    <w:p w14:paraId="0AD5E077" w14:textId="77777777" w:rsidR="003E68AA" w:rsidRDefault="0057307B" w:rsidP="002912E2">
      <w:pPr>
        <w:kinsoku/>
        <w:autoSpaceDE/>
        <w:autoSpaceDN/>
        <w:adjustRightInd/>
        <w:spacing w:after="160" w:line="259" w:lineRule="auto"/>
        <w:rPr>
          <w:rFonts w:asciiTheme="minorHAnsi" w:hAnsiTheme="minorHAnsi"/>
          <w:b/>
          <w:sz w:val="32"/>
        </w:rPr>
        <w:sectPr w:rsidR="003E68AA" w:rsidSect="003E68AA">
          <w:pgSz w:w="11906" w:h="16838" w:code="9"/>
          <w:pgMar w:top="720" w:right="454" w:bottom="720" w:left="454" w:header="709" w:footer="454" w:gutter="0"/>
          <w:cols w:space="708"/>
          <w:titlePg/>
          <w:docGrid w:linePitch="360"/>
        </w:sectPr>
      </w:pPr>
      <w:r>
        <w:rPr>
          <w:rFonts w:asciiTheme="minorHAnsi" w:hAnsiTheme="minorHAnsi"/>
          <w:b/>
          <w:noProof/>
          <w:sz w:val="32"/>
        </w:rPr>
        <w:lastRenderedPageBreak/>
        <w:drawing>
          <wp:inline distT="0" distB="0" distL="0" distR="0" wp14:anchorId="15360381" wp14:editId="4B8DAE0D">
            <wp:extent cx="6957060" cy="3907618"/>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990797" cy="3926567"/>
                    </a:xfrm>
                    <a:prstGeom prst="roundRect">
                      <a:avLst>
                        <a:gd name="adj" fmla="val 8594"/>
                      </a:avLst>
                    </a:prstGeom>
                    <a:solidFill>
                      <a:srgbClr val="FFFFFF">
                        <a:shade val="85000"/>
                      </a:srgbClr>
                    </a:solidFill>
                    <a:ln>
                      <a:noFill/>
                    </a:ln>
                    <a:effectLst/>
                  </pic:spPr>
                </pic:pic>
              </a:graphicData>
            </a:graphic>
          </wp:inline>
        </w:drawing>
      </w:r>
    </w:p>
    <w:p w14:paraId="28127169" w14:textId="5FCE79AD" w:rsidR="00901808" w:rsidRDefault="00901808" w:rsidP="00534B7C">
      <w:pPr>
        <w:pStyle w:val="Heading1"/>
      </w:pPr>
      <w:bookmarkStart w:id="32" w:name="_Toc517455448"/>
      <w:r>
        <w:lastRenderedPageBreak/>
        <w:t>3.</w:t>
      </w:r>
      <w:r>
        <w:tab/>
      </w:r>
      <w:r w:rsidRPr="00827EE2">
        <w:t>Theoretisch</w:t>
      </w:r>
      <w:r>
        <w:t>e</w:t>
      </w:r>
      <w:r w:rsidRPr="00827EE2">
        <w:t xml:space="preserve"> kader</w:t>
      </w:r>
      <w:bookmarkEnd w:id="0"/>
      <w:bookmarkEnd w:id="32"/>
    </w:p>
    <w:p w14:paraId="5763B150" w14:textId="77777777" w:rsidR="00534B7C" w:rsidRDefault="00534B7C" w:rsidP="00901808">
      <w:pPr>
        <w:pStyle w:val="NoSpacing"/>
        <w:spacing w:line="360" w:lineRule="auto"/>
        <w:rPr>
          <w:b/>
          <w:sz w:val="24"/>
        </w:rPr>
      </w:pPr>
      <w:bookmarkStart w:id="33" w:name="_Hlk484109445"/>
    </w:p>
    <w:p w14:paraId="2DD05B87" w14:textId="77777777" w:rsidR="00534B7C" w:rsidRPr="00534B7C" w:rsidRDefault="00534B7C" w:rsidP="00534B7C">
      <w:pPr>
        <w:pStyle w:val="ListParagraph"/>
        <w:numPr>
          <w:ilvl w:val="0"/>
          <w:numId w:val="8"/>
        </w:numPr>
        <w:spacing w:after="0" w:line="276" w:lineRule="auto"/>
        <w:contextualSpacing w:val="0"/>
        <w:outlineLvl w:val="1"/>
        <w:rPr>
          <w:rFonts w:asciiTheme="minorHAnsi" w:eastAsiaTheme="minorHAnsi" w:hAnsiTheme="minorHAnsi"/>
          <w:b/>
          <w:vanish/>
          <w:sz w:val="24"/>
        </w:rPr>
      </w:pPr>
      <w:bookmarkStart w:id="34" w:name="_Toc516315342"/>
      <w:bookmarkStart w:id="35" w:name="_Toc517357604"/>
      <w:bookmarkStart w:id="36" w:name="_Toc517360450"/>
      <w:bookmarkStart w:id="37" w:name="_Toc517360516"/>
      <w:bookmarkStart w:id="38" w:name="_Toc517450714"/>
      <w:bookmarkStart w:id="39" w:name="_Toc517450789"/>
      <w:bookmarkStart w:id="40" w:name="_Toc517450984"/>
      <w:bookmarkStart w:id="41" w:name="_Toc517451058"/>
      <w:bookmarkStart w:id="42" w:name="_Toc517451132"/>
      <w:bookmarkStart w:id="43" w:name="_Toc517455449"/>
      <w:bookmarkEnd w:id="34"/>
      <w:bookmarkEnd w:id="35"/>
      <w:bookmarkEnd w:id="36"/>
      <w:bookmarkEnd w:id="37"/>
      <w:bookmarkEnd w:id="38"/>
      <w:bookmarkEnd w:id="39"/>
      <w:bookmarkEnd w:id="40"/>
      <w:bookmarkEnd w:id="41"/>
      <w:bookmarkEnd w:id="42"/>
      <w:bookmarkEnd w:id="43"/>
    </w:p>
    <w:p w14:paraId="66958B87" w14:textId="4E446E0A" w:rsidR="00901808" w:rsidRPr="009B71F1" w:rsidRDefault="00901808" w:rsidP="00534B7C">
      <w:pPr>
        <w:pStyle w:val="Heading2"/>
        <w:rPr>
          <w:color w:val="1F3864" w:themeColor="accent1" w:themeShade="80"/>
        </w:rPr>
      </w:pPr>
      <w:bookmarkStart w:id="44" w:name="_Toc517455450"/>
      <w:r w:rsidRPr="009B71F1">
        <w:rPr>
          <w:color w:val="1F3864" w:themeColor="accent1" w:themeShade="80"/>
        </w:rPr>
        <w:t>Inleiding en leeswijzer</w:t>
      </w:r>
      <w:bookmarkEnd w:id="44"/>
    </w:p>
    <w:bookmarkEnd w:id="33"/>
    <w:p w14:paraId="1216B7B3" w14:textId="6739DB0C" w:rsidR="00901808" w:rsidRDefault="00901808" w:rsidP="00901808">
      <w:pPr>
        <w:pStyle w:val="NoSpacing"/>
        <w:spacing w:line="276" w:lineRule="auto"/>
      </w:pPr>
      <w:r>
        <w:t>Dit</w:t>
      </w:r>
      <w:r w:rsidRPr="009C25F8">
        <w:t xml:space="preserve"> theoretische kader </w:t>
      </w:r>
      <w:r>
        <w:t xml:space="preserve">dient als </w:t>
      </w:r>
      <w:r w:rsidR="009B20DC">
        <w:t xml:space="preserve">theoretisch </w:t>
      </w:r>
      <w:r w:rsidRPr="009C25F8">
        <w:t xml:space="preserve">fundament voor </w:t>
      </w:r>
      <w:r>
        <w:t xml:space="preserve">het latere empirische onderzoek en biedt zowel inzicht in theoretische veronderstellingen over een efficiënt inkoopproces als in de factoren die hierop van invloed zijn. </w:t>
      </w:r>
      <w:r>
        <w:rPr>
          <w:szCs w:val="22"/>
        </w:rPr>
        <w:t>De</w:t>
      </w:r>
      <w:r w:rsidRPr="0070557D">
        <w:rPr>
          <w:szCs w:val="22"/>
        </w:rPr>
        <w:t xml:space="preserve"> </w:t>
      </w:r>
      <w:r w:rsidRPr="00755E4F">
        <w:rPr>
          <w:szCs w:val="22"/>
        </w:rPr>
        <w:t xml:space="preserve">theoretische bouwstenen hebben gezamenlijk de beantwoording van de hoofdvraag ten doel. </w:t>
      </w:r>
      <w:r w:rsidR="00A30518" w:rsidRPr="00755E4F">
        <w:rPr>
          <w:szCs w:val="22"/>
        </w:rPr>
        <w:t>Startend vanuit de afhankelijke variabele; efficiënte inkoop en vanuit het idee dat efficiënte inkoop in grote mate bepaald wordt door d</w:t>
      </w:r>
      <w:r w:rsidR="00755E4F" w:rsidRPr="00755E4F">
        <w:rPr>
          <w:szCs w:val="22"/>
        </w:rPr>
        <w:t xml:space="preserve">e professionalisering van de inkoop, de relatie tussen opdrachtgever en opdrachtnemer </w:t>
      </w:r>
      <w:r w:rsidR="00A30518" w:rsidRPr="00755E4F">
        <w:rPr>
          <w:szCs w:val="22"/>
        </w:rPr>
        <w:t>en</w:t>
      </w:r>
      <w:r w:rsidR="00755E4F" w:rsidRPr="00755E4F">
        <w:rPr>
          <w:szCs w:val="22"/>
        </w:rPr>
        <w:t xml:space="preserve"> de mate waarin gezamenlijk</w:t>
      </w:r>
      <w:r w:rsidR="009B5AC4">
        <w:rPr>
          <w:szCs w:val="22"/>
        </w:rPr>
        <w:t xml:space="preserve"> ingekocht wordt</w:t>
      </w:r>
      <w:r w:rsidR="00755E4F" w:rsidRPr="00755E4F">
        <w:rPr>
          <w:szCs w:val="22"/>
        </w:rPr>
        <w:t xml:space="preserve"> door </w:t>
      </w:r>
      <w:r w:rsidR="00A30518" w:rsidRPr="00755E4F">
        <w:rPr>
          <w:szCs w:val="22"/>
        </w:rPr>
        <w:t xml:space="preserve">de inkopende partij bespreken we methoden om die afhankelijkheid te verkleinen en variabelen die een positieve of negatieve invloed hebben op de mate waarin de inkoop </w:t>
      </w:r>
      <w:r w:rsidR="00A30518" w:rsidRPr="00755E4F">
        <w:t>efficiënt verloopt</w:t>
      </w:r>
      <w:r w:rsidRPr="00755E4F">
        <w:t>.</w:t>
      </w:r>
      <w:r w:rsidRPr="00DF1B9D">
        <w:t xml:space="preserve"> </w:t>
      </w:r>
    </w:p>
    <w:p w14:paraId="486EFAEE" w14:textId="649D6210" w:rsidR="00A30518" w:rsidRDefault="00A30518" w:rsidP="00901808">
      <w:pPr>
        <w:pStyle w:val="NoSpacing"/>
        <w:spacing w:line="276" w:lineRule="auto"/>
      </w:pPr>
    </w:p>
    <w:p w14:paraId="601F3D6F" w14:textId="78E3BF65" w:rsidR="00FE6DE0" w:rsidRPr="00203640" w:rsidRDefault="00A30518" w:rsidP="00534B7C">
      <w:pPr>
        <w:pStyle w:val="Heading2"/>
      </w:pPr>
      <w:bookmarkStart w:id="45" w:name="_Toc517455451"/>
      <w:r w:rsidRPr="009B71F1">
        <w:rPr>
          <w:color w:val="1F3864" w:themeColor="accent1" w:themeShade="80"/>
        </w:rPr>
        <w:t>Wat is</w:t>
      </w:r>
      <w:r w:rsidR="00E814EC" w:rsidRPr="009B71F1">
        <w:rPr>
          <w:color w:val="1F3864" w:themeColor="accent1" w:themeShade="80"/>
        </w:rPr>
        <w:t xml:space="preserve"> efficiënt</w:t>
      </w:r>
      <w:r w:rsidR="00537F82" w:rsidRPr="009B71F1">
        <w:rPr>
          <w:color w:val="1F3864" w:themeColor="accent1" w:themeShade="80"/>
        </w:rPr>
        <w:t xml:space="preserve"> inkoop</w:t>
      </w:r>
      <w:r w:rsidRPr="009B71F1">
        <w:rPr>
          <w:color w:val="1F3864" w:themeColor="accent1" w:themeShade="80"/>
        </w:rPr>
        <w:t>?</w:t>
      </w:r>
      <w:bookmarkEnd w:id="45"/>
      <w:r w:rsidRPr="009B71F1">
        <w:rPr>
          <w:color w:val="1F3864" w:themeColor="accent1" w:themeShade="80"/>
        </w:rPr>
        <w:t xml:space="preserve"> </w:t>
      </w:r>
    </w:p>
    <w:p w14:paraId="2E94C647" w14:textId="6E44B0B7" w:rsidR="008E3D67" w:rsidRPr="00442509" w:rsidRDefault="00A30518" w:rsidP="00B773D3">
      <w:pPr>
        <w:spacing w:after="0" w:line="276" w:lineRule="auto"/>
        <w:rPr>
          <w:rFonts w:asciiTheme="minorHAnsi" w:hAnsiTheme="minorHAnsi" w:cstheme="minorHAnsi"/>
          <w:sz w:val="22"/>
          <w:szCs w:val="22"/>
        </w:rPr>
      </w:pPr>
      <w:bookmarkStart w:id="46" w:name="_Hlk516060904"/>
      <w:r w:rsidRPr="00442509">
        <w:rPr>
          <w:rFonts w:asciiTheme="minorHAnsi" w:eastAsiaTheme="minorHAnsi" w:hAnsiTheme="minorHAnsi" w:cstheme="minorHAnsi"/>
          <w:sz w:val="22"/>
          <w:szCs w:val="22"/>
        </w:rPr>
        <w:t>De definitie van inkoop is redelijk recht toe recht aan: alles waar een externe factuur voor binnenkomt</w:t>
      </w:r>
      <w:bookmarkEnd w:id="46"/>
      <w:r w:rsidRPr="00442509">
        <w:rPr>
          <w:rFonts w:asciiTheme="minorHAnsi" w:eastAsiaTheme="minorHAnsi" w:hAnsiTheme="minorHAnsi" w:cstheme="minorHAnsi"/>
          <w:sz w:val="22"/>
          <w:szCs w:val="22"/>
        </w:rPr>
        <w:t xml:space="preserve"> (Telgen, 2001; </w:t>
      </w:r>
      <w:proofErr w:type="spellStart"/>
      <w:r w:rsidRPr="00442509">
        <w:rPr>
          <w:rFonts w:asciiTheme="minorHAnsi" w:eastAsiaTheme="minorHAnsi" w:hAnsiTheme="minorHAnsi" w:cstheme="minorHAnsi"/>
          <w:sz w:val="22"/>
          <w:szCs w:val="22"/>
        </w:rPr>
        <w:t>Corra</w:t>
      </w:r>
      <w:proofErr w:type="spellEnd"/>
      <w:r w:rsidRPr="00442509">
        <w:rPr>
          <w:rFonts w:asciiTheme="minorHAnsi" w:eastAsiaTheme="minorHAnsi" w:hAnsiTheme="minorHAnsi" w:cstheme="minorHAnsi"/>
          <w:sz w:val="22"/>
          <w:szCs w:val="22"/>
        </w:rPr>
        <w:t xml:space="preserve"> et </w:t>
      </w:r>
      <w:r w:rsidR="000B47A7">
        <w:rPr>
          <w:rFonts w:asciiTheme="minorHAnsi" w:eastAsiaTheme="minorHAnsi" w:hAnsiTheme="minorHAnsi" w:cstheme="minorHAnsi"/>
          <w:sz w:val="22"/>
          <w:szCs w:val="22"/>
        </w:rPr>
        <w:t>al.</w:t>
      </w:r>
      <w:r w:rsidRPr="00442509">
        <w:rPr>
          <w:rFonts w:asciiTheme="minorHAnsi" w:eastAsiaTheme="minorHAnsi" w:hAnsiTheme="minorHAnsi" w:cstheme="minorHAnsi"/>
          <w:sz w:val="22"/>
          <w:szCs w:val="22"/>
        </w:rPr>
        <w:t xml:space="preserve"> 2011; Van Weele, 1994</w:t>
      </w:r>
      <w:r w:rsidR="00F41FD2" w:rsidRPr="00442509">
        <w:rPr>
          <w:rFonts w:asciiTheme="minorHAnsi" w:eastAsiaTheme="minorHAnsi" w:hAnsiTheme="minorHAnsi" w:cstheme="minorHAnsi"/>
          <w:sz w:val="22"/>
          <w:szCs w:val="22"/>
        </w:rPr>
        <w:t xml:space="preserve">; </w:t>
      </w:r>
      <w:proofErr w:type="spellStart"/>
      <w:r w:rsidR="00205458" w:rsidRPr="00442509">
        <w:rPr>
          <w:rFonts w:asciiTheme="minorHAnsi" w:eastAsiaTheme="minorHAnsi" w:hAnsiTheme="minorHAnsi" w:cstheme="minorHAnsi"/>
          <w:sz w:val="22"/>
          <w:szCs w:val="22"/>
        </w:rPr>
        <w:t>Gadde</w:t>
      </w:r>
      <w:proofErr w:type="spellEnd"/>
      <w:r w:rsidR="00205458" w:rsidRPr="00442509">
        <w:rPr>
          <w:rFonts w:asciiTheme="minorHAnsi" w:eastAsiaTheme="minorHAnsi" w:hAnsiTheme="minorHAnsi" w:cstheme="minorHAnsi"/>
          <w:sz w:val="22"/>
          <w:szCs w:val="22"/>
        </w:rPr>
        <w:t xml:space="preserve"> &amp; </w:t>
      </w:r>
      <w:proofErr w:type="spellStart"/>
      <w:r w:rsidR="00205458" w:rsidRPr="00442509">
        <w:rPr>
          <w:rFonts w:asciiTheme="minorHAnsi" w:eastAsiaTheme="minorHAnsi" w:hAnsiTheme="minorHAnsi" w:cstheme="minorHAnsi"/>
          <w:sz w:val="22"/>
          <w:szCs w:val="22"/>
        </w:rPr>
        <w:t>Hakkansson</w:t>
      </w:r>
      <w:proofErr w:type="spellEnd"/>
      <w:r w:rsidR="00205458" w:rsidRPr="00442509">
        <w:rPr>
          <w:rFonts w:asciiTheme="minorHAnsi" w:eastAsiaTheme="minorHAnsi" w:hAnsiTheme="minorHAnsi" w:cstheme="minorHAnsi"/>
          <w:sz w:val="22"/>
          <w:szCs w:val="22"/>
        </w:rPr>
        <w:t>, 1993</w:t>
      </w:r>
      <w:r w:rsidRPr="00442509">
        <w:rPr>
          <w:rFonts w:asciiTheme="minorHAnsi" w:eastAsiaTheme="minorHAnsi" w:hAnsiTheme="minorHAnsi" w:cstheme="minorHAnsi"/>
          <w:sz w:val="22"/>
          <w:szCs w:val="22"/>
        </w:rPr>
        <w:t xml:space="preserve">). Gelderman en </w:t>
      </w:r>
      <w:proofErr w:type="spellStart"/>
      <w:r w:rsidRPr="00442509">
        <w:rPr>
          <w:rFonts w:asciiTheme="minorHAnsi" w:eastAsiaTheme="minorHAnsi" w:hAnsiTheme="minorHAnsi" w:cstheme="minorHAnsi"/>
          <w:sz w:val="22"/>
          <w:szCs w:val="22"/>
        </w:rPr>
        <w:t>Albronda</w:t>
      </w:r>
      <w:proofErr w:type="spellEnd"/>
      <w:r w:rsidRPr="00442509">
        <w:rPr>
          <w:rFonts w:asciiTheme="minorHAnsi" w:eastAsiaTheme="minorHAnsi" w:hAnsiTheme="minorHAnsi" w:cstheme="minorHAnsi"/>
          <w:sz w:val="22"/>
          <w:szCs w:val="22"/>
        </w:rPr>
        <w:t xml:space="preserve"> (1999) </w:t>
      </w:r>
      <w:r w:rsidR="00734722">
        <w:rPr>
          <w:rFonts w:asciiTheme="minorHAnsi" w:eastAsiaTheme="minorHAnsi" w:hAnsiTheme="minorHAnsi" w:cstheme="minorHAnsi"/>
          <w:sz w:val="22"/>
          <w:szCs w:val="22"/>
        </w:rPr>
        <w:t>beschrijven het</w:t>
      </w:r>
      <w:r w:rsidRPr="00442509">
        <w:rPr>
          <w:rFonts w:asciiTheme="minorHAnsi" w:eastAsiaTheme="minorHAnsi" w:hAnsiTheme="minorHAnsi" w:cstheme="minorHAnsi"/>
          <w:sz w:val="22"/>
          <w:szCs w:val="22"/>
        </w:rPr>
        <w:t xml:space="preserve"> als “</w:t>
      </w:r>
      <w:r w:rsidRPr="00442509">
        <w:rPr>
          <w:rFonts w:asciiTheme="minorHAnsi" w:eastAsiaTheme="minorHAnsi" w:hAnsiTheme="minorHAnsi" w:cstheme="minorHAnsi"/>
          <w:i/>
          <w:sz w:val="22"/>
          <w:szCs w:val="22"/>
        </w:rPr>
        <w:t xml:space="preserve">het geheel van activiteiten die in organisaties worden vervuld om producten (goederen en diensten) van alle externe bronnen te </w:t>
      </w:r>
      <w:r w:rsidR="00EF1D67" w:rsidRPr="00442509">
        <w:rPr>
          <w:rFonts w:asciiTheme="minorHAnsi" w:eastAsiaTheme="minorHAnsi" w:hAnsiTheme="minorHAnsi" w:cstheme="minorHAnsi"/>
          <w:i/>
          <w:sz w:val="22"/>
          <w:szCs w:val="22"/>
        </w:rPr>
        <w:t xml:space="preserve">betrekken </w:t>
      </w:r>
      <w:r w:rsidRPr="00442509">
        <w:rPr>
          <w:rFonts w:asciiTheme="minorHAnsi" w:eastAsiaTheme="minorHAnsi" w:hAnsiTheme="minorHAnsi" w:cstheme="minorHAnsi"/>
          <w:sz w:val="22"/>
          <w:szCs w:val="22"/>
        </w:rPr>
        <w:t>”</w:t>
      </w:r>
      <w:r w:rsidR="00372B1D">
        <w:rPr>
          <w:rFonts w:asciiTheme="minorHAnsi" w:eastAsiaTheme="minorHAnsi" w:hAnsiTheme="minorHAnsi" w:cstheme="minorHAnsi"/>
          <w:sz w:val="22"/>
          <w:szCs w:val="22"/>
        </w:rPr>
        <w:t xml:space="preserve"> (p.22). </w:t>
      </w:r>
      <w:r w:rsidRPr="00442509">
        <w:rPr>
          <w:rFonts w:asciiTheme="minorHAnsi" w:eastAsiaTheme="minorHAnsi" w:hAnsiTheme="minorHAnsi" w:cstheme="minorHAnsi"/>
          <w:color w:val="000000" w:themeColor="text1"/>
          <w:sz w:val="22"/>
          <w:szCs w:val="22"/>
        </w:rPr>
        <w:t>Van Weele (2001; 1994) ziet inkoop niet enkel als een constante operationeel en administratief proces. Volgens hem bestaat er ruimte voo</w:t>
      </w:r>
      <w:r w:rsidR="003F3A94" w:rsidRPr="00442509">
        <w:rPr>
          <w:rFonts w:asciiTheme="minorHAnsi" w:eastAsiaTheme="minorHAnsi" w:hAnsiTheme="minorHAnsi" w:cstheme="minorHAnsi"/>
          <w:color w:val="000000" w:themeColor="text1"/>
          <w:sz w:val="22"/>
          <w:szCs w:val="22"/>
        </w:rPr>
        <w:t>r optimalisatie. Zijn definitie</w:t>
      </w:r>
      <w:r w:rsidRPr="00442509">
        <w:rPr>
          <w:rFonts w:asciiTheme="minorHAnsi" w:eastAsiaTheme="minorHAnsi" w:hAnsiTheme="minorHAnsi" w:cstheme="minorHAnsi"/>
          <w:color w:val="000000" w:themeColor="text1"/>
          <w:sz w:val="22"/>
          <w:szCs w:val="22"/>
        </w:rPr>
        <w:t xml:space="preserve"> voegt hieraan toe dat ‘de ingekochte goederen en diensten tegen de meest gunstige voorwaarden’ ingekocht dienen te worden. De meest gunstige voorwaarden impliceren deze optimalisatie. De Nederlandse Vereniging voor Inkoopmanagement </w:t>
      </w:r>
      <w:hyperlink r:id="rId17" w:history="1">
        <w:r w:rsidRPr="00442509">
          <w:rPr>
            <w:rFonts w:asciiTheme="minorHAnsi" w:eastAsiaTheme="minorHAnsi" w:hAnsiTheme="minorHAnsi" w:cstheme="minorHAnsi"/>
            <w:color w:val="000000" w:themeColor="text1"/>
            <w:sz w:val="22"/>
            <w:szCs w:val="22"/>
          </w:rPr>
          <w:t>(</w:t>
        </w:r>
      </w:hyperlink>
      <w:r w:rsidRPr="00442509">
        <w:rPr>
          <w:rFonts w:asciiTheme="minorHAnsi" w:eastAsiaTheme="minorHAnsi" w:hAnsiTheme="minorHAnsi" w:cstheme="minorHAnsi"/>
          <w:color w:val="000000" w:themeColor="text1"/>
          <w:sz w:val="22"/>
          <w:szCs w:val="22"/>
        </w:rPr>
        <w:t>NEVI) hebben deze definities samengevat tot: “</w:t>
      </w:r>
      <w:r w:rsidRPr="00442509">
        <w:rPr>
          <w:rFonts w:asciiTheme="minorHAnsi" w:eastAsiaTheme="minorHAnsi" w:hAnsiTheme="minorHAnsi" w:cstheme="minorHAnsi"/>
          <w:i/>
          <w:color w:val="000000" w:themeColor="text1"/>
          <w:sz w:val="22"/>
          <w:szCs w:val="22"/>
        </w:rPr>
        <w:t>het van externe bronnen betrekken van producten, tegen de voor de organisatie meest gunstige voorwaarden; alles waar een factuur tegenover staat”.</w:t>
      </w:r>
      <w:r w:rsidR="00C34327" w:rsidRPr="00442509">
        <w:rPr>
          <w:rFonts w:asciiTheme="minorHAnsi" w:eastAsiaTheme="minorHAnsi" w:hAnsiTheme="minorHAnsi" w:cstheme="minorHAnsi"/>
          <w:i/>
          <w:color w:val="000000" w:themeColor="text1"/>
          <w:sz w:val="22"/>
          <w:szCs w:val="22"/>
        </w:rPr>
        <w:t xml:space="preserve"> </w:t>
      </w:r>
      <w:proofErr w:type="spellStart"/>
      <w:r w:rsidR="00C34327" w:rsidRPr="00442509">
        <w:rPr>
          <w:rFonts w:asciiTheme="minorHAnsi" w:eastAsiaTheme="minorHAnsi" w:hAnsiTheme="minorHAnsi" w:cstheme="minorHAnsi"/>
          <w:color w:val="000000" w:themeColor="text1"/>
          <w:sz w:val="22"/>
          <w:szCs w:val="22"/>
        </w:rPr>
        <w:t>Erridge</w:t>
      </w:r>
      <w:proofErr w:type="spellEnd"/>
      <w:r w:rsidR="00C34327" w:rsidRPr="00442509">
        <w:rPr>
          <w:rFonts w:asciiTheme="minorHAnsi" w:eastAsiaTheme="minorHAnsi" w:hAnsiTheme="minorHAnsi" w:cstheme="minorHAnsi"/>
          <w:color w:val="000000" w:themeColor="text1"/>
          <w:sz w:val="22"/>
          <w:szCs w:val="22"/>
        </w:rPr>
        <w:t xml:space="preserve"> (2007) ziet inkoop efficiëntie als ‘meer voor dezelfde prijs en hetzelfde voor minder’. </w:t>
      </w:r>
      <w:r w:rsidR="00E814EC" w:rsidRPr="00442509">
        <w:rPr>
          <w:rFonts w:asciiTheme="minorHAnsi" w:hAnsiTheme="minorHAnsi" w:cstheme="minorHAnsi"/>
          <w:sz w:val="22"/>
          <w:szCs w:val="22"/>
        </w:rPr>
        <w:t>Bij inkoop wordt er rekening gehouden met functionaliteit,</w:t>
      </w:r>
      <w:r w:rsidR="009F413B" w:rsidRPr="00442509">
        <w:rPr>
          <w:rFonts w:asciiTheme="minorHAnsi" w:hAnsiTheme="minorHAnsi" w:cstheme="minorHAnsi"/>
          <w:sz w:val="22"/>
          <w:szCs w:val="22"/>
        </w:rPr>
        <w:t xml:space="preserve"> de gewenste kwaliteit</w:t>
      </w:r>
      <w:r w:rsidR="0072158D" w:rsidRPr="00442509">
        <w:rPr>
          <w:rFonts w:asciiTheme="minorHAnsi" w:hAnsiTheme="minorHAnsi" w:cstheme="minorHAnsi"/>
          <w:sz w:val="22"/>
          <w:szCs w:val="22"/>
        </w:rPr>
        <w:t>,</w:t>
      </w:r>
      <w:r w:rsidR="00E814EC" w:rsidRPr="00442509">
        <w:rPr>
          <w:rFonts w:asciiTheme="minorHAnsi" w:hAnsiTheme="minorHAnsi" w:cstheme="minorHAnsi"/>
          <w:sz w:val="22"/>
          <w:szCs w:val="22"/>
        </w:rPr>
        <w:t xml:space="preserve"> duurzaamheid, levertijd en kosten (</w:t>
      </w:r>
      <w:proofErr w:type="spellStart"/>
      <w:r w:rsidR="00996BF1">
        <w:rPr>
          <w:rStyle w:val="Hyperlink"/>
          <w:rFonts w:asciiTheme="minorHAnsi" w:hAnsiTheme="minorHAnsi" w:cstheme="minorHAnsi"/>
          <w:color w:val="auto"/>
          <w:sz w:val="22"/>
          <w:szCs w:val="22"/>
          <w:u w:val="none"/>
        </w:rPr>
        <w:fldChar w:fldCharType="begin"/>
      </w:r>
      <w:r w:rsidR="00996BF1">
        <w:rPr>
          <w:rStyle w:val="Hyperlink"/>
          <w:rFonts w:asciiTheme="minorHAnsi" w:hAnsiTheme="minorHAnsi" w:cstheme="minorHAnsi"/>
          <w:color w:val="auto"/>
          <w:sz w:val="22"/>
          <w:szCs w:val="22"/>
          <w:u w:val="none"/>
        </w:rPr>
        <w:instrText xml:space="preserve"> HYPERLINK "https://www.rijksoverheid.nl/binaries/rijksoverheid/documenten/rapporten/2013/02/20/gids-proportionaliteit/gids-proportionaliteit-staatscourant-2013-nr-3075.pdf" </w:instrText>
      </w:r>
      <w:r w:rsidR="00996BF1">
        <w:rPr>
          <w:rStyle w:val="Hyperlink"/>
          <w:rFonts w:asciiTheme="minorHAnsi" w:hAnsiTheme="minorHAnsi" w:cstheme="minorHAnsi"/>
          <w:color w:val="auto"/>
          <w:sz w:val="22"/>
          <w:szCs w:val="22"/>
          <w:u w:val="none"/>
        </w:rPr>
        <w:fldChar w:fldCharType="end"/>
      </w:r>
      <w:r w:rsidR="00E814EC" w:rsidRPr="00442509">
        <w:rPr>
          <w:rFonts w:asciiTheme="minorHAnsi" w:hAnsiTheme="minorHAnsi" w:cstheme="minorHAnsi"/>
          <w:sz w:val="22"/>
          <w:szCs w:val="22"/>
        </w:rPr>
        <w:t>Hebly</w:t>
      </w:r>
      <w:proofErr w:type="spellEnd"/>
      <w:r w:rsidR="00E814EC" w:rsidRPr="00442509">
        <w:rPr>
          <w:rFonts w:asciiTheme="minorHAnsi" w:hAnsiTheme="minorHAnsi" w:cstheme="minorHAnsi"/>
          <w:sz w:val="22"/>
          <w:szCs w:val="22"/>
        </w:rPr>
        <w:t xml:space="preserve"> et </w:t>
      </w:r>
      <w:r w:rsidR="000B47A7">
        <w:rPr>
          <w:rFonts w:asciiTheme="minorHAnsi" w:hAnsiTheme="minorHAnsi" w:cstheme="minorHAnsi"/>
          <w:sz w:val="22"/>
          <w:szCs w:val="22"/>
        </w:rPr>
        <w:t>al.</w:t>
      </w:r>
      <w:r w:rsidR="00E814EC" w:rsidRPr="00442509">
        <w:rPr>
          <w:rFonts w:asciiTheme="minorHAnsi" w:hAnsiTheme="minorHAnsi" w:cstheme="minorHAnsi"/>
          <w:sz w:val="22"/>
          <w:szCs w:val="22"/>
        </w:rPr>
        <w:t xml:space="preserve"> 2013). Gibbs et al. (1998) definiëren efficiëntie als het doeltreffend functioneren of produceren tegen de laagst mogelijke verspilling en inspanning. Effectiviteit is een component hiervan (Katz &amp; </w:t>
      </w:r>
      <w:proofErr w:type="spellStart"/>
      <w:r w:rsidR="00E814EC" w:rsidRPr="00442509">
        <w:rPr>
          <w:rFonts w:asciiTheme="minorHAnsi" w:hAnsiTheme="minorHAnsi" w:cstheme="minorHAnsi"/>
          <w:sz w:val="22"/>
          <w:szCs w:val="22"/>
        </w:rPr>
        <w:t>Kahn</w:t>
      </w:r>
      <w:proofErr w:type="spellEnd"/>
      <w:r w:rsidR="00E814EC" w:rsidRPr="00442509">
        <w:rPr>
          <w:rFonts w:asciiTheme="minorHAnsi" w:hAnsiTheme="minorHAnsi" w:cstheme="minorHAnsi"/>
          <w:sz w:val="22"/>
          <w:szCs w:val="22"/>
        </w:rPr>
        <w:t xml:space="preserve">, 1978). Effectiviteit houdt in dat een handeling of inspanning </w:t>
      </w:r>
      <w:r w:rsidR="000B0390" w:rsidRPr="00442509">
        <w:rPr>
          <w:rFonts w:asciiTheme="minorHAnsi" w:hAnsiTheme="minorHAnsi" w:cstheme="minorHAnsi"/>
          <w:sz w:val="22"/>
          <w:szCs w:val="22"/>
        </w:rPr>
        <w:t xml:space="preserve">een </w:t>
      </w:r>
      <w:r w:rsidR="00E814EC" w:rsidRPr="00442509">
        <w:rPr>
          <w:rFonts w:asciiTheme="minorHAnsi" w:hAnsiTheme="minorHAnsi" w:cstheme="minorHAnsi"/>
          <w:sz w:val="22"/>
          <w:szCs w:val="22"/>
        </w:rPr>
        <w:t xml:space="preserve">(gewenst) effect heeft. Het is het streven naar resultaat en het behalen van doelstellingen, oftewel de mate waarin </w:t>
      </w:r>
      <w:r w:rsidR="000B0390" w:rsidRPr="00442509">
        <w:rPr>
          <w:rFonts w:asciiTheme="minorHAnsi" w:hAnsiTheme="minorHAnsi" w:cstheme="minorHAnsi"/>
          <w:sz w:val="22"/>
          <w:szCs w:val="22"/>
        </w:rPr>
        <w:t xml:space="preserve">de </w:t>
      </w:r>
      <w:r w:rsidR="00E814EC" w:rsidRPr="00442509">
        <w:rPr>
          <w:rFonts w:asciiTheme="minorHAnsi" w:hAnsiTheme="minorHAnsi" w:cstheme="minorHAnsi"/>
          <w:sz w:val="22"/>
          <w:szCs w:val="22"/>
        </w:rPr>
        <w:t>inspanning doeltreffend is (CBS, 2013)</w:t>
      </w:r>
      <w:r w:rsidR="003144BC" w:rsidRPr="00442509">
        <w:rPr>
          <w:rFonts w:asciiTheme="minorHAnsi" w:hAnsiTheme="minorHAnsi" w:cstheme="minorHAnsi"/>
          <w:sz w:val="22"/>
          <w:szCs w:val="22"/>
        </w:rPr>
        <w:t>.</w:t>
      </w:r>
      <w:r w:rsidR="00416718" w:rsidRPr="00442509">
        <w:rPr>
          <w:rFonts w:asciiTheme="minorHAnsi" w:hAnsiTheme="minorHAnsi" w:cstheme="minorHAnsi"/>
          <w:sz w:val="22"/>
          <w:szCs w:val="22"/>
        </w:rPr>
        <w:t xml:space="preserve"> </w:t>
      </w:r>
      <w:proofErr w:type="spellStart"/>
      <w:r w:rsidR="00416718" w:rsidRPr="00442509">
        <w:rPr>
          <w:rFonts w:asciiTheme="minorHAnsi" w:hAnsiTheme="minorHAnsi" w:cstheme="minorHAnsi"/>
          <w:sz w:val="22"/>
          <w:szCs w:val="22"/>
        </w:rPr>
        <w:t>T</w:t>
      </w:r>
      <w:r w:rsidR="005324BE" w:rsidRPr="00442509">
        <w:rPr>
          <w:rFonts w:asciiTheme="minorHAnsi" w:hAnsiTheme="minorHAnsi" w:cstheme="minorHAnsi"/>
          <w:sz w:val="22"/>
          <w:szCs w:val="22"/>
        </w:rPr>
        <w:t>ribe</w:t>
      </w:r>
      <w:proofErr w:type="spellEnd"/>
      <w:r w:rsidR="005324BE" w:rsidRPr="00442509">
        <w:rPr>
          <w:rFonts w:asciiTheme="minorHAnsi" w:hAnsiTheme="minorHAnsi" w:cstheme="minorHAnsi"/>
          <w:sz w:val="22"/>
          <w:szCs w:val="22"/>
        </w:rPr>
        <w:t xml:space="preserve"> (1949) ziet</w:t>
      </w:r>
      <w:r w:rsidR="00416718" w:rsidRPr="00442509">
        <w:rPr>
          <w:rFonts w:asciiTheme="minorHAnsi" w:hAnsiTheme="minorHAnsi" w:cstheme="minorHAnsi"/>
          <w:sz w:val="22"/>
          <w:szCs w:val="22"/>
        </w:rPr>
        <w:t xml:space="preserve"> toetsing en vergelijking van de verschillende alternatieven </w:t>
      </w:r>
      <w:r w:rsidR="005324BE" w:rsidRPr="00442509">
        <w:rPr>
          <w:rFonts w:asciiTheme="minorHAnsi" w:hAnsiTheme="minorHAnsi" w:cstheme="minorHAnsi"/>
          <w:sz w:val="22"/>
          <w:szCs w:val="22"/>
        </w:rPr>
        <w:t xml:space="preserve">en hun prestaties onder dezelfde omstandigheden, als de ideale efficiëntie criteria. </w:t>
      </w:r>
    </w:p>
    <w:p w14:paraId="138F100E" w14:textId="53A94366" w:rsidR="0000181F" w:rsidRPr="00442509" w:rsidRDefault="000B0390" w:rsidP="00D634F7">
      <w:pPr>
        <w:pStyle w:val="NoSpacing"/>
        <w:spacing w:line="276" w:lineRule="auto"/>
        <w:ind w:firstLine="708"/>
        <w:rPr>
          <w:rFonts w:cstheme="minorHAnsi"/>
          <w:szCs w:val="22"/>
        </w:rPr>
      </w:pPr>
      <w:r w:rsidRPr="00442509">
        <w:rPr>
          <w:rFonts w:cstheme="minorHAnsi"/>
          <w:szCs w:val="22"/>
        </w:rPr>
        <w:t>Voor onderwijsinstellingen geldt dat zij n</w:t>
      </w:r>
      <w:r w:rsidR="008E3D67" w:rsidRPr="00442509">
        <w:rPr>
          <w:rFonts w:cstheme="minorHAnsi"/>
          <w:szCs w:val="22"/>
        </w:rPr>
        <w:t xml:space="preserve">aast het waarborgen van publieke waarden, </w:t>
      </w:r>
      <w:r w:rsidRPr="00442509">
        <w:rPr>
          <w:rFonts w:cstheme="minorHAnsi"/>
          <w:szCs w:val="22"/>
        </w:rPr>
        <w:t xml:space="preserve">net als alle </w:t>
      </w:r>
      <w:r w:rsidR="008E3D67" w:rsidRPr="00442509">
        <w:rPr>
          <w:rFonts w:cstheme="minorHAnsi"/>
          <w:szCs w:val="22"/>
        </w:rPr>
        <w:t>maatschappelijke onderneming</w:t>
      </w:r>
      <w:r w:rsidRPr="00442509">
        <w:rPr>
          <w:rFonts w:cstheme="minorHAnsi"/>
          <w:szCs w:val="22"/>
        </w:rPr>
        <w:t>en aan financiële randvoorwaarde moe</w:t>
      </w:r>
      <w:r w:rsidR="009103CE">
        <w:rPr>
          <w:rFonts w:cstheme="minorHAnsi"/>
          <w:szCs w:val="22"/>
        </w:rPr>
        <w:t>ten</w:t>
      </w:r>
      <w:r w:rsidRPr="00442509">
        <w:rPr>
          <w:rFonts w:cstheme="minorHAnsi"/>
          <w:szCs w:val="22"/>
        </w:rPr>
        <w:t xml:space="preserve"> voldoen om </w:t>
      </w:r>
      <w:r w:rsidR="008E3D67" w:rsidRPr="00442509">
        <w:rPr>
          <w:rFonts w:cstheme="minorHAnsi"/>
          <w:szCs w:val="22"/>
        </w:rPr>
        <w:t>financieel gezond te zijn en te blijven (Camps et al. 2011). Om dit te realiseren dienen onderwijsinstellingen te streven naar efficiëntie en kostenbeheersing bij inkoop. Echter, v</w:t>
      </w:r>
      <w:r w:rsidR="00E814EC" w:rsidRPr="00442509">
        <w:rPr>
          <w:rFonts w:cstheme="minorHAnsi"/>
          <w:szCs w:val="22"/>
        </w:rPr>
        <w:t xml:space="preserve">olgens </w:t>
      </w:r>
      <w:proofErr w:type="spellStart"/>
      <w:r w:rsidR="00E814EC" w:rsidRPr="00442509">
        <w:rPr>
          <w:rFonts w:cstheme="minorHAnsi"/>
          <w:szCs w:val="22"/>
        </w:rPr>
        <w:t>Leune</w:t>
      </w:r>
      <w:proofErr w:type="spellEnd"/>
      <w:r w:rsidR="00E814EC" w:rsidRPr="00442509">
        <w:rPr>
          <w:rFonts w:cstheme="minorHAnsi"/>
          <w:szCs w:val="22"/>
        </w:rPr>
        <w:t xml:space="preserve"> (1993) liggen de overwegingen van effectiviteit en doelmatigheid vrijwel altijd ver buiten het gezichtsveld van een afzonderlijke school. Wat telt is de eigen positie. Het beleid staat in het teken van het overleven van de eigen organisatie. Efficiënt besteden van overheidsgeld is geen vereiste, scholen mogen zelf beslissen hoe en waaraan zij dit uitgeven (</w:t>
      </w:r>
      <w:r w:rsidR="003040E4">
        <w:fldChar w:fldCharType="begin"/>
      </w:r>
      <w:r w:rsidR="003040E4">
        <w:instrText xml:space="preserve"> HYPERLINK "https://www.rijksoverheid.nl/onderwerpen/financiering-onderwijs/financieel-beleid-scholen" </w:instrText>
      </w:r>
      <w:r w:rsidR="003040E4">
        <w:fldChar w:fldCharType="separate"/>
      </w:r>
      <w:r w:rsidR="003040E4">
        <w:fldChar w:fldCharType="end"/>
      </w:r>
      <w:r w:rsidR="00E814EC" w:rsidRPr="00442509">
        <w:rPr>
          <w:rFonts w:cstheme="minorHAnsi"/>
          <w:szCs w:val="22"/>
        </w:rPr>
        <w:t>Rij</w:t>
      </w:r>
      <w:r w:rsidR="002A34DD" w:rsidRPr="00442509">
        <w:rPr>
          <w:rFonts w:cstheme="minorHAnsi"/>
          <w:szCs w:val="22"/>
        </w:rPr>
        <w:t>k</w:t>
      </w:r>
      <w:r w:rsidR="00E814EC" w:rsidRPr="00442509">
        <w:rPr>
          <w:rFonts w:cstheme="minorHAnsi"/>
          <w:szCs w:val="22"/>
        </w:rPr>
        <w:t xml:space="preserve">soverheid, z.j.). Doelmatigheid </w:t>
      </w:r>
      <w:r w:rsidR="004D02C3" w:rsidRPr="00442509">
        <w:rPr>
          <w:rFonts w:cstheme="minorHAnsi"/>
          <w:szCs w:val="22"/>
        </w:rPr>
        <w:t xml:space="preserve">van NPM </w:t>
      </w:r>
      <w:r w:rsidR="00E814EC" w:rsidRPr="00442509">
        <w:rPr>
          <w:rFonts w:cstheme="minorHAnsi"/>
          <w:szCs w:val="22"/>
        </w:rPr>
        <w:t>ziet in beginsel op de wijze waarop de overheidsmiddelen worden besteed. In het geval van inkoop kan dit bereikt worden door zich te richten op een goede prijs/kwaliteitverhouding</w:t>
      </w:r>
      <w:r w:rsidR="0072158D" w:rsidRPr="00442509">
        <w:rPr>
          <w:rFonts w:cstheme="minorHAnsi"/>
          <w:szCs w:val="22"/>
        </w:rPr>
        <w:t xml:space="preserve"> van goederen en diensten</w:t>
      </w:r>
      <w:r w:rsidR="00E814EC" w:rsidRPr="00442509">
        <w:rPr>
          <w:rFonts w:cstheme="minorHAnsi"/>
          <w:szCs w:val="22"/>
        </w:rPr>
        <w:t xml:space="preserve"> (</w:t>
      </w:r>
      <w:proofErr w:type="spellStart"/>
      <w:r w:rsidR="00996BF1">
        <w:rPr>
          <w:rStyle w:val="Hyperlink"/>
          <w:rFonts w:cstheme="minorHAnsi"/>
          <w:color w:val="auto"/>
          <w:szCs w:val="22"/>
          <w:u w:val="none"/>
        </w:rPr>
        <w:fldChar w:fldCharType="begin"/>
      </w:r>
      <w:r w:rsidR="00996BF1">
        <w:rPr>
          <w:rStyle w:val="Hyperlink"/>
          <w:rFonts w:cstheme="minorHAnsi"/>
          <w:color w:val="auto"/>
          <w:szCs w:val="22"/>
          <w:u w:val="none"/>
        </w:rPr>
        <w:instrText xml:space="preserve"> HYPERLINK "https://www.rijksoverheid.nl/binaries/rijksoverheid/documenten/rapporten/2013/02/20/gids-proportionaliteit/gids-proportionaliteit-staatscourant-2013-nr-3075.pdf" </w:instrText>
      </w:r>
      <w:r w:rsidR="00996BF1">
        <w:rPr>
          <w:rStyle w:val="Hyperlink"/>
          <w:rFonts w:cstheme="minorHAnsi"/>
          <w:color w:val="auto"/>
          <w:szCs w:val="22"/>
          <w:u w:val="none"/>
        </w:rPr>
        <w:fldChar w:fldCharType="end"/>
      </w:r>
      <w:r w:rsidR="00E814EC" w:rsidRPr="00442509">
        <w:rPr>
          <w:rFonts w:cstheme="minorHAnsi"/>
          <w:szCs w:val="22"/>
        </w:rPr>
        <w:t>Hebly</w:t>
      </w:r>
      <w:proofErr w:type="spellEnd"/>
      <w:r w:rsidR="00E814EC" w:rsidRPr="00442509">
        <w:rPr>
          <w:rFonts w:cstheme="minorHAnsi"/>
          <w:szCs w:val="22"/>
        </w:rPr>
        <w:t xml:space="preserve"> et </w:t>
      </w:r>
      <w:r w:rsidR="000B47A7">
        <w:rPr>
          <w:rFonts w:cstheme="minorHAnsi"/>
          <w:szCs w:val="22"/>
        </w:rPr>
        <w:t>al.</w:t>
      </w:r>
      <w:r w:rsidR="00E814EC" w:rsidRPr="00442509">
        <w:rPr>
          <w:rFonts w:cstheme="minorHAnsi"/>
          <w:szCs w:val="22"/>
        </w:rPr>
        <w:t xml:space="preserve"> 2013). Binnen de traditionele kijk op efficiëntie van inkoop is prijs van oudsher de voornaamste maatstaf </w:t>
      </w:r>
      <w:r w:rsidR="009103CE">
        <w:rPr>
          <w:rFonts w:cstheme="minorHAnsi"/>
          <w:szCs w:val="22"/>
        </w:rPr>
        <w:t xml:space="preserve">geweest </w:t>
      </w:r>
      <w:r w:rsidR="00E814EC" w:rsidRPr="00442509">
        <w:rPr>
          <w:rFonts w:cstheme="minorHAnsi"/>
          <w:szCs w:val="22"/>
        </w:rPr>
        <w:t>waarmee organisaties hun leverancier hebben geselecteerd (</w:t>
      </w:r>
      <w:proofErr w:type="spellStart"/>
      <w:r w:rsidR="00E814EC" w:rsidRPr="00442509">
        <w:rPr>
          <w:rFonts w:cstheme="minorHAnsi"/>
          <w:szCs w:val="22"/>
        </w:rPr>
        <w:t>Gadde</w:t>
      </w:r>
      <w:proofErr w:type="spellEnd"/>
      <w:r w:rsidR="00E814EC" w:rsidRPr="00442509">
        <w:rPr>
          <w:rFonts w:cstheme="minorHAnsi"/>
          <w:szCs w:val="22"/>
        </w:rPr>
        <w:t xml:space="preserve"> &amp; </w:t>
      </w:r>
      <w:proofErr w:type="spellStart"/>
      <w:r w:rsidR="00E814EC" w:rsidRPr="00442509">
        <w:rPr>
          <w:rFonts w:cstheme="minorHAnsi"/>
          <w:szCs w:val="22"/>
        </w:rPr>
        <w:t>Hakansson</w:t>
      </w:r>
      <w:proofErr w:type="spellEnd"/>
      <w:r w:rsidR="00E814EC" w:rsidRPr="00442509">
        <w:rPr>
          <w:rFonts w:cstheme="minorHAnsi"/>
          <w:szCs w:val="22"/>
        </w:rPr>
        <w:t>, 1994</w:t>
      </w:r>
      <w:r w:rsidR="004C3238" w:rsidRPr="00442509">
        <w:rPr>
          <w:rFonts w:cstheme="minorHAnsi"/>
          <w:szCs w:val="22"/>
        </w:rPr>
        <w:t xml:space="preserve">; </w:t>
      </w:r>
      <w:proofErr w:type="spellStart"/>
      <w:r w:rsidR="004C3238" w:rsidRPr="00442509">
        <w:rPr>
          <w:rFonts w:cstheme="minorHAnsi"/>
          <w:szCs w:val="22"/>
        </w:rPr>
        <w:t>Hartmann</w:t>
      </w:r>
      <w:proofErr w:type="spellEnd"/>
      <w:r w:rsidR="004C3238" w:rsidRPr="00442509">
        <w:rPr>
          <w:rFonts w:cstheme="minorHAnsi"/>
          <w:szCs w:val="22"/>
        </w:rPr>
        <w:t xml:space="preserve"> </w:t>
      </w:r>
      <w:r w:rsidR="000B47A7">
        <w:rPr>
          <w:rFonts w:cstheme="minorHAnsi"/>
          <w:szCs w:val="22"/>
        </w:rPr>
        <w:t>et</w:t>
      </w:r>
      <w:r w:rsidR="004C3238" w:rsidRPr="00442509">
        <w:rPr>
          <w:rFonts w:cstheme="minorHAnsi"/>
          <w:szCs w:val="22"/>
        </w:rPr>
        <w:t xml:space="preserve"> </w:t>
      </w:r>
      <w:r w:rsidR="000B47A7">
        <w:rPr>
          <w:rFonts w:cstheme="minorHAnsi"/>
          <w:szCs w:val="22"/>
        </w:rPr>
        <w:t>al.</w:t>
      </w:r>
      <w:r w:rsidR="004C3238" w:rsidRPr="00442509">
        <w:rPr>
          <w:rFonts w:cstheme="minorHAnsi"/>
          <w:szCs w:val="22"/>
        </w:rPr>
        <w:t xml:space="preserve"> 2012</w:t>
      </w:r>
      <w:r w:rsidR="00E814EC" w:rsidRPr="00442509">
        <w:rPr>
          <w:rFonts w:cstheme="minorHAnsi"/>
          <w:szCs w:val="22"/>
        </w:rPr>
        <w:t>). Efficiëntie heeft echter niet enkel betrekking op kostenbeheersing maar ook op een goede aansluiting op de wensen van</w:t>
      </w:r>
      <w:r w:rsidR="00330852" w:rsidRPr="00442509">
        <w:rPr>
          <w:rFonts w:cstheme="minorHAnsi"/>
          <w:szCs w:val="22"/>
        </w:rPr>
        <w:t xml:space="preserve"> de eindgebruikers, de </w:t>
      </w:r>
      <w:r w:rsidR="00E814EC" w:rsidRPr="00442509">
        <w:rPr>
          <w:rFonts w:cstheme="minorHAnsi"/>
          <w:szCs w:val="22"/>
        </w:rPr>
        <w:t xml:space="preserve">leerlingen en </w:t>
      </w:r>
      <w:r w:rsidR="00330852" w:rsidRPr="00442509">
        <w:rPr>
          <w:rFonts w:cstheme="minorHAnsi"/>
          <w:szCs w:val="22"/>
        </w:rPr>
        <w:t xml:space="preserve">de </w:t>
      </w:r>
      <w:r w:rsidR="00E814EC" w:rsidRPr="00442509">
        <w:rPr>
          <w:rFonts w:cstheme="minorHAnsi"/>
          <w:szCs w:val="22"/>
        </w:rPr>
        <w:t xml:space="preserve">docenten. </w:t>
      </w:r>
    </w:p>
    <w:p w14:paraId="15F6E30F" w14:textId="64981893" w:rsidR="006247AB" w:rsidRDefault="00203640" w:rsidP="00735FB1">
      <w:pPr>
        <w:pStyle w:val="NoSpacing"/>
        <w:spacing w:line="276" w:lineRule="auto"/>
        <w:ind w:firstLine="708"/>
        <w:rPr>
          <w:rFonts w:cstheme="minorHAnsi"/>
          <w:szCs w:val="22"/>
        </w:rPr>
      </w:pPr>
      <w:r w:rsidRPr="00442509">
        <w:rPr>
          <w:rFonts w:cstheme="minorHAnsi"/>
          <w:szCs w:val="22"/>
        </w:rPr>
        <w:t>Efficiënt inkoop wordt als de afhankelijke variabele geformuleerd</w:t>
      </w:r>
      <w:r>
        <w:rPr>
          <w:rFonts w:cstheme="minorHAnsi"/>
          <w:szCs w:val="22"/>
        </w:rPr>
        <w:t xml:space="preserve"> in deze studie</w:t>
      </w:r>
      <w:r w:rsidRPr="00442509">
        <w:rPr>
          <w:rFonts w:cstheme="minorHAnsi"/>
          <w:szCs w:val="22"/>
        </w:rPr>
        <w:t xml:space="preserve">. </w:t>
      </w:r>
      <w:r w:rsidR="00936BF6" w:rsidRPr="00442509">
        <w:rPr>
          <w:rFonts w:cstheme="minorHAnsi"/>
          <w:szCs w:val="22"/>
        </w:rPr>
        <w:t>Operationalisatie van efficiënt</w:t>
      </w:r>
      <w:r>
        <w:rPr>
          <w:rFonts w:cstheme="minorHAnsi"/>
          <w:szCs w:val="22"/>
        </w:rPr>
        <w:t xml:space="preserve"> inkoop</w:t>
      </w:r>
      <w:r w:rsidR="00936BF6" w:rsidRPr="00442509">
        <w:rPr>
          <w:rFonts w:cstheme="minorHAnsi"/>
          <w:szCs w:val="22"/>
        </w:rPr>
        <w:t xml:space="preserve"> in de publieke sector </w:t>
      </w:r>
      <w:r>
        <w:rPr>
          <w:rFonts w:cstheme="minorHAnsi"/>
          <w:szCs w:val="22"/>
        </w:rPr>
        <w:t>is echter</w:t>
      </w:r>
      <w:r w:rsidR="00936BF6" w:rsidRPr="00442509">
        <w:rPr>
          <w:rFonts w:cstheme="minorHAnsi"/>
          <w:szCs w:val="22"/>
        </w:rPr>
        <w:t xml:space="preserve"> </w:t>
      </w:r>
      <w:r>
        <w:rPr>
          <w:rFonts w:cstheme="minorHAnsi"/>
          <w:szCs w:val="22"/>
        </w:rPr>
        <w:t>complex</w:t>
      </w:r>
      <w:r w:rsidR="00936BF6" w:rsidRPr="00442509">
        <w:rPr>
          <w:rFonts w:cstheme="minorHAnsi"/>
          <w:szCs w:val="22"/>
        </w:rPr>
        <w:t>. Waar de definitie helder is, z</w:t>
      </w:r>
      <w:r w:rsidR="00FE18A4" w:rsidRPr="00442509">
        <w:rPr>
          <w:rFonts w:cstheme="minorHAnsi"/>
          <w:szCs w:val="22"/>
        </w:rPr>
        <w:t>ijn de parameters dat ni</w:t>
      </w:r>
      <w:r w:rsidR="000B47A7">
        <w:rPr>
          <w:rFonts w:cstheme="minorHAnsi"/>
          <w:szCs w:val="22"/>
        </w:rPr>
        <w:t>et</w:t>
      </w:r>
      <w:r w:rsidR="00FE18A4" w:rsidRPr="00442509">
        <w:rPr>
          <w:rFonts w:cstheme="minorHAnsi"/>
          <w:szCs w:val="22"/>
        </w:rPr>
        <w:t xml:space="preserve"> </w:t>
      </w:r>
      <w:r w:rsidR="00416718" w:rsidRPr="00442509">
        <w:rPr>
          <w:rFonts w:cstheme="minorHAnsi"/>
          <w:szCs w:val="22"/>
        </w:rPr>
        <w:t>I</w:t>
      </w:r>
      <w:r w:rsidR="0000181F" w:rsidRPr="00442509">
        <w:rPr>
          <w:rFonts w:cstheme="minorHAnsi"/>
          <w:szCs w:val="22"/>
        </w:rPr>
        <w:t>nkoop van goederen en diensten is efficiënt wanneer het zowel een goede prijs/kwaliteitverhouding bezit als</w:t>
      </w:r>
      <w:r w:rsidR="009103CE">
        <w:rPr>
          <w:rFonts w:cstheme="minorHAnsi"/>
          <w:szCs w:val="22"/>
        </w:rPr>
        <w:t xml:space="preserve"> het</w:t>
      </w:r>
      <w:r w:rsidR="0000181F" w:rsidRPr="00442509">
        <w:rPr>
          <w:rFonts w:cstheme="minorHAnsi"/>
          <w:szCs w:val="22"/>
        </w:rPr>
        <w:t xml:space="preserve"> </w:t>
      </w:r>
      <w:r w:rsidR="00EF5B75" w:rsidRPr="00442509">
        <w:rPr>
          <w:rFonts w:cstheme="minorHAnsi"/>
          <w:szCs w:val="22"/>
        </w:rPr>
        <w:t>aansluit op de wensen en eisen van de organisatie</w:t>
      </w:r>
      <w:r w:rsidR="0000181F" w:rsidRPr="00442509">
        <w:rPr>
          <w:rFonts w:cstheme="minorHAnsi"/>
          <w:szCs w:val="22"/>
        </w:rPr>
        <w:t>.</w:t>
      </w:r>
      <w:r w:rsidR="00D634F7" w:rsidRPr="00442509">
        <w:rPr>
          <w:rFonts w:cstheme="minorHAnsi"/>
          <w:szCs w:val="22"/>
        </w:rPr>
        <w:t xml:space="preserve"> Er is sprake van betrouwbare middelen kopen tegen de meest gunstige prijs (Fischer, 1997).</w:t>
      </w:r>
      <w:r w:rsidR="0000181F" w:rsidRPr="00442509">
        <w:rPr>
          <w:rFonts w:cstheme="minorHAnsi"/>
          <w:szCs w:val="22"/>
        </w:rPr>
        <w:t xml:space="preserve"> Dit rijkt verder </w:t>
      </w:r>
      <w:r w:rsidR="00FE18A4" w:rsidRPr="00442509">
        <w:rPr>
          <w:rFonts w:cstheme="minorHAnsi"/>
          <w:szCs w:val="22"/>
        </w:rPr>
        <w:t xml:space="preserve">dan slechts kosten-batenanalyse. </w:t>
      </w:r>
    </w:p>
    <w:p w14:paraId="08360391" w14:textId="77777777" w:rsidR="006247AB" w:rsidRDefault="006247AB">
      <w:pPr>
        <w:kinsoku/>
        <w:autoSpaceDE/>
        <w:autoSpaceDN/>
        <w:adjustRightInd/>
        <w:spacing w:after="160" w:line="259" w:lineRule="auto"/>
        <w:rPr>
          <w:rFonts w:asciiTheme="minorHAnsi" w:eastAsiaTheme="minorHAnsi" w:hAnsiTheme="minorHAnsi" w:cstheme="minorHAnsi"/>
          <w:sz w:val="22"/>
          <w:szCs w:val="22"/>
        </w:rPr>
      </w:pPr>
      <w:r>
        <w:rPr>
          <w:rFonts w:cstheme="minorHAnsi"/>
          <w:szCs w:val="22"/>
        </w:rPr>
        <w:br w:type="page"/>
      </w:r>
    </w:p>
    <w:p w14:paraId="4C35F620" w14:textId="0DDC50C5" w:rsidR="00A31459" w:rsidRDefault="00FE18A4" w:rsidP="00735FB1">
      <w:pPr>
        <w:pStyle w:val="NoSpacing"/>
        <w:spacing w:line="276" w:lineRule="auto"/>
        <w:ind w:firstLine="708"/>
        <w:rPr>
          <w:rFonts w:cstheme="minorHAnsi"/>
          <w:szCs w:val="22"/>
        </w:rPr>
      </w:pPr>
      <w:r w:rsidRPr="00442509">
        <w:rPr>
          <w:rFonts w:cstheme="minorHAnsi"/>
          <w:szCs w:val="22"/>
        </w:rPr>
        <w:lastRenderedPageBreak/>
        <w:t>D</w:t>
      </w:r>
      <w:r w:rsidR="0000181F" w:rsidRPr="00442509">
        <w:rPr>
          <w:rFonts w:cstheme="minorHAnsi"/>
          <w:szCs w:val="22"/>
        </w:rPr>
        <w:t xml:space="preserve">e daadwerkelijke meerwaarde van inkoop </w:t>
      </w:r>
      <w:r w:rsidR="002F34A2">
        <w:rPr>
          <w:rFonts w:cstheme="minorHAnsi"/>
          <w:szCs w:val="22"/>
        </w:rPr>
        <w:t>is aansluiting</w:t>
      </w:r>
      <w:r w:rsidR="0000181F" w:rsidRPr="00442509">
        <w:rPr>
          <w:rFonts w:cstheme="minorHAnsi"/>
          <w:szCs w:val="22"/>
        </w:rPr>
        <w:t xml:space="preserve"> aan wat er in de praktijk nodig is.</w:t>
      </w:r>
      <w:r w:rsidR="00B55146" w:rsidRPr="00442509">
        <w:rPr>
          <w:rFonts w:cstheme="minorHAnsi"/>
          <w:szCs w:val="22"/>
        </w:rPr>
        <w:t xml:space="preserve"> Het gaat om </w:t>
      </w:r>
      <w:r w:rsidR="00B55146" w:rsidRPr="00442509">
        <w:rPr>
          <w:rFonts w:cstheme="minorHAnsi"/>
          <w:i/>
          <w:szCs w:val="22"/>
        </w:rPr>
        <w:t>doeltreffendheid</w:t>
      </w:r>
      <w:r w:rsidR="00B55146" w:rsidRPr="00442509">
        <w:rPr>
          <w:rFonts w:cstheme="minorHAnsi"/>
          <w:szCs w:val="22"/>
        </w:rPr>
        <w:t xml:space="preserve"> tegen </w:t>
      </w:r>
      <w:r w:rsidR="009C01A3" w:rsidRPr="00442509">
        <w:rPr>
          <w:rFonts w:cstheme="minorHAnsi"/>
          <w:szCs w:val="22"/>
        </w:rPr>
        <w:t>het</w:t>
      </w:r>
      <w:r w:rsidR="00B55146" w:rsidRPr="00442509">
        <w:rPr>
          <w:rFonts w:cstheme="minorHAnsi"/>
          <w:szCs w:val="22"/>
        </w:rPr>
        <w:t xml:space="preserve"> </w:t>
      </w:r>
      <w:r w:rsidR="00416718" w:rsidRPr="00442509">
        <w:rPr>
          <w:rFonts w:cstheme="minorHAnsi"/>
          <w:i/>
          <w:szCs w:val="22"/>
        </w:rPr>
        <w:t>relatief</w:t>
      </w:r>
      <w:r w:rsidR="00416718" w:rsidRPr="00442509">
        <w:rPr>
          <w:rFonts w:cstheme="minorHAnsi"/>
          <w:szCs w:val="22"/>
        </w:rPr>
        <w:t xml:space="preserve"> </w:t>
      </w:r>
      <w:r w:rsidR="00015DAD" w:rsidRPr="00442509">
        <w:rPr>
          <w:rFonts w:cstheme="minorHAnsi"/>
          <w:szCs w:val="22"/>
        </w:rPr>
        <w:t xml:space="preserve">laagst mogelijke </w:t>
      </w:r>
      <w:r w:rsidR="00015DAD" w:rsidRPr="00442509">
        <w:rPr>
          <w:rFonts w:cstheme="minorHAnsi"/>
          <w:i/>
          <w:szCs w:val="22"/>
        </w:rPr>
        <w:t>kosten</w:t>
      </w:r>
      <w:r w:rsidR="00EF5B75" w:rsidRPr="00442509">
        <w:rPr>
          <w:rFonts w:cstheme="minorHAnsi"/>
          <w:szCs w:val="22"/>
        </w:rPr>
        <w:t>.</w:t>
      </w:r>
      <w:r w:rsidR="00424FD4" w:rsidRPr="00442509">
        <w:rPr>
          <w:rFonts w:cstheme="minorHAnsi"/>
          <w:szCs w:val="22"/>
        </w:rPr>
        <w:t xml:space="preserve"> Efficiëntie van prijs wordt bepaald door een afweging van de alternatieven en </w:t>
      </w:r>
      <w:r w:rsidRPr="00442509">
        <w:rPr>
          <w:rFonts w:cstheme="minorHAnsi"/>
          <w:szCs w:val="22"/>
        </w:rPr>
        <w:t xml:space="preserve">de aansluiting op </w:t>
      </w:r>
      <w:r w:rsidR="00424FD4" w:rsidRPr="00442509">
        <w:rPr>
          <w:rFonts w:cstheme="minorHAnsi"/>
          <w:szCs w:val="22"/>
        </w:rPr>
        <w:t>de wensen en eisen van de organisatie.</w:t>
      </w:r>
      <w:r w:rsidR="009A4792">
        <w:rPr>
          <w:rFonts w:cstheme="minorHAnsi"/>
          <w:szCs w:val="22"/>
        </w:rPr>
        <w:t xml:space="preserve"> </w:t>
      </w:r>
      <w:r w:rsidR="00330852" w:rsidRPr="00442509">
        <w:rPr>
          <w:rFonts w:cstheme="minorHAnsi"/>
          <w:color w:val="000000" w:themeColor="text1"/>
          <w:szCs w:val="22"/>
        </w:rPr>
        <w:t xml:space="preserve">Aanschaf van kwalitatief ‘goede’ producten tegen een ‘gunstige’ prijs vergt </w:t>
      </w:r>
      <w:r w:rsidR="009A4792">
        <w:rPr>
          <w:rFonts w:cstheme="minorHAnsi"/>
          <w:color w:val="000000" w:themeColor="text1"/>
          <w:szCs w:val="22"/>
        </w:rPr>
        <w:t xml:space="preserve">echter </w:t>
      </w:r>
      <w:r w:rsidR="00330852" w:rsidRPr="00442509">
        <w:rPr>
          <w:rFonts w:cstheme="minorHAnsi"/>
          <w:color w:val="000000" w:themeColor="text1"/>
          <w:szCs w:val="22"/>
        </w:rPr>
        <w:t xml:space="preserve">relevante kennis en expertise van de inkopers. </w:t>
      </w:r>
      <w:r w:rsidR="00EF1D67" w:rsidRPr="00442509">
        <w:rPr>
          <w:rFonts w:cstheme="minorHAnsi"/>
          <w:color w:val="000000" w:themeColor="text1"/>
          <w:szCs w:val="22"/>
        </w:rPr>
        <w:t xml:space="preserve">Volgens Robinson (1998) staat of valt het idee van efficiëntie door aanwezigheid van (robuuste) informatie over de </w:t>
      </w:r>
      <w:r w:rsidR="00015DAD" w:rsidRPr="00442509">
        <w:rPr>
          <w:rFonts w:cstheme="minorHAnsi"/>
          <w:color w:val="000000" w:themeColor="text1"/>
          <w:szCs w:val="22"/>
        </w:rPr>
        <w:t>efficiëntie</w:t>
      </w:r>
      <w:r w:rsidR="00EF1D67" w:rsidRPr="00442509">
        <w:rPr>
          <w:rFonts w:cstheme="minorHAnsi"/>
          <w:color w:val="000000" w:themeColor="text1"/>
          <w:szCs w:val="22"/>
        </w:rPr>
        <w:t xml:space="preserve"> van prijs en output. </w:t>
      </w:r>
      <w:r w:rsidR="00330852" w:rsidRPr="00442509">
        <w:rPr>
          <w:rFonts w:cstheme="minorHAnsi"/>
          <w:color w:val="000000" w:themeColor="text1"/>
          <w:szCs w:val="22"/>
        </w:rPr>
        <w:t>Kennisachterstand en da</w:t>
      </w:r>
      <w:r w:rsidR="00EF5B75" w:rsidRPr="00442509">
        <w:rPr>
          <w:rFonts w:cstheme="minorHAnsi"/>
          <w:color w:val="000000" w:themeColor="text1"/>
          <w:szCs w:val="22"/>
        </w:rPr>
        <w:t>armee gepaarde kennisasymmetrie</w:t>
      </w:r>
      <w:r w:rsidRPr="00442509">
        <w:rPr>
          <w:rFonts w:cstheme="minorHAnsi"/>
          <w:color w:val="000000" w:themeColor="text1"/>
          <w:szCs w:val="22"/>
        </w:rPr>
        <w:t xml:space="preserve"> binnen de opdrachtgeverschap</w:t>
      </w:r>
      <w:r w:rsidR="00EF5B75" w:rsidRPr="00442509">
        <w:rPr>
          <w:rFonts w:cstheme="minorHAnsi"/>
          <w:color w:val="000000" w:themeColor="text1"/>
          <w:szCs w:val="22"/>
        </w:rPr>
        <w:t xml:space="preserve"> </w:t>
      </w:r>
      <w:r w:rsidR="00EF1D67" w:rsidRPr="00442509">
        <w:rPr>
          <w:rFonts w:cstheme="minorHAnsi"/>
          <w:color w:val="000000" w:themeColor="text1"/>
          <w:szCs w:val="22"/>
        </w:rPr>
        <w:t xml:space="preserve">vormt een bedreiging voor </w:t>
      </w:r>
      <w:r w:rsidR="002F34A2">
        <w:rPr>
          <w:rFonts w:cstheme="minorHAnsi"/>
          <w:color w:val="000000" w:themeColor="text1"/>
          <w:szCs w:val="22"/>
        </w:rPr>
        <w:t xml:space="preserve">de </w:t>
      </w:r>
      <w:r w:rsidR="00EF1D67" w:rsidRPr="00442509">
        <w:rPr>
          <w:rFonts w:cstheme="minorHAnsi"/>
          <w:color w:val="000000" w:themeColor="text1"/>
          <w:szCs w:val="22"/>
        </w:rPr>
        <w:t>efficiënt</w:t>
      </w:r>
      <w:r w:rsidRPr="00442509">
        <w:rPr>
          <w:rFonts w:cstheme="minorHAnsi"/>
          <w:color w:val="000000" w:themeColor="text1"/>
          <w:szCs w:val="22"/>
        </w:rPr>
        <w:t>ie.</w:t>
      </w:r>
      <w:r w:rsidR="00FE0AE3" w:rsidRPr="00442509">
        <w:rPr>
          <w:rFonts w:cstheme="minorHAnsi"/>
          <w:color w:val="000000" w:themeColor="text1"/>
          <w:szCs w:val="22"/>
        </w:rPr>
        <w:t xml:space="preserve"> </w:t>
      </w:r>
      <w:r w:rsidR="00330852" w:rsidRPr="00442509">
        <w:rPr>
          <w:rFonts w:cstheme="minorHAnsi"/>
          <w:color w:val="000000" w:themeColor="text1"/>
          <w:szCs w:val="22"/>
        </w:rPr>
        <w:t xml:space="preserve">Uit verschillende observaties in het veld is </w:t>
      </w:r>
      <w:r w:rsidR="00EF5B75" w:rsidRPr="00442509">
        <w:rPr>
          <w:rFonts w:cstheme="minorHAnsi"/>
          <w:color w:val="000000" w:themeColor="text1"/>
          <w:szCs w:val="22"/>
        </w:rPr>
        <w:t xml:space="preserve">echter </w:t>
      </w:r>
      <w:r w:rsidR="00330852" w:rsidRPr="00442509">
        <w:rPr>
          <w:rFonts w:cstheme="minorHAnsi"/>
          <w:color w:val="000000" w:themeColor="text1"/>
          <w:szCs w:val="22"/>
        </w:rPr>
        <w:t>gebleken dat scholen de stroom van informatie niet altijd bij kunnen houden (</w:t>
      </w:r>
      <w:r w:rsidR="00663840" w:rsidRPr="00442509">
        <w:rPr>
          <w:rFonts w:cstheme="minorHAnsi"/>
          <w:color w:val="000000" w:themeColor="text1"/>
          <w:szCs w:val="22"/>
        </w:rPr>
        <w:t>Berger, 2010)</w:t>
      </w:r>
      <w:r w:rsidR="00EF5B75" w:rsidRPr="00442509">
        <w:rPr>
          <w:rFonts w:cstheme="minorHAnsi"/>
          <w:color w:val="000000" w:themeColor="text1"/>
          <w:szCs w:val="22"/>
        </w:rPr>
        <w:t>.</w:t>
      </w:r>
      <w:r w:rsidR="009C01A3" w:rsidRPr="00442509">
        <w:rPr>
          <w:rFonts w:cstheme="minorHAnsi"/>
          <w:color w:val="000000" w:themeColor="text1"/>
          <w:szCs w:val="22"/>
        </w:rPr>
        <w:t xml:space="preserve"> </w:t>
      </w:r>
      <w:r w:rsidR="009A4792">
        <w:rPr>
          <w:rFonts w:cstheme="minorHAnsi"/>
          <w:color w:val="000000" w:themeColor="text1"/>
          <w:szCs w:val="22"/>
        </w:rPr>
        <w:t xml:space="preserve">In het onderzoek van </w:t>
      </w:r>
      <w:r w:rsidR="009C01A3" w:rsidRPr="00442509">
        <w:rPr>
          <w:rFonts w:cstheme="minorHAnsi"/>
          <w:color w:val="000000" w:themeColor="text1"/>
          <w:szCs w:val="22"/>
        </w:rPr>
        <w:t>Kok</w:t>
      </w:r>
      <w:r w:rsidR="009A4792">
        <w:rPr>
          <w:rFonts w:cstheme="minorHAnsi"/>
          <w:color w:val="000000" w:themeColor="text1"/>
          <w:szCs w:val="22"/>
        </w:rPr>
        <w:t xml:space="preserve"> </w:t>
      </w:r>
      <w:r w:rsidR="000B47A7">
        <w:rPr>
          <w:rFonts w:cstheme="minorHAnsi"/>
          <w:color w:val="000000" w:themeColor="text1"/>
          <w:szCs w:val="22"/>
        </w:rPr>
        <w:t>et</w:t>
      </w:r>
      <w:r w:rsidR="009A4792">
        <w:rPr>
          <w:rFonts w:cstheme="minorHAnsi"/>
          <w:color w:val="000000" w:themeColor="text1"/>
          <w:szCs w:val="22"/>
        </w:rPr>
        <w:t xml:space="preserve"> al.</w:t>
      </w:r>
      <w:r w:rsidR="009C01A3" w:rsidRPr="00442509">
        <w:rPr>
          <w:rFonts w:cstheme="minorHAnsi"/>
          <w:color w:val="000000" w:themeColor="text1"/>
          <w:szCs w:val="22"/>
        </w:rPr>
        <w:t xml:space="preserve"> (2003) </w:t>
      </w:r>
      <w:r w:rsidR="009A4792">
        <w:rPr>
          <w:rFonts w:cstheme="minorHAnsi"/>
          <w:color w:val="000000" w:themeColor="text1"/>
          <w:szCs w:val="22"/>
        </w:rPr>
        <w:t>wordt dit verwijt aan</w:t>
      </w:r>
      <w:r w:rsidR="009C01A3" w:rsidRPr="00442509">
        <w:rPr>
          <w:rFonts w:cstheme="minorHAnsi"/>
          <w:color w:val="000000" w:themeColor="text1"/>
          <w:szCs w:val="22"/>
        </w:rPr>
        <w:t xml:space="preserve"> het lage </w:t>
      </w:r>
      <w:r w:rsidRPr="00442509">
        <w:rPr>
          <w:rFonts w:cstheme="minorHAnsi"/>
          <w:color w:val="000000" w:themeColor="text1"/>
          <w:szCs w:val="22"/>
        </w:rPr>
        <w:t>opleiding-</w:t>
      </w:r>
      <w:r w:rsidR="006C416B" w:rsidRPr="00442509">
        <w:rPr>
          <w:rFonts w:cstheme="minorHAnsi"/>
          <w:color w:val="000000" w:themeColor="text1"/>
          <w:szCs w:val="22"/>
        </w:rPr>
        <w:t xml:space="preserve"> en kennispeil van het personeel en de inefficiënte werkwijze. </w:t>
      </w:r>
      <w:r w:rsidRPr="00442509">
        <w:rPr>
          <w:rFonts w:cstheme="minorHAnsi"/>
          <w:color w:val="000000" w:themeColor="text1"/>
          <w:szCs w:val="22"/>
        </w:rPr>
        <w:t xml:space="preserve">Wanneer de opdrachtnemer meer informatie tot zijn beschikking heeft dan de opdrachtgever, raakt de verhouding binnen de transactie uit balans. </w:t>
      </w:r>
      <w:r w:rsidR="00504856" w:rsidRPr="00442509">
        <w:rPr>
          <w:rFonts w:cstheme="minorHAnsi"/>
          <w:color w:val="000000" w:themeColor="text1"/>
          <w:szCs w:val="22"/>
        </w:rPr>
        <w:t xml:space="preserve">De </w:t>
      </w:r>
      <w:r w:rsidR="00B2326E" w:rsidRPr="00442509">
        <w:rPr>
          <w:rFonts w:cstheme="minorHAnsi"/>
          <w:color w:val="000000" w:themeColor="text1"/>
          <w:szCs w:val="22"/>
        </w:rPr>
        <w:t xml:space="preserve">opdrachtnemer </w:t>
      </w:r>
      <w:r w:rsidR="00330852" w:rsidRPr="00442509">
        <w:rPr>
          <w:rFonts w:cstheme="minorHAnsi"/>
          <w:color w:val="000000" w:themeColor="text1"/>
          <w:szCs w:val="22"/>
        </w:rPr>
        <w:t xml:space="preserve">bezit een sterkere </w:t>
      </w:r>
      <w:r w:rsidR="00B2326E" w:rsidRPr="00442509">
        <w:rPr>
          <w:rFonts w:cstheme="minorHAnsi"/>
          <w:color w:val="000000" w:themeColor="text1"/>
          <w:szCs w:val="22"/>
        </w:rPr>
        <w:t>machts</w:t>
      </w:r>
      <w:r w:rsidR="00330852" w:rsidRPr="00442509">
        <w:rPr>
          <w:rFonts w:cstheme="minorHAnsi"/>
          <w:color w:val="000000" w:themeColor="text1"/>
          <w:szCs w:val="22"/>
        </w:rPr>
        <w:t xml:space="preserve">positie dan de opdrachtgever en kan de </w:t>
      </w:r>
      <w:r w:rsidR="00504856" w:rsidRPr="00442509">
        <w:rPr>
          <w:rFonts w:cstheme="minorHAnsi"/>
          <w:color w:val="000000" w:themeColor="text1"/>
          <w:szCs w:val="22"/>
        </w:rPr>
        <w:t>informatiekloof voor eigen winst</w:t>
      </w:r>
      <w:r w:rsidR="00330852" w:rsidRPr="00442509">
        <w:rPr>
          <w:rFonts w:cstheme="minorHAnsi"/>
          <w:color w:val="000000" w:themeColor="text1"/>
          <w:szCs w:val="22"/>
        </w:rPr>
        <w:t xml:space="preserve"> benutten.</w:t>
      </w:r>
      <w:r w:rsidR="00015DAD" w:rsidRPr="00442509">
        <w:rPr>
          <w:rFonts w:cstheme="minorHAnsi"/>
          <w:color w:val="000000" w:themeColor="text1"/>
          <w:szCs w:val="22"/>
        </w:rPr>
        <w:t xml:space="preserve"> </w:t>
      </w:r>
      <w:r w:rsidR="00B2326E" w:rsidRPr="00442509">
        <w:rPr>
          <w:rFonts w:cstheme="minorHAnsi"/>
          <w:color w:val="000000" w:themeColor="text1"/>
          <w:szCs w:val="22"/>
        </w:rPr>
        <w:t>Deze afhankelijkheid</w:t>
      </w:r>
      <w:r w:rsidR="009A4792">
        <w:rPr>
          <w:rFonts w:cstheme="minorHAnsi"/>
          <w:color w:val="000000" w:themeColor="text1"/>
          <w:szCs w:val="22"/>
        </w:rPr>
        <w:t>s</w:t>
      </w:r>
      <w:r w:rsidR="00B2326E" w:rsidRPr="00442509">
        <w:rPr>
          <w:rFonts w:cstheme="minorHAnsi"/>
          <w:color w:val="000000" w:themeColor="text1"/>
          <w:szCs w:val="22"/>
        </w:rPr>
        <w:t xml:space="preserve">vraagstuk vormt de </w:t>
      </w:r>
      <w:r w:rsidR="00B83F94">
        <w:rPr>
          <w:rFonts w:cstheme="minorHAnsi"/>
          <w:color w:val="000000" w:themeColor="text1"/>
          <w:szCs w:val="22"/>
        </w:rPr>
        <w:t xml:space="preserve">kern van </w:t>
      </w:r>
      <w:r w:rsidR="00B2326E" w:rsidRPr="00442509">
        <w:rPr>
          <w:rFonts w:cstheme="minorHAnsi"/>
          <w:color w:val="000000" w:themeColor="text1"/>
          <w:szCs w:val="22"/>
        </w:rPr>
        <w:t>dit onderzoek.</w:t>
      </w:r>
      <w:r w:rsidR="00015DAD" w:rsidRPr="00442509">
        <w:rPr>
          <w:rFonts w:cstheme="minorHAnsi"/>
          <w:color w:val="000000" w:themeColor="text1"/>
          <w:szCs w:val="22"/>
        </w:rPr>
        <w:t xml:space="preserve"> </w:t>
      </w:r>
      <w:r w:rsidR="00735FB1" w:rsidRPr="00442509">
        <w:rPr>
          <w:rFonts w:cstheme="minorHAnsi"/>
          <w:color w:val="000000" w:themeColor="text1"/>
          <w:szCs w:val="22"/>
        </w:rPr>
        <w:t xml:space="preserve">Volgens </w:t>
      </w:r>
      <w:proofErr w:type="spellStart"/>
      <w:r w:rsidR="00735FB1" w:rsidRPr="00442509">
        <w:rPr>
          <w:rFonts w:cstheme="minorHAnsi"/>
          <w:color w:val="000000" w:themeColor="text1"/>
          <w:szCs w:val="22"/>
        </w:rPr>
        <w:t>Pfefer</w:t>
      </w:r>
      <w:proofErr w:type="spellEnd"/>
      <w:r w:rsidR="00735FB1" w:rsidRPr="00442509">
        <w:rPr>
          <w:rFonts w:cstheme="minorHAnsi"/>
          <w:color w:val="000000" w:themeColor="text1"/>
          <w:szCs w:val="22"/>
        </w:rPr>
        <w:t xml:space="preserve"> en </w:t>
      </w:r>
      <w:proofErr w:type="spellStart"/>
      <w:r w:rsidR="00735FB1" w:rsidRPr="00442509">
        <w:rPr>
          <w:rFonts w:cstheme="minorHAnsi"/>
          <w:color w:val="000000" w:themeColor="text1"/>
          <w:szCs w:val="22"/>
        </w:rPr>
        <w:t>Salancik</w:t>
      </w:r>
      <w:proofErr w:type="spellEnd"/>
      <w:r w:rsidR="00735FB1" w:rsidRPr="00442509">
        <w:rPr>
          <w:rFonts w:cstheme="minorHAnsi"/>
          <w:color w:val="000000" w:themeColor="text1"/>
          <w:szCs w:val="22"/>
        </w:rPr>
        <w:t xml:space="preserve"> (1978) is mate van afhankelijk een evenredig gevolg aan het belang voor een product of dienst in achtneming van beschikbare alternatieven. </w:t>
      </w:r>
      <w:r w:rsidR="00015DAD" w:rsidRPr="00442509">
        <w:rPr>
          <w:rFonts w:cstheme="minorHAnsi"/>
          <w:color w:val="000000" w:themeColor="text1"/>
          <w:szCs w:val="22"/>
        </w:rPr>
        <w:t>De v</w:t>
      </w:r>
      <w:r w:rsidR="00B2326E" w:rsidRPr="00442509">
        <w:rPr>
          <w:rFonts w:cstheme="minorHAnsi"/>
          <w:color w:val="000000" w:themeColor="text1"/>
          <w:szCs w:val="22"/>
        </w:rPr>
        <w:t>olgende paragraaf beschrijft de</w:t>
      </w:r>
      <w:r w:rsidR="00015DAD" w:rsidRPr="00442509">
        <w:rPr>
          <w:rFonts w:cstheme="minorHAnsi"/>
          <w:color w:val="000000" w:themeColor="text1"/>
          <w:szCs w:val="22"/>
        </w:rPr>
        <w:t xml:space="preserve"> afhan</w:t>
      </w:r>
      <w:r w:rsidR="00B2326E" w:rsidRPr="00442509">
        <w:rPr>
          <w:rFonts w:cstheme="minorHAnsi"/>
          <w:color w:val="000000" w:themeColor="text1"/>
          <w:szCs w:val="22"/>
        </w:rPr>
        <w:t>kelijkheid volgens de theorie</w:t>
      </w:r>
      <w:r w:rsidR="00015DAD" w:rsidRPr="00442509">
        <w:rPr>
          <w:rFonts w:cstheme="minorHAnsi"/>
          <w:color w:val="000000" w:themeColor="text1"/>
          <w:szCs w:val="22"/>
        </w:rPr>
        <w:t xml:space="preserve">, hoe het tot stand komt en </w:t>
      </w:r>
      <w:r w:rsidR="00B2326E" w:rsidRPr="00442509">
        <w:rPr>
          <w:rFonts w:cstheme="minorHAnsi"/>
          <w:color w:val="000000" w:themeColor="text1"/>
          <w:szCs w:val="22"/>
        </w:rPr>
        <w:t>welke oplossingen voor het vraagstuk bestaan</w:t>
      </w:r>
      <w:r w:rsidR="00015DAD" w:rsidRPr="00442509">
        <w:rPr>
          <w:rFonts w:cstheme="minorHAnsi"/>
          <w:color w:val="000000" w:themeColor="text1"/>
          <w:szCs w:val="22"/>
        </w:rPr>
        <w:t xml:space="preserve">. </w:t>
      </w:r>
    </w:p>
    <w:p w14:paraId="556194A0" w14:textId="1B8FA96D" w:rsidR="00A31459" w:rsidRDefault="00A31459" w:rsidP="00735FB1">
      <w:pPr>
        <w:pStyle w:val="NoSpacing"/>
        <w:spacing w:line="276" w:lineRule="auto"/>
        <w:ind w:firstLine="708"/>
        <w:rPr>
          <w:rFonts w:cstheme="minorHAnsi"/>
          <w:szCs w:val="22"/>
        </w:rPr>
      </w:pPr>
    </w:p>
    <w:p w14:paraId="1C6CF801" w14:textId="77E86433" w:rsidR="00901808" w:rsidRPr="009B71F1" w:rsidRDefault="00901808" w:rsidP="00534B7C">
      <w:pPr>
        <w:pStyle w:val="Heading2"/>
        <w:rPr>
          <w:color w:val="1F3864" w:themeColor="accent1" w:themeShade="80"/>
        </w:rPr>
      </w:pPr>
      <w:bookmarkStart w:id="47" w:name="_Toc517455452"/>
      <w:r w:rsidRPr="009B71F1">
        <w:rPr>
          <w:color w:val="1F3864" w:themeColor="accent1" w:themeShade="80"/>
        </w:rPr>
        <w:t>De problematiek van afhankelijkheid</w:t>
      </w:r>
      <w:bookmarkEnd w:id="47"/>
    </w:p>
    <w:p w14:paraId="74B484E6" w14:textId="21586ABA" w:rsidR="008942EB" w:rsidRDefault="00B568D5" w:rsidP="00ED2EF9">
      <w:pPr>
        <w:pStyle w:val="NoSpacing"/>
        <w:spacing w:line="276" w:lineRule="auto"/>
        <w:rPr>
          <w:rFonts w:cstheme="minorHAnsi"/>
          <w:color w:val="000000" w:themeColor="text1"/>
          <w:szCs w:val="22"/>
        </w:rPr>
      </w:pPr>
      <w:bookmarkStart w:id="48" w:name="_Hlk516061141"/>
      <w:r w:rsidRPr="00A31459">
        <w:rPr>
          <w:rFonts w:cstheme="minorHAnsi"/>
          <w:color w:val="000000" w:themeColor="text1"/>
          <w:szCs w:val="22"/>
        </w:rPr>
        <w:t>De kern van</w:t>
      </w:r>
      <w:r>
        <w:rPr>
          <w:rFonts w:cstheme="minorHAnsi"/>
          <w:color w:val="000000" w:themeColor="text1"/>
          <w:szCs w:val="22"/>
        </w:rPr>
        <w:t xml:space="preserve"> </w:t>
      </w:r>
      <w:r w:rsidRPr="00A31459">
        <w:rPr>
          <w:rFonts w:cstheme="minorHAnsi"/>
          <w:color w:val="000000" w:themeColor="text1"/>
          <w:szCs w:val="22"/>
        </w:rPr>
        <w:t>afhankelijkheid is dat er tal van mechanismen kunnen ontstaan die maken dat de partij met de kennisachterstand door die afhankelijkheid gevaar loopt om misleid te worden.</w:t>
      </w:r>
      <w:r>
        <w:rPr>
          <w:rFonts w:cstheme="minorHAnsi"/>
          <w:color w:val="000000" w:themeColor="text1"/>
          <w:szCs w:val="22"/>
        </w:rPr>
        <w:t xml:space="preserve"> De onderwijsinstelling als principaal heeft minder kennis en expertise dan de leverancier in de rol van agent.</w:t>
      </w:r>
      <w:bookmarkEnd w:id="48"/>
      <w:r>
        <w:rPr>
          <w:rFonts w:cstheme="minorHAnsi"/>
          <w:color w:val="000000" w:themeColor="text1"/>
          <w:szCs w:val="22"/>
        </w:rPr>
        <w:t xml:space="preserve"> Kennisasymmetrie biedt ruimte aan </w:t>
      </w:r>
      <w:r w:rsidR="00ED2EF9">
        <w:rPr>
          <w:rFonts w:cstheme="minorHAnsi"/>
          <w:color w:val="000000" w:themeColor="text1"/>
          <w:szCs w:val="22"/>
        </w:rPr>
        <w:t>opportunistische</w:t>
      </w:r>
      <w:r>
        <w:rPr>
          <w:rFonts w:cstheme="minorHAnsi"/>
          <w:color w:val="000000" w:themeColor="text1"/>
          <w:szCs w:val="22"/>
        </w:rPr>
        <w:t xml:space="preserve"> leverancier die </w:t>
      </w:r>
      <w:r w:rsidR="00ED2EF9">
        <w:rPr>
          <w:rFonts w:cstheme="minorHAnsi"/>
          <w:color w:val="000000" w:themeColor="text1"/>
          <w:szCs w:val="22"/>
        </w:rPr>
        <w:t xml:space="preserve">anderen belangen nastreeft dan de onderwijsinstelling. </w:t>
      </w:r>
      <w:r w:rsidR="0079452E" w:rsidRPr="00A31459">
        <w:rPr>
          <w:rFonts w:cstheme="minorHAnsi"/>
          <w:szCs w:val="22"/>
        </w:rPr>
        <w:t>Het inkopen van middelen en specialismen (‘het uitbesteden’)</w:t>
      </w:r>
      <w:r w:rsidR="00A37EDD" w:rsidRPr="00A31459">
        <w:rPr>
          <w:rFonts w:cstheme="minorHAnsi"/>
          <w:szCs w:val="22"/>
        </w:rPr>
        <w:t xml:space="preserve"> </w:t>
      </w:r>
      <w:r w:rsidR="0079452E" w:rsidRPr="00A31459">
        <w:rPr>
          <w:rFonts w:cstheme="minorHAnsi"/>
          <w:szCs w:val="22"/>
        </w:rPr>
        <w:t xml:space="preserve">op het </w:t>
      </w:r>
      <w:r w:rsidR="00A37EDD" w:rsidRPr="00A31459">
        <w:rPr>
          <w:rFonts w:cstheme="minorHAnsi"/>
          <w:szCs w:val="22"/>
        </w:rPr>
        <w:t>gebied van ICT</w:t>
      </w:r>
      <w:r w:rsidR="006C416B" w:rsidRPr="00A31459">
        <w:rPr>
          <w:rFonts w:cstheme="minorHAnsi"/>
          <w:szCs w:val="22"/>
        </w:rPr>
        <w:t xml:space="preserve"> en digitale leermiddelen</w:t>
      </w:r>
      <w:r w:rsidR="0079452E" w:rsidRPr="00A31459">
        <w:rPr>
          <w:rFonts w:cstheme="minorHAnsi"/>
          <w:szCs w:val="22"/>
        </w:rPr>
        <w:t xml:space="preserve"> wat</w:t>
      </w:r>
      <w:r w:rsidR="00F002D3">
        <w:rPr>
          <w:rFonts w:cstheme="minorHAnsi"/>
          <w:szCs w:val="22"/>
        </w:rPr>
        <w:t xml:space="preserve"> afwijkt</w:t>
      </w:r>
      <w:r w:rsidR="0079452E" w:rsidRPr="00A31459">
        <w:rPr>
          <w:rFonts w:cstheme="minorHAnsi"/>
          <w:szCs w:val="22"/>
        </w:rPr>
        <w:t xml:space="preserve"> </w:t>
      </w:r>
      <w:r w:rsidR="00F002D3">
        <w:rPr>
          <w:rFonts w:cstheme="minorHAnsi"/>
          <w:szCs w:val="22"/>
        </w:rPr>
        <w:t xml:space="preserve">van hun </w:t>
      </w:r>
      <w:r w:rsidR="0079452E" w:rsidRPr="00A31459">
        <w:rPr>
          <w:rFonts w:cstheme="minorHAnsi"/>
          <w:szCs w:val="22"/>
        </w:rPr>
        <w:t xml:space="preserve">kerncompetenties, leidt </w:t>
      </w:r>
      <w:r w:rsidR="00117B11" w:rsidRPr="00A31459">
        <w:rPr>
          <w:rFonts w:cstheme="minorHAnsi"/>
          <w:szCs w:val="22"/>
        </w:rPr>
        <w:t>ertoe</w:t>
      </w:r>
      <w:r w:rsidR="0079452E" w:rsidRPr="00A31459">
        <w:rPr>
          <w:rFonts w:cstheme="minorHAnsi"/>
          <w:szCs w:val="22"/>
        </w:rPr>
        <w:t xml:space="preserve"> dat scholen afhankelijk worden van de leverancier </w:t>
      </w:r>
      <w:r w:rsidR="00A37EDD" w:rsidRPr="00A31459">
        <w:rPr>
          <w:rFonts w:cstheme="minorHAnsi"/>
          <w:szCs w:val="22"/>
        </w:rPr>
        <w:t xml:space="preserve">(Trent &amp; </w:t>
      </w:r>
      <w:proofErr w:type="spellStart"/>
      <w:r w:rsidR="00A37EDD" w:rsidRPr="00A31459">
        <w:rPr>
          <w:rFonts w:cstheme="minorHAnsi"/>
          <w:szCs w:val="22"/>
        </w:rPr>
        <w:t>Monczka</w:t>
      </w:r>
      <w:proofErr w:type="spellEnd"/>
      <w:r w:rsidR="00A37EDD" w:rsidRPr="00A31459">
        <w:rPr>
          <w:rFonts w:cstheme="minorHAnsi"/>
          <w:szCs w:val="22"/>
        </w:rPr>
        <w:t>, 1998).</w:t>
      </w:r>
      <w:r w:rsidR="00015DAD" w:rsidRPr="00A31459">
        <w:rPr>
          <w:rFonts w:cstheme="minorHAnsi"/>
          <w:szCs w:val="22"/>
        </w:rPr>
        <w:t xml:space="preserve"> </w:t>
      </w:r>
      <w:r w:rsidR="00751AF1" w:rsidRPr="00A31459">
        <w:rPr>
          <w:rFonts w:cstheme="minorHAnsi"/>
          <w:szCs w:val="22"/>
        </w:rPr>
        <w:t>Leveranciers hebben</w:t>
      </w:r>
      <w:r w:rsidR="00316214" w:rsidRPr="00A31459">
        <w:rPr>
          <w:rFonts w:cstheme="minorHAnsi"/>
          <w:szCs w:val="22"/>
        </w:rPr>
        <w:t xml:space="preserve"> eenmaal</w:t>
      </w:r>
      <w:r w:rsidR="00751AF1" w:rsidRPr="00A31459">
        <w:rPr>
          <w:rFonts w:cstheme="minorHAnsi"/>
          <w:szCs w:val="22"/>
        </w:rPr>
        <w:t xml:space="preserve"> meer informatie over </w:t>
      </w:r>
      <w:r w:rsidR="00316214" w:rsidRPr="00A31459">
        <w:rPr>
          <w:rFonts w:cstheme="minorHAnsi"/>
          <w:szCs w:val="22"/>
        </w:rPr>
        <w:t>hun producten en diensten dan de onderwijsinstelling</w:t>
      </w:r>
      <w:r w:rsidR="00751AF1" w:rsidRPr="00A31459">
        <w:rPr>
          <w:rFonts w:cstheme="minorHAnsi"/>
          <w:szCs w:val="22"/>
        </w:rPr>
        <w:t xml:space="preserve">. </w:t>
      </w:r>
      <w:proofErr w:type="spellStart"/>
      <w:r w:rsidR="00E45752" w:rsidRPr="00A31459">
        <w:rPr>
          <w:rFonts w:cstheme="minorHAnsi"/>
          <w:szCs w:val="22"/>
        </w:rPr>
        <w:t>R</w:t>
      </w:r>
      <w:r w:rsidR="00751AF1" w:rsidRPr="00A31459">
        <w:rPr>
          <w:rFonts w:cstheme="minorHAnsi"/>
          <w:szCs w:val="22"/>
        </w:rPr>
        <w:t>eeves</w:t>
      </w:r>
      <w:proofErr w:type="spellEnd"/>
      <w:r w:rsidR="00751AF1" w:rsidRPr="00A31459">
        <w:rPr>
          <w:rFonts w:cstheme="minorHAnsi"/>
          <w:szCs w:val="22"/>
        </w:rPr>
        <w:t xml:space="preserve"> </w:t>
      </w:r>
      <w:r w:rsidR="00264D06" w:rsidRPr="00A31459">
        <w:rPr>
          <w:rFonts w:cstheme="minorHAnsi"/>
          <w:szCs w:val="22"/>
        </w:rPr>
        <w:t>(2008)</w:t>
      </w:r>
      <w:r w:rsidR="0076145C" w:rsidRPr="00A31459">
        <w:rPr>
          <w:rFonts w:cstheme="minorHAnsi"/>
          <w:szCs w:val="22"/>
        </w:rPr>
        <w:t xml:space="preserve"> </w:t>
      </w:r>
      <w:r w:rsidR="00F002D3">
        <w:rPr>
          <w:rFonts w:cstheme="minorHAnsi"/>
          <w:szCs w:val="22"/>
        </w:rPr>
        <w:t>ziet deze</w:t>
      </w:r>
      <w:r w:rsidR="0076145C" w:rsidRPr="00A31459">
        <w:rPr>
          <w:rFonts w:cstheme="minorHAnsi"/>
          <w:szCs w:val="22"/>
        </w:rPr>
        <w:t xml:space="preserve"> kennisa</w:t>
      </w:r>
      <w:r w:rsidR="00264D06" w:rsidRPr="00A31459">
        <w:rPr>
          <w:rFonts w:cstheme="minorHAnsi"/>
          <w:szCs w:val="22"/>
        </w:rPr>
        <w:t xml:space="preserve">symmetrie </w:t>
      </w:r>
      <w:r w:rsidR="00015DAD" w:rsidRPr="00A31459">
        <w:rPr>
          <w:rFonts w:cstheme="minorHAnsi"/>
          <w:szCs w:val="22"/>
        </w:rPr>
        <w:t xml:space="preserve">als een </w:t>
      </w:r>
      <w:r w:rsidR="00504856" w:rsidRPr="00A31459">
        <w:rPr>
          <w:rFonts w:cstheme="minorHAnsi"/>
          <w:szCs w:val="22"/>
        </w:rPr>
        <w:t>belangrijk obstakel</w:t>
      </w:r>
      <w:r w:rsidR="00015DAD" w:rsidRPr="00A31459">
        <w:rPr>
          <w:rFonts w:cstheme="minorHAnsi"/>
          <w:szCs w:val="22"/>
        </w:rPr>
        <w:t xml:space="preserve"> </w:t>
      </w:r>
      <w:r w:rsidR="00504856" w:rsidRPr="00A31459">
        <w:rPr>
          <w:rFonts w:cstheme="minorHAnsi"/>
          <w:szCs w:val="22"/>
        </w:rPr>
        <w:t>binnen</w:t>
      </w:r>
      <w:r w:rsidR="00264D06" w:rsidRPr="00A31459">
        <w:rPr>
          <w:rFonts w:cstheme="minorHAnsi"/>
          <w:szCs w:val="22"/>
        </w:rPr>
        <w:t xml:space="preserve"> inkoop</w:t>
      </w:r>
      <w:r w:rsidR="00E45752" w:rsidRPr="00A31459">
        <w:rPr>
          <w:rFonts w:cstheme="minorHAnsi"/>
          <w:szCs w:val="22"/>
        </w:rPr>
        <w:t>transacties</w:t>
      </w:r>
      <w:r w:rsidR="0076145C" w:rsidRPr="00A31459">
        <w:rPr>
          <w:rFonts w:cstheme="minorHAnsi"/>
          <w:szCs w:val="22"/>
        </w:rPr>
        <w:t xml:space="preserve">. </w:t>
      </w:r>
      <w:r w:rsidR="0076145C" w:rsidRPr="00A31459">
        <w:rPr>
          <w:rFonts w:cstheme="minorHAnsi"/>
          <w:color w:val="000000" w:themeColor="text1"/>
          <w:szCs w:val="22"/>
        </w:rPr>
        <w:t xml:space="preserve">Het niveau en gewicht van afhankelijkheid in een opdrachtgeversrelatie wordt onder andere bepaald door de financiële waarde van de opdracht, </w:t>
      </w:r>
      <w:r w:rsidR="0076145C" w:rsidRPr="00A31459">
        <w:rPr>
          <w:rFonts w:cstheme="minorHAnsi"/>
          <w:szCs w:val="22"/>
        </w:rPr>
        <w:t>veranderkosten, mate van concurrentie in de sector (‘concentratiegraad’</w:t>
      </w:r>
      <w:r w:rsidR="00F002D3">
        <w:rPr>
          <w:rFonts w:cstheme="minorHAnsi"/>
          <w:szCs w:val="22"/>
        </w:rPr>
        <w:t xml:space="preserve">) </w:t>
      </w:r>
      <w:r w:rsidR="0076145C" w:rsidRPr="00A31459">
        <w:rPr>
          <w:rFonts w:cstheme="minorHAnsi"/>
          <w:szCs w:val="22"/>
        </w:rPr>
        <w:t>en de beschikbaarheid van alternatieve leveranciers (</w:t>
      </w:r>
      <w:proofErr w:type="spellStart"/>
      <w:r w:rsidR="00996BF1">
        <w:rPr>
          <w:rStyle w:val="Hyperlink"/>
          <w:rFonts w:cstheme="minorHAnsi"/>
          <w:color w:val="auto"/>
          <w:szCs w:val="22"/>
          <w:u w:val="none"/>
        </w:rPr>
        <w:fldChar w:fldCharType="begin"/>
      </w:r>
      <w:r w:rsidR="00996BF1">
        <w:rPr>
          <w:rStyle w:val="Hyperlink"/>
          <w:rFonts w:cstheme="minorHAnsi"/>
          <w:color w:val="auto"/>
          <w:szCs w:val="22"/>
          <w:u w:val="none"/>
        </w:rPr>
        <w:instrText xml:space="preserve"> HYPERLINK "https://www.pianoo.nl/sites/default/files/documents/documents/modelinkoopenaanbestedingsbeleidvng.pdf" </w:instrText>
      </w:r>
      <w:r w:rsidR="00996BF1">
        <w:rPr>
          <w:rStyle w:val="Hyperlink"/>
          <w:rFonts w:cstheme="minorHAnsi"/>
          <w:color w:val="auto"/>
          <w:szCs w:val="22"/>
          <w:u w:val="none"/>
        </w:rPr>
        <w:fldChar w:fldCharType="end"/>
      </w:r>
      <w:r w:rsidR="0076145C" w:rsidRPr="00A31459">
        <w:rPr>
          <w:rFonts w:cstheme="minorHAnsi"/>
          <w:szCs w:val="22"/>
        </w:rPr>
        <w:t>Ditters</w:t>
      </w:r>
      <w:proofErr w:type="spellEnd"/>
      <w:r w:rsidR="0076145C" w:rsidRPr="00A31459">
        <w:rPr>
          <w:rFonts w:cstheme="minorHAnsi"/>
          <w:szCs w:val="22"/>
        </w:rPr>
        <w:t xml:space="preserve"> </w:t>
      </w:r>
      <w:r w:rsidR="000B47A7">
        <w:rPr>
          <w:rFonts w:cstheme="minorHAnsi"/>
          <w:szCs w:val="22"/>
        </w:rPr>
        <w:t>et</w:t>
      </w:r>
      <w:r w:rsidR="0076145C" w:rsidRPr="00A31459">
        <w:rPr>
          <w:rFonts w:cstheme="minorHAnsi"/>
          <w:szCs w:val="22"/>
        </w:rPr>
        <w:t xml:space="preserve"> </w:t>
      </w:r>
      <w:r w:rsidR="000B47A7">
        <w:rPr>
          <w:rFonts w:cstheme="minorHAnsi"/>
          <w:szCs w:val="22"/>
        </w:rPr>
        <w:t>al.</w:t>
      </w:r>
      <w:r w:rsidR="0076145C" w:rsidRPr="00A31459">
        <w:rPr>
          <w:rFonts w:cstheme="minorHAnsi"/>
          <w:szCs w:val="22"/>
        </w:rPr>
        <w:t>2012). Met andere woorden: de opdrachtgever raakt verz</w:t>
      </w:r>
      <w:r w:rsidR="009B20DC">
        <w:rPr>
          <w:rFonts w:cstheme="minorHAnsi"/>
          <w:szCs w:val="22"/>
        </w:rPr>
        <w:t>on</w:t>
      </w:r>
      <w:r w:rsidR="0076145C" w:rsidRPr="00A31459">
        <w:rPr>
          <w:rFonts w:cstheme="minorHAnsi"/>
          <w:szCs w:val="22"/>
        </w:rPr>
        <w:t>k</w:t>
      </w:r>
      <w:r w:rsidR="009B20DC">
        <w:rPr>
          <w:rFonts w:cstheme="minorHAnsi"/>
          <w:szCs w:val="22"/>
        </w:rPr>
        <w:t xml:space="preserve">en </w:t>
      </w:r>
      <w:r w:rsidR="0076145C" w:rsidRPr="00A31459">
        <w:rPr>
          <w:rFonts w:cstheme="minorHAnsi"/>
          <w:szCs w:val="22"/>
        </w:rPr>
        <w:t>in zijn zwakke positie wanneer deze aspecten ongunstig voor hem uitpakken. Kans op ontsnapping uit d</w:t>
      </w:r>
      <w:r w:rsidR="00F002D3">
        <w:rPr>
          <w:rFonts w:cstheme="minorHAnsi"/>
          <w:szCs w:val="22"/>
        </w:rPr>
        <w:t>eze positie neemt af</w:t>
      </w:r>
      <w:r w:rsidR="0076145C" w:rsidRPr="00A31459">
        <w:rPr>
          <w:rFonts w:cstheme="minorHAnsi"/>
          <w:szCs w:val="22"/>
        </w:rPr>
        <w:t xml:space="preserve">. Toegenomen afhankelijkheid brengt daarnaast de zelfstandigheid van de opdrachtgever in gevaar. Volgens </w:t>
      </w:r>
      <w:proofErr w:type="spellStart"/>
      <w:r w:rsidR="0076145C" w:rsidRPr="00A31459">
        <w:rPr>
          <w:rFonts w:cstheme="minorHAnsi"/>
          <w:szCs w:val="22"/>
        </w:rPr>
        <w:t>Gilardi</w:t>
      </w:r>
      <w:proofErr w:type="spellEnd"/>
      <w:r w:rsidR="0076145C" w:rsidRPr="00A31459">
        <w:rPr>
          <w:rFonts w:cstheme="minorHAnsi"/>
          <w:szCs w:val="22"/>
        </w:rPr>
        <w:t xml:space="preserve"> &amp; </w:t>
      </w:r>
      <w:proofErr w:type="spellStart"/>
      <w:r w:rsidR="0076145C" w:rsidRPr="00A31459">
        <w:rPr>
          <w:rFonts w:cstheme="minorHAnsi"/>
          <w:szCs w:val="22"/>
        </w:rPr>
        <w:t>Magggetti</w:t>
      </w:r>
      <w:proofErr w:type="spellEnd"/>
      <w:r w:rsidR="0076145C" w:rsidRPr="00A31459">
        <w:rPr>
          <w:rFonts w:cstheme="minorHAnsi"/>
          <w:szCs w:val="22"/>
        </w:rPr>
        <w:t xml:space="preserve"> (2010) is er sprake van zelfstandigheid als er voldaan wordt </w:t>
      </w:r>
      <w:r w:rsidR="0076145C" w:rsidRPr="00A31459">
        <w:rPr>
          <w:rFonts w:cstheme="minorHAnsi"/>
          <w:color w:val="000000" w:themeColor="text1"/>
          <w:szCs w:val="22"/>
        </w:rPr>
        <w:t xml:space="preserve">aan het component zelfbeschikking. </w:t>
      </w:r>
      <w:r w:rsidR="00901808" w:rsidRPr="00A31459">
        <w:rPr>
          <w:rFonts w:cstheme="minorHAnsi"/>
          <w:color w:val="000000" w:themeColor="text1"/>
          <w:szCs w:val="22"/>
        </w:rPr>
        <w:t xml:space="preserve">Afhankelijkheid tussen een opdrachtgever en de leverancier is </w:t>
      </w:r>
      <w:r w:rsidR="0076145C" w:rsidRPr="00A31459">
        <w:rPr>
          <w:rFonts w:cstheme="minorHAnsi"/>
          <w:color w:val="000000" w:themeColor="text1"/>
          <w:szCs w:val="22"/>
        </w:rPr>
        <w:t>problematisch</w:t>
      </w:r>
      <w:r w:rsidR="00901808" w:rsidRPr="00A31459">
        <w:rPr>
          <w:rFonts w:cstheme="minorHAnsi"/>
          <w:color w:val="000000" w:themeColor="text1"/>
          <w:szCs w:val="22"/>
        </w:rPr>
        <w:t xml:space="preserve"> wanneer de ene acto</w:t>
      </w:r>
      <w:r w:rsidR="00500990" w:rsidRPr="00A31459">
        <w:rPr>
          <w:rFonts w:cstheme="minorHAnsi"/>
          <w:color w:val="000000" w:themeColor="text1"/>
          <w:szCs w:val="22"/>
        </w:rPr>
        <w:t>r meer macht bezit</w:t>
      </w:r>
      <w:r w:rsidR="00901808" w:rsidRPr="00A31459">
        <w:rPr>
          <w:rFonts w:cstheme="minorHAnsi"/>
          <w:color w:val="000000" w:themeColor="text1"/>
          <w:szCs w:val="22"/>
        </w:rPr>
        <w:t xml:space="preserve"> dan de ander (Cox, 2001). </w:t>
      </w:r>
      <w:r w:rsidR="008942EB" w:rsidRPr="00A31459">
        <w:rPr>
          <w:rFonts w:cstheme="minorHAnsi"/>
          <w:color w:val="000000" w:themeColor="text1"/>
          <w:szCs w:val="22"/>
        </w:rPr>
        <w:t xml:space="preserve">Hoe meer informatieasymmetrie tussen de koper en de leveranciers bestaat, hoe lastiger het wordt om </w:t>
      </w:r>
      <w:r w:rsidR="00735FB1" w:rsidRPr="00A31459">
        <w:rPr>
          <w:rFonts w:cstheme="minorHAnsi"/>
          <w:color w:val="000000" w:themeColor="text1"/>
          <w:szCs w:val="22"/>
        </w:rPr>
        <w:t>afspraken te maken</w:t>
      </w:r>
      <w:r w:rsidR="008942EB" w:rsidRPr="00A31459">
        <w:rPr>
          <w:rFonts w:cstheme="minorHAnsi"/>
          <w:color w:val="000000" w:themeColor="text1"/>
          <w:szCs w:val="22"/>
        </w:rPr>
        <w:t xml:space="preserve"> waarin de belangen van beide partijen gewaarborgd wordt. In theorie geniet de partij met kennisvoorsprong het voordeel (Van Rooij, 2009). De opdrachtgever is in mindere mate in staat om de kwaliteit van de producten te beoordelen en risico’s vooraf in k</w:t>
      </w:r>
      <w:r w:rsidR="005479D1" w:rsidRPr="00A31459">
        <w:rPr>
          <w:rFonts w:cstheme="minorHAnsi"/>
          <w:color w:val="000000" w:themeColor="text1"/>
          <w:szCs w:val="22"/>
        </w:rPr>
        <w:t>aart te brengen.</w:t>
      </w:r>
      <w:r w:rsidR="00ED2EF9">
        <w:rPr>
          <w:rFonts w:cstheme="minorHAnsi"/>
          <w:color w:val="000000" w:themeColor="text1"/>
          <w:szCs w:val="22"/>
        </w:rPr>
        <w:t xml:space="preserve"> </w:t>
      </w:r>
      <w:r w:rsidR="0024619B" w:rsidRPr="00A31459">
        <w:rPr>
          <w:rFonts w:cstheme="minorHAnsi"/>
          <w:color w:val="000000" w:themeColor="text1"/>
          <w:szCs w:val="22"/>
        </w:rPr>
        <w:t xml:space="preserve">Wanneer de winstmarges hoog liggen, zal de opdrachtnemer zich eerder opportunistisch gedragen en eigen nut maximaliseren. </w:t>
      </w:r>
      <w:r w:rsidR="008942EB" w:rsidRPr="00A31459">
        <w:rPr>
          <w:rFonts w:cstheme="minorHAnsi"/>
          <w:color w:val="000000" w:themeColor="text1"/>
          <w:szCs w:val="22"/>
        </w:rPr>
        <w:t xml:space="preserve">Deze kennisvoorsprong brengt tevens het gevaar van </w:t>
      </w:r>
      <w:r w:rsidR="0024619B" w:rsidRPr="00A31459">
        <w:rPr>
          <w:rFonts w:cstheme="minorHAnsi"/>
          <w:color w:val="000000" w:themeColor="text1"/>
          <w:szCs w:val="22"/>
        </w:rPr>
        <w:t>‘</w:t>
      </w:r>
      <w:r w:rsidR="008942EB" w:rsidRPr="00A31459">
        <w:rPr>
          <w:rFonts w:cstheme="minorHAnsi"/>
          <w:i/>
          <w:color w:val="000000" w:themeColor="text1"/>
          <w:szCs w:val="22"/>
        </w:rPr>
        <w:t xml:space="preserve">adverse </w:t>
      </w:r>
      <w:proofErr w:type="spellStart"/>
      <w:r w:rsidR="008942EB" w:rsidRPr="00A31459">
        <w:rPr>
          <w:rFonts w:cstheme="minorHAnsi"/>
          <w:i/>
          <w:color w:val="000000" w:themeColor="text1"/>
          <w:szCs w:val="22"/>
        </w:rPr>
        <w:t>selection</w:t>
      </w:r>
      <w:proofErr w:type="spellEnd"/>
      <w:r w:rsidR="0024619B" w:rsidRPr="00A31459">
        <w:rPr>
          <w:rFonts w:cstheme="minorHAnsi"/>
          <w:i/>
          <w:color w:val="000000" w:themeColor="text1"/>
          <w:szCs w:val="22"/>
        </w:rPr>
        <w:t>’</w:t>
      </w:r>
      <w:r w:rsidR="008942EB" w:rsidRPr="00A31459">
        <w:rPr>
          <w:rFonts w:cstheme="minorHAnsi"/>
          <w:color w:val="000000" w:themeColor="text1"/>
          <w:szCs w:val="22"/>
        </w:rPr>
        <w:t xml:space="preserve"> met zich mee. Hier is sprake van wanneer opdrachtgevers om strategische redenen benaderd worden om een samenwerking aan te gaan (Davis </w:t>
      </w:r>
      <w:r w:rsidR="000B47A7">
        <w:rPr>
          <w:rFonts w:cstheme="minorHAnsi"/>
          <w:color w:val="000000" w:themeColor="text1"/>
          <w:szCs w:val="22"/>
        </w:rPr>
        <w:t>et</w:t>
      </w:r>
      <w:r w:rsidR="008942EB" w:rsidRPr="00A31459">
        <w:rPr>
          <w:rFonts w:cstheme="minorHAnsi"/>
          <w:color w:val="000000" w:themeColor="text1"/>
          <w:szCs w:val="22"/>
        </w:rPr>
        <w:t xml:space="preserve"> </w:t>
      </w:r>
      <w:r w:rsidR="000B47A7">
        <w:rPr>
          <w:rFonts w:cstheme="minorHAnsi"/>
          <w:color w:val="000000" w:themeColor="text1"/>
          <w:szCs w:val="22"/>
        </w:rPr>
        <w:t>al.</w:t>
      </w:r>
      <w:r w:rsidR="008942EB" w:rsidRPr="00A31459">
        <w:rPr>
          <w:rFonts w:cstheme="minorHAnsi"/>
          <w:color w:val="000000" w:themeColor="text1"/>
          <w:szCs w:val="22"/>
        </w:rPr>
        <w:t xml:space="preserve"> 1997). De leverancier geeft ten onrechte aan de wensen van de opdrachtgever te kunnen voldoen. De opdrachtgever heeft niet voldoende kennis en informatie tot zijn beschikking om deze claim te beoordelen. Volgens Waterman &amp; Meijer (1998) kan de opdrachtgever de naleving van de contractuele afspraken waarborgen door controlemechanismen in te zetten. De opdrachtgever kan de leverancier monitoren via verschillende controlemechanismen, zoals audits, prestatiemetingen of periodieke rapportages (Van </w:t>
      </w:r>
      <w:proofErr w:type="spellStart"/>
      <w:r w:rsidR="008942EB" w:rsidRPr="00A31459">
        <w:rPr>
          <w:rFonts w:cstheme="minorHAnsi"/>
          <w:color w:val="000000" w:themeColor="text1"/>
          <w:szCs w:val="22"/>
        </w:rPr>
        <w:t>Slyke</w:t>
      </w:r>
      <w:proofErr w:type="spellEnd"/>
      <w:r w:rsidR="008942EB" w:rsidRPr="00A31459">
        <w:rPr>
          <w:rFonts w:cstheme="minorHAnsi"/>
          <w:color w:val="000000" w:themeColor="text1"/>
          <w:szCs w:val="22"/>
        </w:rPr>
        <w:t xml:space="preserve">, 2006; Davis et </w:t>
      </w:r>
      <w:r w:rsidR="000B47A7">
        <w:rPr>
          <w:rFonts w:cstheme="minorHAnsi"/>
          <w:color w:val="000000" w:themeColor="text1"/>
          <w:szCs w:val="22"/>
        </w:rPr>
        <w:t>al.</w:t>
      </w:r>
      <w:r w:rsidR="008942EB" w:rsidRPr="00A31459">
        <w:rPr>
          <w:rFonts w:cstheme="minorHAnsi"/>
          <w:color w:val="000000" w:themeColor="text1"/>
          <w:szCs w:val="22"/>
        </w:rPr>
        <w:t xml:space="preserve"> 1997).</w:t>
      </w:r>
      <w:r w:rsidR="00D5128D" w:rsidRPr="00A31459">
        <w:rPr>
          <w:rFonts w:cstheme="minorHAnsi"/>
          <w:color w:val="000000" w:themeColor="text1"/>
          <w:szCs w:val="22"/>
        </w:rPr>
        <w:t xml:space="preserve"> </w:t>
      </w:r>
      <w:r w:rsidR="00416718" w:rsidRPr="00A31459">
        <w:rPr>
          <w:rFonts w:cstheme="minorHAnsi"/>
          <w:color w:val="000000" w:themeColor="text1"/>
          <w:szCs w:val="22"/>
        </w:rPr>
        <w:t xml:space="preserve"> </w:t>
      </w:r>
    </w:p>
    <w:p w14:paraId="000D2BD5" w14:textId="77777777" w:rsidR="00F002D3" w:rsidRDefault="00F002D3">
      <w:pPr>
        <w:kinsoku/>
        <w:autoSpaceDE/>
        <w:autoSpaceDN/>
        <w:adjustRightInd/>
        <w:spacing w:after="160" w:line="259" w:lineRule="auto"/>
        <w:rPr>
          <w:rFonts w:asciiTheme="minorHAnsi" w:eastAsiaTheme="minorHAnsi" w:hAnsiTheme="minorHAnsi" w:cstheme="minorHAnsi"/>
          <w:b/>
          <w:color w:val="000000" w:themeColor="text1"/>
          <w:sz w:val="24"/>
        </w:rPr>
      </w:pPr>
      <w:r>
        <w:rPr>
          <w:rFonts w:asciiTheme="minorHAnsi" w:eastAsiaTheme="minorHAnsi" w:hAnsiTheme="minorHAnsi" w:cstheme="minorHAnsi"/>
          <w:b/>
          <w:color w:val="000000" w:themeColor="text1"/>
          <w:sz w:val="24"/>
        </w:rPr>
        <w:br w:type="page"/>
      </w:r>
    </w:p>
    <w:p w14:paraId="76F1C583" w14:textId="453E58CC" w:rsidR="00F002D3" w:rsidRPr="003B56D6" w:rsidRDefault="00F002D3" w:rsidP="00534B7C">
      <w:pPr>
        <w:pStyle w:val="Heading3"/>
        <w:rPr>
          <w:color w:val="1F3864" w:themeColor="accent1" w:themeShade="80"/>
        </w:rPr>
      </w:pPr>
      <w:bookmarkStart w:id="49" w:name="_Toc517455453"/>
      <w:r w:rsidRPr="003B56D6">
        <w:rPr>
          <w:color w:val="1F3864" w:themeColor="accent1" w:themeShade="80"/>
        </w:rPr>
        <w:lastRenderedPageBreak/>
        <w:t>3.3.2 De gevolgen van afhankelijkheid</w:t>
      </w:r>
      <w:bookmarkEnd w:id="49"/>
    </w:p>
    <w:p w14:paraId="2FD4EB4F" w14:textId="2A5B8477" w:rsidR="00D14ECA" w:rsidRPr="00F002D3" w:rsidRDefault="00901808" w:rsidP="00F002D3">
      <w:pPr>
        <w:spacing w:after="0" w:line="276" w:lineRule="auto"/>
        <w:rPr>
          <w:rFonts w:asciiTheme="minorHAnsi" w:eastAsiaTheme="minorHAnsi" w:hAnsiTheme="minorHAnsi" w:cstheme="minorHAnsi"/>
          <w:b/>
          <w:sz w:val="22"/>
          <w:szCs w:val="22"/>
        </w:rPr>
      </w:pPr>
      <w:r w:rsidRPr="00F002D3">
        <w:rPr>
          <w:rFonts w:asciiTheme="minorHAnsi" w:hAnsiTheme="minorHAnsi" w:cstheme="minorHAnsi"/>
          <w:color w:val="000000" w:themeColor="text1"/>
          <w:sz w:val="22"/>
          <w:szCs w:val="22"/>
        </w:rPr>
        <w:t>Afhankelijkheid van een of enkele leveranciers leidt in de praktijk tot ‘</w:t>
      </w:r>
      <w:proofErr w:type="spellStart"/>
      <w:r w:rsidRPr="00F002D3">
        <w:rPr>
          <w:rFonts w:asciiTheme="minorHAnsi" w:hAnsiTheme="minorHAnsi" w:cstheme="minorHAnsi"/>
          <w:i/>
          <w:color w:val="000000" w:themeColor="text1"/>
          <w:sz w:val="22"/>
          <w:szCs w:val="22"/>
        </w:rPr>
        <w:t>lock</w:t>
      </w:r>
      <w:proofErr w:type="spellEnd"/>
      <w:r w:rsidRPr="00F002D3">
        <w:rPr>
          <w:rFonts w:asciiTheme="minorHAnsi" w:hAnsiTheme="minorHAnsi" w:cstheme="minorHAnsi"/>
          <w:i/>
          <w:color w:val="000000" w:themeColor="text1"/>
          <w:sz w:val="22"/>
          <w:szCs w:val="22"/>
        </w:rPr>
        <w:t>-in’</w:t>
      </w:r>
      <w:r w:rsidRPr="00F002D3">
        <w:rPr>
          <w:rFonts w:asciiTheme="minorHAnsi" w:hAnsiTheme="minorHAnsi" w:cstheme="minorHAnsi"/>
          <w:color w:val="000000" w:themeColor="text1"/>
          <w:sz w:val="22"/>
          <w:szCs w:val="22"/>
        </w:rPr>
        <w:t xml:space="preserve"> effecten. De eenmaal genomen beslissingen in het verleden bepalen in sterke mate de condities voor de volgende stap</w:t>
      </w:r>
      <w:r w:rsidR="00CC73B2" w:rsidRPr="00F002D3">
        <w:rPr>
          <w:rFonts w:asciiTheme="minorHAnsi" w:hAnsiTheme="minorHAnsi" w:cstheme="minorHAnsi"/>
          <w:color w:val="000000" w:themeColor="text1"/>
          <w:sz w:val="22"/>
          <w:szCs w:val="22"/>
        </w:rPr>
        <w:t xml:space="preserve"> (</w:t>
      </w:r>
      <w:r w:rsidR="003040E4">
        <w:fldChar w:fldCharType="begin"/>
      </w:r>
      <w:r w:rsidR="003040E4">
        <w:instrText xml:space="preserve"> HYPERLINK "http://kn.nu/ictinkopen.w.p22" </w:instrText>
      </w:r>
      <w:r w:rsidR="003040E4">
        <w:fldChar w:fldCharType="separate"/>
      </w:r>
      <w:r w:rsidR="003040E4">
        <w:fldChar w:fldCharType="end"/>
      </w:r>
      <w:r w:rsidR="00CC73B2" w:rsidRPr="00F002D3">
        <w:rPr>
          <w:rFonts w:asciiTheme="minorHAnsi" w:hAnsiTheme="minorHAnsi" w:cstheme="minorHAnsi"/>
          <w:sz w:val="22"/>
          <w:szCs w:val="22"/>
        </w:rPr>
        <w:t>Van Wetering, 2015</w:t>
      </w:r>
      <w:r w:rsidR="00CC73B2" w:rsidRPr="00F002D3">
        <w:rPr>
          <w:rFonts w:asciiTheme="minorHAnsi" w:hAnsiTheme="minorHAnsi" w:cstheme="minorHAnsi"/>
          <w:color w:val="000000" w:themeColor="text1"/>
          <w:sz w:val="22"/>
          <w:szCs w:val="22"/>
        </w:rPr>
        <w:t>)</w:t>
      </w:r>
      <w:r w:rsidRPr="00F002D3">
        <w:rPr>
          <w:rFonts w:asciiTheme="minorHAnsi" w:hAnsiTheme="minorHAnsi" w:cstheme="minorHAnsi"/>
          <w:color w:val="000000" w:themeColor="text1"/>
          <w:sz w:val="22"/>
          <w:szCs w:val="22"/>
        </w:rPr>
        <w:t>. De vrijheidsgraden om af te wijken van dit pad worden zo gereduceerd (Pierson, 2006). Verandering kan hoge kosten en inspanning met zich meebrengen. Opdrachtgevers prefereren in d</w:t>
      </w:r>
      <w:r w:rsidR="005479D1" w:rsidRPr="00F002D3">
        <w:rPr>
          <w:rFonts w:asciiTheme="minorHAnsi" w:hAnsiTheme="minorHAnsi" w:cstheme="minorHAnsi"/>
          <w:color w:val="000000" w:themeColor="text1"/>
          <w:sz w:val="22"/>
          <w:szCs w:val="22"/>
        </w:rPr>
        <w:t>at geval doorgaans de status quo</w:t>
      </w:r>
      <w:r w:rsidRPr="00F002D3">
        <w:rPr>
          <w:rFonts w:asciiTheme="minorHAnsi" w:hAnsiTheme="minorHAnsi" w:cstheme="minorHAnsi"/>
          <w:color w:val="000000" w:themeColor="text1"/>
          <w:sz w:val="22"/>
          <w:szCs w:val="22"/>
        </w:rPr>
        <w:t xml:space="preserve"> boven een alternatief met gunstiger voorwaarden. In de literatuur wordt dit </w:t>
      </w:r>
      <w:proofErr w:type="spellStart"/>
      <w:r w:rsidRPr="00F002D3">
        <w:rPr>
          <w:rFonts w:asciiTheme="minorHAnsi" w:hAnsiTheme="minorHAnsi" w:cstheme="minorHAnsi"/>
          <w:color w:val="000000" w:themeColor="text1"/>
          <w:sz w:val="22"/>
          <w:szCs w:val="22"/>
        </w:rPr>
        <w:t>padafhankelijkheid</w:t>
      </w:r>
      <w:proofErr w:type="spellEnd"/>
      <w:r w:rsidRPr="00F002D3">
        <w:rPr>
          <w:rFonts w:asciiTheme="minorHAnsi" w:hAnsiTheme="minorHAnsi" w:cstheme="minorHAnsi"/>
          <w:color w:val="000000" w:themeColor="text1"/>
          <w:sz w:val="22"/>
          <w:szCs w:val="22"/>
        </w:rPr>
        <w:t xml:space="preserve"> genoemd. North (1990</w:t>
      </w:r>
      <w:r w:rsidR="001754CE" w:rsidRPr="00F002D3">
        <w:rPr>
          <w:rFonts w:asciiTheme="minorHAnsi" w:hAnsiTheme="minorHAnsi" w:cstheme="minorHAnsi"/>
          <w:color w:val="000000" w:themeColor="text1"/>
          <w:sz w:val="22"/>
          <w:szCs w:val="22"/>
        </w:rPr>
        <w:t xml:space="preserve"> p.</w:t>
      </w:r>
      <w:r w:rsidRPr="00F002D3">
        <w:rPr>
          <w:rFonts w:asciiTheme="minorHAnsi" w:hAnsiTheme="minorHAnsi" w:cstheme="minorHAnsi"/>
          <w:color w:val="000000" w:themeColor="text1"/>
          <w:sz w:val="22"/>
          <w:szCs w:val="22"/>
        </w:rPr>
        <w:t>) beschrijft het als volgt: “</w:t>
      </w:r>
      <w:proofErr w:type="spellStart"/>
      <w:r w:rsidRPr="00F002D3">
        <w:rPr>
          <w:rFonts w:asciiTheme="minorHAnsi" w:hAnsiTheme="minorHAnsi" w:cstheme="minorHAnsi"/>
          <w:i/>
          <w:color w:val="000000" w:themeColor="text1"/>
          <w:sz w:val="22"/>
          <w:szCs w:val="22"/>
        </w:rPr>
        <w:t>Path</w:t>
      </w:r>
      <w:proofErr w:type="spellEnd"/>
      <w:r w:rsidRPr="00F002D3">
        <w:rPr>
          <w:rFonts w:asciiTheme="minorHAnsi" w:hAnsiTheme="minorHAnsi" w:cstheme="minorHAnsi"/>
          <w:i/>
          <w:color w:val="000000" w:themeColor="text1"/>
          <w:sz w:val="22"/>
          <w:szCs w:val="22"/>
        </w:rPr>
        <w:t xml:space="preserve"> </w:t>
      </w:r>
      <w:proofErr w:type="spellStart"/>
      <w:r w:rsidRPr="00F002D3">
        <w:rPr>
          <w:rFonts w:asciiTheme="minorHAnsi" w:hAnsiTheme="minorHAnsi" w:cstheme="minorHAnsi"/>
          <w:i/>
          <w:color w:val="000000" w:themeColor="text1"/>
          <w:sz w:val="22"/>
          <w:szCs w:val="22"/>
        </w:rPr>
        <w:t>dependence</w:t>
      </w:r>
      <w:proofErr w:type="spellEnd"/>
      <w:r w:rsidRPr="00F002D3">
        <w:rPr>
          <w:rFonts w:asciiTheme="minorHAnsi" w:hAnsiTheme="minorHAnsi" w:cstheme="minorHAnsi"/>
          <w:i/>
          <w:color w:val="000000" w:themeColor="text1"/>
          <w:sz w:val="22"/>
          <w:szCs w:val="22"/>
        </w:rPr>
        <w:t xml:space="preserve"> means </w:t>
      </w:r>
      <w:proofErr w:type="spellStart"/>
      <w:r w:rsidRPr="00F002D3">
        <w:rPr>
          <w:rFonts w:asciiTheme="minorHAnsi" w:hAnsiTheme="minorHAnsi" w:cstheme="minorHAnsi"/>
          <w:i/>
          <w:color w:val="000000" w:themeColor="text1"/>
          <w:sz w:val="22"/>
          <w:szCs w:val="22"/>
        </w:rPr>
        <w:t>that</w:t>
      </w:r>
      <w:proofErr w:type="spellEnd"/>
      <w:r w:rsidRPr="00F002D3">
        <w:rPr>
          <w:rFonts w:asciiTheme="minorHAnsi" w:hAnsiTheme="minorHAnsi" w:cstheme="minorHAnsi"/>
          <w:i/>
          <w:color w:val="000000" w:themeColor="text1"/>
          <w:sz w:val="22"/>
          <w:szCs w:val="22"/>
        </w:rPr>
        <w:t xml:space="preserve"> </w:t>
      </w:r>
      <w:proofErr w:type="spellStart"/>
      <w:r w:rsidRPr="00F002D3">
        <w:rPr>
          <w:rFonts w:asciiTheme="minorHAnsi" w:hAnsiTheme="minorHAnsi" w:cstheme="minorHAnsi"/>
          <w:i/>
          <w:color w:val="000000" w:themeColor="text1"/>
          <w:sz w:val="22"/>
          <w:szCs w:val="22"/>
        </w:rPr>
        <w:t>history</w:t>
      </w:r>
      <w:proofErr w:type="spellEnd"/>
      <w:r w:rsidRPr="00F002D3">
        <w:rPr>
          <w:rFonts w:asciiTheme="minorHAnsi" w:hAnsiTheme="minorHAnsi" w:cstheme="minorHAnsi"/>
          <w:i/>
          <w:color w:val="000000" w:themeColor="text1"/>
          <w:sz w:val="22"/>
          <w:szCs w:val="22"/>
        </w:rPr>
        <w:t xml:space="preserve"> </w:t>
      </w:r>
      <w:proofErr w:type="spellStart"/>
      <w:r w:rsidRPr="00F002D3">
        <w:rPr>
          <w:rFonts w:asciiTheme="minorHAnsi" w:hAnsiTheme="minorHAnsi" w:cstheme="minorHAnsi"/>
          <w:i/>
          <w:color w:val="000000" w:themeColor="text1"/>
          <w:sz w:val="22"/>
          <w:szCs w:val="22"/>
        </w:rPr>
        <w:t>matters</w:t>
      </w:r>
      <w:proofErr w:type="spellEnd"/>
      <w:r w:rsidRPr="00F002D3">
        <w:rPr>
          <w:rFonts w:asciiTheme="minorHAnsi" w:hAnsiTheme="minorHAnsi" w:cstheme="minorHAnsi"/>
          <w:i/>
          <w:color w:val="000000" w:themeColor="text1"/>
          <w:sz w:val="22"/>
          <w:szCs w:val="22"/>
        </w:rPr>
        <w:t xml:space="preserve">. </w:t>
      </w:r>
      <w:r w:rsidRPr="00F002D3">
        <w:rPr>
          <w:rFonts w:asciiTheme="minorHAnsi" w:hAnsiTheme="minorHAnsi" w:cstheme="minorHAnsi"/>
          <w:i/>
          <w:color w:val="000000" w:themeColor="text1"/>
          <w:sz w:val="22"/>
          <w:szCs w:val="22"/>
          <w:lang w:val="en-US"/>
        </w:rPr>
        <w:t>We cannot understand today’s choices without tracing the incremental evolution of institutions</w:t>
      </w:r>
      <w:r w:rsidRPr="00F002D3">
        <w:rPr>
          <w:rFonts w:asciiTheme="minorHAnsi" w:hAnsiTheme="minorHAnsi" w:cstheme="minorHAnsi"/>
          <w:color w:val="000000" w:themeColor="text1"/>
          <w:sz w:val="22"/>
          <w:szCs w:val="22"/>
          <w:lang w:val="en-US"/>
        </w:rPr>
        <w:t xml:space="preserve">”. </w:t>
      </w:r>
      <w:r w:rsidRPr="00F002D3">
        <w:rPr>
          <w:rFonts w:asciiTheme="minorHAnsi" w:hAnsiTheme="minorHAnsi" w:cstheme="minorHAnsi"/>
          <w:color w:val="000000" w:themeColor="text1"/>
          <w:sz w:val="22"/>
          <w:szCs w:val="22"/>
        </w:rPr>
        <w:t>Deze keuze van vandaag zijn verankerd in het verleden gelegde sporen. Dit belemmert de alternatieve keuzemogelijkheden van de inkoper. Inkooporganisaties dienen dan ook de ‘</w:t>
      </w:r>
      <w:proofErr w:type="spellStart"/>
      <w:r w:rsidRPr="00F002D3">
        <w:rPr>
          <w:rFonts w:asciiTheme="minorHAnsi" w:hAnsiTheme="minorHAnsi" w:cstheme="minorHAnsi"/>
          <w:color w:val="000000" w:themeColor="text1"/>
          <w:sz w:val="22"/>
          <w:szCs w:val="22"/>
        </w:rPr>
        <w:t>lock</w:t>
      </w:r>
      <w:proofErr w:type="spellEnd"/>
      <w:r w:rsidRPr="00F002D3">
        <w:rPr>
          <w:rFonts w:asciiTheme="minorHAnsi" w:hAnsiTheme="minorHAnsi" w:cstheme="minorHAnsi"/>
          <w:color w:val="000000" w:themeColor="text1"/>
          <w:sz w:val="22"/>
          <w:szCs w:val="22"/>
        </w:rPr>
        <w:t>-in’ effecten van inkoop, waar mogelijk, te voorkomen. Het werkt immers rationele keuzes gericht op efficiëntie tegen en versterkt de afhankelijkheid.</w:t>
      </w:r>
      <w:r w:rsidR="00D14ECA" w:rsidRPr="00F002D3">
        <w:rPr>
          <w:rFonts w:asciiTheme="minorHAnsi" w:hAnsiTheme="minorHAnsi" w:cstheme="minorHAnsi"/>
          <w:color w:val="000000" w:themeColor="text1"/>
          <w:sz w:val="22"/>
          <w:szCs w:val="22"/>
        </w:rPr>
        <w:t xml:space="preserve"> </w:t>
      </w:r>
    </w:p>
    <w:p w14:paraId="1A6292EE" w14:textId="42EA8CBE" w:rsidR="00251FA4" w:rsidRPr="00F002D3" w:rsidRDefault="00901808" w:rsidP="00D02489">
      <w:pPr>
        <w:spacing w:after="0" w:line="276" w:lineRule="auto"/>
        <w:ind w:firstLine="708"/>
        <w:rPr>
          <w:rStyle w:val="NoSpacingChar"/>
          <w:rFonts w:asciiTheme="minorHAnsi" w:eastAsiaTheme="minorHAnsi" w:hAnsiTheme="minorHAnsi" w:cstheme="minorHAnsi"/>
          <w:sz w:val="22"/>
          <w:szCs w:val="22"/>
        </w:rPr>
      </w:pPr>
      <w:proofErr w:type="spellStart"/>
      <w:r w:rsidRPr="00F002D3">
        <w:rPr>
          <w:rFonts w:asciiTheme="minorHAnsi" w:eastAsiaTheme="minorHAnsi" w:hAnsiTheme="minorHAnsi" w:cstheme="minorHAnsi"/>
          <w:sz w:val="22"/>
          <w:szCs w:val="22"/>
        </w:rPr>
        <w:t>Hartley</w:t>
      </w:r>
      <w:proofErr w:type="spellEnd"/>
      <w:r w:rsidRPr="00F002D3">
        <w:rPr>
          <w:rFonts w:asciiTheme="minorHAnsi" w:eastAsiaTheme="minorHAnsi" w:hAnsiTheme="minorHAnsi" w:cstheme="minorHAnsi"/>
          <w:sz w:val="22"/>
          <w:szCs w:val="22"/>
        </w:rPr>
        <w:t xml:space="preserve"> en Parker (1997) </w:t>
      </w:r>
      <w:r w:rsidR="00DB7A42">
        <w:rPr>
          <w:rFonts w:asciiTheme="minorHAnsi" w:eastAsiaTheme="minorHAnsi" w:hAnsiTheme="minorHAnsi" w:cstheme="minorHAnsi"/>
          <w:sz w:val="22"/>
          <w:szCs w:val="22"/>
        </w:rPr>
        <w:t>noemen</w:t>
      </w:r>
      <w:r w:rsidRPr="00F002D3">
        <w:rPr>
          <w:rFonts w:asciiTheme="minorHAnsi" w:eastAsiaTheme="minorHAnsi" w:hAnsiTheme="minorHAnsi" w:cstheme="minorHAnsi"/>
          <w:sz w:val="22"/>
          <w:szCs w:val="22"/>
        </w:rPr>
        <w:t xml:space="preserve"> </w:t>
      </w:r>
      <w:r w:rsidR="00DB7A42">
        <w:rPr>
          <w:rFonts w:asciiTheme="minorHAnsi" w:eastAsiaTheme="minorHAnsi" w:hAnsiTheme="minorHAnsi" w:cstheme="minorHAnsi"/>
          <w:sz w:val="22"/>
          <w:szCs w:val="22"/>
        </w:rPr>
        <w:t xml:space="preserve">twee </w:t>
      </w:r>
      <w:r w:rsidRPr="00F002D3">
        <w:rPr>
          <w:rFonts w:asciiTheme="minorHAnsi" w:eastAsiaTheme="minorHAnsi" w:hAnsiTheme="minorHAnsi" w:cstheme="minorHAnsi"/>
          <w:sz w:val="22"/>
          <w:szCs w:val="22"/>
        </w:rPr>
        <w:t>factoren die van invloed zijn op de mate waarin een inkooporganisatie afha</w:t>
      </w:r>
      <w:r w:rsidR="00240B3A" w:rsidRPr="00F002D3">
        <w:rPr>
          <w:rFonts w:asciiTheme="minorHAnsi" w:eastAsiaTheme="minorHAnsi" w:hAnsiTheme="minorHAnsi" w:cstheme="minorHAnsi"/>
          <w:sz w:val="22"/>
          <w:szCs w:val="22"/>
        </w:rPr>
        <w:t>nkelijk is van de leverancier.</w:t>
      </w:r>
      <w:bookmarkStart w:id="50" w:name="_Hlk487031008"/>
      <w:r w:rsidR="00D02489" w:rsidRPr="00F002D3">
        <w:rPr>
          <w:rFonts w:asciiTheme="minorHAnsi" w:eastAsiaTheme="minorHAnsi" w:hAnsiTheme="minorHAnsi" w:cstheme="minorHAnsi"/>
          <w:sz w:val="22"/>
          <w:szCs w:val="22"/>
        </w:rPr>
        <w:t xml:space="preserve"> </w:t>
      </w:r>
      <w:r w:rsidRPr="00F002D3">
        <w:rPr>
          <w:rFonts w:asciiTheme="minorHAnsi" w:eastAsiaTheme="minorHAnsi" w:hAnsiTheme="minorHAnsi" w:cstheme="minorHAnsi"/>
          <w:color w:val="000000" w:themeColor="text1"/>
          <w:sz w:val="22"/>
          <w:szCs w:val="22"/>
        </w:rPr>
        <w:t xml:space="preserve">Ten eerste gaat </w:t>
      </w:r>
      <w:r w:rsidRPr="00F002D3">
        <w:rPr>
          <w:rFonts w:asciiTheme="minorHAnsi" w:eastAsiaTheme="minorHAnsi" w:hAnsiTheme="minorHAnsi" w:cstheme="minorHAnsi"/>
          <w:sz w:val="22"/>
          <w:szCs w:val="22"/>
        </w:rPr>
        <w:t xml:space="preserve">het om </w:t>
      </w:r>
      <w:r w:rsidRPr="00F002D3">
        <w:rPr>
          <w:rFonts w:asciiTheme="minorHAnsi" w:eastAsiaTheme="minorHAnsi" w:hAnsiTheme="minorHAnsi" w:cstheme="minorHAnsi"/>
          <w:i/>
          <w:sz w:val="22"/>
          <w:szCs w:val="22"/>
        </w:rPr>
        <w:t>beschikbare informatie en kennis</w:t>
      </w:r>
      <w:r w:rsidRPr="00F002D3">
        <w:rPr>
          <w:rFonts w:asciiTheme="minorHAnsi" w:eastAsiaTheme="minorHAnsi" w:hAnsiTheme="minorHAnsi" w:cstheme="minorHAnsi"/>
          <w:sz w:val="22"/>
          <w:szCs w:val="22"/>
        </w:rPr>
        <w:t xml:space="preserve">. Dit is de </w:t>
      </w:r>
      <w:r w:rsidRPr="00F002D3">
        <w:rPr>
          <w:rFonts w:asciiTheme="minorHAnsi" w:eastAsiaTheme="minorHAnsi" w:hAnsiTheme="minorHAnsi" w:cstheme="minorHAnsi"/>
          <w:color w:val="000000" w:themeColor="text1"/>
          <w:sz w:val="22"/>
          <w:szCs w:val="22"/>
        </w:rPr>
        <w:t xml:space="preserve">mate waarop de inkooporganisatie informatie heeft over de kosten van de leverancier en de prijs kan berekenen waarop onder bepaalde omstandigheden winst kan worden behaald. Een iteratief proces in de competitieve markt zou deze informatie moeten genereren. Volgens </w:t>
      </w:r>
      <w:proofErr w:type="spellStart"/>
      <w:r w:rsidRPr="00F002D3">
        <w:rPr>
          <w:rFonts w:asciiTheme="minorHAnsi" w:eastAsiaTheme="minorHAnsi" w:hAnsiTheme="minorHAnsi" w:cstheme="minorHAnsi"/>
          <w:color w:val="000000" w:themeColor="text1"/>
          <w:sz w:val="22"/>
          <w:szCs w:val="22"/>
        </w:rPr>
        <w:t>Hartley</w:t>
      </w:r>
      <w:proofErr w:type="spellEnd"/>
      <w:r w:rsidRPr="00F002D3">
        <w:rPr>
          <w:rFonts w:asciiTheme="minorHAnsi" w:eastAsiaTheme="minorHAnsi" w:hAnsiTheme="minorHAnsi" w:cstheme="minorHAnsi"/>
          <w:color w:val="000000" w:themeColor="text1"/>
          <w:sz w:val="22"/>
          <w:szCs w:val="22"/>
        </w:rPr>
        <w:t xml:space="preserve"> en Parker (1997) verloopt dit binnen een partnerschap transparanter en eenvoudiger</w:t>
      </w:r>
      <w:r w:rsidR="00B359FD" w:rsidRPr="00F002D3">
        <w:rPr>
          <w:rFonts w:asciiTheme="minorHAnsi" w:eastAsiaTheme="minorHAnsi" w:hAnsiTheme="minorHAnsi" w:cstheme="minorHAnsi"/>
          <w:color w:val="000000" w:themeColor="text1"/>
          <w:sz w:val="22"/>
          <w:szCs w:val="22"/>
        </w:rPr>
        <w:t xml:space="preserve"> dan wanneer de opdrachtgever en opdrachtnemer strikt gescheiden zijn</w:t>
      </w:r>
      <w:r w:rsidRPr="00F002D3">
        <w:rPr>
          <w:rFonts w:asciiTheme="minorHAnsi" w:eastAsiaTheme="minorHAnsi" w:hAnsiTheme="minorHAnsi" w:cstheme="minorHAnsi"/>
          <w:color w:val="000000" w:themeColor="text1"/>
          <w:sz w:val="22"/>
          <w:szCs w:val="22"/>
        </w:rPr>
        <w:t>: “</w:t>
      </w:r>
      <w:proofErr w:type="spellStart"/>
      <w:r w:rsidRPr="00F002D3">
        <w:rPr>
          <w:rFonts w:asciiTheme="minorHAnsi" w:eastAsiaTheme="minorHAnsi" w:hAnsiTheme="minorHAnsi" w:cstheme="minorHAnsi"/>
          <w:i/>
          <w:color w:val="000000" w:themeColor="text1"/>
          <w:sz w:val="22"/>
          <w:szCs w:val="22"/>
        </w:rPr>
        <w:t>the</w:t>
      </w:r>
      <w:proofErr w:type="spellEnd"/>
      <w:r w:rsidRPr="00F002D3">
        <w:rPr>
          <w:rFonts w:asciiTheme="minorHAnsi" w:eastAsiaTheme="minorHAnsi" w:hAnsiTheme="minorHAnsi" w:cstheme="minorHAnsi"/>
          <w:i/>
          <w:color w:val="000000" w:themeColor="text1"/>
          <w:sz w:val="22"/>
          <w:szCs w:val="22"/>
        </w:rPr>
        <w:t xml:space="preserve"> </w:t>
      </w:r>
      <w:proofErr w:type="spellStart"/>
      <w:r w:rsidRPr="00F002D3">
        <w:rPr>
          <w:rFonts w:asciiTheme="minorHAnsi" w:eastAsiaTheme="minorHAnsi" w:hAnsiTheme="minorHAnsi" w:cstheme="minorHAnsi"/>
          <w:i/>
          <w:color w:val="000000" w:themeColor="text1"/>
          <w:sz w:val="22"/>
          <w:szCs w:val="22"/>
        </w:rPr>
        <w:t>notion</w:t>
      </w:r>
      <w:proofErr w:type="spellEnd"/>
      <w:r w:rsidRPr="00F002D3">
        <w:rPr>
          <w:rFonts w:asciiTheme="minorHAnsi" w:eastAsiaTheme="minorHAnsi" w:hAnsiTheme="minorHAnsi" w:cstheme="minorHAnsi"/>
          <w:i/>
          <w:color w:val="000000" w:themeColor="text1"/>
          <w:sz w:val="22"/>
          <w:szCs w:val="22"/>
        </w:rPr>
        <w:t xml:space="preserve"> in partnership </w:t>
      </w:r>
      <w:proofErr w:type="spellStart"/>
      <w:r w:rsidRPr="00F002D3">
        <w:rPr>
          <w:rFonts w:asciiTheme="minorHAnsi" w:eastAsiaTheme="minorHAnsi" w:hAnsiTheme="minorHAnsi" w:cstheme="minorHAnsi"/>
          <w:i/>
          <w:color w:val="000000" w:themeColor="text1"/>
          <w:sz w:val="22"/>
          <w:szCs w:val="22"/>
        </w:rPr>
        <w:t>sourcing</w:t>
      </w:r>
      <w:proofErr w:type="spellEnd"/>
      <w:r w:rsidRPr="00F002D3">
        <w:rPr>
          <w:rFonts w:asciiTheme="minorHAnsi" w:eastAsiaTheme="minorHAnsi" w:hAnsiTheme="minorHAnsi" w:cstheme="minorHAnsi"/>
          <w:i/>
          <w:color w:val="000000" w:themeColor="text1"/>
          <w:sz w:val="22"/>
          <w:szCs w:val="22"/>
        </w:rPr>
        <w:t xml:space="preserve"> of </w:t>
      </w:r>
      <w:proofErr w:type="spellStart"/>
      <w:r w:rsidRPr="00F002D3">
        <w:rPr>
          <w:rFonts w:asciiTheme="minorHAnsi" w:eastAsiaTheme="minorHAnsi" w:hAnsiTheme="minorHAnsi" w:cstheme="minorHAnsi"/>
          <w:i/>
          <w:color w:val="000000" w:themeColor="text1"/>
          <w:sz w:val="22"/>
          <w:szCs w:val="22"/>
        </w:rPr>
        <w:t>buyers</w:t>
      </w:r>
      <w:proofErr w:type="spellEnd"/>
      <w:r w:rsidRPr="00F002D3">
        <w:rPr>
          <w:rFonts w:asciiTheme="minorHAnsi" w:eastAsiaTheme="minorHAnsi" w:hAnsiTheme="minorHAnsi" w:cstheme="minorHAnsi"/>
          <w:i/>
          <w:color w:val="000000" w:themeColor="text1"/>
          <w:sz w:val="22"/>
          <w:szCs w:val="22"/>
        </w:rPr>
        <w:t xml:space="preserve"> </w:t>
      </w:r>
      <w:proofErr w:type="spellStart"/>
      <w:r w:rsidRPr="00F002D3">
        <w:rPr>
          <w:rFonts w:asciiTheme="minorHAnsi" w:eastAsiaTheme="minorHAnsi" w:hAnsiTheme="minorHAnsi" w:cstheme="minorHAnsi"/>
          <w:i/>
          <w:color w:val="000000" w:themeColor="text1"/>
          <w:sz w:val="22"/>
          <w:szCs w:val="22"/>
        </w:rPr>
        <w:t>and</w:t>
      </w:r>
      <w:proofErr w:type="spellEnd"/>
      <w:r w:rsidRPr="00F002D3">
        <w:rPr>
          <w:rFonts w:asciiTheme="minorHAnsi" w:eastAsiaTheme="minorHAnsi" w:hAnsiTheme="minorHAnsi" w:cstheme="minorHAnsi"/>
          <w:i/>
          <w:color w:val="000000" w:themeColor="text1"/>
          <w:sz w:val="22"/>
          <w:szCs w:val="22"/>
        </w:rPr>
        <w:t xml:space="preserve"> </w:t>
      </w:r>
      <w:proofErr w:type="spellStart"/>
      <w:r w:rsidRPr="00F002D3">
        <w:rPr>
          <w:rFonts w:asciiTheme="minorHAnsi" w:eastAsiaTheme="minorHAnsi" w:hAnsiTheme="minorHAnsi" w:cstheme="minorHAnsi"/>
          <w:i/>
          <w:color w:val="000000" w:themeColor="text1"/>
          <w:sz w:val="22"/>
          <w:szCs w:val="22"/>
        </w:rPr>
        <w:t>suppliers</w:t>
      </w:r>
      <w:proofErr w:type="spellEnd"/>
      <w:r w:rsidRPr="00F002D3">
        <w:rPr>
          <w:rFonts w:asciiTheme="minorHAnsi" w:eastAsiaTheme="minorHAnsi" w:hAnsiTheme="minorHAnsi" w:cstheme="minorHAnsi"/>
          <w:i/>
          <w:color w:val="000000" w:themeColor="text1"/>
          <w:sz w:val="22"/>
          <w:szCs w:val="22"/>
        </w:rPr>
        <w:t xml:space="preserve"> opening </w:t>
      </w:r>
      <w:proofErr w:type="spellStart"/>
      <w:r w:rsidRPr="00F002D3">
        <w:rPr>
          <w:rFonts w:asciiTheme="minorHAnsi" w:eastAsiaTheme="minorHAnsi" w:hAnsiTheme="minorHAnsi" w:cstheme="minorHAnsi"/>
          <w:i/>
          <w:color w:val="000000" w:themeColor="text1"/>
          <w:sz w:val="22"/>
          <w:szCs w:val="22"/>
        </w:rPr>
        <w:t>their</w:t>
      </w:r>
      <w:proofErr w:type="spellEnd"/>
      <w:r w:rsidRPr="00F002D3">
        <w:rPr>
          <w:rFonts w:asciiTheme="minorHAnsi" w:eastAsiaTheme="minorHAnsi" w:hAnsiTheme="minorHAnsi" w:cstheme="minorHAnsi"/>
          <w:i/>
          <w:color w:val="000000" w:themeColor="text1"/>
          <w:sz w:val="22"/>
          <w:szCs w:val="22"/>
        </w:rPr>
        <w:t xml:space="preserve"> </w:t>
      </w:r>
      <w:proofErr w:type="spellStart"/>
      <w:r w:rsidRPr="00F002D3">
        <w:rPr>
          <w:rFonts w:asciiTheme="minorHAnsi" w:eastAsiaTheme="minorHAnsi" w:hAnsiTheme="minorHAnsi" w:cstheme="minorHAnsi"/>
          <w:i/>
          <w:color w:val="000000" w:themeColor="text1"/>
          <w:sz w:val="22"/>
          <w:szCs w:val="22"/>
        </w:rPr>
        <w:t>books</w:t>
      </w:r>
      <w:proofErr w:type="spellEnd"/>
      <w:r w:rsidRPr="00F002D3">
        <w:rPr>
          <w:rFonts w:asciiTheme="minorHAnsi" w:eastAsiaTheme="minorHAnsi" w:hAnsiTheme="minorHAnsi" w:cstheme="minorHAnsi"/>
          <w:i/>
          <w:color w:val="000000" w:themeColor="text1"/>
          <w:sz w:val="22"/>
          <w:szCs w:val="22"/>
        </w:rPr>
        <w:t xml:space="preserve"> </w:t>
      </w:r>
      <w:proofErr w:type="spellStart"/>
      <w:r w:rsidRPr="00F002D3">
        <w:rPr>
          <w:rFonts w:asciiTheme="minorHAnsi" w:eastAsiaTheme="minorHAnsi" w:hAnsiTheme="minorHAnsi" w:cstheme="minorHAnsi"/>
          <w:i/>
          <w:color w:val="000000" w:themeColor="text1"/>
          <w:sz w:val="22"/>
          <w:szCs w:val="22"/>
        </w:rPr>
        <w:t>to</w:t>
      </w:r>
      <w:proofErr w:type="spellEnd"/>
      <w:r w:rsidRPr="00F002D3">
        <w:rPr>
          <w:rFonts w:asciiTheme="minorHAnsi" w:eastAsiaTheme="minorHAnsi" w:hAnsiTheme="minorHAnsi" w:cstheme="minorHAnsi"/>
          <w:i/>
          <w:color w:val="000000" w:themeColor="text1"/>
          <w:sz w:val="22"/>
          <w:szCs w:val="22"/>
        </w:rPr>
        <w:t xml:space="preserve"> </w:t>
      </w:r>
      <w:proofErr w:type="spellStart"/>
      <w:r w:rsidRPr="00F002D3">
        <w:rPr>
          <w:rFonts w:asciiTheme="minorHAnsi" w:eastAsiaTheme="minorHAnsi" w:hAnsiTheme="minorHAnsi" w:cstheme="minorHAnsi"/>
          <w:i/>
          <w:color w:val="000000" w:themeColor="text1"/>
          <w:sz w:val="22"/>
          <w:szCs w:val="22"/>
        </w:rPr>
        <w:t>one</w:t>
      </w:r>
      <w:proofErr w:type="spellEnd"/>
      <w:r w:rsidRPr="00F002D3">
        <w:rPr>
          <w:rFonts w:asciiTheme="minorHAnsi" w:eastAsiaTheme="minorHAnsi" w:hAnsiTheme="minorHAnsi" w:cstheme="minorHAnsi"/>
          <w:i/>
          <w:color w:val="000000" w:themeColor="text1"/>
          <w:sz w:val="22"/>
          <w:szCs w:val="22"/>
        </w:rPr>
        <w:t xml:space="preserve"> </w:t>
      </w:r>
      <w:proofErr w:type="spellStart"/>
      <w:r w:rsidRPr="00F002D3">
        <w:rPr>
          <w:rFonts w:asciiTheme="minorHAnsi" w:eastAsiaTheme="minorHAnsi" w:hAnsiTheme="minorHAnsi" w:cstheme="minorHAnsi"/>
          <w:i/>
          <w:color w:val="000000" w:themeColor="text1"/>
          <w:sz w:val="22"/>
          <w:szCs w:val="22"/>
        </w:rPr>
        <w:t>another</w:t>
      </w:r>
      <w:proofErr w:type="spellEnd"/>
      <w:r w:rsidRPr="00F002D3">
        <w:rPr>
          <w:rFonts w:asciiTheme="minorHAnsi" w:eastAsiaTheme="minorHAnsi" w:hAnsiTheme="minorHAnsi" w:cstheme="minorHAnsi"/>
          <w:i/>
          <w:color w:val="000000" w:themeColor="text1"/>
          <w:sz w:val="22"/>
          <w:szCs w:val="22"/>
        </w:rPr>
        <w:t xml:space="preserve"> means </w:t>
      </w:r>
      <w:proofErr w:type="spellStart"/>
      <w:r w:rsidRPr="00F002D3">
        <w:rPr>
          <w:rFonts w:asciiTheme="minorHAnsi" w:eastAsiaTheme="minorHAnsi" w:hAnsiTheme="minorHAnsi" w:cstheme="minorHAnsi"/>
          <w:i/>
          <w:color w:val="000000" w:themeColor="text1"/>
          <w:sz w:val="22"/>
          <w:szCs w:val="22"/>
        </w:rPr>
        <w:t>that</w:t>
      </w:r>
      <w:proofErr w:type="spellEnd"/>
      <w:r w:rsidRPr="00F002D3">
        <w:rPr>
          <w:rFonts w:asciiTheme="minorHAnsi" w:eastAsiaTheme="minorHAnsi" w:hAnsiTheme="minorHAnsi" w:cstheme="minorHAnsi"/>
          <w:i/>
          <w:color w:val="000000" w:themeColor="text1"/>
          <w:sz w:val="22"/>
          <w:szCs w:val="22"/>
        </w:rPr>
        <w:t xml:space="preserve"> </w:t>
      </w:r>
      <w:proofErr w:type="spellStart"/>
      <w:r w:rsidRPr="00F002D3">
        <w:rPr>
          <w:rFonts w:asciiTheme="minorHAnsi" w:eastAsiaTheme="minorHAnsi" w:hAnsiTheme="minorHAnsi" w:cstheme="minorHAnsi"/>
          <w:i/>
          <w:color w:val="000000" w:themeColor="text1"/>
          <w:sz w:val="22"/>
          <w:szCs w:val="22"/>
        </w:rPr>
        <w:t>the</w:t>
      </w:r>
      <w:proofErr w:type="spellEnd"/>
      <w:r w:rsidRPr="00F002D3">
        <w:rPr>
          <w:rFonts w:asciiTheme="minorHAnsi" w:eastAsiaTheme="minorHAnsi" w:hAnsiTheme="minorHAnsi" w:cstheme="minorHAnsi"/>
          <w:i/>
          <w:color w:val="000000" w:themeColor="text1"/>
          <w:sz w:val="22"/>
          <w:szCs w:val="22"/>
        </w:rPr>
        <w:t xml:space="preserve"> </w:t>
      </w:r>
      <w:proofErr w:type="spellStart"/>
      <w:r w:rsidRPr="00F002D3">
        <w:rPr>
          <w:rFonts w:asciiTheme="minorHAnsi" w:eastAsiaTheme="minorHAnsi" w:hAnsiTheme="minorHAnsi" w:cstheme="minorHAnsi"/>
          <w:i/>
          <w:color w:val="000000" w:themeColor="text1"/>
          <w:sz w:val="22"/>
          <w:szCs w:val="22"/>
        </w:rPr>
        <w:t>buyer</w:t>
      </w:r>
      <w:proofErr w:type="spellEnd"/>
      <w:r w:rsidRPr="00F002D3">
        <w:rPr>
          <w:rFonts w:asciiTheme="minorHAnsi" w:eastAsiaTheme="minorHAnsi" w:hAnsiTheme="minorHAnsi" w:cstheme="minorHAnsi"/>
          <w:i/>
          <w:color w:val="000000" w:themeColor="text1"/>
          <w:sz w:val="22"/>
          <w:szCs w:val="22"/>
        </w:rPr>
        <w:t xml:space="preserve"> is </w:t>
      </w:r>
      <w:proofErr w:type="spellStart"/>
      <w:r w:rsidRPr="00F002D3">
        <w:rPr>
          <w:rFonts w:asciiTheme="minorHAnsi" w:eastAsiaTheme="minorHAnsi" w:hAnsiTheme="minorHAnsi" w:cstheme="minorHAnsi"/>
          <w:i/>
          <w:color w:val="000000" w:themeColor="text1"/>
          <w:sz w:val="22"/>
          <w:szCs w:val="22"/>
        </w:rPr>
        <w:t>likely</w:t>
      </w:r>
      <w:proofErr w:type="spellEnd"/>
      <w:r w:rsidRPr="00F002D3">
        <w:rPr>
          <w:rFonts w:asciiTheme="minorHAnsi" w:eastAsiaTheme="minorHAnsi" w:hAnsiTheme="minorHAnsi" w:cstheme="minorHAnsi"/>
          <w:i/>
          <w:color w:val="000000" w:themeColor="text1"/>
          <w:sz w:val="22"/>
          <w:szCs w:val="22"/>
        </w:rPr>
        <w:t xml:space="preserve"> </w:t>
      </w:r>
      <w:proofErr w:type="spellStart"/>
      <w:r w:rsidRPr="00F002D3">
        <w:rPr>
          <w:rFonts w:asciiTheme="minorHAnsi" w:eastAsiaTheme="minorHAnsi" w:hAnsiTheme="minorHAnsi" w:cstheme="minorHAnsi"/>
          <w:i/>
          <w:color w:val="000000" w:themeColor="text1"/>
          <w:sz w:val="22"/>
          <w:szCs w:val="22"/>
        </w:rPr>
        <w:t>to</w:t>
      </w:r>
      <w:proofErr w:type="spellEnd"/>
      <w:r w:rsidRPr="00F002D3">
        <w:rPr>
          <w:rFonts w:asciiTheme="minorHAnsi" w:eastAsiaTheme="minorHAnsi" w:hAnsiTheme="minorHAnsi" w:cstheme="minorHAnsi"/>
          <w:i/>
          <w:color w:val="000000" w:themeColor="text1"/>
          <w:sz w:val="22"/>
          <w:szCs w:val="22"/>
        </w:rPr>
        <w:t xml:space="preserve"> </w:t>
      </w:r>
      <w:proofErr w:type="spellStart"/>
      <w:r w:rsidRPr="00F002D3">
        <w:rPr>
          <w:rFonts w:asciiTheme="minorHAnsi" w:eastAsiaTheme="minorHAnsi" w:hAnsiTheme="minorHAnsi" w:cstheme="minorHAnsi"/>
          <w:i/>
          <w:color w:val="000000" w:themeColor="text1"/>
          <w:sz w:val="22"/>
          <w:szCs w:val="22"/>
        </w:rPr>
        <w:t>obtain</w:t>
      </w:r>
      <w:proofErr w:type="spellEnd"/>
      <w:r w:rsidRPr="00F002D3">
        <w:rPr>
          <w:rFonts w:asciiTheme="minorHAnsi" w:eastAsiaTheme="minorHAnsi" w:hAnsiTheme="minorHAnsi" w:cstheme="minorHAnsi"/>
          <w:i/>
          <w:color w:val="000000" w:themeColor="text1"/>
          <w:sz w:val="22"/>
          <w:szCs w:val="22"/>
        </w:rPr>
        <w:t xml:space="preserve"> </w:t>
      </w:r>
      <w:proofErr w:type="spellStart"/>
      <w:r w:rsidRPr="00F002D3">
        <w:rPr>
          <w:rFonts w:asciiTheme="minorHAnsi" w:eastAsiaTheme="minorHAnsi" w:hAnsiTheme="minorHAnsi" w:cstheme="minorHAnsi"/>
          <w:i/>
          <w:color w:val="000000" w:themeColor="text1"/>
          <w:sz w:val="22"/>
          <w:szCs w:val="22"/>
        </w:rPr>
        <w:t>similar</w:t>
      </w:r>
      <w:proofErr w:type="spellEnd"/>
      <w:r w:rsidRPr="00F002D3">
        <w:rPr>
          <w:rFonts w:asciiTheme="minorHAnsi" w:eastAsiaTheme="minorHAnsi" w:hAnsiTheme="minorHAnsi" w:cstheme="minorHAnsi"/>
          <w:i/>
          <w:color w:val="000000" w:themeColor="text1"/>
          <w:sz w:val="22"/>
          <w:szCs w:val="22"/>
        </w:rPr>
        <w:t xml:space="preserve"> information </w:t>
      </w:r>
      <w:proofErr w:type="spellStart"/>
      <w:r w:rsidRPr="00F002D3">
        <w:rPr>
          <w:rFonts w:asciiTheme="minorHAnsi" w:eastAsiaTheme="minorHAnsi" w:hAnsiTheme="minorHAnsi" w:cstheme="minorHAnsi"/>
          <w:i/>
          <w:color w:val="000000" w:themeColor="text1"/>
          <w:sz w:val="22"/>
          <w:szCs w:val="22"/>
        </w:rPr>
        <w:t>directly</w:t>
      </w:r>
      <w:proofErr w:type="spellEnd"/>
      <w:r w:rsidRPr="00F002D3">
        <w:rPr>
          <w:rFonts w:asciiTheme="minorHAnsi" w:eastAsiaTheme="minorHAnsi" w:hAnsiTheme="minorHAnsi" w:cstheme="minorHAnsi"/>
          <w:i/>
          <w:color w:val="000000" w:themeColor="text1"/>
          <w:sz w:val="22"/>
          <w:szCs w:val="22"/>
        </w:rPr>
        <w:t xml:space="preserve">. </w:t>
      </w:r>
      <w:r w:rsidRPr="00F002D3">
        <w:rPr>
          <w:rFonts w:asciiTheme="minorHAnsi" w:eastAsiaTheme="minorHAnsi" w:hAnsiTheme="minorHAnsi" w:cstheme="minorHAnsi"/>
          <w:i/>
          <w:color w:val="000000" w:themeColor="text1"/>
          <w:sz w:val="22"/>
          <w:szCs w:val="22"/>
          <w:lang w:val="en-US"/>
        </w:rPr>
        <w:t>Interestingly, it is in the interests of the supplier not to reveal accurate information about its X-efficient costs of supply and to inflate these costs</w:t>
      </w:r>
      <w:r w:rsidRPr="00F002D3">
        <w:rPr>
          <w:rFonts w:asciiTheme="minorHAnsi" w:eastAsiaTheme="minorHAnsi" w:hAnsiTheme="minorHAnsi" w:cstheme="minorHAnsi"/>
          <w:color w:val="000000" w:themeColor="text1"/>
          <w:sz w:val="22"/>
          <w:szCs w:val="22"/>
          <w:lang w:val="en-US"/>
        </w:rPr>
        <w:t xml:space="preserve">” (p.121). </w:t>
      </w:r>
      <w:r w:rsidR="00D52939" w:rsidRPr="00F002D3">
        <w:rPr>
          <w:rFonts w:asciiTheme="minorHAnsi" w:eastAsiaTheme="minorHAnsi" w:hAnsiTheme="minorHAnsi" w:cstheme="minorHAnsi"/>
          <w:color w:val="000000" w:themeColor="text1"/>
          <w:sz w:val="22"/>
          <w:szCs w:val="22"/>
        </w:rPr>
        <w:t xml:space="preserve">Om strategische redenen kunnen de actoren hun ambities en belangrijke informatie verborgen houden (Edelenbos &amp; Klijn, 2007). </w:t>
      </w:r>
      <w:r w:rsidRPr="00F002D3">
        <w:rPr>
          <w:rFonts w:asciiTheme="minorHAnsi" w:eastAsiaTheme="minorHAnsi" w:hAnsiTheme="minorHAnsi" w:cstheme="minorHAnsi"/>
          <w:color w:val="000000" w:themeColor="text1"/>
          <w:sz w:val="22"/>
          <w:szCs w:val="22"/>
        </w:rPr>
        <w:t>Het is dus voor de leverancier aantrekkelijk om de koper niet van accurate informatie te voorzien. Hierdoor kan de leverancier de kosten hoger doen lijken dan in werkelij</w:t>
      </w:r>
      <w:r w:rsidR="00F32630" w:rsidRPr="00F002D3">
        <w:rPr>
          <w:rFonts w:asciiTheme="minorHAnsi" w:eastAsiaTheme="minorHAnsi" w:hAnsiTheme="minorHAnsi" w:cstheme="minorHAnsi"/>
          <w:color w:val="000000" w:themeColor="text1"/>
          <w:sz w:val="22"/>
          <w:szCs w:val="22"/>
        </w:rPr>
        <w:t>k</w:t>
      </w:r>
      <w:r w:rsidR="002F34A2">
        <w:rPr>
          <w:rFonts w:asciiTheme="minorHAnsi" w:eastAsiaTheme="minorHAnsi" w:hAnsiTheme="minorHAnsi" w:cstheme="minorHAnsi"/>
          <w:color w:val="000000" w:themeColor="text1"/>
          <w:sz w:val="22"/>
          <w:szCs w:val="22"/>
        </w:rPr>
        <w:t>heid</w:t>
      </w:r>
      <w:r w:rsidR="00F32630" w:rsidRPr="00F002D3">
        <w:rPr>
          <w:rFonts w:asciiTheme="minorHAnsi" w:eastAsiaTheme="minorHAnsi" w:hAnsiTheme="minorHAnsi" w:cstheme="minorHAnsi"/>
          <w:color w:val="000000" w:themeColor="text1"/>
          <w:sz w:val="22"/>
          <w:szCs w:val="22"/>
        </w:rPr>
        <w:t xml:space="preserve"> het geval is. De leverancier</w:t>
      </w:r>
      <w:r w:rsidRPr="00F002D3">
        <w:rPr>
          <w:rFonts w:asciiTheme="minorHAnsi" w:eastAsiaTheme="minorHAnsi" w:hAnsiTheme="minorHAnsi" w:cstheme="minorHAnsi"/>
          <w:color w:val="000000" w:themeColor="text1"/>
          <w:sz w:val="22"/>
          <w:szCs w:val="22"/>
        </w:rPr>
        <w:t xml:space="preserve"> gedraagt zich in dat geval</w:t>
      </w:r>
      <w:r w:rsidR="002F34A2">
        <w:rPr>
          <w:rFonts w:asciiTheme="minorHAnsi" w:eastAsiaTheme="minorHAnsi" w:hAnsiTheme="minorHAnsi" w:cstheme="minorHAnsi"/>
          <w:color w:val="000000" w:themeColor="text1"/>
          <w:sz w:val="22"/>
          <w:szCs w:val="22"/>
        </w:rPr>
        <w:t xml:space="preserve"> vanuit strategische redenen</w:t>
      </w:r>
      <w:r w:rsidRPr="00F002D3">
        <w:rPr>
          <w:rFonts w:asciiTheme="minorHAnsi" w:eastAsiaTheme="minorHAnsi" w:hAnsiTheme="minorHAnsi" w:cstheme="minorHAnsi"/>
          <w:color w:val="000000" w:themeColor="text1"/>
          <w:sz w:val="22"/>
          <w:szCs w:val="22"/>
        </w:rPr>
        <w:t xml:space="preserve"> opportunistisch.</w:t>
      </w:r>
      <w:r w:rsidR="007D516C" w:rsidRPr="00F002D3">
        <w:rPr>
          <w:rFonts w:asciiTheme="minorHAnsi" w:eastAsiaTheme="minorHAnsi" w:hAnsiTheme="minorHAnsi" w:cstheme="minorHAnsi"/>
          <w:color w:val="000000" w:themeColor="text1"/>
          <w:sz w:val="22"/>
          <w:szCs w:val="22"/>
        </w:rPr>
        <w:t xml:space="preserve"> </w:t>
      </w:r>
      <w:r w:rsidR="00240B3A" w:rsidRPr="00F002D3">
        <w:rPr>
          <w:rFonts w:asciiTheme="minorHAnsi" w:eastAsiaTheme="minorHAnsi" w:hAnsiTheme="minorHAnsi" w:cstheme="minorHAnsi"/>
          <w:color w:val="000000" w:themeColor="text1"/>
          <w:sz w:val="22"/>
          <w:szCs w:val="22"/>
        </w:rPr>
        <w:t>De opdrachtgever kan ten onrechte het gevoel hebben dat de keuze door rationele afwegingen tot stand komt.</w:t>
      </w:r>
      <w:r w:rsidR="007D516C" w:rsidRPr="00F002D3">
        <w:rPr>
          <w:rFonts w:asciiTheme="minorHAnsi" w:eastAsiaTheme="minorHAnsi" w:hAnsiTheme="minorHAnsi" w:cstheme="minorHAnsi"/>
          <w:color w:val="000000" w:themeColor="text1"/>
          <w:sz w:val="22"/>
          <w:szCs w:val="22"/>
        </w:rPr>
        <w:t xml:space="preserve"> </w:t>
      </w:r>
      <w:r w:rsidR="00240B3A" w:rsidRPr="00F002D3">
        <w:rPr>
          <w:rFonts w:asciiTheme="minorHAnsi" w:eastAsiaTheme="minorHAnsi" w:hAnsiTheme="minorHAnsi" w:cstheme="minorHAnsi"/>
          <w:color w:val="000000" w:themeColor="text1"/>
          <w:sz w:val="22"/>
          <w:szCs w:val="22"/>
        </w:rPr>
        <w:t xml:space="preserve">Een opportunistisch handelende leverancier maakt in dat geval gebruik van keuzearchitectuur. </w:t>
      </w:r>
      <w:r w:rsidR="00F32630" w:rsidRPr="00F002D3">
        <w:rPr>
          <w:rFonts w:asciiTheme="minorHAnsi" w:hAnsiTheme="minorHAnsi" w:cstheme="minorHAnsi"/>
          <w:sz w:val="22"/>
          <w:szCs w:val="22"/>
        </w:rPr>
        <w:t>Keuzearchitectuur betreft het formuleren of aanbieden van keuzemogelijkheden op</w:t>
      </w:r>
      <w:r w:rsidR="003E2367" w:rsidRPr="00F002D3">
        <w:rPr>
          <w:rFonts w:asciiTheme="minorHAnsi" w:hAnsiTheme="minorHAnsi" w:cstheme="minorHAnsi"/>
          <w:sz w:val="22"/>
          <w:szCs w:val="22"/>
        </w:rPr>
        <w:t xml:space="preserve"> </w:t>
      </w:r>
      <w:r w:rsidR="00F32630" w:rsidRPr="00F002D3">
        <w:rPr>
          <w:rFonts w:asciiTheme="minorHAnsi" w:hAnsiTheme="minorHAnsi" w:cstheme="minorHAnsi"/>
          <w:sz w:val="22"/>
          <w:szCs w:val="22"/>
        </w:rPr>
        <w:t>een manier dat de meeste mensen voorspelbaar zullen kiezen zonder dat ze daartoe verplicht worden (</w:t>
      </w:r>
      <w:proofErr w:type="spellStart"/>
      <w:r w:rsidR="00AE1D71">
        <w:rPr>
          <w:rFonts w:asciiTheme="minorHAnsi" w:hAnsiTheme="minorHAnsi" w:cstheme="minorHAnsi"/>
          <w:sz w:val="22"/>
          <w:szCs w:val="22"/>
        </w:rPr>
        <w:t>Balz</w:t>
      </w:r>
      <w:proofErr w:type="spellEnd"/>
      <w:r w:rsidR="00AE1D71">
        <w:rPr>
          <w:rFonts w:asciiTheme="minorHAnsi" w:hAnsiTheme="minorHAnsi" w:cstheme="minorHAnsi"/>
          <w:sz w:val="22"/>
          <w:szCs w:val="22"/>
        </w:rPr>
        <w:t xml:space="preserve"> </w:t>
      </w:r>
      <w:r w:rsidR="000B47A7">
        <w:rPr>
          <w:rFonts w:asciiTheme="minorHAnsi" w:hAnsiTheme="minorHAnsi" w:cstheme="minorHAnsi"/>
          <w:sz w:val="22"/>
          <w:szCs w:val="22"/>
        </w:rPr>
        <w:t>et</w:t>
      </w:r>
      <w:r w:rsidR="00AE1D71">
        <w:rPr>
          <w:rFonts w:asciiTheme="minorHAnsi" w:hAnsiTheme="minorHAnsi" w:cstheme="minorHAnsi"/>
          <w:sz w:val="22"/>
          <w:szCs w:val="22"/>
        </w:rPr>
        <w:t xml:space="preserve"> al. 2014</w:t>
      </w:r>
      <w:r w:rsidR="00F32630" w:rsidRPr="00F002D3">
        <w:rPr>
          <w:rFonts w:asciiTheme="minorHAnsi" w:hAnsiTheme="minorHAnsi" w:cstheme="minorHAnsi"/>
          <w:sz w:val="22"/>
          <w:szCs w:val="22"/>
        </w:rPr>
        <w:t xml:space="preserve">). </w:t>
      </w:r>
      <w:r w:rsidR="00240B3A" w:rsidRPr="00F002D3">
        <w:rPr>
          <w:rFonts w:asciiTheme="minorHAnsi" w:hAnsiTheme="minorHAnsi" w:cstheme="minorHAnsi"/>
          <w:sz w:val="22"/>
          <w:szCs w:val="22"/>
        </w:rPr>
        <w:t>Gedrag is voorspelbaar omdat m</w:t>
      </w:r>
      <w:r w:rsidR="00F32630" w:rsidRPr="00F002D3">
        <w:rPr>
          <w:rFonts w:asciiTheme="minorHAnsi" w:hAnsiTheme="minorHAnsi" w:cstheme="minorHAnsi"/>
          <w:sz w:val="22"/>
          <w:szCs w:val="22"/>
        </w:rPr>
        <w:t xml:space="preserve">ensen </w:t>
      </w:r>
      <w:r w:rsidR="00240B3A" w:rsidRPr="00F002D3">
        <w:rPr>
          <w:rFonts w:asciiTheme="minorHAnsi" w:hAnsiTheme="minorHAnsi" w:cstheme="minorHAnsi"/>
          <w:sz w:val="22"/>
          <w:szCs w:val="22"/>
        </w:rPr>
        <w:t>van nature</w:t>
      </w:r>
      <w:r w:rsidR="00F32630" w:rsidRPr="00F002D3">
        <w:rPr>
          <w:rFonts w:asciiTheme="minorHAnsi" w:hAnsiTheme="minorHAnsi" w:cstheme="minorHAnsi"/>
          <w:sz w:val="22"/>
          <w:szCs w:val="22"/>
        </w:rPr>
        <w:t xml:space="preserve"> de neiging</w:t>
      </w:r>
      <w:r w:rsidR="00240B3A" w:rsidRPr="00F002D3">
        <w:rPr>
          <w:rFonts w:asciiTheme="minorHAnsi" w:hAnsiTheme="minorHAnsi" w:cstheme="minorHAnsi"/>
          <w:sz w:val="22"/>
          <w:szCs w:val="22"/>
        </w:rPr>
        <w:t xml:space="preserve"> hebben</w:t>
      </w:r>
      <w:r w:rsidR="00F32630" w:rsidRPr="00F002D3">
        <w:rPr>
          <w:rFonts w:asciiTheme="minorHAnsi" w:hAnsiTheme="minorHAnsi" w:cstheme="minorHAnsi"/>
          <w:sz w:val="22"/>
          <w:szCs w:val="22"/>
        </w:rPr>
        <w:t xml:space="preserve"> om zaken uit te stellen en </w:t>
      </w:r>
      <w:r w:rsidR="00FA36F1" w:rsidRPr="00F002D3">
        <w:rPr>
          <w:rFonts w:asciiTheme="minorHAnsi" w:hAnsiTheme="minorHAnsi" w:cstheme="minorHAnsi"/>
          <w:sz w:val="22"/>
          <w:szCs w:val="22"/>
        </w:rPr>
        <w:t xml:space="preserve">zodoende de status quo te behouden. </w:t>
      </w:r>
      <w:r w:rsidR="006D19EA" w:rsidRPr="00F002D3">
        <w:rPr>
          <w:rFonts w:asciiTheme="minorHAnsi" w:hAnsiTheme="minorHAnsi" w:cstheme="minorHAnsi"/>
          <w:sz w:val="22"/>
          <w:szCs w:val="22"/>
        </w:rPr>
        <w:t>K</w:t>
      </w:r>
      <w:r w:rsidR="00F32630" w:rsidRPr="00F002D3">
        <w:rPr>
          <w:rFonts w:asciiTheme="minorHAnsi" w:hAnsiTheme="minorHAnsi" w:cstheme="minorHAnsi"/>
          <w:sz w:val="22"/>
          <w:szCs w:val="22"/>
        </w:rPr>
        <w:t xml:space="preserve">euzearchitectuur </w:t>
      </w:r>
      <w:r w:rsidR="00FF55F5" w:rsidRPr="00F002D3">
        <w:rPr>
          <w:rFonts w:asciiTheme="minorHAnsi" w:hAnsiTheme="minorHAnsi" w:cstheme="minorHAnsi"/>
          <w:sz w:val="22"/>
          <w:szCs w:val="22"/>
        </w:rPr>
        <w:t>beïnvloedt</w:t>
      </w:r>
      <w:r w:rsidR="00F32630" w:rsidRPr="00F002D3">
        <w:rPr>
          <w:rFonts w:asciiTheme="minorHAnsi" w:hAnsiTheme="minorHAnsi" w:cstheme="minorHAnsi"/>
          <w:sz w:val="22"/>
          <w:szCs w:val="22"/>
        </w:rPr>
        <w:t xml:space="preserve"> de keuze van de inkoper (</w:t>
      </w:r>
      <w:proofErr w:type="spellStart"/>
      <w:r w:rsidR="00F32630" w:rsidRPr="00F002D3">
        <w:rPr>
          <w:rFonts w:asciiTheme="minorHAnsi" w:hAnsiTheme="minorHAnsi" w:cstheme="minorHAnsi"/>
          <w:sz w:val="22"/>
          <w:szCs w:val="22"/>
        </w:rPr>
        <w:t>Tiemeier</w:t>
      </w:r>
      <w:proofErr w:type="spellEnd"/>
      <w:r w:rsidR="00F32630" w:rsidRPr="00F002D3">
        <w:rPr>
          <w:rFonts w:asciiTheme="minorHAnsi" w:hAnsiTheme="minorHAnsi" w:cstheme="minorHAnsi"/>
          <w:sz w:val="22"/>
          <w:szCs w:val="22"/>
        </w:rPr>
        <w:t xml:space="preserve"> et </w:t>
      </w:r>
      <w:r w:rsidR="000B47A7">
        <w:rPr>
          <w:rFonts w:asciiTheme="minorHAnsi" w:hAnsiTheme="minorHAnsi" w:cstheme="minorHAnsi"/>
          <w:sz w:val="22"/>
          <w:szCs w:val="22"/>
        </w:rPr>
        <w:t>al.</w:t>
      </w:r>
      <w:r w:rsidR="00F32630" w:rsidRPr="00F002D3">
        <w:rPr>
          <w:rFonts w:asciiTheme="minorHAnsi" w:hAnsiTheme="minorHAnsi" w:cstheme="minorHAnsi"/>
          <w:sz w:val="22"/>
          <w:szCs w:val="22"/>
        </w:rPr>
        <w:t xml:space="preserve"> 2009; </w:t>
      </w:r>
      <w:proofErr w:type="spellStart"/>
      <w:r w:rsidR="00AE1D71">
        <w:rPr>
          <w:rFonts w:asciiTheme="minorHAnsi" w:hAnsiTheme="minorHAnsi" w:cstheme="minorHAnsi"/>
          <w:sz w:val="22"/>
          <w:szCs w:val="22"/>
        </w:rPr>
        <w:t>Balz</w:t>
      </w:r>
      <w:proofErr w:type="spellEnd"/>
      <w:r w:rsidR="00AE1D71">
        <w:rPr>
          <w:rFonts w:asciiTheme="minorHAnsi" w:hAnsiTheme="minorHAnsi" w:cstheme="minorHAnsi"/>
          <w:sz w:val="22"/>
          <w:szCs w:val="22"/>
        </w:rPr>
        <w:t xml:space="preserve"> </w:t>
      </w:r>
      <w:r w:rsidR="000B47A7">
        <w:rPr>
          <w:rFonts w:asciiTheme="minorHAnsi" w:hAnsiTheme="minorHAnsi" w:cstheme="minorHAnsi"/>
          <w:sz w:val="22"/>
          <w:szCs w:val="22"/>
        </w:rPr>
        <w:t>et</w:t>
      </w:r>
      <w:r w:rsidR="00AE1D71">
        <w:rPr>
          <w:rFonts w:asciiTheme="minorHAnsi" w:hAnsiTheme="minorHAnsi" w:cstheme="minorHAnsi"/>
          <w:sz w:val="22"/>
          <w:szCs w:val="22"/>
        </w:rPr>
        <w:t xml:space="preserve"> al. 2014</w:t>
      </w:r>
      <w:r w:rsidR="00F32630" w:rsidRPr="00F002D3">
        <w:rPr>
          <w:rFonts w:asciiTheme="minorHAnsi" w:hAnsiTheme="minorHAnsi" w:cstheme="minorHAnsi"/>
          <w:sz w:val="22"/>
          <w:szCs w:val="22"/>
        </w:rPr>
        <w:t xml:space="preserve">). </w:t>
      </w:r>
      <w:r w:rsidR="003E2367" w:rsidRPr="00F002D3">
        <w:rPr>
          <w:rFonts w:asciiTheme="minorHAnsi" w:hAnsiTheme="minorHAnsi" w:cstheme="minorHAnsi"/>
          <w:sz w:val="22"/>
          <w:szCs w:val="22"/>
        </w:rPr>
        <w:t>Het</w:t>
      </w:r>
      <w:r w:rsidR="00F32630" w:rsidRPr="00F002D3">
        <w:rPr>
          <w:rFonts w:asciiTheme="minorHAnsi" w:hAnsiTheme="minorHAnsi" w:cstheme="minorHAnsi"/>
          <w:sz w:val="22"/>
          <w:szCs w:val="22"/>
        </w:rPr>
        <w:t xml:space="preserve"> gewenste resultaat wordt op een strategische plek gepresenteerd of als de standaardoptie aangegeven (Rijksoverheid, z.j.). De leverancier gebruikt keuzearchitectuur om </w:t>
      </w:r>
      <w:r w:rsidR="003E2367" w:rsidRPr="00F002D3">
        <w:rPr>
          <w:rFonts w:asciiTheme="minorHAnsi" w:hAnsiTheme="minorHAnsi" w:cstheme="minorHAnsi"/>
          <w:sz w:val="22"/>
          <w:szCs w:val="22"/>
        </w:rPr>
        <w:t>het</w:t>
      </w:r>
      <w:r w:rsidR="00F32630" w:rsidRPr="00F002D3">
        <w:rPr>
          <w:rFonts w:asciiTheme="minorHAnsi" w:hAnsiTheme="minorHAnsi" w:cstheme="minorHAnsi"/>
          <w:sz w:val="22"/>
          <w:szCs w:val="22"/>
        </w:rPr>
        <w:t xml:space="preserve"> meest gunstige resultaat v</w:t>
      </w:r>
      <w:r w:rsidR="00FA36F1" w:rsidRPr="00F002D3">
        <w:rPr>
          <w:rFonts w:asciiTheme="minorHAnsi" w:hAnsiTheme="minorHAnsi" w:cstheme="minorHAnsi"/>
          <w:sz w:val="22"/>
          <w:szCs w:val="22"/>
        </w:rPr>
        <w:t>oor hem te realiseren. A</w:t>
      </w:r>
      <w:r w:rsidR="00F32630" w:rsidRPr="00F002D3">
        <w:rPr>
          <w:rFonts w:asciiTheme="minorHAnsi" w:hAnsiTheme="minorHAnsi" w:cstheme="minorHAnsi"/>
          <w:sz w:val="22"/>
          <w:szCs w:val="22"/>
        </w:rPr>
        <w:t>anwezige informatieasymmetri</w:t>
      </w:r>
      <w:r w:rsidR="00FA36F1" w:rsidRPr="00F002D3">
        <w:rPr>
          <w:rFonts w:asciiTheme="minorHAnsi" w:hAnsiTheme="minorHAnsi" w:cstheme="minorHAnsi"/>
          <w:sz w:val="22"/>
          <w:szCs w:val="22"/>
        </w:rPr>
        <w:t>e maakt dit mogelijk</w:t>
      </w:r>
      <w:r w:rsidR="00F32630" w:rsidRPr="00F002D3">
        <w:rPr>
          <w:rFonts w:asciiTheme="minorHAnsi" w:hAnsiTheme="minorHAnsi" w:cstheme="minorHAnsi"/>
          <w:sz w:val="22"/>
          <w:szCs w:val="22"/>
        </w:rPr>
        <w:t xml:space="preserve">. De inkoper is immers niet bewust van de alternatieven waardoor hij afhankelijk is van de </w:t>
      </w:r>
      <w:r w:rsidR="00DB0E0C" w:rsidRPr="00F002D3">
        <w:rPr>
          <w:rFonts w:asciiTheme="minorHAnsi" w:hAnsiTheme="minorHAnsi" w:cstheme="minorHAnsi"/>
          <w:sz w:val="22"/>
          <w:szCs w:val="22"/>
        </w:rPr>
        <w:t>leverancier. Als eenmaal de keuze</w:t>
      </w:r>
      <w:r w:rsidR="00F32630" w:rsidRPr="00F002D3">
        <w:rPr>
          <w:rFonts w:asciiTheme="minorHAnsi" w:hAnsiTheme="minorHAnsi" w:cstheme="minorHAnsi"/>
          <w:sz w:val="22"/>
          <w:szCs w:val="22"/>
        </w:rPr>
        <w:t xml:space="preserve"> is gema</w:t>
      </w:r>
      <w:r w:rsidR="00AA1BD4" w:rsidRPr="00F002D3">
        <w:rPr>
          <w:rFonts w:asciiTheme="minorHAnsi" w:hAnsiTheme="minorHAnsi" w:cstheme="minorHAnsi"/>
          <w:sz w:val="22"/>
          <w:szCs w:val="22"/>
        </w:rPr>
        <w:t>akt geldt dit als een status quo</w:t>
      </w:r>
      <w:r w:rsidR="00F32630" w:rsidRPr="00F002D3">
        <w:rPr>
          <w:rFonts w:asciiTheme="minorHAnsi" w:hAnsiTheme="minorHAnsi" w:cstheme="minorHAnsi"/>
          <w:sz w:val="22"/>
          <w:szCs w:val="22"/>
        </w:rPr>
        <w:t xml:space="preserve">. </w:t>
      </w:r>
      <w:r w:rsidR="00251FA4" w:rsidRPr="00F002D3">
        <w:rPr>
          <w:rFonts w:asciiTheme="minorHAnsi" w:hAnsiTheme="minorHAnsi" w:cstheme="minorHAnsi"/>
          <w:sz w:val="22"/>
          <w:szCs w:val="22"/>
        </w:rPr>
        <w:t xml:space="preserve">De keuzearchitectuur van de opdrachtnemer wordt versterkt door het </w:t>
      </w:r>
      <w:r w:rsidR="00A97B13" w:rsidRPr="00F002D3">
        <w:rPr>
          <w:rFonts w:asciiTheme="minorHAnsi" w:hAnsiTheme="minorHAnsi" w:cstheme="minorHAnsi"/>
          <w:sz w:val="22"/>
          <w:szCs w:val="22"/>
        </w:rPr>
        <w:t>‘</w:t>
      </w:r>
      <w:proofErr w:type="spellStart"/>
      <w:r w:rsidR="00251FA4" w:rsidRPr="00F002D3">
        <w:rPr>
          <w:rFonts w:asciiTheme="minorHAnsi" w:hAnsiTheme="minorHAnsi" w:cstheme="minorHAnsi"/>
          <w:sz w:val="22"/>
          <w:szCs w:val="22"/>
        </w:rPr>
        <w:t>endowment</w:t>
      </w:r>
      <w:proofErr w:type="spellEnd"/>
      <w:r w:rsidR="00251FA4" w:rsidRPr="00F002D3">
        <w:rPr>
          <w:rFonts w:asciiTheme="minorHAnsi" w:hAnsiTheme="minorHAnsi" w:cstheme="minorHAnsi"/>
          <w:sz w:val="22"/>
          <w:szCs w:val="22"/>
        </w:rPr>
        <w:t xml:space="preserve"> effect</w:t>
      </w:r>
      <w:r w:rsidR="00A97B13" w:rsidRPr="00F002D3">
        <w:rPr>
          <w:rFonts w:asciiTheme="minorHAnsi" w:hAnsiTheme="minorHAnsi" w:cstheme="minorHAnsi"/>
          <w:sz w:val="22"/>
          <w:szCs w:val="22"/>
        </w:rPr>
        <w:t>’</w:t>
      </w:r>
      <w:r w:rsidR="00251FA4" w:rsidRPr="00F002D3">
        <w:rPr>
          <w:rFonts w:asciiTheme="minorHAnsi" w:hAnsiTheme="minorHAnsi" w:cstheme="minorHAnsi"/>
          <w:sz w:val="22"/>
          <w:szCs w:val="22"/>
        </w:rPr>
        <w:t xml:space="preserve"> van de koper.</w:t>
      </w:r>
      <w:r w:rsidR="00B359FD" w:rsidRPr="00F002D3">
        <w:rPr>
          <w:rFonts w:asciiTheme="minorHAnsi" w:hAnsiTheme="minorHAnsi" w:cstheme="minorHAnsi"/>
          <w:sz w:val="22"/>
          <w:szCs w:val="22"/>
        </w:rPr>
        <w:t xml:space="preserve"> </w:t>
      </w:r>
      <w:r w:rsidR="004146F2" w:rsidRPr="00F002D3">
        <w:rPr>
          <w:rFonts w:asciiTheme="minorHAnsi" w:eastAsiaTheme="minorHAnsi" w:hAnsiTheme="minorHAnsi" w:cstheme="minorHAnsi"/>
          <w:sz w:val="22"/>
          <w:szCs w:val="22"/>
        </w:rPr>
        <w:t xml:space="preserve">Bij onvoldoende kennis kan het </w:t>
      </w:r>
      <w:proofErr w:type="spellStart"/>
      <w:r w:rsidR="004146F2" w:rsidRPr="00F002D3">
        <w:rPr>
          <w:rFonts w:asciiTheme="minorHAnsi" w:eastAsiaTheme="minorHAnsi" w:hAnsiTheme="minorHAnsi" w:cstheme="minorHAnsi"/>
          <w:sz w:val="22"/>
          <w:szCs w:val="22"/>
        </w:rPr>
        <w:t>endowm</w:t>
      </w:r>
      <w:r w:rsidR="00747938" w:rsidRPr="00F002D3">
        <w:rPr>
          <w:rFonts w:asciiTheme="minorHAnsi" w:eastAsiaTheme="minorHAnsi" w:hAnsiTheme="minorHAnsi" w:cstheme="minorHAnsi"/>
          <w:sz w:val="22"/>
          <w:szCs w:val="22"/>
        </w:rPr>
        <w:t>ent</w:t>
      </w:r>
      <w:proofErr w:type="spellEnd"/>
      <w:r w:rsidR="00747938" w:rsidRPr="00F002D3">
        <w:rPr>
          <w:rFonts w:asciiTheme="minorHAnsi" w:eastAsiaTheme="minorHAnsi" w:hAnsiTheme="minorHAnsi" w:cstheme="minorHAnsi"/>
          <w:sz w:val="22"/>
          <w:szCs w:val="22"/>
        </w:rPr>
        <w:t xml:space="preserve"> effect optreden: </w:t>
      </w:r>
      <w:r w:rsidR="004146F2" w:rsidRPr="00F002D3">
        <w:rPr>
          <w:rFonts w:asciiTheme="minorHAnsi" w:hAnsiTheme="minorHAnsi" w:cstheme="minorHAnsi"/>
          <w:sz w:val="22"/>
          <w:szCs w:val="22"/>
        </w:rPr>
        <w:t>het overwaarderen van de eigen bezittingen</w:t>
      </w:r>
      <w:r w:rsidR="00CE3F38" w:rsidRPr="00F002D3">
        <w:rPr>
          <w:rFonts w:asciiTheme="minorHAnsi" w:hAnsiTheme="minorHAnsi" w:cstheme="minorHAnsi"/>
          <w:sz w:val="22"/>
          <w:szCs w:val="22"/>
        </w:rPr>
        <w:t xml:space="preserve"> zelfs </w:t>
      </w:r>
      <w:r w:rsidR="002F34A2">
        <w:rPr>
          <w:rFonts w:asciiTheme="minorHAnsi" w:hAnsiTheme="minorHAnsi" w:cstheme="minorHAnsi"/>
          <w:sz w:val="22"/>
          <w:szCs w:val="22"/>
        </w:rPr>
        <w:t>wanneer</w:t>
      </w:r>
      <w:r w:rsidR="00A97B13" w:rsidRPr="00F002D3">
        <w:rPr>
          <w:rFonts w:asciiTheme="minorHAnsi" w:hAnsiTheme="minorHAnsi" w:cstheme="minorHAnsi"/>
          <w:sz w:val="22"/>
          <w:szCs w:val="22"/>
        </w:rPr>
        <w:t xml:space="preserve"> de mogelijkheden op de markt meer </w:t>
      </w:r>
      <w:r w:rsidR="00CE3F38" w:rsidRPr="00F002D3">
        <w:rPr>
          <w:rFonts w:asciiTheme="minorHAnsi" w:hAnsiTheme="minorHAnsi" w:cstheme="minorHAnsi"/>
          <w:sz w:val="22"/>
          <w:szCs w:val="22"/>
        </w:rPr>
        <w:t>waarde bieden</w:t>
      </w:r>
      <w:r w:rsidR="00091F56" w:rsidRPr="00F002D3">
        <w:rPr>
          <w:rFonts w:asciiTheme="minorHAnsi" w:hAnsiTheme="minorHAnsi" w:cstheme="minorHAnsi"/>
          <w:sz w:val="22"/>
          <w:szCs w:val="22"/>
        </w:rPr>
        <w:t xml:space="preserve"> </w:t>
      </w:r>
      <w:bookmarkStart w:id="51" w:name="_Hlk511224632"/>
      <w:r w:rsidR="00091F56" w:rsidRPr="00F002D3">
        <w:rPr>
          <w:rFonts w:asciiTheme="minorHAnsi" w:hAnsiTheme="minorHAnsi" w:cstheme="minorHAnsi"/>
          <w:sz w:val="22"/>
          <w:szCs w:val="22"/>
        </w:rPr>
        <w:t>(</w:t>
      </w:r>
      <w:proofErr w:type="spellStart"/>
      <w:r w:rsidR="00091F56" w:rsidRPr="00F002D3">
        <w:rPr>
          <w:rFonts w:asciiTheme="minorHAnsi" w:hAnsiTheme="minorHAnsi" w:cstheme="minorHAnsi"/>
          <w:sz w:val="22"/>
          <w:szCs w:val="22"/>
        </w:rPr>
        <w:t>Kahneman</w:t>
      </w:r>
      <w:proofErr w:type="spellEnd"/>
      <w:r w:rsidR="00091F56" w:rsidRPr="00F002D3">
        <w:rPr>
          <w:rFonts w:asciiTheme="minorHAnsi" w:hAnsiTheme="minorHAnsi" w:cstheme="minorHAnsi"/>
          <w:sz w:val="22"/>
          <w:szCs w:val="22"/>
        </w:rPr>
        <w:t xml:space="preserve">, </w:t>
      </w:r>
      <w:proofErr w:type="spellStart"/>
      <w:r w:rsidR="00091F56" w:rsidRPr="00F002D3">
        <w:rPr>
          <w:rFonts w:asciiTheme="minorHAnsi" w:hAnsiTheme="minorHAnsi" w:cstheme="minorHAnsi"/>
          <w:sz w:val="22"/>
          <w:szCs w:val="22"/>
        </w:rPr>
        <w:t>Thaler</w:t>
      </w:r>
      <w:proofErr w:type="spellEnd"/>
      <w:r w:rsidR="00091F56" w:rsidRPr="00F002D3">
        <w:rPr>
          <w:rFonts w:asciiTheme="minorHAnsi" w:hAnsiTheme="minorHAnsi" w:cstheme="minorHAnsi"/>
          <w:sz w:val="22"/>
          <w:szCs w:val="22"/>
        </w:rPr>
        <w:t xml:space="preserve"> en </w:t>
      </w:r>
      <w:proofErr w:type="spellStart"/>
      <w:r w:rsidR="00091F56" w:rsidRPr="00F002D3">
        <w:rPr>
          <w:rFonts w:asciiTheme="minorHAnsi" w:hAnsiTheme="minorHAnsi" w:cstheme="minorHAnsi"/>
          <w:sz w:val="22"/>
          <w:szCs w:val="22"/>
        </w:rPr>
        <w:t>Knetsch</w:t>
      </w:r>
      <w:proofErr w:type="spellEnd"/>
      <w:r w:rsidR="00091F56" w:rsidRPr="00F002D3">
        <w:rPr>
          <w:rFonts w:asciiTheme="minorHAnsi" w:hAnsiTheme="minorHAnsi" w:cstheme="minorHAnsi"/>
          <w:sz w:val="22"/>
          <w:szCs w:val="22"/>
        </w:rPr>
        <w:t xml:space="preserve"> 1990)</w:t>
      </w:r>
      <w:r w:rsidR="00CE3F38" w:rsidRPr="00F002D3">
        <w:rPr>
          <w:rFonts w:asciiTheme="minorHAnsi" w:hAnsiTheme="minorHAnsi" w:cstheme="minorHAnsi"/>
          <w:sz w:val="22"/>
          <w:szCs w:val="22"/>
        </w:rPr>
        <w:t xml:space="preserve">. </w:t>
      </w:r>
      <w:bookmarkEnd w:id="51"/>
      <w:r w:rsidR="0078636A" w:rsidRPr="00F002D3">
        <w:rPr>
          <w:rFonts w:asciiTheme="minorHAnsi" w:hAnsiTheme="minorHAnsi" w:cstheme="minorHAnsi"/>
          <w:sz w:val="22"/>
          <w:szCs w:val="22"/>
        </w:rPr>
        <w:t>In het geval van inkoop worden producten en diensten van de huidige leverancier overgewaardeerd</w:t>
      </w:r>
      <w:r w:rsidR="002649FD" w:rsidRPr="00F002D3">
        <w:rPr>
          <w:rFonts w:asciiTheme="minorHAnsi" w:hAnsiTheme="minorHAnsi" w:cstheme="minorHAnsi"/>
          <w:sz w:val="22"/>
          <w:szCs w:val="22"/>
        </w:rPr>
        <w:t>. Di</w:t>
      </w:r>
      <w:r w:rsidR="00747938" w:rsidRPr="00F002D3">
        <w:rPr>
          <w:rFonts w:asciiTheme="minorHAnsi" w:hAnsiTheme="minorHAnsi" w:cstheme="minorHAnsi"/>
          <w:sz w:val="22"/>
          <w:szCs w:val="22"/>
        </w:rPr>
        <w:t>t wordt verder versterkt door</w:t>
      </w:r>
      <w:r w:rsidR="002649FD" w:rsidRPr="00F002D3">
        <w:rPr>
          <w:rFonts w:asciiTheme="minorHAnsi" w:hAnsiTheme="minorHAnsi" w:cstheme="minorHAnsi"/>
          <w:sz w:val="22"/>
          <w:szCs w:val="22"/>
        </w:rPr>
        <w:t xml:space="preserve"> de </w:t>
      </w:r>
      <w:r w:rsidR="00A97B13" w:rsidRPr="00F002D3">
        <w:rPr>
          <w:rFonts w:asciiTheme="minorHAnsi" w:hAnsiTheme="minorHAnsi" w:cstheme="minorHAnsi"/>
          <w:sz w:val="22"/>
          <w:szCs w:val="22"/>
        </w:rPr>
        <w:t>informatieasymmetrie</w:t>
      </w:r>
      <w:r w:rsidR="002649FD" w:rsidRPr="00F002D3">
        <w:rPr>
          <w:rFonts w:asciiTheme="minorHAnsi" w:hAnsiTheme="minorHAnsi" w:cstheme="minorHAnsi"/>
          <w:sz w:val="22"/>
          <w:szCs w:val="22"/>
        </w:rPr>
        <w:t>. De</w:t>
      </w:r>
      <w:r w:rsidR="00091F56" w:rsidRPr="00F002D3">
        <w:rPr>
          <w:rFonts w:asciiTheme="minorHAnsi" w:hAnsiTheme="minorHAnsi" w:cstheme="minorHAnsi"/>
          <w:sz w:val="22"/>
          <w:szCs w:val="22"/>
        </w:rPr>
        <w:t xml:space="preserve"> inkoper oriënteert</w:t>
      </w:r>
      <w:r w:rsidR="00747938" w:rsidRPr="00F002D3">
        <w:rPr>
          <w:rFonts w:asciiTheme="minorHAnsi" w:hAnsiTheme="minorHAnsi" w:cstheme="minorHAnsi"/>
          <w:sz w:val="22"/>
          <w:szCs w:val="22"/>
        </w:rPr>
        <w:t xml:space="preserve"> zich niet op</w:t>
      </w:r>
      <w:r w:rsidR="00091F56" w:rsidRPr="00F002D3">
        <w:rPr>
          <w:rFonts w:asciiTheme="minorHAnsi" w:hAnsiTheme="minorHAnsi" w:cstheme="minorHAnsi"/>
          <w:sz w:val="22"/>
          <w:szCs w:val="22"/>
        </w:rPr>
        <w:t xml:space="preserve"> alternatieven. Dit leidt tot </w:t>
      </w:r>
      <w:r w:rsidR="00B359FD" w:rsidRPr="00F002D3">
        <w:rPr>
          <w:rFonts w:asciiTheme="minorHAnsi" w:hAnsiTheme="minorHAnsi" w:cstheme="minorHAnsi"/>
          <w:sz w:val="22"/>
          <w:szCs w:val="22"/>
        </w:rPr>
        <w:t xml:space="preserve">behoud van </w:t>
      </w:r>
      <w:r w:rsidR="002F34A2">
        <w:rPr>
          <w:rFonts w:asciiTheme="minorHAnsi" w:hAnsiTheme="minorHAnsi" w:cstheme="minorHAnsi"/>
          <w:sz w:val="22"/>
          <w:szCs w:val="22"/>
        </w:rPr>
        <w:t xml:space="preserve">de </w:t>
      </w:r>
      <w:r w:rsidR="00B359FD" w:rsidRPr="00F002D3">
        <w:rPr>
          <w:rFonts w:asciiTheme="minorHAnsi" w:hAnsiTheme="minorHAnsi" w:cstheme="minorHAnsi"/>
          <w:sz w:val="22"/>
          <w:szCs w:val="22"/>
        </w:rPr>
        <w:t>status quo</w:t>
      </w:r>
      <w:r w:rsidR="002F34A2">
        <w:rPr>
          <w:rFonts w:asciiTheme="minorHAnsi" w:hAnsiTheme="minorHAnsi" w:cstheme="minorHAnsi"/>
          <w:sz w:val="22"/>
          <w:szCs w:val="22"/>
        </w:rPr>
        <w:t xml:space="preserve">. </w:t>
      </w:r>
      <w:r w:rsidR="00DB0E0C" w:rsidRPr="00F002D3">
        <w:rPr>
          <w:rStyle w:val="NoSpacingChar"/>
          <w:rFonts w:asciiTheme="minorHAnsi" w:hAnsiTheme="minorHAnsi" w:cstheme="minorHAnsi"/>
          <w:sz w:val="22"/>
          <w:szCs w:val="22"/>
        </w:rPr>
        <w:t>Echter is veel keuze niet</w:t>
      </w:r>
      <w:r w:rsidR="0078636A" w:rsidRPr="00F002D3">
        <w:rPr>
          <w:rStyle w:val="NoSpacingChar"/>
          <w:rFonts w:asciiTheme="minorHAnsi" w:hAnsiTheme="minorHAnsi" w:cstheme="minorHAnsi"/>
          <w:sz w:val="22"/>
          <w:szCs w:val="22"/>
        </w:rPr>
        <w:t xml:space="preserve"> altijd beter voor de inkoper</w:t>
      </w:r>
      <w:r w:rsidR="002C3F83">
        <w:rPr>
          <w:rStyle w:val="NoSpacingChar"/>
          <w:rFonts w:asciiTheme="minorHAnsi" w:hAnsiTheme="minorHAnsi" w:cstheme="minorHAnsi"/>
          <w:sz w:val="22"/>
          <w:szCs w:val="22"/>
        </w:rPr>
        <w:t xml:space="preserve"> </w:t>
      </w:r>
      <w:r w:rsidR="00DB0E0C" w:rsidRPr="00F002D3">
        <w:rPr>
          <w:rStyle w:val="NoSpacingChar"/>
          <w:rFonts w:asciiTheme="minorHAnsi" w:hAnsiTheme="minorHAnsi" w:cstheme="minorHAnsi"/>
          <w:sz w:val="22"/>
          <w:szCs w:val="22"/>
        </w:rPr>
        <w:t xml:space="preserve">(Schwartz, 2004; </w:t>
      </w:r>
      <w:proofErr w:type="spellStart"/>
      <w:r w:rsidR="00DB0E0C" w:rsidRPr="00F002D3">
        <w:rPr>
          <w:rStyle w:val="NoSpacingChar"/>
          <w:rFonts w:asciiTheme="minorHAnsi" w:hAnsiTheme="minorHAnsi" w:cstheme="minorHAnsi"/>
          <w:sz w:val="22"/>
          <w:szCs w:val="22"/>
        </w:rPr>
        <w:t>Dowding</w:t>
      </w:r>
      <w:proofErr w:type="spellEnd"/>
      <w:r w:rsidR="00DB0E0C" w:rsidRPr="00F002D3">
        <w:rPr>
          <w:rStyle w:val="NoSpacingChar"/>
          <w:rFonts w:asciiTheme="minorHAnsi" w:hAnsiTheme="minorHAnsi" w:cstheme="minorHAnsi"/>
          <w:sz w:val="22"/>
          <w:szCs w:val="22"/>
        </w:rPr>
        <w:t xml:space="preserve"> &amp; John, 2009). Te veel keuze leidt tot een complexe situatie. Meer keuze heeft</w:t>
      </w:r>
      <w:r w:rsidR="00A97B13" w:rsidRPr="00F002D3">
        <w:rPr>
          <w:rStyle w:val="NoSpacingChar"/>
          <w:rFonts w:asciiTheme="minorHAnsi" w:hAnsiTheme="minorHAnsi" w:cstheme="minorHAnsi"/>
          <w:sz w:val="22"/>
          <w:szCs w:val="22"/>
        </w:rPr>
        <w:t xml:space="preserve"> als gevolg dat het meer stress en </w:t>
      </w:r>
      <w:r w:rsidR="00DB0E0C" w:rsidRPr="00F002D3">
        <w:rPr>
          <w:rStyle w:val="NoSpacingChar"/>
          <w:rFonts w:asciiTheme="minorHAnsi" w:hAnsiTheme="minorHAnsi" w:cstheme="minorHAnsi"/>
          <w:sz w:val="22"/>
          <w:szCs w:val="22"/>
        </w:rPr>
        <w:t xml:space="preserve">paniek oplevert dan dat het de kwaliteit van de keuze verbeterd. Dit wordt </w:t>
      </w:r>
      <w:proofErr w:type="spellStart"/>
      <w:r w:rsidR="00DB0E0C" w:rsidRPr="00F002D3">
        <w:rPr>
          <w:rStyle w:val="NoSpacingChar"/>
          <w:rFonts w:asciiTheme="minorHAnsi" w:hAnsiTheme="minorHAnsi" w:cstheme="minorHAnsi"/>
          <w:sz w:val="22"/>
          <w:szCs w:val="22"/>
        </w:rPr>
        <w:t>keuzeparadox</w:t>
      </w:r>
      <w:proofErr w:type="spellEnd"/>
      <w:r w:rsidR="00DB0E0C" w:rsidRPr="00F002D3">
        <w:rPr>
          <w:rStyle w:val="NoSpacingChar"/>
          <w:rFonts w:asciiTheme="minorHAnsi" w:hAnsiTheme="minorHAnsi" w:cstheme="minorHAnsi"/>
          <w:sz w:val="22"/>
          <w:szCs w:val="22"/>
        </w:rPr>
        <w:t xml:space="preserve"> genoemd en kan leiden tot het maken van juist geen enkele keuze of consolidatie van de bestaande situatie.</w:t>
      </w:r>
    </w:p>
    <w:p w14:paraId="2C95965F" w14:textId="2B8F6F14" w:rsidR="00132F21" w:rsidRPr="00442509" w:rsidRDefault="002B3559" w:rsidP="00A97B13">
      <w:pPr>
        <w:pStyle w:val="NoSpacing"/>
        <w:spacing w:line="276" w:lineRule="auto"/>
        <w:rPr>
          <w:rStyle w:val="NoSpacingChar"/>
        </w:rPr>
      </w:pPr>
      <w:r w:rsidRPr="00F002D3">
        <w:rPr>
          <w:rStyle w:val="NoSpacingChar"/>
          <w:rFonts w:cstheme="minorHAnsi"/>
          <w:szCs w:val="22"/>
        </w:rPr>
        <w:t xml:space="preserve">Kennisachterstand </w:t>
      </w:r>
      <w:r w:rsidR="00264D06" w:rsidRPr="00F002D3">
        <w:rPr>
          <w:rStyle w:val="NoSpacingChar"/>
          <w:rFonts w:cstheme="minorHAnsi"/>
          <w:szCs w:val="22"/>
        </w:rPr>
        <w:t xml:space="preserve">en onzekerheid </w:t>
      </w:r>
      <w:r w:rsidRPr="00F002D3">
        <w:rPr>
          <w:rStyle w:val="NoSpacingChar"/>
          <w:rFonts w:cstheme="minorHAnsi"/>
          <w:szCs w:val="22"/>
        </w:rPr>
        <w:t>bij de inkoper zorgt er tevens voor dat er geen volledig</w:t>
      </w:r>
      <w:r w:rsidR="006B7A09" w:rsidRPr="00F002D3">
        <w:rPr>
          <w:rStyle w:val="NoSpacingChar"/>
          <w:rFonts w:cstheme="minorHAnsi"/>
          <w:szCs w:val="22"/>
        </w:rPr>
        <w:t>e</w:t>
      </w:r>
      <w:r w:rsidRPr="00F002D3">
        <w:rPr>
          <w:rStyle w:val="NoSpacingChar"/>
          <w:rFonts w:cstheme="minorHAnsi"/>
          <w:szCs w:val="22"/>
        </w:rPr>
        <w:t xml:space="preserve"> ration</w:t>
      </w:r>
      <w:r w:rsidR="00D5128D" w:rsidRPr="00F002D3">
        <w:rPr>
          <w:rStyle w:val="NoSpacingChar"/>
          <w:rFonts w:cstheme="minorHAnsi"/>
          <w:szCs w:val="22"/>
        </w:rPr>
        <w:t xml:space="preserve">ale beslissingen genomen </w:t>
      </w:r>
      <w:r w:rsidR="006B7A09" w:rsidRPr="00F002D3">
        <w:rPr>
          <w:rStyle w:val="NoSpacingChar"/>
          <w:rFonts w:cstheme="minorHAnsi"/>
          <w:szCs w:val="22"/>
        </w:rPr>
        <w:t xml:space="preserve">kunnen </w:t>
      </w:r>
      <w:r w:rsidR="00D5128D" w:rsidRPr="00F002D3">
        <w:rPr>
          <w:rStyle w:val="NoSpacingChar"/>
          <w:rFonts w:cstheme="minorHAnsi"/>
          <w:szCs w:val="22"/>
        </w:rPr>
        <w:t xml:space="preserve">worden </w:t>
      </w:r>
      <w:r w:rsidR="003E2367" w:rsidRPr="00F002D3">
        <w:rPr>
          <w:rStyle w:val="NoSpacingChar"/>
          <w:rFonts w:cstheme="minorHAnsi"/>
          <w:szCs w:val="22"/>
        </w:rPr>
        <w:t>vanwege</w:t>
      </w:r>
      <w:r w:rsidR="00D5128D" w:rsidRPr="00F002D3">
        <w:rPr>
          <w:rStyle w:val="NoSpacingChar"/>
          <w:rFonts w:cstheme="minorHAnsi"/>
          <w:szCs w:val="22"/>
        </w:rPr>
        <w:t xml:space="preserve"> de </w:t>
      </w:r>
      <w:r w:rsidR="005324BE" w:rsidRPr="00F002D3">
        <w:rPr>
          <w:rStyle w:val="NoSpacingChar"/>
          <w:rFonts w:cstheme="minorHAnsi"/>
          <w:szCs w:val="22"/>
        </w:rPr>
        <w:t>begrensde</w:t>
      </w:r>
      <w:r w:rsidR="00D5128D" w:rsidRPr="00F002D3">
        <w:rPr>
          <w:rStyle w:val="NoSpacingChar"/>
          <w:rFonts w:cstheme="minorHAnsi"/>
          <w:szCs w:val="22"/>
        </w:rPr>
        <w:t xml:space="preserve"> rationaliteit bij de opdrachtgever</w:t>
      </w:r>
      <w:r w:rsidR="00264D06" w:rsidRPr="00F002D3">
        <w:rPr>
          <w:rStyle w:val="NoSpacingChar"/>
          <w:rFonts w:cstheme="minorHAnsi"/>
          <w:szCs w:val="22"/>
        </w:rPr>
        <w:t xml:space="preserve"> (</w:t>
      </w:r>
      <w:proofErr w:type="spellStart"/>
      <w:r w:rsidR="00264D06" w:rsidRPr="00F002D3">
        <w:rPr>
          <w:rStyle w:val="NoSpacingChar"/>
          <w:rFonts w:cstheme="minorHAnsi"/>
          <w:szCs w:val="22"/>
        </w:rPr>
        <w:t>Reeves</w:t>
      </w:r>
      <w:proofErr w:type="spellEnd"/>
      <w:r w:rsidR="00264D06" w:rsidRPr="00F002D3">
        <w:rPr>
          <w:rStyle w:val="NoSpacingChar"/>
          <w:rFonts w:cstheme="minorHAnsi"/>
          <w:szCs w:val="22"/>
        </w:rPr>
        <w:t>, 2008)</w:t>
      </w:r>
      <w:r w:rsidR="00747938" w:rsidRPr="00F002D3">
        <w:rPr>
          <w:rStyle w:val="NoSpacingChar"/>
          <w:rFonts w:cstheme="minorHAnsi"/>
          <w:szCs w:val="22"/>
        </w:rPr>
        <w:t>.</w:t>
      </w:r>
      <w:r w:rsidR="00D5128D" w:rsidRPr="00F002D3">
        <w:rPr>
          <w:rStyle w:val="NoSpacingChar"/>
          <w:rFonts w:cstheme="minorHAnsi"/>
          <w:szCs w:val="22"/>
        </w:rPr>
        <w:t xml:space="preserve"> Het pleidooi van </w:t>
      </w:r>
      <w:proofErr w:type="spellStart"/>
      <w:r w:rsidR="00D5128D" w:rsidRPr="00F002D3">
        <w:rPr>
          <w:rStyle w:val="NoSpacingChar"/>
          <w:rFonts w:cstheme="minorHAnsi"/>
          <w:szCs w:val="22"/>
        </w:rPr>
        <w:t>Tribe</w:t>
      </w:r>
      <w:proofErr w:type="spellEnd"/>
      <w:r w:rsidR="00D5128D" w:rsidRPr="00F002D3">
        <w:rPr>
          <w:rStyle w:val="NoSpacingChar"/>
          <w:rFonts w:cstheme="minorHAnsi"/>
          <w:szCs w:val="22"/>
        </w:rPr>
        <w:t xml:space="preserve"> (1949) voor een vergelijking van de alter</w:t>
      </w:r>
      <w:r w:rsidR="005324BE" w:rsidRPr="00F002D3">
        <w:rPr>
          <w:rStyle w:val="NoSpacingChar"/>
          <w:rFonts w:cstheme="minorHAnsi"/>
          <w:szCs w:val="22"/>
        </w:rPr>
        <w:t>natieven op basis van</w:t>
      </w:r>
      <w:r w:rsidR="003E2367" w:rsidRPr="00F002D3">
        <w:rPr>
          <w:rStyle w:val="NoSpacingChar"/>
          <w:rFonts w:cstheme="minorHAnsi"/>
          <w:szCs w:val="22"/>
        </w:rPr>
        <w:t xml:space="preserve"> hun</w:t>
      </w:r>
      <w:r w:rsidR="005324BE" w:rsidRPr="00F002D3">
        <w:rPr>
          <w:rStyle w:val="NoSpacingChar"/>
          <w:rFonts w:cstheme="minorHAnsi"/>
          <w:szCs w:val="22"/>
        </w:rPr>
        <w:t xml:space="preserve"> efficiëntie</w:t>
      </w:r>
      <w:r w:rsidR="00D5128D" w:rsidRPr="00F002D3">
        <w:rPr>
          <w:rStyle w:val="NoSpacingChar"/>
          <w:rFonts w:cstheme="minorHAnsi"/>
          <w:szCs w:val="22"/>
        </w:rPr>
        <w:t xml:space="preserve"> is</w:t>
      </w:r>
      <w:r w:rsidR="00D5128D" w:rsidRPr="00442509">
        <w:rPr>
          <w:rStyle w:val="NoSpacingChar"/>
        </w:rPr>
        <w:t xml:space="preserve"> in de praktijk</w:t>
      </w:r>
      <w:r w:rsidR="002C3F83">
        <w:rPr>
          <w:rStyle w:val="NoSpacingChar"/>
        </w:rPr>
        <w:t xml:space="preserve"> van de scholen</w:t>
      </w:r>
      <w:r w:rsidR="00D5128D" w:rsidRPr="00442509">
        <w:rPr>
          <w:rStyle w:val="NoSpacingChar"/>
        </w:rPr>
        <w:t xml:space="preserve"> </w:t>
      </w:r>
      <w:r w:rsidR="005324BE" w:rsidRPr="00442509">
        <w:rPr>
          <w:rStyle w:val="NoSpacingChar"/>
        </w:rPr>
        <w:t>niet mogelijk</w:t>
      </w:r>
      <w:r w:rsidR="00D5128D" w:rsidRPr="00442509">
        <w:rPr>
          <w:rStyle w:val="NoSpacingChar"/>
        </w:rPr>
        <w:t>.</w:t>
      </w:r>
      <w:r w:rsidRPr="00442509">
        <w:rPr>
          <w:rStyle w:val="NoSpacingChar"/>
        </w:rPr>
        <w:t xml:space="preserve"> </w:t>
      </w:r>
      <w:r w:rsidR="003E2367" w:rsidRPr="00442509">
        <w:rPr>
          <w:rStyle w:val="NoSpacingChar"/>
        </w:rPr>
        <w:t>In een ideale rationele</w:t>
      </w:r>
      <w:r w:rsidR="00694496" w:rsidRPr="00442509">
        <w:rPr>
          <w:rStyle w:val="NoSpacingChar"/>
        </w:rPr>
        <w:t xml:space="preserve"> proces </w:t>
      </w:r>
      <w:r w:rsidR="00E34376" w:rsidRPr="00442509">
        <w:rPr>
          <w:rStyle w:val="NoSpacingChar"/>
        </w:rPr>
        <w:t>zou de inkoper over alle informatie beschikken en zodoende bij de meest gunstige leverancier uitkomen. Volgens</w:t>
      </w:r>
      <w:r w:rsidR="005324BE" w:rsidRPr="00442509">
        <w:rPr>
          <w:rStyle w:val="NoSpacingChar"/>
        </w:rPr>
        <w:t xml:space="preserve"> Simon (</w:t>
      </w:r>
      <w:r w:rsidR="00E34376" w:rsidRPr="00442509">
        <w:rPr>
          <w:rStyle w:val="NoSpacingChar"/>
        </w:rPr>
        <w:t>19</w:t>
      </w:r>
      <w:r w:rsidR="002C3F83">
        <w:rPr>
          <w:rStyle w:val="NoSpacingChar"/>
        </w:rPr>
        <w:t>5</w:t>
      </w:r>
      <w:r w:rsidR="00E34376" w:rsidRPr="00442509">
        <w:rPr>
          <w:rStyle w:val="NoSpacingChar"/>
        </w:rPr>
        <w:t>5) wordt er</w:t>
      </w:r>
      <w:r w:rsidR="00747938" w:rsidRPr="00442509">
        <w:rPr>
          <w:rStyle w:val="NoSpacingChar"/>
        </w:rPr>
        <w:t xml:space="preserve"> in</w:t>
      </w:r>
      <w:r w:rsidR="00E34376" w:rsidRPr="00442509">
        <w:rPr>
          <w:rStyle w:val="NoSpacingChar"/>
        </w:rPr>
        <w:t xml:space="preserve"> praktijk niet voldaan aan de </w:t>
      </w:r>
      <w:r w:rsidR="00E34376" w:rsidRPr="00442509">
        <w:rPr>
          <w:rStyle w:val="NoSpacingChar"/>
        </w:rPr>
        <w:lastRenderedPageBreak/>
        <w:t>randvoorwaarden om tot een zuiver rationele beslissing te komen.</w:t>
      </w:r>
      <w:r w:rsidR="00E73B23" w:rsidRPr="00442509">
        <w:rPr>
          <w:rStyle w:val="NoSpacingChar"/>
        </w:rPr>
        <w:t xml:space="preserve"> De gelimiteerde kennis van de inkoper zorgt ervoor dat niet alle mogelijke gevolgen worden </w:t>
      </w:r>
      <w:r w:rsidR="002C3F83">
        <w:rPr>
          <w:rStyle w:val="NoSpacingChar"/>
        </w:rPr>
        <w:t>over</w:t>
      </w:r>
      <w:r w:rsidR="00E73B23" w:rsidRPr="00442509">
        <w:rPr>
          <w:rStyle w:val="NoSpacingChar"/>
        </w:rPr>
        <w:t>zien en dat de alternatieven niet worden meegenomen in het b</w:t>
      </w:r>
      <w:r w:rsidR="005F2A94" w:rsidRPr="00442509">
        <w:rPr>
          <w:rStyle w:val="NoSpacingChar"/>
        </w:rPr>
        <w:t xml:space="preserve">esluitproces. </w:t>
      </w:r>
      <w:r w:rsidR="001F72C2" w:rsidRPr="00442509">
        <w:rPr>
          <w:rStyle w:val="NoSpacingChar"/>
        </w:rPr>
        <w:t xml:space="preserve">Gebonden rationaliteit geeft de leverancier de mogelijkheid om informatievoordeel te exploiteren en opportunistisch te handelen. Dit betreft </w:t>
      </w:r>
      <w:r w:rsidR="003E2367" w:rsidRPr="00442509">
        <w:rPr>
          <w:rStyle w:val="NoSpacingChar"/>
        </w:rPr>
        <w:t>de</w:t>
      </w:r>
      <w:r w:rsidR="001F72C2" w:rsidRPr="00442509">
        <w:rPr>
          <w:rStyle w:val="NoSpacingChar"/>
        </w:rPr>
        <w:t xml:space="preserve"> </w:t>
      </w:r>
      <w:r w:rsidR="00264D06" w:rsidRPr="00442509">
        <w:rPr>
          <w:rStyle w:val="NoSpacingChar"/>
        </w:rPr>
        <w:t>onvolledige openbaarmaking van informatie met het doel om de opdrachtgever te misleiden,</w:t>
      </w:r>
      <w:r w:rsidR="001F72C2" w:rsidRPr="00442509">
        <w:rPr>
          <w:rStyle w:val="NoSpacingChar"/>
        </w:rPr>
        <w:t xml:space="preserve"> te verwarren of</w:t>
      </w:r>
      <w:r w:rsidR="00264D06" w:rsidRPr="00442509">
        <w:rPr>
          <w:rStyle w:val="NoSpacingChar"/>
        </w:rPr>
        <w:t xml:space="preserve"> zaken </w:t>
      </w:r>
      <w:r w:rsidR="001F72C2" w:rsidRPr="00442509">
        <w:rPr>
          <w:rStyle w:val="NoSpacingChar"/>
        </w:rPr>
        <w:t xml:space="preserve">enigszins </w:t>
      </w:r>
      <w:r w:rsidR="00264D06" w:rsidRPr="00442509">
        <w:rPr>
          <w:rStyle w:val="NoSpacingChar"/>
        </w:rPr>
        <w:t>te verduistere</w:t>
      </w:r>
      <w:r w:rsidR="001F72C2" w:rsidRPr="00442509">
        <w:rPr>
          <w:rStyle w:val="NoSpacingChar"/>
        </w:rPr>
        <w:t>n (</w:t>
      </w:r>
      <w:proofErr w:type="spellStart"/>
      <w:r w:rsidR="001F72C2" w:rsidRPr="00442509">
        <w:rPr>
          <w:rStyle w:val="NoSpacingChar"/>
        </w:rPr>
        <w:t>Reeves</w:t>
      </w:r>
      <w:proofErr w:type="spellEnd"/>
      <w:r w:rsidR="001F72C2" w:rsidRPr="00442509">
        <w:rPr>
          <w:rStyle w:val="NoSpacingChar"/>
        </w:rPr>
        <w:t>, 2008).</w:t>
      </w:r>
      <w:r w:rsidR="00FD48D9">
        <w:rPr>
          <w:rStyle w:val="NoSpacingChar"/>
        </w:rPr>
        <w:t xml:space="preserve"> </w:t>
      </w:r>
      <w:r w:rsidR="00132F21" w:rsidRPr="00442509">
        <w:rPr>
          <w:rStyle w:val="NoSpacingChar"/>
        </w:rPr>
        <w:t>Kortom, gebrek aan beschikbare informatie en kennis binnen inkooptransacties kan volgen</w:t>
      </w:r>
      <w:r w:rsidR="002C3F83">
        <w:rPr>
          <w:rStyle w:val="NoSpacingChar"/>
        </w:rPr>
        <w:t>s de</w:t>
      </w:r>
      <w:r w:rsidR="00132F21" w:rsidRPr="00442509">
        <w:rPr>
          <w:rStyle w:val="NoSpacingChar"/>
        </w:rPr>
        <w:t xml:space="preserve"> theorie leiden tot </w:t>
      </w:r>
      <w:r w:rsidR="00FD48D9">
        <w:rPr>
          <w:rStyle w:val="NoSpacingChar"/>
        </w:rPr>
        <w:t xml:space="preserve">pad afhankelijkheid, </w:t>
      </w:r>
      <w:r w:rsidR="00132F21" w:rsidRPr="00442509">
        <w:rPr>
          <w:rStyle w:val="NoSpacingChar"/>
        </w:rPr>
        <w:t xml:space="preserve">keuzearchitectuur, </w:t>
      </w:r>
      <w:r w:rsidR="00FD48D9">
        <w:rPr>
          <w:rStyle w:val="NoSpacingChar"/>
        </w:rPr>
        <w:t xml:space="preserve">en </w:t>
      </w:r>
      <w:proofErr w:type="spellStart"/>
      <w:r w:rsidR="00132F21" w:rsidRPr="00442509">
        <w:rPr>
          <w:rStyle w:val="NoSpacingChar"/>
        </w:rPr>
        <w:t>endowment</w:t>
      </w:r>
      <w:proofErr w:type="spellEnd"/>
      <w:r w:rsidR="00132F21" w:rsidRPr="00442509">
        <w:rPr>
          <w:rStyle w:val="NoSpacingChar"/>
        </w:rPr>
        <w:t xml:space="preserve"> effect. </w:t>
      </w:r>
    </w:p>
    <w:p w14:paraId="0F96EF70" w14:textId="24CF5742" w:rsidR="0072027D" w:rsidRPr="00442509" w:rsidRDefault="00FD48D9" w:rsidP="00C976A9">
      <w:pPr>
        <w:spacing w:after="0" w:line="276" w:lineRule="auto"/>
        <w:rPr>
          <w:rFonts w:asciiTheme="minorHAnsi" w:eastAsiaTheme="minorHAnsi" w:hAnsiTheme="minorHAnsi" w:cstheme="minorHAnsi"/>
          <w:color w:val="000000" w:themeColor="text1"/>
          <w:sz w:val="22"/>
          <w:szCs w:val="22"/>
        </w:rPr>
      </w:pPr>
      <w:r>
        <w:rPr>
          <w:rFonts w:asciiTheme="minorHAnsi" w:eastAsiaTheme="minorHAnsi" w:hAnsiTheme="minorHAnsi"/>
          <w:sz w:val="22"/>
        </w:rPr>
        <w:tab/>
      </w:r>
      <w:r w:rsidR="009C1741" w:rsidRPr="00442509">
        <w:rPr>
          <w:rFonts w:asciiTheme="minorHAnsi" w:eastAsiaTheme="minorHAnsi" w:hAnsiTheme="minorHAnsi" w:cstheme="minorHAnsi"/>
          <w:color w:val="000000" w:themeColor="text1"/>
          <w:sz w:val="22"/>
          <w:szCs w:val="22"/>
        </w:rPr>
        <w:t xml:space="preserve">De tweede factor van </w:t>
      </w:r>
      <w:proofErr w:type="spellStart"/>
      <w:r w:rsidR="009C1741" w:rsidRPr="00442509">
        <w:rPr>
          <w:rFonts w:asciiTheme="minorHAnsi" w:eastAsiaTheme="minorHAnsi" w:hAnsiTheme="minorHAnsi" w:cstheme="minorHAnsi"/>
          <w:sz w:val="22"/>
          <w:szCs w:val="22"/>
        </w:rPr>
        <w:t>Hartley</w:t>
      </w:r>
      <w:proofErr w:type="spellEnd"/>
      <w:r w:rsidR="009C1741" w:rsidRPr="00442509">
        <w:rPr>
          <w:rFonts w:asciiTheme="minorHAnsi" w:eastAsiaTheme="minorHAnsi" w:hAnsiTheme="minorHAnsi" w:cstheme="minorHAnsi"/>
          <w:sz w:val="22"/>
          <w:szCs w:val="22"/>
        </w:rPr>
        <w:t xml:space="preserve"> en Parker (1997) betreft</w:t>
      </w:r>
      <w:r w:rsidR="00901808" w:rsidRPr="00442509">
        <w:rPr>
          <w:rFonts w:asciiTheme="minorHAnsi" w:eastAsiaTheme="minorHAnsi" w:hAnsiTheme="minorHAnsi" w:cstheme="minorHAnsi"/>
          <w:sz w:val="22"/>
          <w:szCs w:val="22"/>
        </w:rPr>
        <w:t xml:space="preserve"> </w:t>
      </w:r>
      <w:r w:rsidR="00901808" w:rsidRPr="00442509">
        <w:rPr>
          <w:rFonts w:asciiTheme="minorHAnsi" w:eastAsiaTheme="minorHAnsi" w:hAnsiTheme="minorHAnsi" w:cstheme="minorHAnsi"/>
          <w:i/>
          <w:sz w:val="22"/>
          <w:szCs w:val="22"/>
        </w:rPr>
        <w:t>vertrouwen</w:t>
      </w:r>
      <w:r w:rsidR="00901808" w:rsidRPr="00442509">
        <w:rPr>
          <w:rFonts w:asciiTheme="minorHAnsi" w:eastAsiaTheme="minorHAnsi" w:hAnsiTheme="minorHAnsi" w:cstheme="minorHAnsi"/>
          <w:sz w:val="22"/>
          <w:szCs w:val="22"/>
        </w:rPr>
        <w:t xml:space="preserve">. </w:t>
      </w:r>
      <w:r w:rsidR="00B90EAD" w:rsidRPr="00442509">
        <w:rPr>
          <w:rFonts w:asciiTheme="minorHAnsi" w:eastAsiaTheme="minorHAnsi" w:hAnsiTheme="minorHAnsi" w:cstheme="minorHAnsi"/>
          <w:sz w:val="22"/>
          <w:szCs w:val="22"/>
        </w:rPr>
        <w:t xml:space="preserve">Vertrouwen kan </w:t>
      </w:r>
      <w:r w:rsidR="00B90EAD" w:rsidRPr="00442509">
        <w:rPr>
          <w:rFonts w:asciiTheme="minorHAnsi" w:eastAsiaTheme="minorHAnsi" w:hAnsiTheme="minorHAnsi" w:cstheme="minorHAnsi"/>
          <w:color w:val="000000" w:themeColor="text1"/>
          <w:sz w:val="22"/>
          <w:szCs w:val="22"/>
        </w:rPr>
        <w:t>dan ook worden gedefinieerd als “</w:t>
      </w:r>
      <w:r w:rsidR="00B90EAD" w:rsidRPr="00442509">
        <w:rPr>
          <w:rFonts w:asciiTheme="minorHAnsi" w:eastAsiaTheme="minorHAnsi" w:hAnsiTheme="minorHAnsi" w:cstheme="minorHAnsi"/>
          <w:i/>
          <w:color w:val="000000" w:themeColor="text1"/>
          <w:sz w:val="22"/>
          <w:szCs w:val="22"/>
        </w:rPr>
        <w:t>de positieve verwachting dat de andere actoren zich onthouden van opportunistisch gedrag, zelfs wanneer zij voor die mogelijkheid komen te staan</w:t>
      </w:r>
      <w:r w:rsidR="00B90EAD" w:rsidRPr="00442509">
        <w:rPr>
          <w:rFonts w:asciiTheme="minorHAnsi" w:eastAsiaTheme="minorHAnsi" w:hAnsiTheme="minorHAnsi" w:cstheme="minorHAnsi"/>
          <w:color w:val="000000" w:themeColor="text1"/>
          <w:sz w:val="22"/>
          <w:szCs w:val="22"/>
        </w:rPr>
        <w:t>” (Edelenbos &amp; Eshuis, 2012, p.652)</w:t>
      </w:r>
      <w:r w:rsidR="00011882" w:rsidRPr="00442509">
        <w:rPr>
          <w:rFonts w:asciiTheme="minorHAnsi" w:eastAsiaTheme="minorHAnsi" w:hAnsiTheme="minorHAnsi" w:cstheme="minorHAnsi"/>
          <w:color w:val="000000" w:themeColor="text1"/>
          <w:sz w:val="22"/>
          <w:szCs w:val="22"/>
        </w:rPr>
        <w:t>.</w:t>
      </w:r>
      <w:r w:rsidR="000C32B6" w:rsidRPr="00442509">
        <w:rPr>
          <w:rFonts w:asciiTheme="minorHAnsi" w:eastAsiaTheme="minorHAnsi" w:hAnsiTheme="minorHAnsi" w:cstheme="minorHAnsi"/>
          <w:color w:val="000000" w:themeColor="text1"/>
          <w:sz w:val="22"/>
          <w:szCs w:val="22"/>
        </w:rPr>
        <w:t xml:space="preserve"> Rousseau</w:t>
      </w:r>
      <w:r w:rsidR="0038543D" w:rsidRPr="00442509">
        <w:rPr>
          <w:rFonts w:asciiTheme="minorHAnsi" w:eastAsiaTheme="minorHAnsi" w:hAnsiTheme="minorHAnsi" w:cstheme="minorHAnsi"/>
          <w:color w:val="000000" w:themeColor="text1"/>
          <w:sz w:val="22"/>
          <w:szCs w:val="22"/>
        </w:rPr>
        <w:t xml:space="preserve"> (1998)</w:t>
      </w:r>
      <w:r w:rsidR="000C32B6" w:rsidRPr="00442509">
        <w:rPr>
          <w:rFonts w:asciiTheme="minorHAnsi" w:eastAsiaTheme="minorHAnsi" w:hAnsiTheme="minorHAnsi" w:cstheme="minorHAnsi"/>
          <w:color w:val="000000" w:themeColor="text1"/>
          <w:sz w:val="22"/>
          <w:szCs w:val="22"/>
        </w:rPr>
        <w:t xml:space="preserve"> </w:t>
      </w:r>
      <w:r w:rsidR="003122E8" w:rsidRPr="00442509">
        <w:rPr>
          <w:rFonts w:asciiTheme="minorHAnsi" w:eastAsiaTheme="minorHAnsi" w:hAnsiTheme="minorHAnsi" w:cstheme="minorHAnsi"/>
          <w:color w:val="000000" w:themeColor="text1"/>
          <w:sz w:val="22"/>
          <w:szCs w:val="22"/>
        </w:rPr>
        <w:t>definieert</w:t>
      </w:r>
      <w:r w:rsidR="000C32B6" w:rsidRPr="00442509">
        <w:rPr>
          <w:rFonts w:asciiTheme="minorHAnsi" w:eastAsiaTheme="minorHAnsi" w:hAnsiTheme="minorHAnsi" w:cstheme="minorHAnsi"/>
          <w:color w:val="000000" w:themeColor="text1"/>
          <w:sz w:val="22"/>
          <w:szCs w:val="22"/>
        </w:rPr>
        <w:t xml:space="preserve"> vertrouw</w:t>
      </w:r>
      <w:r w:rsidR="002C71E9" w:rsidRPr="00442509">
        <w:rPr>
          <w:rFonts w:asciiTheme="minorHAnsi" w:eastAsiaTheme="minorHAnsi" w:hAnsiTheme="minorHAnsi" w:cstheme="minorHAnsi"/>
          <w:color w:val="000000" w:themeColor="text1"/>
          <w:sz w:val="22"/>
          <w:szCs w:val="22"/>
        </w:rPr>
        <w:t xml:space="preserve">en </w:t>
      </w:r>
      <w:r w:rsidR="0038543D" w:rsidRPr="00442509">
        <w:rPr>
          <w:rFonts w:asciiTheme="minorHAnsi" w:eastAsiaTheme="minorHAnsi" w:hAnsiTheme="minorHAnsi" w:cstheme="minorHAnsi"/>
          <w:color w:val="000000" w:themeColor="text1"/>
          <w:sz w:val="22"/>
          <w:szCs w:val="22"/>
        </w:rPr>
        <w:t xml:space="preserve">als </w:t>
      </w:r>
      <w:r w:rsidR="003122E8" w:rsidRPr="00442509">
        <w:rPr>
          <w:rFonts w:asciiTheme="minorHAnsi" w:eastAsiaTheme="minorHAnsi" w:hAnsiTheme="minorHAnsi" w:cstheme="minorHAnsi"/>
          <w:color w:val="000000" w:themeColor="text1"/>
          <w:sz w:val="22"/>
          <w:szCs w:val="22"/>
        </w:rPr>
        <w:t xml:space="preserve">de psychologische conditie waarin een partij zich kwetsbaar opstelt gebaseerd op de positieve verwachtingen ten opzichte van het gedrag van de ander. </w:t>
      </w:r>
      <w:r w:rsidR="00901808" w:rsidRPr="00442509">
        <w:rPr>
          <w:rFonts w:asciiTheme="minorHAnsi" w:eastAsiaTheme="minorHAnsi" w:hAnsiTheme="minorHAnsi" w:cstheme="minorHAnsi"/>
          <w:color w:val="000000" w:themeColor="text1"/>
          <w:sz w:val="22"/>
          <w:szCs w:val="22"/>
        </w:rPr>
        <w:t>Afspraken tussen partijen creëren een</w:t>
      </w:r>
      <w:r w:rsidR="00901808" w:rsidRPr="00E93D90">
        <w:rPr>
          <w:rFonts w:asciiTheme="minorHAnsi" w:eastAsiaTheme="minorHAnsi" w:hAnsiTheme="minorHAnsi" w:cstheme="minorHAnsi"/>
          <w:color w:val="000000" w:themeColor="text1"/>
          <w:sz w:val="22"/>
          <w:szCs w:val="22"/>
        </w:rPr>
        <w:t xml:space="preserve"> </w:t>
      </w:r>
      <w:r w:rsidR="00901808" w:rsidRPr="00442509">
        <w:rPr>
          <w:rFonts w:asciiTheme="minorHAnsi" w:eastAsiaTheme="minorHAnsi" w:hAnsiTheme="minorHAnsi" w:cstheme="minorHAnsi"/>
          <w:color w:val="000000" w:themeColor="text1"/>
          <w:sz w:val="22"/>
          <w:szCs w:val="22"/>
        </w:rPr>
        <w:t xml:space="preserve">situatie waarin </w:t>
      </w:r>
      <w:r w:rsidR="006D19EA" w:rsidRPr="00442509">
        <w:rPr>
          <w:rFonts w:asciiTheme="minorHAnsi" w:eastAsiaTheme="minorHAnsi" w:hAnsiTheme="minorHAnsi" w:cstheme="minorHAnsi"/>
          <w:color w:val="000000" w:themeColor="text1"/>
          <w:sz w:val="22"/>
          <w:szCs w:val="22"/>
        </w:rPr>
        <w:t>een</w:t>
      </w:r>
      <w:r w:rsidR="00901808" w:rsidRPr="00442509">
        <w:rPr>
          <w:rFonts w:asciiTheme="minorHAnsi" w:eastAsiaTheme="minorHAnsi" w:hAnsiTheme="minorHAnsi" w:cstheme="minorHAnsi"/>
          <w:color w:val="000000" w:themeColor="text1"/>
          <w:sz w:val="22"/>
          <w:szCs w:val="22"/>
        </w:rPr>
        <w:t xml:space="preserve"> of meer partijen schade ondervinden wanneer het vertrouwen wordt geschonden.</w:t>
      </w:r>
      <w:r w:rsidR="004C66F1">
        <w:rPr>
          <w:rFonts w:asciiTheme="minorHAnsi" w:eastAsiaTheme="minorHAnsi" w:hAnsiTheme="minorHAnsi" w:cstheme="minorHAnsi"/>
          <w:color w:val="000000" w:themeColor="text1"/>
          <w:sz w:val="22"/>
          <w:szCs w:val="22"/>
        </w:rPr>
        <w:t xml:space="preserve"> </w:t>
      </w:r>
      <w:r w:rsidR="0038543D" w:rsidRPr="00442509">
        <w:rPr>
          <w:rFonts w:asciiTheme="minorHAnsi" w:eastAsiaTheme="minorHAnsi" w:hAnsiTheme="minorHAnsi" w:cstheme="minorHAnsi"/>
          <w:color w:val="000000" w:themeColor="text1"/>
          <w:sz w:val="22"/>
          <w:szCs w:val="22"/>
        </w:rPr>
        <w:t xml:space="preserve">Rousseau </w:t>
      </w:r>
      <w:r w:rsidR="00D723BE" w:rsidRPr="00442509">
        <w:rPr>
          <w:rFonts w:asciiTheme="minorHAnsi" w:eastAsiaTheme="minorHAnsi" w:hAnsiTheme="minorHAnsi" w:cstheme="minorHAnsi"/>
          <w:color w:val="000000" w:themeColor="text1"/>
          <w:sz w:val="22"/>
          <w:szCs w:val="22"/>
        </w:rPr>
        <w:t xml:space="preserve">(1998) </w:t>
      </w:r>
      <w:r w:rsidR="0072027D" w:rsidRPr="00442509">
        <w:rPr>
          <w:rFonts w:asciiTheme="minorHAnsi" w:eastAsiaTheme="minorHAnsi" w:hAnsiTheme="minorHAnsi" w:cstheme="minorHAnsi"/>
          <w:color w:val="000000" w:themeColor="text1"/>
          <w:sz w:val="22"/>
          <w:szCs w:val="22"/>
        </w:rPr>
        <w:t>spreekt van drie soorten vertrouwen</w:t>
      </w:r>
      <w:r w:rsidR="004C66F1">
        <w:rPr>
          <w:rFonts w:asciiTheme="minorHAnsi" w:eastAsiaTheme="minorHAnsi" w:hAnsiTheme="minorHAnsi" w:cstheme="minorHAnsi"/>
          <w:color w:val="000000" w:themeColor="text1"/>
          <w:sz w:val="22"/>
          <w:szCs w:val="22"/>
        </w:rPr>
        <w:t>:</w:t>
      </w:r>
      <w:r w:rsidR="0072027D" w:rsidRPr="00442509">
        <w:rPr>
          <w:rFonts w:asciiTheme="minorHAnsi" w:eastAsiaTheme="minorHAnsi" w:hAnsiTheme="minorHAnsi" w:cstheme="minorHAnsi"/>
          <w:color w:val="000000" w:themeColor="text1"/>
          <w:sz w:val="22"/>
          <w:szCs w:val="22"/>
        </w:rPr>
        <w:t xml:space="preserve"> </w:t>
      </w:r>
    </w:p>
    <w:p w14:paraId="1F0C719D" w14:textId="75A99572" w:rsidR="0072027D" w:rsidRPr="00442509" w:rsidRDefault="0072027D" w:rsidP="0038543D">
      <w:pPr>
        <w:pStyle w:val="ListParagraph"/>
        <w:numPr>
          <w:ilvl w:val="0"/>
          <w:numId w:val="23"/>
        </w:numPr>
        <w:spacing w:after="0" w:line="276" w:lineRule="auto"/>
        <w:rPr>
          <w:rFonts w:asciiTheme="minorHAnsi" w:eastAsiaTheme="minorHAnsi" w:hAnsiTheme="minorHAnsi" w:cstheme="minorHAnsi"/>
          <w:color w:val="000000" w:themeColor="text1"/>
          <w:sz w:val="22"/>
          <w:szCs w:val="22"/>
        </w:rPr>
      </w:pPr>
      <w:r w:rsidRPr="00442509">
        <w:rPr>
          <w:rFonts w:asciiTheme="minorHAnsi" w:eastAsiaTheme="minorHAnsi" w:hAnsiTheme="minorHAnsi" w:cstheme="minorHAnsi"/>
          <w:i/>
          <w:color w:val="000000" w:themeColor="text1"/>
          <w:sz w:val="22"/>
          <w:szCs w:val="22"/>
        </w:rPr>
        <w:t>Initieel</w:t>
      </w:r>
      <w:r w:rsidRPr="00442509">
        <w:rPr>
          <w:rFonts w:asciiTheme="minorHAnsi" w:eastAsiaTheme="minorHAnsi" w:hAnsiTheme="minorHAnsi" w:cstheme="minorHAnsi"/>
          <w:color w:val="000000" w:themeColor="text1"/>
          <w:sz w:val="22"/>
          <w:szCs w:val="22"/>
        </w:rPr>
        <w:t xml:space="preserve"> vertrouwen houdt in dat partijen elkaar vanaf het beginstadium vertrouwen zonder dat ze elkaar kennen.</w:t>
      </w:r>
      <w:r w:rsidR="003122E8" w:rsidRPr="00442509">
        <w:rPr>
          <w:rFonts w:asciiTheme="minorHAnsi" w:eastAsiaTheme="minorHAnsi" w:hAnsiTheme="minorHAnsi" w:cstheme="minorHAnsi"/>
          <w:color w:val="000000" w:themeColor="text1"/>
          <w:sz w:val="22"/>
          <w:szCs w:val="22"/>
        </w:rPr>
        <w:t xml:space="preserve"> </w:t>
      </w:r>
    </w:p>
    <w:p w14:paraId="09C9D452" w14:textId="7D03FC84" w:rsidR="00322721" w:rsidRPr="00442509" w:rsidRDefault="0072027D" w:rsidP="0038543D">
      <w:pPr>
        <w:pStyle w:val="ListParagraph"/>
        <w:numPr>
          <w:ilvl w:val="0"/>
          <w:numId w:val="23"/>
        </w:numPr>
        <w:spacing w:after="0" w:line="276" w:lineRule="auto"/>
        <w:rPr>
          <w:rFonts w:asciiTheme="minorHAnsi" w:eastAsiaTheme="minorHAnsi" w:hAnsiTheme="minorHAnsi" w:cstheme="minorHAnsi"/>
          <w:color w:val="000000" w:themeColor="text1"/>
          <w:sz w:val="22"/>
          <w:szCs w:val="22"/>
        </w:rPr>
      </w:pPr>
      <w:r w:rsidRPr="00442509">
        <w:rPr>
          <w:rFonts w:asciiTheme="minorHAnsi" w:eastAsiaTheme="minorHAnsi" w:hAnsiTheme="minorHAnsi" w:cstheme="minorHAnsi"/>
          <w:color w:val="000000" w:themeColor="text1"/>
          <w:sz w:val="22"/>
          <w:szCs w:val="22"/>
        </w:rPr>
        <w:t xml:space="preserve">Bij </w:t>
      </w:r>
      <w:r w:rsidRPr="00442509">
        <w:rPr>
          <w:rFonts w:asciiTheme="minorHAnsi" w:eastAsiaTheme="minorHAnsi" w:hAnsiTheme="minorHAnsi" w:cstheme="minorHAnsi"/>
          <w:i/>
          <w:color w:val="000000" w:themeColor="text1"/>
          <w:sz w:val="22"/>
          <w:szCs w:val="22"/>
        </w:rPr>
        <w:t>gecalculeerd</w:t>
      </w:r>
      <w:r w:rsidRPr="00442509">
        <w:rPr>
          <w:rFonts w:asciiTheme="minorHAnsi" w:eastAsiaTheme="minorHAnsi" w:hAnsiTheme="minorHAnsi" w:cstheme="minorHAnsi"/>
          <w:color w:val="000000" w:themeColor="text1"/>
          <w:sz w:val="22"/>
          <w:szCs w:val="22"/>
        </w:rPr>
        <w:t xml:space="preserve"> vertrouwen wordt er eerst een afweging gemaakt. Indien uit de </w:t>
      </w:r>
      <w:r w:rsidR="0048537C" w:rsidRPr="00442509">
        <w:rPr>
          <w:rFonts w:asciiTheme="minorHAnsi" w:eastAsiaTheme="minorHAnsi" w:hAnsiTheme="minorHAnsi" w:cstheme="minorHAnsi"/>
          <w:color w:val="000000" w:themeColor="text1"/>
          <w:sz w:val="22"/>
          <w:szCs w:val="22"/>
        </w:rPr>
        <w:t>af</w:t>
      </w:r>
      <w:r w:rsidRPr="00442509">
        <w:rPr>
          <w:rFonts w:asciiTheme="minorHAnsi" w:eastAsiaTheme="minorHAnsi" w:hAnsiTheme="minorHAnsi" w:cstheme="minorHAnsi"/>
          <w:color w:val="000000" w:themeColor="text1"/>
          <w:sz w:val="22"/>
          <w:szCs w:val="22"/>
        </w:rPr>
        <w:t>weging naar voren komt dat er winst te behalen valt en</w:t>
      </w:r>
      <w:r w:rsidR="0048537C" w:rsidRPr="00442509">
        <w:rPr>
          <w:rFonts w:asciiTheme="minorHAnsi" w:eastAsiaTheme="minorHAnsi" w:hAnsiTheme="minorHAnsi" w:cstheme="minorHAnsi"/>
          <w:color w:val="000000" w:themeColor="text1"/>
          <w:sz w:val="22"/>
          <w:szCs w:val="22"/>
        </w:rPr>
        <w:t xml:space="preserve"> de partij</w:t>
      </w:r>
      <w:r w:rsidRPr="00442509">
        <w:rPr>
          <w:rFonts w:asciiTheme="minorHAnsi" w:eastAsiaTheme="minorHAnsi" w:hAnsiTheme="minorHAnsi" w:cstheme="minorHAnsi"/>
          <w:color w:val="000000" w:themeColor="text1"/>
          <w:sz w:val="22"/>
          <w:szCs w:val="22"/>
        </w:rPr>
        <w:t xml:space="preserve"> als betrouwbaar wordt </w:t>
      </w:r>
      <w:r w:rsidR="0078636A" w:rsidRPr="00442509">
        <w:rPr>
          <w:rFonts w:asciiTheme="minorHAnsi" w:eastAsiaTheme="minorHAnsi" w:hAnsiTheme="minorHAnsi" w:cstheme="minorHAnsi"/>
          <w:color w:val="000000" w:themeColor="text1"/>
          <w:sz w:val="22"/>
          <w:szCs w:val="22"/>
        </w:rPr>
        <w:t>geschat</w:t>
      </w:r>
      <w:r w:rsidRPr="00442509">
        <w:rPr>
          <w:rFonts w:asciiTheme="minorHAnsi" w:eastAsiaTheme="minorHAnsi" w:hAnsiTheme="minorHAnsi" w:cstheme="minorHAnsi"/>
          <w:color w:val="000000" w:themeColor="text1"/>
          <w:sz w:val="22"/>
          <w:szCs w:val="22"/>
        </w:rPr>
        <w:t xml:space="preserve"> zal</w:t>
      </w:r>
      <w:r w:rsidR="0048537C" w:rsidRPr="00442509">
        <w:rPr>
          <w:rFonts w:asciiTheme="minorHAnsi" w:eastAsiaTheme="minorHAnsi" w:hAnsiTheme="minorHAnsi" w:cstheme="minorHAnsi"/>
          <w:color w:val="000000" w:themeColor="text1"/>
          <w:sz w:val="22"/>
          <w:szCs w:val="22"/>
        </w:rPr>
        <w:t xml:space="preserve"> er</w:t>
      </w:r>
      <w:r w:rsidRPr="00442509">
        <w:rPr>
          <w:rFonts w:asciiTheme="minorHAnsi" w:eastAsiaTheme="minorHAnsi" w:hAnsiTheme="minorHAnsi" w:cstheme="minorHAnsi"/>
          <w:color w:val="000000" w:themeColor="text1"/>
          <w:sz w:val="22"/>
          <w:szCs w:val="22"/>
        </w:rPr>
        <w:t xml:space="preserve"> samenwerking plaatsvinden. </w:t>
      </w:r>
      <w:r w:rsidR="0048537C" w:rsidRPr="00442509">
        <w:rPr>
          <w:rFonts w:asciiTheme="minorHAnsi" w:eastAsiaTheme="minorHAnsi" w:hAnsiTheme="minorHAnsi" w:cstheme="minorHAnsi"/>
          <w:color w:val="000000" w:themeColor="text1"/>
          <w:sz w:val="22"/>
          <w:szCs w:val="22"/>
        </w:rPr>
        <w:t xml:space="preserve">Hierbij vinden er regelmatig afwegingen plaats. </w:t>
      </w:r>
    </w:p>
    <w:p w14:paraId="1A77E639" w14:textId="4DC39128" w:rsidR="00CD39F8" w:rsidRPr="00442509" w:rsidRDefault="0048537C" w:rsidP="0038543D">
      <w:pPr>
        <w:pStyle w:val="ListParagraph"/>
        <w:numPr>
          <w:ilvl w:val="0"/>
          <w:numId w:val="23"/>
        </w:numPr>
        <w:spacing w:after="0" w:line="276" w:lineRule="auto"/>
        <w:rPr>
          <w:rFonts w:asciiTheme="minorHAnsi" w:eastAsiaTheme="minorHAnsi" w:hAnsiTheme="minorHAnsi" w:cstheme="minorHAnsi"/>
          <w:color w:val="000000" w:themeColor="text1"/>
          <w:sz w:val="22"/>
          <w:szCs w:val="22"/>
        </w:rPr>
      </w:pPr>
      <w:r w:rsidRPr="00442509">
        <w:rPr>
          <w:rFonts w:asciiTheme="minorHAnsi" w:eastAsiaTheme="minorHAnsi" w:hAnsiTheme="minorHAnsi" w:cstheme="minorHAnsi"/>
          <w:color w:val="000000" w:themeColor="text1"/>
          <w:sz w:val="22"/>
          <w:szCs w:val="22"/>
        </w:rPr>
        <w:t xml:space="preserve">Bij </w:t>
      </w:r>
      <w:r w:rsidRPr="00442509">
        <w:rPr>
          <w:rFonts w:asciiTheme="minorHAnsi" w:eastAsiaTheme="minorHAnsi" w:hAnsiTheme="minorHAnsi" w:cstheme="minorHAnsi"/>
          <w:i/>
          <w:color w:val="000000" w:themeColor="text1"/>
          <w:sz w:val="22"/>
          <w:szCs w:val="22"/>
        </w:rPr>
        <w:t>relationeel</w:t>
      </w:r>
      <w:r w:rsidRPr="00442509">
        <w:rPr>
          <w:rFonts w:asciiTheme="minorHAnsi" w:eastAsiaTheme="minorHAnsi" w:hAnsiTheme="minorHAnsi" w:cstheme="minorHAnsi"/>
          <w:color w:val="000000" w:themeColor="text1"/>
          <w:sz w:val="22"/>
          <w:szCs w:val="22"/>
        </w:rPr>
        <w:t xml:space="preserve"> vertrouwen is er sprake van een persoonlijke relatie tussen partijen. Doordat er veel contactmomenten plaatsvinden en er positieve ervaringen worden opgebouwd wordt dit bestempeld als de </w:t>
      </w:r>
      <w:r w:rsidR="0078636A" w:rsidRPr="00442509">
        <w:rPr>
          <w:rFonts w:asciiTheme="minorHAnsi" w:eastAsiaTheme="minorHAnsi" w:hAnsiTheme="minorHAnsi" w:cstheme="minorHAnsi"/>
          <w:color w:val="000000" w:themeColor="text1"/>
          <w:sz w:val="22"/>
          <w:szCs w:val="22"/>
        </w:rPr>
        <w:t xml:space="preserve">sterkste soort van vertrouwen. </w:t>
      </w:r>
      <w:r w:rsidR="003122E8" w:rsidRPr="00442509">
        <w:rPr>
          <w:rFonts w:asciiTheme="minorHAnsi" w:eastAsiaTheme="minorHAnsi" w:hAnsiTheme="minorHAnsi" w:cstheme="minorHAnsi"/>
          <w:color w:val="000000" w:themeColor="text1"/>
          <w:sz w:val="22"/>
          <w:szCs w:val="22"/>
        </w:rPr>
        <w:t>Vertrouwen groeit naar mate mensen elkaar beter kennen (</w:t>
      </w:r>
      <w:proofErr w:type="spellStart"/>
      <w:r w:rsidR="003122E8" w:rsidRPr="00442509">
        <w:rPr>
          <w:rFonts w:asciiTheme="minorHAnsi" w:eastAsiaTheme="minorHAnsi" w:hAnsiTheme="minorHAnsi" w:cstheme="minorHAnsi"/>
          <w:color w:val="000000" w:themeColor="text1"/>
          <w:sz w:val="22"/>
          <w:szCs w:val="22"/>
        </w:rPr>
        <w:t>Hung</w:t>
      </w:r>
      <w:proofErr w:type="spellEnd"/>
      <w:r w:rsidR="003122E8" w:rsidRPr="00442509">
        <w:rPr>
          <w:rFonts w:asciiTheme="minorHAnsi" w:eastAsiaTheme="minorHAnsi" w:hAnsiTheme="minorHAnsi" w:cstheme="minorHAnsi"/>
          <w:color w:val="000000" w:themeColor="text1"/>
          <w:sz w:val="22"/>
          <w:szCs w:val="22"/>
        </w:rPr>
        <w:t xml:space="preserve"> </w:t>
      </w:r>
      <w:proofErr w:type="spellStart"/>
      <w:r w:rsidR="000B47A7">
        <w:rPr>
          <w:rFonts w:asciiTheme="minorHAnsi" w:eastAsiaTheme="minorHAnsi" w:hAnsiTheme="minorHAnsi" w:cstheme="minorHAnsi"/>
          <w:color w:val="000000" w:themeColor="text1"/>
          <w:sz w:val="22"/>
          <w:szCs w:val="22"/>
        </w:rPr>
        <w:t>etal</w:t>
      </w:r>
      <w:proofErr w:type="spellEnd"/>
      <w:r w:rsidR="000B47A7">
        <w:rPr>
          <w:rFonts w:asciiTheme="minorHAnsi" w:eastAsiaTheme="minorHAnsi" w:hAnsiTheme="minorHAnsi" w:cstheme="minorHAnsi"/>
          <w:color w:val="000000" w:themeColor="text1"/>
          <w:sz w:val="22"/>
          <w:szCs w:val="22"/>
        </w:rPr>
        <w:t>.</w:t>
      </w:r>
      <w:r w:rsidR="003122E8" w:rsidRPr="00442509">
        <w:rPr>
          <w:rFonts w:asciiTheme="minorHAnsi" w:eastAsiaTheme="minorHAnsi" w:hAnsiTheme="minorHAnsi" w:cstheme="minorHAnsi"/>
          <w:color w:val="000000" w:themeColor="text1"/>
          <w:sz w:val="22"/>
          <w:szCs w:val="22"/>
        </w:rPr>
        <w:t xml:space="preserve"> 2004)</w:t>
      </w:r>
      <w:r w:rsidR="00526610" w:rsidRPr="00442509">
        <w:rPr>
          <w:rFonts w:asciiTheme="minorHAnsi" w:eastAsiaTheme="minorHAnsi" w:hAnsiTheme="minorHAnsi" w:cstheme="minorHAnsi"/>
          <w:color w:val="000000" w:themeColor="text1"/>
          <w:sz w:val="22"/>
          <w:szCs w:val="22"/>
        </w:rPr>
        <w:t>.</w:t>
      </w:r>
      <w:r w:rsidR="00901808" w:rsidRPr="00442509">
        <w:rPr>
          <w:rFonts w:asciiTheme="minorHAnsi" w:eastAsiaTheme="minorHAnsi" w:hAnsiTheme="minorHAnsi" w:cstheme="minorHAnsi"/>
          <w:color w:val="000000" w:themeColor="text1"/>
          <w:sz w:val="22"/>
          <w:szCs w:val="22"/>
        </w:rPr>
        <w:t xml:space="preserve"> Om goed te kunnen werken in het inkooptraject, is het van belang dat de partijen vertrouwen in elkaar blijven behouden. De koper zal niet opportunistisch </w:t>
      </w:r>
      <w:r w:rsidR="002C3F83">
        <w:rPr>
          <w:rFonts w:asciiTheme="minorHAnsi" w:eastAsiaTheme="minorHAnsi" w:hAnsiTheme="minorHAnsi" w:cstheme="minorHAnsi"/>
          <w:color w:val="000000" w:themeColor="text1"/>
          <w:sz w:val="22"/>
          <w:szCs w:val="22"/>
        </w:rPr>
        <w:t>handelen</w:t>
      </w:r>
      <w:r w:rsidR="00901808" w:rsidRPr="00442509">
        <w:rPr>
          <w:rFonts w:asciiTheme="minorHAnsi" w:eastAsiaTheme="minorHAnsi" w:hAnsiTheme="minorHAnsi" w:cstheme="minorHAnsi"/>
          <w:color w:val="000000" w:themeColor="text1"/>
          <w:sz w:val="22"/>
          <w:szCs w:val="22"/>
        </w:rPr>
        <w:t xml:space="preserve"> en zijn</w:t>
      </w:r>
      <w:r w:rsidR="002C3F83">
        <w:rPr>
          <w:rFonts w:asciiTheme="minorHAnsi" w:eastAsiaTheme="minorHAnsi" w:hAnsiTheme="minorHAnsi" w:cstheme="minorHAnsi"/>
          <w:color w:val="000000" w:themeColor="text1"/>
          <w:sz w:val="22"/>
          <w:szCs w:val="22"/>
        </w:rPr>
        <w:t xml:space="preserve"> macht</w:t>
      </w:r>
      <w:r w:rsidR="00901808" w:rsidRPr="00442509">
        <w:rPr>
          <w:rFonts w:asciiTheme="minorHAnsi" w:eastAsiaTheme="minorHAnsi" w:hAnsiTheme="minorHAnsi" w:cstheme="minorHAnsi"/>
          <w:color w:val="000000" w:themeColor="text1"/>
          <w:sz w:val="22"/>
          <w:szCs w:val="22"/>
        </w:rPr>
        <w:t xml:space="preserve"> misbruiken. Dit geldt tevens voor de leverancier, zelfs in een </w:t>
      </w:r>
      <w:proofErr w:type="spellStart"/>
      <w:r w:rsidR="00901808" w:rsidRPr="00442509">
        <w:rPr>
          <w:rFonts w:asciiTheme="minorHAnsi" w:eastAsiaTheme="minorHAnsi" w:hAnsiTheme="minorHAnsi" w:cstheme="minorHAnsi"/>
          <w:color w:val="000000" w:themeColor="text1"/>
          <w:sz w:val="22"/>
          <w:szCs w:val="22"/>
        </w:rPr>
        <w:t>monopol</w:t>
      </w:r>
      <w:r w:rsidR="002C3F83">
        <w:rPr>
          <w:rFonts w:asciiTheme="minorHAnsi" w:eastAsiaTheme="minorHAnsi" w:hAnsiTheme="minorHAnsi" w:cstheme="minorHAnsi"/>
          <w:color w:val="000000" w:themeColor="text1"/>
          <w:sz w:val="22"/>
          <w:szCs w:val="22"/>
        </w:rPr>
        <w:t>ie</w:t>
      </w:r>
      <w:r w:rsidR="00901808" w:rsidRPr="00442509">
        <w:rPr>
          <w:rFonts w:asciiTheme="minorHAnsi" w:eastAsiaTheme="minorHAnsi" w:hAnsiTheme="minorHAnsi" w:cstheme="minorHAnsi"/>
          <w:color w:val="000000" w:themeColor="text1"/>
          <w:sz w:val="22"/>
          <w:szCs w:val="22"/>
        </w:rPr>
        <w:t>positie</w:t>
      </w:r>
      <w:proofErr w:type="spellEnd"/>
      <w:r w:rsidR="00901808" w:rsidRPr="00442509">
        <w:rPr>
          <w:rFonts w:asciiTheme="minorHAnsi" w:eastAsiaTheme="minorHAnsi" w:hAnsiTheme="minorHAnsi" w:cstheme="minorHAnsi"/>
          <w:color w:val="000000" w:themeColor="text1"/>
          <w:sz w:val="22"/>
          <w:szCs w:val="22"/>
        </w:rPr>
        <w:t>.</w:t>
      </w:r>
      <w:r w:rsidR="00B90EAD" w:rsidRPr="00442509">
        <w:rPr>
          <w:rFonts w:asciiTheme="minorHAnsi" w:eastAsiaTheme="minorHAnsi" w:hAnsiTheme="minorHAnsi" w:cstheme="minorHAnsi"/>
          <w:color w:val="000000" w:themeColor="text1"/>
          <w:sz w:val="22"/>
          <w:szCs w:val="22"/>
        </w:rPr>
        <w:t xml:space="preserve"> Vertrouwen vormt daarin een positieve verwachting aangaande de intenties en motieven van de andere actoren (Lane &amp; </w:t>
      </w:r>
      <w:proofErr w:type="spellStart"/>
      <w:r w:rsidR="00B90EAD" w:rsidRPr="00442509">
        <w:rPr>
          <w:rFonts w:asciiTheme="minorHAnsi" w:eastAsiaTheme="minorHAnsi" w:hAnsiTheme="minorHAnsi" w:cstheme="minorHAnsi"/>
          <w:color w:val="000000" w:themeColor="text1"/>
          <w:sz w:val="22"/>
          <w:szCs w:val="22"/>
        </w:rPr>
        <w:t>Bachmann</w:t>
      </w:r>
      <w:proofErr w:type="spellEnd"/>
      <w:r w:rsidR="00B90EAD" w:rsidRPr="00442509">
        <w:rPr>
          <w:rFonts w:asciiTheme="minorHAnsi" w:eastAsiaTheme="minorHAnsi" w:hAnsiTheme="minorHAnsi" w:cstheme="minorHAnsi"/>
          <w:color w:val="000000" w:themeColor="text1"/>
          <w:sz w:val="22"/>
          <w:szCs w:val="22"/>
        </w:rPr>
        <w:t>, 1998).</w:t>
      </w:r>
      <w:r w:rsidR="00901808" w:rsidRPr="00442509">
        <w:rPr>
          <w:rFonts w:asciiTheme="minorHAnsi" w:eastAsiaTheme="minorHAnsi" w:hAnsiTheme="minorHAnsi" w:cstheme="minorHAnsi"/>
          <w:color w:val="000000" w:themeColor="text1"/>
          <w:sz w:val="22"/>
          <w:szCs w:val="22"/>
        </w:rPr>
        <w:t xml:space="preserve"> Beide partijen willen namelijk graag een langdurige relatie opbouwen, zoals de term ‘partnership’ ook </w:t>
      </w:r>
      <w:r w:rsidR="002C3F83">
        <w:rPr>
          <w:rFonts w:asciiTheme="minorHAnsi" w:eastAsiaTheme="minorHAnsi" w:hAnsiTheme="minorHAnsi" w:cstheme="minorHAnsi"/>
          <w:color w:val="000000" w:themeColor="text1"/>
          <w:sz w:val="22"/>
          <w:szCs w:val="22"/>
        </w:rPr>
        <w:t>veronderstelt.</w:t>
      </w:r>
      <w:r w:rsidR="00901808" w:rsidRPr="00442509">
        <w:rPr>
          <w:rFonts w:asciiTheme="minorHAnsi" w:eastAsiaTheme="minorHAnsi" w:hAnsiTheme="minorHAnsi" w:cstheme="minorHAnsi"/>
          <w:color w:val="000000" w:themeColor="text1"/>
          <w:sz w:val="22"/>
          <w:szCs w:val="22"/>
        </w:rPr>
        <w:t xml:space="preserve"> </w:t>
      </w:r>
    </w:p>
    <w:p w14:paraId="5EC03204" w14:textId="77777777" w:rsidR="00CD39F8" w:rsidRPr="00442509" w:rsidRDefault="00CD39F8" w:rsidP="00CD39F8">
      <w:pPr>
        <w:spacing w:after="0" w:line="276" w:lineRule="auto"/>
        <w:rPr>
          <w:rFonts w:asciiTheme="minorHAnsi" w:eastAsiaTheme="minorHAnsi" w:hAnsiTheme="minorHAnsi" w:cstheme="minorHAnsi"/>
          <w:color w:val="000000" w:themeColor="text1"/>
          <w:sz w:val="22"/>
          <w:szCs w:val="22"/>
        </w:rPr>
      </w:pPr>
    </w:p>
    <w:p w14:paraId="23678D95" w14:textId="375652F5" w:rsidR="009E6A86" w:rsidRPr="00442509" w:rsidRDefault="00C67F90" w:rsidP="009E6A86">
      <w:pPr>
        <w:spacing w:after="0" w:line="276" w:lineRule="auto"/>
        <w:rPr>
          <w:rFonts w:asciiTheme="minorHAnsi" w:eastAsiaTheme="minorHAnsi" w:hAnsiTheme="minorHAnsi" w:cstheme="minorHAnsi"/>
          <w:sz w:val="22"/>
          <w:szCs w:val="22"/>
        </w:rPr>
      </w:pPr>
      <w:r>
        <w:rPr>
          <w:rFonts w:asciiTheme="minorHAnsi" w:eastAsiaTheme="minorHAnsi" w:hAnsiTheme="minorHAnsi" w:cstheme="minorHAnsi"/>
          <w:color w:val="000000" w:themeColor="text1"/>
          <w:sz w:val="22"/>
          <w:szCs w:val="22"/>
        </w:rPr>
        <w:t>Binnen</w:t>
      </w:r>
      <w:r w:rsidR="0038543D" w:rsidRPr="00442509">
        <w:rPr>
          <w:rFonts w:asciiTheme="minorHAnsi" w:eastAsiaTheme="minorHAnsi" w:hAnsiTheme="minorHAnsi" w:cstheme="minorHAnsi"/>
          <w:color w:val="000000" w:themeColor="text1"/>
          <w:sz w:val="22"/>
          <w:szCs w:val="22"/>
        </w:rPr>
        <w:t xml:space="preserve"> </w:t>
      </w:r>
      <w:r w:rsidR="0078636A" w:rsidRPr="00442509">
        <w:rPr>
          <w:rFonts w:asciiTheme="minorHAnsi" w:eastAsiaTheme="minorHAnsi" w:hAnsiTheme="minorHAnsi" w:cstheme="minorHAnsi"/>
          <w:color w:val="000000" w:themeColor="text1"/>
          <w:sz w:val="22"/>
          <w:szCs w:val="22"/>
        </w:rPr>
        <w:t xml:space="preserve">de </w:t>
      </w:r>
      <w:r w:rsidR="0038543D" w:rsidRPr="00442509">
        <w:rPr>
          <w:rFonts w:asciiTheme="minorHAnsi" w:eastAsiaTheme="minorHAnsi" w:hAnsiTheme="minorHAnsi" w:cstheme="minorHAnsi"/>
          <w:color w:val="000000" w:themeColor="text1"/>
          <w:sz w:val="22"/>
          <w:szCs w:val="22"/>
        </w:rPr>
        <w:t xml:space="preserve">theorie over inkooptransacties gaan </w:t>
      </w:r>
      <w:r w:rsidR="00793D3D">
        <w:rPr>
          <w:rFonts w:asciiTheme="minorHAnsi" w:eastAsiaTheme="minorHAnsi" w:hAnsiTheme="minorHAnsi" w:cstheme="minorHAnsi"/>
          <w:color w:val="000000" w:themeColor="text1"/>
          <w:sz w:val="22"/>
          <w:szCs w:val="22"/>
        </w:rPr>
        <w:t xml:space="preserve">relationeel </w:t>
      </w:r>
      <w:r w:rsidR="0038543D" w:rsidRPr="00442509">
        <w:rPr>
          <w:rFonts w:asciiTheme="minorHAnsi" w:eastAsiaTheme="minorHAnsi" w:hAnsiTheme="minorHAnsi" w:cstheme="minorHAnsi"/>
          <w:color w:val="000000" w:themeColor="text1"/>
          <w:sz w:val="22"/>
          <w:szCs w:val="22"/>
        </w:rPr>
        <w:t>vertrouwen en loyaliteit hand in hand (</w:t>
      </w:r>
      <w:proofErr w:type="spellStart"/>
      <w:r w:rsidR="0038543D" w:rsidRPr="00442509">
        <w:rPr>
          <w:rFonts w:asciiTheme="minorHAnsi" w:eastAsiaTheme="minorHAnsi" w:hAnsiTheme="minorHAnsi" w:cstheme="minorHAnsi"/>
          <w:color w:val="000000" w:themeColor="text1"/>
          <w:sz w:val="22"/>
          <w:szCs w:val="22"/>
        </w:rPr>
        <w:t>LeClerc</w:t>
      </w:r>
      <w:proofErr w:type="spellEnd"/>
      <w:r w:rsidR="0038543D" w:rsidRPr="00442509">
        <w:rPr>
          <w:rFonts w:asciiTheme="minorHAnsi" w:eastAsiaTheme="minorHAnsi" w:hAnsiTheme="minorHAnsi" w:cstheme="minorHAnsi"/>
          <w:color w:val="000000" w:themeColor="text1"/>
          <w:sz w:val="22"/>
          <w:szCs w:val="22"/>
        </w:rPr>
        <w:t xml:space="preserve"> &amp; Little, 1997; Homburg </w:t>
      </w:r>
      <w:r w:rsidR="000B47A7">
        <w:rPr>
          <w:rFonts w:asciiTheme="minorHAnsi" w:eastAsiaTheme="minorHAnsi" w:hAnsiTheme="minorHAnsi" w:cstheme="minorHAnsi"/>
          <w:color w:val="000000" w:themeColor="text1"/>
          <w:sz w:val="22"/>
          <w:szCs w:val="22"/>
        </w:rPr>
        <w:t>et</w:t>
      </w:r>
      <w:r w:rsidR="0038543D" w:rsidRPr="00442509">
        <w:rPr>
          <w:rFonts w:asciiTheme="minorHAnsi" w:eastAsiaTheme="minorHAnsi" w:hAnsiTheme="minorHAnsi" w:cstheme="minorHAnsi"/>
          <w:color w:val="000000" w:themeColor="text1"/>
          <w:sz w:val="22"/>
          <w:szCs w:val="22"/>
        </w:rPr>
        <w:t xml:space="preserve"> </w:t>
      </w:r>
      <w:r w:rsidR="000B47A7">
        <w:rPr>
          <w:rFonts w:asciiTheme="minorHAnsi" w:eastAsiaTheme="minorHAnsi" w:hAnsiTheme="minorHAnsi" w:cstheme="minorHAnsi"/>
          <w:color w:val="000000" w:themeColor="text1"/>
          <w:sz w:val="22"/>
          <w:szCs w:val="22"/>
        </w:rPr>
        <w:t>al.</w:t>
      </w:r>
      <w:r w:rsidR="0038543D" w:rsidRPr="00442509">
        <w:rPr>
          <w:rFonts w:asciiTheme="minorHAnsi" w:eastAsiaTheme="minorHAnsi" w:hAnsiTheme="minorHAnsi" w:cstheme="minorHAnsi"/>
          <w:color w:val="000000" w:themeColor="text1"/>
          <w:sz w:val="22"/>
          <w:szCs w:val="22"/>
        </w:rPr>
        <w:t xml:space="preserve"> 200</w:t>
      </w:r>
      <w:r w:rsidR="00AE1D71">
        <w:rPr>
          <w:rFonts w:asciiTheme="minorHAnsi" w:eastAsiaTheme="minorHAnsi" w:hAnsiTheme="minorHAnsi" w:cstheme="minorHAnsi"/>
          <w:color w:val="000000" w:themeColor="text1"/>
          <w:sz w:val="22"/>
          <w:szCs w:val="22"/>
        </w:rPr>
        <w:t>1</w:t>
      </w:r>
      <w:r w:rsidR="0038543D" w:rsidRPr="00442509">
        <w:rPr>
          <w:rFonts w:asciiTheme="minorHAnsi" w:eastAsiaTheme="minorHAnsi" w:hAnsiTheme="minorHAnsi" w:cstheme="minorHAnsi"/>
          <w:color w:val="000000" w:themeColor="text1"/>
          <w:sz w:val="22"/>
          <w:szCs w:val="22"/>
        </w:rPr>
        <w:t>).</w:t>
      </w:r>
      <w:r w:rsidR="00793418" w:rsidRPr="00442509">
        <w:rPr>
          <w:rFonts w:asciiTheme="minorHAnsi" w:eastAsiaTheme="minorHAnsi" w:hAnsiTheme="minorHAnsi" w:cstheme="minorHAnsi"/>
          <w:color w:val="000000" w:themeColor="text1"/>
          <w:sz w:val="22"/>
          <w:szCs w:val="22"/>
        </w:rPr>
        <w:t xml:space="preserve"> </w:t>
      </w:r>
      <w:r w:rsidR="00E728BD" w:rsidRPr="00442509">
        <w:rPr>
          <w:rFonts w:asciiTheme="minorHAnsi" w:eastAsiaTheme="minorHAnsi" w:hAnsiTheme="minorHAnsi" w:cstheme="minorHAnsi"/>
          <w:color w:val="000000" w:themeColor="text1"/>
          <w:sz w:val="22"/>
          <w:szCs w:val="22"/>
        </w:rPr>
        <w:t xml:space="preserve">Loyaliteit bij inkoop speelt een rol wanneer kopers veel bij het oude laten uit angst om een verkeerde keuze te maken. </w:t>
      </w:r>
      <w:r w:rsidR="009119AD" w:rsidRPr="00442509">
        <w:rPr>
          <w:rFonts w:asciiTheme="minorHAnsi" w:eastAsiaTheme="minorHAnsi" w:hAnsiTheme="minorHAnsi" w:cstheme="minorHAnsi"/>
          <w:color w:val="000000" w:themeColor="text1"/>
          <w:sz w:val="22"/>
          <w:szCs w:val="22"/>
        </w:rPr>
        <w:t xml:space="preserve">Vanwege de </w:t>
      </w:r>
      <w:r w:rsidR="0038543D" w:rsidRPr="00442509">
        <w:rPr>
          <w:rFonts w:asciiTheme="minorHAnsi" w:eastAsiaTheme="minorHAnsi" w:hAnsiTheme="minorHAnsi" w:cstheme="minorHAnsi"/>
          <w:color w:val="000000" w:themeColor="text1"/>
          <w:sz w:val="22"/>
          <w:szCs w:val="22"/>
        </w:rPr>
        <w:t xml:space="preserve">kennisasymmetrie </w:t>
      </w:r>
      <w:r w:rsidR="009119AD" w:rsidRPr="00442509">
        <w:rPr>
          <w:rFonts w:asciiTheme="minorHAnsi" w:eastAsiaTheme="minorHAnsi" w:hAnsiTheme="minorHAnsi" w:cstheme="minorHAnsi"/>
          <w:color w:val="000000" w:themeColor="text1"/>
          <w:sz w:val="22"/>
          <w:szCs w:val="22"/>
        </w:rPr>
        <w:t xml:space="preserve">heeft de inkoper zich niet </w:t>
      </w:r>
      <w:r w:rsidR="00D723BE" w:rsidRPr="00442509">
        <w:rPr>
          <w:rFonts w:asciiTheme="minorHAnsi" w:eastAsiaTheme="minorHAnsi" w:hAnsiTheme="minorHAnsi" w:cstheme="minorHAnsi"/>
          <w:color w:val="000000" w:themeColor="text1"/>
          <w:sz w:val="22"/>
          <w:szCs w:val="22"/>
        </w:rPr>
        <w:t>georiënteerd</w:t>
      </w:r>
      <w:r w:rsidR="009119AD" w:rsidRPr="00442509">
        <w:rPr>
          <w:rFonts w:asciiTheme="minorHAnsi" w:eastAsiaTheme="minorHAnsi" w:hAnsiTheme="minorHAnsi" w:cstheme="minorHAnsi"/>
          <w:color w:val="000000" w:themeColor="text1"/>
          <w:sz w:val="22"/>
          <w:szCs w:val="22"/>
        </w:rPr>
        <w:t xml:space="preserve"> op de alternatieven</w:t>
      </w:r>
      <w:r w:rsidR="00E728BD" w:rsidRPr="00442509">
        <w:rPr>
          <w:rFonts w:asciiTheme="minorHAnsi" w:eastAsiaTheme="minorHAnsi" w:hAnsiTheme="minorHAnsi" w:cstheme="minorHAnsi"/>
          <w:color w:val="000000" w:themeColor="text1"/>
          <w:sz w:val="22"/>
          <w:szCs w:val="22"/>
        </w:rPr>
        <w:t xml:space="preserve"> en mogelijkheden</w:t>
      </w:r>
      <w:r w:rsidR="009119AD" w:rsidRPr="00442509">
        <w:rPr>
          <w:rFonts w:asciiTheme="minorHAnsi" w:eastAsiaTheme="minorHAnsi" w:hAnsiTheme="minorHAnsi" w:cstheme="minorHAnsi"/>
          <w:color w:val="000000" w:themeColor="text1"/>
          <w:sz w:val="22"/>
          <w:szCs w:val="22"/>
        </w:rPr>
        <w:t>. Dit zorg</w:t>
      </w:r>
      <w:r w:rsidR="00D723BE" w:rsidRPr="00442509">
        <w:rPr>
          <w:rFonts w:asciiTheme="minorHAnsi" w:eastAsiaTheme="minorHAnsi" w:hAnsiTheme="minorHAnsi" w:cstheme="minorHAnsi"/>
          <w:color w:val="000000" w:themeColor="text1"/>
          <w:sz w:val="22"/>
          <w:szCs w:val="22"/>
        </w:rPr>
        <w:t xml:space="preserve">t er mede </w:t>
      </w:r>
      <w:r w:rsidR="009119AD" w:rsidRPr="00442509">
        <w:rPr>
          <w:rFonts w:asciiTheme="minorHAnsi" w:eastAsiaTheme="minorHAnsi" w:hAnsiTheme="minorHAnsi" w:cstheme="minorHAnsi"/>
          <w:color w:val="000000" w:themeColor="text1"/>
          <w:sz w:val="22"/>
          <w:szCs w:val="22"/>
        </w:rPr>
        <w:t>voor dat de inkoper loyaal blijft aan de leverancier. Op een gegeven moment continueert de inkoper zijn relatie met de leverancier uit gewoonte</w:t>
      </w:r>
      <w:r w:rsidR="00E728BD" w:rsidRPr="00442509">
        <w:rPr>
          <w:rFonts w:asciiTheme="minorHAnsi" w:eastAsiaTheme="minorHAnsi" w:hAnsiTheme="minorHAnsi" w:cstheme="minorHAnsi"/>
          <w:color w:val="000000" w:themeColor="text1"/>
          <w:sz w:val="22"/>
          <w:szCs w:val="22"/>
        </w:rPr>
        <w:t xml:space="preserve"> (</w:t>
      </w:r>
      <w:proofErr w:type="spellStart"/>
      <w:r w:rsidR="00CD39F8" w:rsidRPr="00442509">
        <w:rPr>
          <w:rFonts w:asciiTheme="minorHAnsi" w:eastAsiaTheme="minorHAnsi" w:hAnsiTheme="minorHAnsi" w:cstheme="minorHAnsi"/>
          <w:color w:val="000000" w:themeColor="text1"/>
          <w:sz w:val="22"/>
          <w:szCs w:val="22"/>
        </w:rPr>
        <w:t>LeClerc</w:t>
      </w:r>
      <w:proofErr w:type="spellEnd"/>
      <w:r w:rsidR="00CD39F8" w:rsidRPr="00442509">
        <w:rPr>
          <w:rFonts w:asciiTheme="minorHAnsi" w:eastAsiaTheme="minorHAnsi" w:hAnsiTheme="minorHAnsi" w:cstheme="minorHAnsi"/>
          <w:color w:val="000000" w:themeColor="text1"/>
          <w:sz w:val="22"/>
          <w:szCs w:val="22"/>
        </w:rPr>
        <w:t xml:space="preserve"> en Little, 1997)</w:t>
      </w:r>
      <w:r w:rsidR="009119AD" w:rsidRPr="00442509">
        <w:rPr>
          <w:rFonts w:asciiTheme="minorHAnsi" w:eastAsiaTheme="minorHAnsi" w:hAnsiTheme="minorHAnsi" w:cstheme="minorHAnsi"/>
          <w:color w:val="000000" w:themeColor="text1"/>
          <w:sz w:val="22"/>
          <w:szCs w:val="22"/>
        </w:rPr>
        <w:t>.</w:t>
      </w:r>
      <w:r w:rsidR="00E728BD" w:rsidRPr="00442509">
        <w:rPr>
          <w:rFonts w:asciiTheme="minorHAnsi" w:eastAsiaTheme="minorHAnsi" w:hAnsiTheme="minorHAnsi" w:cstheme="minorHAnsi"/>
          <w:color w:val="000000" w:themeColor="text1"/>
          <w:sz w:val="22"/>
          <w:szCs w:val="22"/>
        </w:rPr>
        <w:t xml:space="preserve"> Gewoonte is volgens </w:t>
      </w:r>
      <w:proofErr w:type="spellStart"/>
      <w:r w:rsidR="00E728BD" w:rsidRPr="00442509">
        <w:rPr>
          <w:rFonts w:asciiTheme="minorHAnsi" w:eastAsiaTheme="minorHAnsi" w:hAnsiTheme="minorHAnsi" w:cstheme="minorHAnsi"/>
          <w:color w:val="000000" w:themeColor="text1"/>
          <w:sz w:val="22"/>
          <w:szCs w:val="22"/>
        </w:rPr>
        <w:t>Cialdini</w:t>
      </w:r>
      <w:proofErr w:type="spellEnd"/>
      <w:r w:rsidR="00CD39F8" w:rsidRPr="00442509">
        <w:rPr>
          <w:rFonts w:asciiTheme="minorHAnsi" w:eastAsiaTheme="minorHAnsi" w:hAnsiTheme="minorHAnsi" w:cstheme="minorHAnsi"/>
          <w:color w:val="000000" w:themeColor="text1"/>
          <w:sz w:val="22"/>
          <w:szCs w:val="22"/>
        </w:rPr>
        <w:t xml:space="preserve"> </w:t>
      </w:r>
      <w:r w:rsidR="00E728BD" w:rsidRPr="00442509">
        <w:rPr>
          <w:rFonts w:asciiTheme="minorHAnsi" w:eastAsiaTheme="minorHAnsi" w:hAnsiTheme="minorHAnsi" w:cstheme="minorHAnsi"/>
          <w:color w:val="000000" w:themeColor="text1"/>
          <w:sz w:val="22"/>
          <w:szCs w:val="22"/>
        </w:rPr>
        <w:t>(</w:t>
      </w:r>
      <w:r w:rsidR="00CD39F8" w:rsidRPr="00442509">
        <w:rPr>
          <w:rFonts w:asciiTheme="minorHAnsi" w:eastAsiaTheme="minorHAnsi" w:hAnsiTheme="minorHAnsi" w:cstheme="minorHAnsi"/>
          <w:color w:val="000000" w:themeColor="text1"/>
          <w:sz w:val="22"/>
          <w:szCs w:val="22"/>
        </w:rPr>
        <w:t>1993</w:t>
      </w:r>
      <w:r w:rsidR="00E728BD" w:rsidRPr="00442509">
        <w:rPr>
          <w:rFonts w:asciiTheme="minorHAnsi" w:eastAsiaTheme="minorHAnsi" w:hAnsiTheme="minorHAnsi" w:cstheme="minorHAnsi"/>
          <w:color w:val="000000" w:themeColor="text1"/>
          <w:sz w:val="22"/>
          <w:szCs w:val="22"/>
        </w:rPr>
        <w:t>)</w:t>
      </w:r>
      <w:r w:rsidR="00CD39F8" w:rsidRPr="00442509">
        <w:rPr>
          <w:rFonts w:asciiTheme="minorHAnsi" w:eastAsiaTheme="minorHAnsi" w:hAnsiTheme="minorHAnsi" w:cstheme="minorHAnsi"/>
          <w:color w:val="000000" w:themeColor="text1"/>
          <w:sz w:val="22"/>
          <w:szCs w:val="22"/>
        </w:rPr>
        <w:t xml:space="preserve"> het onbedacht, automatisch omzeilen van een bewuste rede</w:t>
      </w:r>
      <w:r w:rsidR="00A73BCF" w:rsidRPr="00442509">
        <w:rPr>
          <w:rFonts w:asciiTheme="minorHAnsi" w:eastAsiaTheme="minorHAnsi" w:hAnsiTheme="minorHAnsi" w:cstheme="minorHAnsi"/>
          <w:color w:val="000000" w:themeColor="text1"/>
          <w:sz w:val="22"/>
          <w:szCs w:val="22"/>
        </w:rPr>
        <w:t xml:space="preserve">nering. </w:t>
      </w:r>
      <w:r w:rsidR="00CD39F8" w:rsidRPr="00442509">
        <w:rPr>
          <w:rFonts w:asciiTheme="minorHAnsi" w:eastAsiaTheme="minorHAnsi" w:hAnsiTheme="minorHAnsi" w:cstheme="minorHAnsi"/>
          <w:color w:val="000000" w:themeColor="text1"/>
          <w:sz w:val="22"/>
          <w:szCs w:val="22"/>
        </w:rPr>
        <w:t>Indien gedrag gewoonte i</w:t>
      </w:r>
      <w:r w:rsidR="00E728BD" w:rsidRPr="00442509">
        <w:rPr>
          <w:rFonts w:asciiTheme="minorHAnsi" w:eastAsiaTheme="minorHAnsi" w:hAnsiTheme="minorHAnsi" w:cstheme="minorHAnsi"/>
          <w:color w:val="000000" w:themeColor="text1"/>
          <w:sz w:val="22"/>
          <w:szCs w:val="22"/>
        </w:rPr>
        <w:t xml:space="preserve">s geworden </w:t>
      </w:r>
      <w:r w:rsidR="00CD39F8" w:rsidRPr="00442509">
        <w:rPr>
          <w:rFonts w:asciiTheme="minorHAnsi" w:eastAsiaTheme="minorHAnsi" w:hAnsiTheme="minorHAnsi" w:cstheme="minorHAnsi"/>
          <w:color w:val="000000" w:themeColor="text1"/>
          <w:sz w:val="22"/>
          <w:szCs w:val="22"/>
        </w:rPr>
        <w:t>wordt dit automatisch en zonder verdere bew</w:t>
      </w:r>
      <w:r w:rsidR="002C3F83">
        <w:rPr>
          <w:rFonts w:asciiTheme="minorHAnsi" w:eastAsiaTheme="minorHAnsi" w:hAnsiTheme="minorHAnsi" w:cstheme="minorHAnsi"/>
          <w:color w:val="000000" w:themeColor="text1"/>
          <w:sz w:val="22"/>
          <w:szCs w:val="22"/>
        </w:rPr>
        <w:t>ustwording</w:t>
      </w:r>
      <w:r w:rsidR="00012ADB" w:rsidRPr="00442509">
        <w:rPr>
          <w:rFonts w:asciiTheme="minorHAnsi" w:eastAsiaTheme="minorHAnsi" w:hAnsiTheme="minorHAnsi" w:cstheme="minorHAnsi"/>
          <w:color w:val="000000" w:themeColor="text1"/>
          <w:sz w:val="22"/>
          <w:szCs w:val="22"/>
        </w:rPr>
        <w:t xml:space="preserve"> uitgevoerd (Lin en Wang, 2006). Uit het onderzoek van Homburg </w:t>
      </w:r>
      <w:r w:rsidR="000B47A7">
        <w:rPr>
          <w:rFonts w:asciiTheme="minorHAnsi" w:eastAsiaTheme="minorHAnsi" w:hAnsiTheme="minorHAnsi" w:cstheme="minorHAnsi"/>
          <w:color w:val="000000" w:themeColor="text1"/>
          <w:sz w:val="22"/>
          <w:szCs w:val="22"/>
        </w:rPr>
        <w:t>et</w:t>
      </w:r>
      <w:r w:rsidR="00012ADB" w:rsidRPr="00442509">
        <w:rPr>
          <w:rFonts w:asciiTheme="minorHAnsi" w:eastAsiaTheme="minorHAnsi" w:hAnsiTheme="minorHAnsi" w:cstheme="minorHAnsi"/>
          <w:color w:val="000000" w:themeColor="text1"/>
          <w:sz w:val="22"/>
          <w:szCs w:val="22"/>
        </w:rPr>
        <w:t xml:space="preserve"> al. (200</w:t>
      </w:r>
      <w:r w:rsidR="00AE1D71">
        <w:rPr>
          <w:rFonts w:asciiTheme="minorHAnsi" w:eastAsiaTheme="minorHAnsi" w:hAnsiTheme="minorHAnsi" w:cstheme="minorHAnsi"/>
          <w:color w:val="000000" w:themeColor="text1"/>
          <w:sz w:val="22"/>
          <w:szCs w:val="22"/>
        </w:rPr>
        <w:t>1</w:t>
      </w:r>
      <w:r w:rsidR="00012ADB" w:rsidRPr="00442509">
        <w:rPr>
          <w:rFonts w:asciiTheme="minorHAnsi" w:eastAsiaTheme="minorHAnsi" w:hAnsiTheme="minorHAnsi" w:cstheme="minorHAnsi"/>
          <w:color w:val="000000" w:themeColor="text1"/>
          <w:sz w:val="22"/>
          <w:szCs w:val="22"/>
        </w:rPr>
        <w:t xml:space="preserve">) is gebleken dat de duur van de relatie van invloed is op de loyaliteit van de inkoper jegens de leverancier. Indien de duur langer is zal de loyaliteit hoger zijn. </w:t>
      </w:r>
      <w:r w:rsidR="00E728BD" w:rsidRPr="00442509">
        <w:rPr>
          <w:rFonts w:asciiTheme="minorHAnsi" w:eastAsiaTheme="minorHAnsi" w:hAnsiTheme="minorHAnsi" w:cstheme="minorHAnsi"/>
          <w:color w:val="000000" w:themeColor="text1"/>
          <w:sz w:val="22"/>
          <w:szCs w:val="22"/>
        </w:rPr>
        <w:t xml:space="preserve">Zelfs wanneer </w:t>
      </w:r>
      <w:r w:rsidR="00233C8A" w:rsidRPr="00442509">
        <w:rPr>
          <w:rFonts w:asciiTheme="minorHAnsi" w:eastAsiaTheme="minorHAnsi" w:hAnsiTheme="minorHAnsi" w:cstheme="minorHAnsi"/>
          <w:color w:val="000000" w:themeColor="text1"/>
          <w:sz w:val="22"/>
          <w:szCs w:val="22"/>
        </w:rPr>
        <w:t>de tevreden</w:t>
      </w:r>
      <w:r w:rsidR="00E728BD" w:rsidRPr="00442509">
        <w:rPr>
          <w:rFonts w:asciiTheme="minorHAnsi" w:eastAsiaTheme="minorHAnsi" w:hAnsiTheme="minorHAnsi" w:cstheme="minorHAnsi"/>
          <w:color w:val="000000" w:themeColor="text1"/>
          <w:sz w:val="22"/>
          <w:szCs w:val="22"/>
        </w:rPr>
        <w:t>heid is afgenomen</w:t>
      </w:r>
      <w:r w:rsidR="00233C8A" w:rsidRPr="00442509">
        <w:rPr>
          <w:rFonts w:asciiTheme="minorHAnsi" w:eastAsiaTheme="minorHAnsi" w:hAnsiTheme="minorHAnsi" w:cstheme="minorHAnsi"/>
          <w:color w:val="000000" w:themeColor="text1"/>
          <w:sz w:val="22"/>
          <w:szCs w:val="22"/>
        </w:rPr>
        <w:t xml:space="preserve">. </w:t>
      </w:r>
      <w:r w:rsidR="00D723BE" w:rsidRPr="00442509">
        <w:rPr>
          <w:rFonts w:asciiTheme="minorHAnsi" w:eastAsiaTheme="minorHAnsi" w:hAnsiTheme="minorHAnsi" w:cstheme="minorHAnsi"/>
          <w:color w:val="000000" w:themeColor="text1"/>
          <w:sz w:val="22"/>
          <w:szCs w:val="22"/>
        </w:rPr>
        <w:t xml:space="preserve">Loyaliteit wordt </w:t>
      </w:r>
      <w:r w:rsidR="00E728BD" w:rsidRPr="00442509">
        <w:rPr>
          <w:rFonts w:asciiTheme="minorHAnsi" w:eastAsiaTheme="minorHAnsi" w:hAnsiTheme="minorHAnsi" w:cstheme="minorHAnsi"/>
          <w:color w:val="000000" w:themeColor="text1"/>
          <w:sz w:val="22"/>
          <w:szCs w:val="22"/>
        </w:rPr>
        <w:t xml:space="preserve">met name </w:t>
      </w:r>
      <w:r w:rsidR="00D723BE" w:rsidRPr="00442509">
        <w:rPr>
          <w:rFonts w:asciiTheme="minorHAnsi" w:eastAsiaTheme="minorHAnsi" w:hAnsiTheme="minorHAnsi" w:cstheme="minorHAnsi"/>
          <w:color w:val="000000" w:themeColor="text1"/>
          <w:sz w:val="22"/>
          <w:szCs w:val="22"/>
        </w:rPr>
        <w:t>bepaald door de duur van de relatie en niet door tevredenheid</w:t>
      </w:r>
      <w:r w:rsidR="00E728BD" w:rsidRPr="00442509">
        <w:rPr>
          <w:rFonts w:asciiTheme="minorHAnsi" w:eastAsiaTheme="minorHAnsi" w:hAnsiTheme="minorHAnsi" w:cstheme="minorHAnsi"/>
          <w:color w:val="000000" w:themeColor="text1"/>
          <w:sz w:val="22"/>
          <w:szCs w:val="22"/>
        </w:rPr>
        <w:t xml:space="preserve"> (</w:t>
      </w:r>
      <w:proofErr w:type="spellStart"/>
      <w:r w:rsidR="00E728BD" w:rsidRPr="00442509">
        <w:rPr>
          <w:rFonts w:asciiTheme="minorHAnsi" w:eastAsiaTheme="minorHAnsi" w:hAnsiTheme="minorHAnsi" w:cstheme="minorHAnsi"/>
          <w:color w:val="000000" w:themeColor="text1"/>
          <w:sz w:val="22"/>
          <w:szCs w:val="22"/>
        </w:rPr>
        <w:t>LeClerc</w:t>
      </w:r>
      <w:proofErr w:type="spellEnd"/>
      <w:r w:rsidR="00E728BD" w:rsidRPr="00442509">
        <w:rPr>
          <w:rFonts w:asciiTheme="minorHAnsi" w:eastAsiaTheme="minorHAnsi" w:hAnsiTheme="minorHAnsi" w:cstheme="minorHAnsi"/>
          <w:color w:val="000000" w:themeColor="text1"/>
          <w:sz w:val="22"/>
          <w:szCs w:val="22"/>
        </w:rPr>
        <w:t xml:space="preserve"> &amp; Little, 1997)</w:t>
      </w:r>
      <w:r w:rsidR="00D723BE" w:rsidRPr="00442509">
        <w:rPr>
          <w:rFonts w:asciiTheme="minorHAnsi" w:eastAsiaTheme="minorHAnsi" w:hAnsiTheme="minorHAnsi" w:cstheme="minorHAnsi"/>
          <w:color w:val="000000" w:themeColor="text1"/>
          <w:sz w:val="22"/>
          <w:szCs w:val="22"/>
        </w:rPr>
        <w:t>.</w:t>
      </w:r>
      <w:r w:rsidR="00E728BD" w:rsidRPr="00442509">
        <w:rPr>
          <w:rFonts w:asciiTheme="minorHAnsi" w:eastAsiaTheme="minorHAnsi" w:hAnsiTheme="minorHAnsi" w:cstheme="minorHAnsi"/>
          <w:color w:val="000000" w:themeColor="text1"/>
          <w:sz w:val="22"/>
          <w:szCs w:val="22"/>
        </w:rPr>
        <w:t xml:space="preserve"> Deze vorm van afhankelijkheid brengt </w:t>
      </w:r>
      <w:r w:rsidR="00775E0C" w:rsidRPr="00442509">
        <w:rPr>
          <w:rFonts w:asciiTheme="minorHAnsi" w:eastAsiaTheme="minorHAnsi" w:hAnsiTheme="minorHAnsi" w:cstheme="minorHAnsi"/>
          <w:color w:val="000000" w:themeColor="text1"/>
          <w:sz w:val="22"/>
          <w:szCs w:val="22"/>
        </w:rPr>
        <w:t>efficiëntie</w:t>
      </w:r>
      <w:r w:rsidR="00A73BCF" w:rsidRPr="00442509">
        <w:rPr>
          <w:rFonts w:asciiTheme="minorHAnsi" w:eastAsiaTheme="minorHAnsi" w:hAnsiTheme="minorHAnsi" w:cstheme="minorHAnsi"/>
          <w:color w:val="000000" w:themeColor="text1"/>
          <w:sz w:val="22"/>
          <w:szCs w:val="22"/>
        </w:rPr>
        <w:t xml:space="preserve"> van de output in gevaar. O</w:t>
      </w:r>
      <w:r w:rsidR="00E728BD" w:rsidRPr="00442509">
        <w:rPr>
          <w:rFonts w:asciiTheme="minorHAnsi" w:eastAsiaTheme="minorHAnsi" w:hAnsiTheme="minorHAnsi" w:cstheme="minorHAnsi"/>
          <w:color w:val="000000" w:themeColor="text1"/>
          <w:sz w:val="22"/>
          <w:szCs w:val="22"/>
        </w:rPr>
        <w:t xml:space="preserve">pdrachtgever heeft immers meer oog voor het feit dat er geleverd wordt en minder voor </w:t>
      </w:r>
      <w:r w:rsidR="00E728BD" w:rsidRPr="00442509">
        <w:rPr>
          <w:rFonts w:asciiTheme="minorHAnsi" w:eastAsiaTheme="minorHAnsi" w:hAnsiTheme="minorHAnsi" w:cstheme="minorHAnsi"/>
          <w:sz w:val="22"/>
          <w:szCs w:val="22"/>
        </w:rPr>
        <w:t>wat er geleverd wordt.</w:t>
      </w:r>
      <w:bookmarkEnd w:id="50"/>
    </w:p>
    <w:p w14:paraId="779A16A8" w14:textId="77777777" w:rsidR="00843E30" w:rsidRDefault="00843E30" w:rsidP="009E6A86">
      <w:pPr>
        <w:spacing w:after="0" w:line="276" w:lineRule="auto"/>
        <w:rPr>
          <w:rFonts w:asciiTheme="minorHAnsi" w:eastAsiaTheme="minorHAnsi" w:hAnsiTheme="minorHAnsi" w:cstheme="minorHAnsi"/>
          <w:sz w:val="22"/>
          <w:szCs w:val="22"/>
        </w:rPr>
      </w:pPr>
    </w:p>
    <w:p w14:paraId="0273A7A8" w14:textId="70C6D333" w:rsidR="00C0315B" w:rsidRDefault="00DB7A42" w:rsidP="00C0315B">
      <w:pPr>
        <w:spacing w:after="0" w:line="276" w:lineRule="auto"/>
        <w:rPr>
          <w:rFonts w:asciiTheme="minorHAnsi" w:eastAsiaTheme="minorHAnsi" w:hAnsiTheme="minorHAnsi" w:cstheme="minorHAnsi"/>
          <w:sz w:val="22"/>
          <w:szCs w:val="22"/>
        </w:rPr>
      </w:pPr>
      <w:r>
        <w:rPr>
          <w:rFonts w:asciiTheme="minorHAnsi" w:eastAsiaTheme="minorHAnsi" w:hAnsiTheme="minorHAnsi" w:cstheme="minorHAnsi"/>
          <w:sz w:val="22"/>
          <w:szCs w:val="22"/>
        </w:rPr>
        <w:t xml:space="preserve">Naast de variabelen ‘kennis en expertise’ en ‘vertrouwen’ </w:t>
      </w:r>
      <w:r w:rsidR="00901808" w:rsidRPr="00442509">
        <w:rPr>
          <w:rFonts w:asciiTheme="minorHAnsi" w:eastAsiaTheme="minorHAnsi" w:hAnsiTheme="minorHAnsi" w:cstheme="minorHAnsi"/>
          <w:sz w:val="22"/>
          <w:szCs w:val="22"/>
        </w:rPr>
        <w:t xml:space="preserve">speelt </w:t>
      </w:r>
      <w:bookmarkStart w:id="52" w:name="_Hlk486691989"/>
      <w:r w:rsidR="00901808" w:rsidRPr="00442509">
        <w:rPr>
          <w:rFonts w:asciiTheme="minorHAnsi" w:eastAsiaTheme="minorHAnsi" w:hAnsiTheme="minorHAnsi" w:cstheme="minorHAnsi"/>
          <w:sz w:val="22"/>
          <w:szCs w:val="22"/>
        </w:rPr>
        <w:t>de</w:t>
      </w:r>
      <w:r w:rsidR="00D97AE1" w:rsidRPr="00442509">
        <w:rPr>
          <w:rFonts w:asciiTheme="minorHAnsi" w:eastAsiaTheme="minorHAnsi" w:hAnsiTheme="minorHAnsi" w:cstheme="minorHAnsi"/>
          <w:sz w:val="22"/>
          <w:szCs w:val="22"/>
        </w:rPr>
        <w:t xml:space="preserve"> invloed vanuit</w:t>
      </w:r>
      <w:r w:rsidR="00901808" w:rsidRPr="00442509">
        <w:rPr>
          <w:rFonts w:asciiTheme="minorHAnsi" w:eastAsiaTheme="minorHAnsi" w:hAnsiTheme="minorHAnsi" w:cstheme="minorHAnsi"/>
          <w:sz w:val="22"/>
          <w:szCs w:val="22"/>
        </w:rPr>
        <w:t xml:space="preserve"> </w:t>
      </w:r>
      <w:r w:rsidR="00901808" w:rsidRPr="00442509">
        <w:rPr>
          <w:rFonts w:asciiTheme="minorHAnsi" w:eastAsiaTheme="minorHAnsi" w:hAnsiTheme="minorHAnsi" w:cstheme="minorHAnsi"/>
          <w:i/>
          <w:sz w:val="22"/>
          <w:szCs w:val="22"/>
        </w:rPr>
        <w:t>institution</w:t>
      </w:r>
      <w:r w:rsidR="0058002A" w:rsidRPr="00442509">
        <w:rPr>
          <w:rFonts w:asciiTheme="minorHAnsi" w:eastAsiaTheme="minorHAnsi" w:hAnsiTheme="minorHAnsi" w:cstheme="minorHAnsi"/>
          <w:i/>
          <w:sz w:val="22"/>
          <w:szCs w:val="22"/>
        </w:rPr>
        <w:t>ele setting van openbare sector</w:t>
      </w:r>
      <w:r w:rsidR="00901808" w:rsidRPr="00442509">
        <w:rPr>
          <w:rFonts w:asciiTheme="minorHAnsi" w:eastAsiaTheme="minorHAnsi" w:hAnsiTheme="minorHAnsi" w:cstheme="minorHAnsi"/>
          <w:i/>
          <w:sz w:val="22"/>
          <w:szCs w:val="22"/>
        </w:rPr>
        <w:t xml:space="preserve"> </w:t>
      </w:r>
      <w:r w:rsidR="00901808" w:rsidRPr="00442509">
        <w:rPr>
          <w:rFonts w:asciiTheme="minorHAnsi" w:eastAsiaTheme="minorHAnsi" w:hAnsiTheme="minorHAnsi" w:cstheme="minorHAnsi"/>
          <w:sz w:val="22"/>
          <w:szCs w:val="22"/>
        </w:rPr>
        <w:t>een rol</w:t>
      </w:r>
      <w:r w:rsidR="00D97AE1" w:rsidRPr="00442509">
        <w:rPr>
          <w:rFonts w:asciiTheme="minorHAnsi" w:eastAsiaTheme="minorHAnsi" w:hAnsiTheme="minorHAnsi" w:cstheme="minorHAnsi"/>
          <w:sz w:val="22"/>
          <w:szCs w:val="22"/>
        </w:rPr>
        <w:t xml:space="preserve"> in de afhankelijkheidskwestie</w:t>
      </w:r>
      <w:r w:rsidR="00901808" w:rsidRPr="00442509">
        <w:rPr>
          <w:rFonts w:asciiTheme="minorHAnsi" w:eastAsiaTheme="minorHAnsi" w:hAnsiTheme="minorHAnsi" w:cstheme="minorHAnsi"/>
          <w:sz w:val="22"/>
          <w:szCs w:val="22"/>
        </w:rPr>
        <w:t xml:space="preserve">. </w:t>
      </w:r>
      <w:bookmarkEnd w:id="52"/>
      <w:r w:rsidR="00D97AE1" w:rsidRPr="00442509">
        <w:rPr>
          <w:rFonts w:asciiTheme="minorHAnsi" w:eastAsiaTheme="minorHAnsi" w:hAnsiTheme="minorHAnsi" w:cstheme="minorHAnsi"/>
          <w:sz w:val="22"/>
          <w:szCs w:val="22"/>
        </w:rPr>
        <w:t xml:space="preserve">Onderwijsinstellingen zijn publiekrechtelijke instanties en </w:t>
      </w:r>
      <w:r w:rsidR="004103BC" w:rsidRPr="00442509">
        <w:rPr>
          <w:rFonts w:asciiTheme="minorHAnsi" w:eastAsiaTheme="minorHAnsi" w:hAnsiTheme="minorHAnsi" w:cstheme="minorHAnsi"/>
          <w:sz w:val="22"/>
          <w:szCs w:val="22"/>
        </w:rPr>
        <w:t xml:space="preserve">gebonden </w:t>
      </w:r>
      <w:r w:rsidR="002105DD" w:rsidRPr="00442509">
        <w:rPr>
          <w:rFonts w:asciiTheme="minorHAnsi" w:eastAsiaTheme="minorHAnsi" w:hAnsiTheme="minorHAnsi" w:cstheme="minorHAnsi"/>
          <w:sz w:val="22"/>
          <w:szCs w:val="22"/>
        </w:rPr>
        <w:t>aan aanwezige regelgeving en verantwoordingsplicht van het aanbestedingsrecht</w:t>
      </w:r>
      <w:r w:rsidR="004103BC" w:rsidRPr="00442509">
        <w:rPr>
          <w:rFonts w:asciiTheme="minorHAnsi" w:eastAsiaTheme="minorHAnsi" w:hAnsiTheme="minorHAnsi" w:cstheme="minorHAnsi"/>
          <w:sz w:val="22"/>
          <w:szCs w:val="22"/>
        </w:rPr>
        <w:t xml:space="preserve">. </w:t>
      </w:r>
      <w:r w:rsidR="002105DD" w:rsidRPr="00442509">
        <w:rPr>
          <w:rFonts w:asciiTheme="minorHAnsi" w:eastAsiaTheme="minorHAnsi" w:hAnsiTheme="minorHAnsi" w:cstheme="minorHAnsi"/>
          <w:sz w:val="22"/>
          <w:szCs w:val="22"/>
        </w:rPr>
        <w:t xml:space="preserve">De publieke sector verschilt van de private sector door de aanwezigheid van politieke </w:t>
      </w:r>
      <w:r w:rsidR="00117B11" w:rsidRPr="00442509">
        <w:rPr>
          <w:rFonts w:asciiTheme="minorHAnsi" w:eastAsiaTheme="minorHAnsi" w:hAnsiTheme="minorHAnsi" w:cstheme="minorHAnsi"/>
          <w:sz w:val="22"/>
          <w:szCs w:val="22"/>
        </w:rPr>
        <w:t>component</w:t>
      </w:r>
      <w:r w:rsidR="00117B11" w:rsidRPr="00442509">
        <w:rPr>
          <w:rFonts w:asciiTheme="minorHAnsi" w:hAnsiTheme="minorHAnsi"/>
          <w:sz w:val="22"/>
          <w:szCs w:val="22"/>
        </w:rPr>
        <w:t xml:space="preserve"> (</w:t>
      </w:r>
      <w:proofErr w:type="spellStart"/>
      <w:r w:rsidR="00681383" w:rsidRPr="00442509">
        <w:rPr>
          <w:rFonts w:asciiTheme="minorHAnsi" w:hAnsiTheme="minorHAnsi"/>
          <w:sz w:val="22"/>
          <w:szCs w:val="22"/>
        </w:rPr>
        <w:t>McCue</w:t>
      </w:r>
      <w:proofErr w:type="spellEnd"/>
      <w:r w:rsidR="00681383" w:rsidRPr="00442509">
        <w:rPr>
          <w:rFonts w:asciiTheme="minorHAnsi" w:hAnsiTheme="minorHAnsi"/>
          <w:sz w:val="22"/>
          <w:szCs w:val="22"/>
        </w:rPr>
        <w:t xml:space="preserve"> &amp; </w:t>
      </w:r>
      <w:proofErr w:type="spellStart"/>
      <w:r w:rsidR="00681383" w:rsidRPr="00442509">
        <w:rPr>
          <w:rFonts w:asciiTheme="minorHAnsi" w:hAnsiTheme="minorHAnsi"/>
          <w:sz w:val="22"/>
          <w:szCs w:val="22"/>
        </w:rPr>
        <w:t>Prier</w:t>
      </w:r>
      <w:proofErr w:type="spellEnd"/>
      <w:r w:rsidR="00681383" w:rsidRPr="00442509">
        <w:rPr>
          <w:rFonts w:asciiTheme="minorHAnsi" w:hAnsiTheme="minorHAnsi"/>
          <w:sz w:val="22"/>
          <w:szCs w:val="22"/>
        </w:rPr>
        <w:t>, 2007).</w:t>
      </w:r>
      <w:r w:rsidR="002105DD" w:rsidRPr="00442509">
        <w:rPr>
          <w:rFonts w:asciiTheme="minorHAnsi" w:eastAsiaTheme="minorHAnsi" w:hAnsiTheme="minorHAnsi" w:cstheme="minorHAnsi"/>
          <w:sz w:val="22"/>
          <w:szCs w:val="22"/>
        </w:rPr>
        <w:t xml:space="preserve"> Een gecompliceerde factor hierin is het feit dat beleidsrichtlijnen steeds veranderen als gevolg van politieke verschuivingen (</w:t>
      </w:r>
      <w:proofErr w:type="spellStart"/>
      <w:r w:rsidR="002105DD" w:rsidRPr="00442509">
        <w:rPr>
          <w:rFonts w:asciiTheme="minorHAnsi" w:eastAsiaTheme="minorHAnsi" w:hAnsiTheme="minorHAnsi" w:cstheme="minorHAnsi"/>
          <w:sz w:val="22"/>
          <w:szCs w:val="22"/>
        </w:rPr>
        <w:t>Albano</w:t>
      </w:r>
      <w:proofErr w:type="spellEnd"/>
      <w:r w:rsidR="002105DD" w:rsidRPr="00442509">
        <w:rPr>
          <w:rFonts w:asciiTheme="minorHAnsi" w:eastAsiaTheme="minorHAnsi" w:hAnsiTheme="minorHAnsi" w:cstheme="minorHAnsi"/>
          <w:sz w:val="22"/>
          <w:szCs w:val="22"/>
        </w:rPr>
        <w:t xml:space="preserve"> &amp; </w:t>
      </w:r>
      <w:proofErr w:type="spellStart"/>
      <w:r w:rsidR="002105DD" w:rsidRPr="00442509">
        <w:rPr>
          <w:rFonts w:asciiTheme="minorHAnsi" w:eastAsiaTheme="minorHAnsi" w:hAnsiTheme="minorHAnsi" w:cstheme="minorHAnsi"/>
          <w:sz w:val="22"/>
          <w:szCs w:val="22"/>
        </w:rPr>
        <w:t>Sparro</w:t>
      </w:r>
      <w:proofErr w:type="spellEnd"/>
      <w:r w:rsidR="002105DD" w:rsidRPr="00442509">
        <w:rPr>
          <w:rFonts w:asciiTheme="minorHAnsi" w:eastAsiaTheme="minorHAnsi" w:hAnsiTheme="minorHAnsi" w:cstheme="minorHAnsi"/>
          <w:sz w:val="22"/>
          <w:szCs w:val="22"/>
        </w:rPr>
        <w:t>, 2010).</w:t>
      </w:r>
      <w:r w:rsidR="00C67F90">
        <w:rPr>
          <w:rFonts w:asciiTheme="minorHAnsi" w:eastAsiaTheme="minorHAnsi" w:hAnsiTheme="minorHAnsi" w:cstheme="minorHAnsi"/>
          <w:sz w:val="22"/>
          <w:szCs w:val="22"/>
        </w:rPr>
        <w:t xml:space="preserve"> Politieke keuzes monden uit i</w:t>
      </w:r>
      <w:r w:rsidR="00B935F3">
        <w:rPr>
          <w:rFonts w:asciiTheme="minorHAnsi" w:eastAsiaTheme="minorHAnsi" w:hAnsiTheme="minorHAnsi" w:cstheme="minorHAnsi"/>
          <w:sz w:val="22"/>
          <w:szCs w:val="22"/>
        </w:rPr>
        <w:t>n verandering van beleid.</w:t>
      </w:r>
      <w:r w:rsidR="002105DD" w:rsidRPr="00442509">
        <w:rPr>
          <w:rFonts w:asciiTheme="minorHAnsi" w:eastAsiaTheme="minorHAnsi" w:hAnsiTheme="minorHAnsi" w:cstheme="minorHAnsi"/>
          <w:sz w:val="22"/>
          <w:szCs w:val="22"/>
        </w:rPr>
        <w:t xml:space="preserve"> Volgens Murray </w:t>
      </w:r>
      <w:r w:rsidR="002105DD" w:rsidRPr="00442509">
        <w:rPr>
          <w:rFonts w:asciiTheme="minorHAnsi" w:eastAsiaTheme="minorHAnsi" w:hAnsiTheme="minorHAnsi" w:cstheme="minorHAnsi"/>
          <w:sz w:val="22"/>
          <w:szCs w:val="22"/>
        </w:rPr>
        <w:lastRenderedPageBreak/>
        <w:t xml:space="preserve">(2009) voelen (lokale) publieke inkopers de drang om hun inkoopstrategie </w:t>
      </w:r>
      <w:r w:rsidR="003B65D7" w:rsidRPr="00442509">
        <w:rPr>
          <w:rFonts w:asciiTheme="minorHAnsi" w:eastAsiaTheme="minorHAnsi" w:hAnsiTheme="minorHAnsi" w:cstheme="minorHAnsi"/>
          <w:sz w:val="22"/>
          <w:szCs w:val="22"/>
        </w:rPr>
        <w:t xml:space="preserve">in lijn te houden met </w:t>
      </w:r>
      <w:r w:rsidR="002C3F83">
        <w:rPr>
          <w:rFonts w:asciiTheme="minorHAnsi" w:eastAsiaTheme="minorHAnsi" w:hAnsiTheme="minorHAnsi" w:cstheme="minorHAnsi"/>
          <w:sz w:val="22"/>
          <w:szCs w:val="22"/>
        </w:rPr>
        <w:t>hun</w:t>
      </w:r>
      <w:r w:rsidR="003B65D7" w:rsidRPr="00442509">
        <w:rPr>
          <w:rFonts w:asciiTheme="minorHAnsi" w:eastAsiaTheme="minorHAnsi" w:hAnsiTheme="minorHAnsi" w:cstheme="minorHAnsi"/>
          <w:sz w:val="22"/>
          <w:szCs w:val="22"/>
        </w:rPr>
        <w:t xml:space="preserve"> politieke strategie. </w:t>
      </w:r>
    </w:p>
    <w:p w14:paraId="4DD2D2B7" w14:textId="282D76B8" w:rsidR="00086445" w:rsidRPr="00442509" w:rsidRDefault="00C4780E" w:rsidP="00C0315B">
      <w:pPr>
        <w:spacing w:after="0" w:line="276" w:lineRule="auto"/>
        <w:rPr>
          <w:rFonts w:asciiTheme="minorHAnsi" w:eastAsiaTheme="minorHAnsi" w:hAnsiTheme="minorHAnsi" w:cstheme="minorHAnsi"/>
          <w:sz w:val="22"/>
          <w:szCs w:val="22"/>
        </w:rPr>
      </w:pPr>
      <w:r>
        <w:rPr>
          <w:rFonts w:asciiTheme="minorHAnsi" w:eastAsiaTheme="minorHAnsi" w:hAnsiTheme="minorHAnsi" w:cstheme="minorHAnsi"/>
          <w:color w:val="000000" w:themeColor="text1"/>
          <w:sz w:val="22"/>
          <w:szCs w:val="22"/>
        </w:rPr>
        <w:tab/>
        <w:t>In sommige wetenschappelijke werken wordt er</w:t>
      </w:r>
      <w:r w:rsidR="00387C44">
        <w:rPr>
          <w:rFonts w:asciiTheme="minorHAnsi" w:eastAsiaTheme="minorHAnsi" w:hAnsiTheme="minorHAnsi" w:cstheme="minorHAnsi"/>
          <w:color w:val="000000" w:themeColor="text1"/>
          <w:sz w:val="22"/>
          <w:szCs w:val="22"/>
        </w:rPr>
        <w:t xml:space="preserve"> een duidelijke scheidingslijn geplaats tussen private en publieke sector. </w:t>
      </w:r>
      <w:r w:rsidR="006E2068" w:rsidRPr="00442509">
        <w:rPr>
          <w:rFonts w:asciiTheme="minorHAnsi" w:eastAsiaTheme="minorHAnsi" w:hAnsiTheme="minorHAnsi" w:cstheme="minorHAnsi"/>
          <w:color w:val="000000" w:themeColor="text1"/>
          <w:sz w:val="22"/>
          <w:szCs w:val="22"/>
        </w:rPr>
        <w:t>Er kan zelfs worden gesproken van onverenigbare werelden (</w:t>
      </w:r>
      <w:proofErr w:type="spellStart"/>
      <w:r w:rsidR="006E2068" w:rsidRPr="00442509">
        <w:rPr>
          <w:rFonts w:asciiTheme="minorHAnsi" w:eastAsiaTheme="minorHAnsi" w:hAnsiTheme="minorHAnsi" w:cstheme="minorHAnsi"/>
          <w:color w:val="000000" w:themeColor="text1"/>
          <w:sz w:val="22"/>
          <w:szCs w:val="22"/>
        </w:rPr>
        <w:t>Boyne</w:t>
      </w:r>
      <w:proofErr w:type="spellEnd"/>
      <w:r w:rsidR="006E2068" w:rsidRPr="00442509">
        <w:rPr>
          <w:rFonts w:asciiTheme="minorHAnsi" w:eastAsiaTheme="minorHAnsi" w:hAnsiTheme="minorHAnsi" w:cstheme="minorHAnsi"/>
          <w:color w:val="000000" w:themeColor="text1"/>
          <w:sz w:val="22"/>
          <w:szCs w:val="22"/>
        </w:rPr>
        <w:t xml:space="preserve">, 2002; </w:t>
      </w:r>
      <w:proofErr w:type="spellStart"/>
      <w:r w:rsidR="006E2068" w:rsidRPr="00442509">
        <w:rPr>
          <w:rFonts w:asciiTheme="minorHAnsi" w:eastAsiaTheme="minorHAnsi" w:hAnsiTheme="minorHAnsi" w:cstheme="minorHAnsi"/>
          <w:color w:val="000000" w:themeColor="text1"/>
          <w:sz w:val="22"/>
          <w:szCs w:val="22"/>
        </w:rPr>
        <w:t>Jacosb</w:t>
      </w:r>
      <w:proofErr w:type="spellEnd"/>
      <w:r w:rsidR="006E2068" w:rsidRPr="00442509">
        <w:rPr>
          <w:rFonts w:asciiTheme="minorHAnsi" w:eastAsiaTheme="minorHAnsi" w:hAnsiTheme="minorHAnsi" w:cstheme="minorHAnsi"/>
          <w:color w:val="000000" w:themeColor="text1"/>
          <w:sz w:val="22"/>
          <w:szCs w:val="22"/>
        </w:rPr>
        <w:t xml:space="preserve">, 1992). </w:t>
      </w:r>
      <w:r w:rsidR="00335AF8" w:rsidRPr="00442509">
        <w:rPr>
          <w:rFonts w:asciiTheme="minorHAnsi" w:eastAsiaTheme="minorHAnsi" w:hAnsiTheme="minorHAnsi" w:cstheme="minorHAnsi"/>
          <w:color w:val="000000" w:themeColor="text1"/>
          <w:sz w:val="22"/>
          <w:szCs w:val="22"/>
        </w:rPr>
        <w:t xml:space="preserve">Volgens Klijn en Teisman (2003) wordt samenwerking tussen private en publieke organisaties bemoeilijkt door verschillen in waarden en cultuur. Dit resulteert in inkoopbenaderingen die anders zijn dan in de private sector (Laing &amp; Lian, 2003). </w:t>
      </w:r>
      <w:r w:rsidR="006E2068" w:rsidRPr="00442509">
        <w:rPr>
          <w:rFonts w:asciiTheme="minorHAnsi" w:eastAsiaTheme="minorHAnsi" w:hAnsiTheme="minorHAnsi" w:cstheme="minorHAnsi"/>
          <w:color w:val="000000" w:themeColor="text1"/>
          <w:sz w:val="22"/>
          <w:szCs w:val="22"/>
        </w:rPr>
        <w:t xml:space="preserve">De verschillen komen voort uit de externe omgeving, de interne organisatiestructuur en de doelen en waarden. </w:t>
      </w:r>
      <w:r w:rsidR="00901808" w:rsidRPr="00442509">
        <w:rPr>
          <w:rFonts w:asciiTheme="minorHAnsi" w:eastAsiaTheme="minorHAnsi" w:hAnsiTheme="minorHAnsi" w:cstheme="minorHAnsi"/>
          <w:color w:val="000000" w:themeColor="text1"/>
          <w:sz w:val="22"/>
          <w:szCs w:val="22"/>
        </w:rPr>
        <w:t>In de publieke sec</w:t>
      </w:r>
      <w:r w:rsidR="006E2068" w:rsidRPr="00442509">
        <w:rPr>
          <w:rFonts w:asciiTheme="minorHAnsi" w:eastAsiaTheme="minorHAnsi" w:hAnsiTheme="minorHAnsi" w:cstheme="minorHAnsi"/>
          <w:color w:val="000000" w:themeColor="text1"/>
          <w:sz w:val="22"/>
          <w:szCs w:val="22"/>
        </w:rPr>
        <w:t>tor opereren organisaties</w:t>
      </w:r>
      <w:r w:rsidR="00901808" w:rsidRPr="00442509">
        <w:rPr>
          <w:rFonts w:asciiTheme="minorHAnsi" w:eastAsiaTheme="minorHAnsi" w:hAnsiTheme="minorHAnsi" w:cstheme="minorHAnsi"/>
          <w:color w:val="000000" w:themeColor="text1"/>
          <w:sz w:val="22"/>
          <w:szCs w:val="22"/>
        </w:rPr>
        <w:t xml:space="preserve"> binnen een politiek domein, waarin ze door verschillende factoren worden aangestuurd. </w:t>
      </w:r>
      <w:r w:rsidR="00DB42C5" w:rsidRPr="00442509">
        <w:rPr>
          <w:rFonts w:asciiTheme="minorHAnsi" w:eastAsiaTheme="minorHAnsi" w:hAnsiTheme="minorHAnsi" w:cstheme="minorHAnsi"/>
          <w:color w:val="000000" w:themeColor="text1"/>
          <w:sz w:val="22"/>
          <w:szCs w:val="22"/>
        </w:rPr>
        <w:t>Volgens</w:t>
      </w:r>
      <w:r w:rsidR="00335AF8" w:rsidRPr="00442509">
        <w:rPr>
          <w:rFonts w:asciiTheme="minorHAnsi" w:eastAsiaTheme="minorHAnsi" w:hAnsiTheme="minorHAnsi" w:cstheme="minorHAnsi"/>
          <w:color w:val="000000" w:themeColor="text1"/>
          <w:sz w:val="22"/>
          <w:szCs w:val="22"/>
        </w:rPr>
        <w:t xml:space="preserve"> </w:t>
      </w:r>
      <w:r w:rsidR="0045770C" w:rsidRPr="00442509">
        <w:rPr>
          <w:rFonts w:asciiTheme="minorHAnsi" w:eastAsiaTheme="minorHAnsi" w:hAnsiTheme="minorHAnsi" w:cstheme="minorHAnsi"/>
          <w:color w:val="000000" w:themeColor="text1"/>
          <w:sz w:val="22"/>
          <w:szCs w:val="22"/>
        </w:rPr>
        <w:t xml:space="preserve">Laing en Lian (2003) </w:t>
      </w:r>
      <w:r w:rsidR="00DB42C5" w:rsidRPr="00442509">
        <w:rPr>
          <w:rFonts w:asciiTheme="minorHAnsi" w:eastAsiaTheme="minorHAnsi" w:hAnsiTheme="minorHAnsi" w:cstheme="minorHAnsi"/>
          <w:color w:val="000000" w:themeColor="text1"/>
          <w:sz w:val="22"/>
          <w:szCs w:val="22"/>
        </w:rPr>
        <w:t xml:space="preserve">is het voornaamste onderscheid tussen de twee werelden </w:t>
      </w:r>
      <w:r w:rsidR="0045770C" w:rsidRPr="00442509">
        <w:rPr>
          <w:rFonts w:asciiTheme="minorHAnsi" w:eastAsiaTheme="minorHAnsi" w:hAnsiTheme="minorHAnsi" w:cstheme="minorHAnsi"/>
          <w:color w:val="000000" w:themeColor="text1"/>
          <w:sz w:val="22"/>
          <w:szCs w:val="22"/>
        </w:rPr>
        <w:t>waar te nemen in de mate waarin beslissingen in de publieke sector sterk gereguleerd en politiek onderbouwd zijn.</w:t>
      </w:r>
      <w:r w:rsidR="0045770C" w:rsidRPr="00DB42C5">
        <w:rPr>
          <w:rFonts w:asciiTheme="minorHAnsi" w:eastAsiaTheme="minorHAnsi" w:hAnsiTheme="minorHAnsi" w:cstheme="minorHAnsi"/>
          <w:color w:val="000000" w:themeColor="text1"/>
          <w:sz w:val="22"/>
          <w:szCs w:val="22"/>
        </w:rPr>
        <w:t xml:space="preserve"> </w:t>
      </w:r>
      <w:r w:rsidR="0045770C" w:rsidRPr="00442509">
        <w:rPr>
          <w:rFonts w:asciiTheme="minorHAnsi" w:eastAsiaTheme="minorHAnsi" w:hAnsiTheme="minorHAnsi" w:cstheme="minorHAnsi"/>
          <w:color w:val="000000" w:themeColor="text1"/>
          <w:sz w:val="22"/>
          <w:szCs w:val="22"/>
        </w:rPr>
        <w:t xml:space="preserve">Gerelateerd hieraan is er behoefte aan </w:t>
      </w:r>
      <w:r w:rsidR="00335AF8" w:rsidRPr="00442509">
        <w:rPr>
          <w:rFonts w:asciiTheme="minorHAnsi" w:eastAsiaTheme="minorHAnsi" w:hAnsiTheme="minorHAnsi" w:cstheme="minorHAnsi"/>
          <w:color w:val="000000" w:themeColor="text1"/>
          <w:sz w:val="22"/>
          <w:szCs w:val="22"/>
        </w:rPr>
        <w:t>verantwoording en transparantie</w:t>
      </w:r>
      <w:r w:rsidR="0045770C" w:rsidRPr="00442509">
        <w:rPr>
          <w:rFonts w:asciiTheme="minorHAnsi" w:eastAsiaTheme="minorHAnsi" w:hAnsiTheme="minorHAnsi" w:cstheme="minorHAnsi"/>
          <w:color w:val="000000" w:themeColor="text1"/>
          <w:sz w:val="22"/>
          <w:szCs w:val="22"/>
        </w:rPr>
        <w:t>.</w:t>
      </w:r>
      <w:r w:rsidR="00731E5C" w:rsidRPr="00442509">
        <w:rPr>
          <w:rFonts w:asciiTheme="minorHAnsi" w:hAnsiTheme="minorHAnsi" w:cstheme="minorHAnsi"/>
          <w:sz w:val="22"/>
          <w:szCs w:val="22"/>
        </w:rPr>
        <w:t xml:space="preserve"> </w:t>
      </w:r>
      <w:r w:rsidR="00731E5C" w:rsidRPr="00442509">
        <w:rPr>
          <w:rFonts w:asciiTheme="minorHAnsi" w:eastAsiaTheme="minorHAnsi" w:hAnsiTheme="minorHAnsi" w:cstheme="minorHAnsi"/>
          <w:color w:val="000000" w:themeColor="text1"/>
          <w:sz w:val="22"/>
          <w:szCs w:val="22"/>
        </w:rPr>
        <w:t>Waar bedrijven de vrijheid hebben om hun gevoelige, en vaak waardevolle, informatie te beschermen moeten publieke organisaties dit openbaren of op aanvraag prijsgeven conform Wet openbaarheid bestuur (WOB).</w:t>
      </w:r>
      <w:r w:rsidR="0045770C" w:rsidRPr="00442509">
        <w:rPr>
          <w:rFonts w:asciiTheme="minorHAnsi" w:eastAsiaTheme="minorHAnsi" w:hAnsiTheme="minorHAnsi" w:cstheme="minorHAnsi"/>
          <w:color w:val="000000" w:themeColor="text1"/>
          <w:sz w:val="22"/>
          <w:szCs w:val="22"/>
        </w:rPr>
        <w:t xml:space="preserve"> </w:t>
      </w:r>
      <w:r w:rsidR="00252566" w:rsidRPr="00442509">
        <w:rPr>
          <w:rFonts w:asciiTheme="minorHAnsi" w:hAnsiTheme="minorHAnsi" w:cstheme="minorHAnsi"/>
          <w:sz w:val="22"/>
          <w:szCs w:val="22"/>
        </w:rPr>
        <w:t>Bij publieke inkoop is er tevens sprake van een keten van verantwoording. Deze verantwoordingslagen dragen bij aan de situatie waarbij inkopers zich getrokken voelen in verschillende richtingen om verschillende belanghebbenden te dienen (</w:t>
      </w:r>
      <w:proofErr w:type="spellStart"/>
      <w:r w:rsidR="00252566" w:rsidRPr="00442509">
        <w:rPr>
          <w:rFonts w:asciiTheme="minorHAnsi" w:hAnsiTheme="minorHAnsi" w:cstheme="minorHAnsi"/>
          <w:sz w:val="22"/>
          <w:szCs w:val="22"/>
        </w:rPr>
        <w:t>McCue</w:t>
      </w:r>
      <w:proofErr w:type="spellEnd"/>
      <w:r w:rsidR="00252566" w:rsidRPr="00442509">
        <w:rPr>
          <w:rFonts w:asciiTheme="minorHAnsi" w:hAnsiTheme="minorHAnsi" w:cstheme="minorHAnsi"/>
          <w:sz w:val="22"/>
          <w:szCs w:val="22"/>
        </w:rPr>
        <w:t xml:space="preserve"> &amp; </w:t>
      </w:r>
      <w:proofErr w:type="spellStart"/>
      <w:r w:rsidR="00252566" w:rsidRPr="00442509">
        <w:rPr>
          <w:rFonts w:asciiTheme="minorHAnsi" w:hAnsiTheme="minorHAnsi" w:cstheme="minorHAnsi"/>
          <w:sz w:val="22"/>
          <w:szCs w:val="22"/>
        </w:rPr>
        <w:t>Prier</w:t>
      </w:r>
      <w:proofErr w:type="spellEnd"/>
      <w:r w:rsidR="00252566" w:rsidRPr="00442509">
        <w:rPr>
          <w:rFonts w:asciiTheme="minorHAnsi" w:hAnsiTheme="minorHAnsi" w:cstheme="minorHAnsi"/>
          <w:sz w:val="22"/>
          <w:szCs w:val="22"/>
        </w:rPr>
        <w:t xml:space="preserve">, 2007). Publieke inkopers worden op deze manier geconfronteerd met een veelheid </w:t>
      </w:r>
      <w:r w:rsidR="002C3F83">
        <w:rPr>
          <w:rFonts w:asciiTheme="minorHAnsi" w:hAnsiTheme="minorHAnsi" w:cstheme="minorHAnsi"/>
          <w:sz w:val="22"/>
          <w:szCs w:val="22"/>
        </w:rPr>
        <w:t>aan</w:t>
      </w:r>
      <w:r w:rsidR="00252566" w:rsidRPr="00442509">
        <w:rPr>
          <w:rFonts w:asciiTheme="minorHAnsi" w:hAnsiTheme="minorHAnsi" w:cstheme="minorHAnsi"/>
          <w:sz w:val="22"/>
          <w:szCs w:val="22"/>
        </w:rPr>
        <w:t xml:space="preserve"> verdeelde loyaliteiten. De directe en de indirecte opdrachtgevers hebben vaak conflicterende doelen (</w:t>
      </w:r>
      <w:proofErr w:type="spellStart"/>
      <w:r w:rsidR="00252566" w:rsidRPr="00442509">
        <w:rPr>
          <w:rFonts w:asciiTheme="minorHAnsi" w:hAnsiTheme="minorHAnsi" w:cstheme="minorHAnsi"/>
          <w:sz w:val="22"/>
          <w:szCs w:val="22"/>
        </w:rPr>
        <w:t>McCue</w:t>
      </w:r>
      <w:proofErr w:type="spellEnd"/>
      <w:r w:rsidR="00252566" w:rsidRPr="00442509">
        <w:rPr>
          <w:rFonts w:asciiTheme="minorHAnsi" w:hAnsiTheme="minorHAnsi" w:cstheme="minorHAnsi"/>
          <w:sz w:val="22"/>
          <w:szCs w:val="22"/>
        </w:rPr>
        <w:t xml:space="preserve"> &amp; </w:t>
      </w:r>
      <w:proofErr w:type="spellStart"/>
      <w:r w:rsidR="00252566" w:rsidRPr="00442509">
        <w:rPr>
          <w:rFonts w:asciiTheme="minorHAnsi" w:hAnsiTheme="minorHAnsi" w:cstheme="minorHAnsi"/>
          <w:sz w:val="22"/>
          <w:szCs w:val="22"/>
        </w:rPr>
        <w:t>Prier</w:t>
      </w:r>
      <w:proofErr w:type="spellEnd"/>
      <w:r w:rsidR="00252566" w:rsidRPr="00442509">
        <w:rPr>
          <w:rFonts w:asciiTheme="minorHAnsi" w:hAnsiTheme="minorHAnsi" w:cstheme="minorHAnsi"/>
          <w:sz w:val="22"/>
          <w:szCs w:val="22"/>
        </w:rPr>
        <w:t>, 2007).</w:t>
      </w:r>
      <w:r w:rsidR="00086445" w:rsidRPr="00442509">
        <w:rPr>
          <w:rFonts w:asciiTheme="minorHAnsi" w:hAnsiTheme="minorHAnsi" w:cstheme="minorHAnsi"/>
          <w:sz w:val="22"/>
          <w:szCs w:val="22"/>
        </w:rPr>
        <w:t xml:space="preserve"> M</w:t>
      </w:r>
      <w:r w:rsidR="00086445" w:rsidRPr="00442509">
        <w:rPr>
          <w:rFonts w:asciiTheme="minorHAnsi" w:eastAsiaTheme="minorHAnsi" w:hAnsiTheme="minorHAnsi" w:cstheme="minorHAnsi"/>
          <w:sz w:val="22"/>
          <w:szCs w:val="22"/>
        </w:rPr>
        <w:t>anagers van publieke organisaties ervaren druk vanuit zowel het publiek als vanuit hun bovengeschikten bij het besteden van publiek geld (Laing &amp; Lian, 2003). Echter hebben publieke organisaties, m.n. de uitvoerende instanties, nauwelijks last van concurrentie, waardoor zij geen noodzaak zien in constante optimalisatie (Smit &amp; Van Thiel, 2002). Publieke dienstverleners zijn niet in voldoende mate ‘kostenbewust’ (</w:t>
      </w:r>
      <w:proofErr w:type="spellStart"/>
      <w:r w:rsidR="00086445" w:rsidRPr="00442509">
        <w:rPr>
          <w:rFonts w:asciiTheme="minorHAnsi" w:eastAsiaTheme="minorHAnsi" w:hAnsiTheme="minorHAnsi" w:cstheme="minorHAnsi"/>
          <w:sz w:val="22"/>
          <w:szCs w:val="22"/>
        </w:rPr>
        <w:t>Tribe</w:t>
      </w:r>
      <w:proofErr w:type="spellEnd"/>
      <w:r w:rsidR="00086445" w:rsidRPr="00442509">
        <w:rPr>
          <w:rFonts w:asciiTheme="minorHAnsi" w:eastAsiaTheme="minorHAnsi" w:hAnsiTheme="minorHAnsi" w:cstheme="minorHAnsi"/>
          <w:sz w:val="22"/>
          <w:szCs w:val="22"/>
        </w:rPr>
        <w:t>, 1949). De neiging om zo efficiënt mogelijk te werken, en dus in te kopen, ontbreekt er (</w:t>
      </w:r>
      <w:proofErr w:type="spellStart"/>
      <w:r w:rsidR="00086445" w:rsidRPr="00442509">
        <w:rPr>
          <w:rFonts w:asciiTheme="minorHAnsi" w:eastAsiaTheme="minorHAnsi" w:hAnsiTheme="minorHAnsi" w:cstheme="minorHAnsi"/>
          <w:sz w:val="22"/>
          <w:szCs w:val="22"/>
        </w:rPr>
        <w:t>Boyne</w:t>
      </w:r>
      <w:proofErr w:type="spellEnd"/>
      <w:r w:rsidR="00086445" w:rsidRPr="00442509">
        <w:rPr>
          <w:rFonts w:asciiTheme="minorHAnsi" w:eastAsiaTheme="minorHAnsi" w:hAnsiTheme="minorHAnsi" w:cstheme="minorHAnsi"/>
          <w:sz w:val="22"/>
          <w:szCs w:val="22"/>
        </w:rPr>
        <w:t>, 2002).</w:t>
      </w:r>
    </w:p>
    <w:p w14:paraId="63772980" w14:textId="5C27872F" w:rsidR="006E2068" w:rsidRPr="00442509" w:rsidRDefault="00AE0F67" w:rsidP="00AE0F67">
      <w:pPr>
        <w:spacing w:after="0" w:line="276" w:lineRule="auto"/>
        <w:rPr>
          <w:rFonts w:asciiTheme="minorHAnsi" w:eastAsiaTheme="minorHAnsi" w:hAnsiTheme="minorHAnsi" w:cstheme="minorHAnsi"/>
          <w:color w:val="000000" w:themeColor="text1"/>
          <w:sz w:val="22"/>
          <w:szCs w:val="22"/>
        </w:rPr>
      </w:pPr>
      <w:r>
        <w:rPr>
          <w:rFonts w:asciiTheme="minorHAnsi" w:hAnsiTheme="minorHAnsi" w:cstheme="minorHAnsi"/>
          <w:sz w:val="22"/>
          <w:szCs w:val="22"/>
        </w:rPr>
        <w:tab/>
        <w:t xml:space="preserve">De invloed van de institutionele setting op de inkoop komt voort uit een aantal factoren. </w:t>
      </w:r>
      <w:r w:rsidR="006E2068" w:rsidRPr="00D36F22">
        <w:rPr>
          <w:rFonts w:asciiTheme="minorHAnsi" w:eastAsiaTheme="minorHAnsi" w:hAnsiTheme="minorHAnsi" w:cstheme="minorHAnsi"/>
          <w:color w:val="000000" w:themeColor="text1"/>
          <w:sz w:val="22"/>
          <w:szCs w:val="22"/>
          <w:lang w:val="en-US"/>
        </w:rPr>
        <w:t xml:space="preserve">Ten </w:t>
      </w:r>
      <w:proofErr w:type="spellStart"/>
      <w:r w:rsidR="006E2068" w:rsidRPr="00D36F22">
        <w:rPr>
          <w:rFonts w:asciiTheme="minorHAnsi" w:eastAsiaTheme="minorHAnsi" w:hAnsiTheme="minorHAnsi" w:cstheme="minorHAnsi"/>
          <w:color w:val="000000" w:themeColor="text1"/>
          <w:sz w:val="22"/>
          <w:szCs w:val="22"/>
          <w:lang w:val="en-US"/>
        </w:rPr>
        <w:t>eerste</w:t>
      </w:r>
      <w:proofErr w:type="spellEnd"/>
      <w:r w:rsidR="006E2068" w:rsidRPr="00D36F22">
        <w:rPr>
          <w:rFonts w:asciiTheme="minorHAnsi" w:eastAsiaTheme="minorHAnsi" w:hAnsiTheme="minorHAnsi" w:cstheme="minorHAnsi"/>
          <w:color w:val="000000" w:themeColor="text1"/>
          <w:sz w:val="22"/>
          <w:szCs w:val="22"/>
          <w:lang w:val="en-US"/>
        </w:rPr>
        <w:t xml:space="preserve"> </w:t>
      </w:r>
      <w:proofErr w:type="spellStart"/>
      <w:r w:rsidR="006E2068" w:rsidRPr="00D36F22">
        <w:rPr>
          <w:rFonts w:asciiTheme="minorHAnsi" w:eastAsiaTheme="minorHAnsi" w:hAnsiTheme="minorHAnsi" w:cstheme="minorHAnsi"/>
          <w:color w:val="000000" w:themeColor="text1"/>
          <w:sz w:val="22"/>
          <w:szCs w:val="22"/>
          <w:lang w:val="en-US"/>
        </w:rPr>
        <w:t>speelt</w:t>
      </w:r>
      <w:proofErr w:type="spellEnd"/>
      <w:r w:rsidR="006E2068" w:rsidRPr="00D36F22">
        <w:rPr>
          <w:rFonts w:asciiTheme="minorHAnsi" w:eastAsiaTheme="minorHAnsi" w:hAnsiTheme="minorHAnsi" w:cstheme="minorHAnsi"/>
          <w:color w:val="000000" w:themeColor="text1"/>
          <w:sz w:val="22"/>
          <w:szCs w:val="22"/>
          <w:lang w:val="en-US"/>
        </w:rPr>
        <w:t xml:space="preserve"> de </w:t>
      </w:r>
      <w:proofErr w:type="spellStart"/>
      <w:r w:rsidR="006E2068" w:rsidRPr="00D36F22">
        <w:rPr>
          <w:rFonts w:asciiTheme="minorHAnsi" w:eastAsiaTheme="minorHAnsi" w:hAnsiTheme="minorHAnsi" w:cstheme="minorHAnsi"/>
          <w:color w:val="000000" w:themeColor="text1"/>
          <w:sz w:val="22"/>
          <w:szCs w:val="22"/>
          <w:lang w:val="en-US"/>
        </w:rPr>
        <w:t>externe</w:t>
      </w:r>
      <w:proofErr w:type="spellEnd"/>
      <w:r w:rsidR="006E2068" w:rsidRPr="00D36F22">
        <w:rPr>
          <w:rFonts w:asciiTheme="minorHAnsi" w:eastAsiaTheme="minorHAnsi" w:hAnsiTheme="minorHAnsi" w:cstheme="minorHAnsi"/>
          <w:color w:val="000000" w:themeColor="text1"/>
          <w:sz w:val="22"/>
          <w:szCs w:val="22"/>
          <w:lang w:val="en-US"/>
        </w:rPr>
        <w:t xml:space="preserve"> </w:t>
      </w:r>
      <w:proofErr w:type="spellStart"/>
      <w:r w:rsidR="006E2068" w:rsidRPr="00D36F22">
        <w:rPr>
          <w:rFonts w:asciiTheme="minorHAnsi" w:eastAsiaTheme="minorHAnsi" w:hAnsiTheme="minorHAnsi" w:cstheme="minorHAnsi"/>
          <w:color w:val="000000" w:themeColor="text1"/>
          <w:sz w:val="22"/>
          <w:szCs w:val="22"/>
          <w:lang w:val="en-US"/>
        </w:rPr>
        <w:t>omgeving</w:t>
      </w:r>
      <w:proofErr w:type="spellEnd"/>
      <w:r w:rsidR="006E2068" w:rsidRPr="00D36F22">
        <w:rPr>
          <w:rFonts w:asciiTheme="minorHAnsi" w:eastAsiaTheme="minorHAnsi" w:hAnsiTheme="minorHAnsi" w:cstheme="minorHAnsi"/>
          <w:color w:val="000000" w:themeColor="text1"/>
          <w:sz w:val="22"/>
          <w:szCs w:val="22"/>
          <w:lang w:val="en-US"/>
        </w:rPr>
        <w:t xml:space="preserve"> </w:t>
      </w:r>
      <w:proofErr w:type="spellStart"/>
      <w:r w:rsidR="006E2068" w:rsidRPr="00D36F22">
        <w:rPr>
          <w:rFonts w:asciiTheme="minorHAnsi" w:eastAsiaTheme="minorHAnsi" w:hAnsiTheme="minorHAnsi" w:cstheme="minorHAnsi"/>
          <w:color w:val="000000" w:themeColor="text1"/>
          <w:sz w:val="22"/>
          <w:szCs w:val="22"/>
          <w:lang w:val="en-US"/>
        </w:rPr>
        <w:t>een</w:t>
      </w:r>
      <w:proofErr w:type="spellEnd"/>
      <w:r w:rsidR="006E2068" w:rsidRPr="00D36F22">
        <w:rPr>
          <w:rFonts w:asciiTheme="minorHAnsi" w:eastAsiaTheme="minorHAnsi" w:hAnsiTheme="minorHAnsi" w:cstheme="minorHAnsi"/>
          <w:color w:val="000000" w:themeColor="text1"/>
          <w:sz w:val="22"/>
          <w:szCs w:val="22"/>
          <w:lang w:val="en-US"/>
        </w:rPr>
        <w:t xml:space="preserve"> </w:t>
      </w:r>
      <w:proofErr w:type="spellStart"/>
      <w:r w:rsidR="006E2068" w:rsidRPr="00D36F22">
        <w:rPr>
          <w:rFonts w:asciiTheme="minorHAnsi" w:eastAsiaTheme="minorHAnsi" w:hAnsiTheme="minorHAnsi" w:cstheme="minorHAnsi"/>
          <w:color w:val="000000" w:themeColor="text1"/>
          <w:sz w:val="22"/>
          <w:szCs w:val="22"/>
          <w:lang w:val="en-US"/>
        </w:rPr>
        <w:t>rol</w:t>
      </w:r>
      <w:proofErr w:type="spellEnd"/>
      <w:r w:rsidR="006E2068" w:rsidRPr="00D36F22">
        <w:rPr>
          <w:rFonts w:asciiTheme="minorHAnsi" w:eastAsiaTheme="minorHAnsi" w:hAnsiTheme="minorHAnsi" w:cstheme="minorHAnsi"/>
          <w:color w:val="000000" w:themeColor="text1"/>
          <w:sz w:val="22"/>
          <w:szCs w:val="22"/>
          <w:lang w:val="en-US"/>
        </w:rPr>
        <w:t>.</w:t>
      </w:r>
      <w:r w:rsidR="00473E8D" w:rsidRPr="00D36F22">
        <w:rPr>
          <w:rFonts w:asciiTheme="minorHAnsi" w:eastAsiaTheme="minorHAnsi" w:hAnsiTheme="minorHAnsi" w:cstheme="minorHAnsi"/>
          <w:color w:val="000000" w:themeColor="text1"/>
          <w:sz w:val="22"/>
          <w:szCs w:val="22"/>
          <w:lang w:val="en-US"/>
        </w:rPr>
        <w:t xml:space="preserve"> </w:t>
      </w:r>
      <w:proofErr w:type="spellStart"/>
      <w:r w:rsidR="00473E8D" w:rsidRPr="00442509">
        <w:rPr>
          <w:rFonts w:asciiTheme="minorHAnsi" w:eastAsiaTheme="minorHAnsi" w:hAnsiTheme="minorHAnsi" w:cstheme="minorHAnsi"/>
          <w:color w:val="000000" w:themeColor="text1"/>
          <w:sz w:val="22"/>
          <w:szCs w:val="22"/>
          <w:lang w:val="en-US"/>
        </w:rPr>
        <w:t>Erridge</w:t>
      </w:r>
      <w:proofErr w:type="spellEnd"/>
      <w:r w:rsidR="00A6098F" w:rsidRPr="00442509">
        <w:rPr>
          <w:rFonts w:asciiTheme="minorHAnsi" w:eastAsiaTheme="minorHAnsi" w:hAnsiTheme="minorHAnsi" w:cstheme="minorHAnsi"/>
          <w:color w:val="000000" w:themeColor="text1"/>
          <w:sz w:val="22"/>
          <w:szCs w:val="22"/>
          <w:lang w:val="en-US"/>
        </w:rPr>
        <w:t xml:space="preserve"> (2007</w:t>
      </w:r>
      <w:r w:rsidR="00734722">
        <w:rPr>
          <w:rFonts w:asciiTheme="minorHAnsi" w:eastAsiaTheme="minorHAnsi" w:hAnsiTheme="minorHAnsi" w:cstheme="minorHAnsi"/>
          <w:color w:val="000000" w:themeColor="text1"/>
          <w:sz w:val="22"/>
          <w:szCs w:val="22"/>
          <w:lang w:val="en-US"/>
        </w:rPr>
        <w:t>,</w:t>
      </w:r>
      <w:r w:rsidR="00A6098F" w:rsidRPr="00442509">
        <w:rPr>
          <w:rFonts w:asciiTheme="minorHAnsi" w:eastAsiaTheme="minorHAnsi" w:hAnsiTheme="minorHAnsi" w:cstheme="minorHAnsi"/>
          <w:color w:val="000000" w:themeColor="text1"/>
          <w:sz w:val="22"/>
          <w:szCs w:val="22"/>
          <w:lang w:val="en-US"/>
        </w:rPr>
        <w:t xml:space="preserve"> p.1028)</w:t>
      </w:r>
      <w:r w:rsidR="00473E8D" w:rsidRPr="00442509">
        <w:rPr>
          <w:rFonts w:asciiTheme="minorHAnsi" w:eastAsiaTheme="minorHAnsi" w:hAnsiTheme="minorHAnsi" w:cstheme="minorHAnsi"/>
          <w:color w:val="000000" w:themeColor="text1"/>
          <w:sz w:val="22"/>
          <w:szCs w:val="22"/>
          <w:lang w:val="en-US"/>
        </w:rPr>
        <w:t xml:space="preserve"> </w:t>
      </w:r>
      <w:proofErr w:type="spellStart"/>
      <w:r w:rsidR="00473E8D" w:rsidRPr="00442509">
        <w:rPr>
          <w:rFonts w:asciiTheme="minorHAnsi" w:eastAsiaTheme="minorHAnsi" w:hAnsiTheme="minorHAnsi" w:cstheme="minorHAnsi"/>
          <w:color w:val="000000" w:themeColor="text1"/>
          <w:sz w:val="22"/>
          <w:szCs w:val="22"/>
          <w:lang w:val="en-US"/>
        </w:rPr>
        <w:t>zegt</w:t>
      </w:r>
      <w:proofErr w:type="spellEnd"/>
      <w:r w:rsidR="00473E8D" w:rsidRPr="00442509">
        <w:rPr>
          <w:rFonts w:asciiTheme="minorHAnsi" w:eastAsiaTheme="minorHAnsi" w:hAnsiTheme="minorHAnsi" w:cstheme="minorHAnsi"/>
          <w:color w:val="000000" w:themeColor="text1"/>
          <w:sz w:val="22"/>
          <w:szCs w:val="22"/>
          <w:lang w:val="en-US"/>
        </w:rPr>
        <w:t xml:space="preserve"> </w:t>
      </w:r>
      <w:proofErr w:type="spellStart"/>
      <w:r w:rsidR="00473E8D" w:rsidRPr="00442509">
        <w:rPr>
          <w:rFonts w:asciiTheme="minorHAnsi" w:eastAsiaTheme="minorHAnsi" w:hAnsiTheme="minorHAnsi" w:cstheme="minorHAnsi"/>
          <w:color w:val="000000" w:themeColor="text1"/>
          <w:sz w:val="22"/>
          <w:szCs w:val="22"/>
          <w:lang w:val="en-US"/>
        </w:rPr>
        <w:t>hierover</w:t>
      </w:r>
      <w:proofErr w:type="spellEnd"/>
      <w:r w:rsidR="00473E8D" w:rsidRPr="00442509">
        <w:rPr>
          <w:rFonts w:asciiTheme="minorHAnsi" w:eastAsiaTheme="minorHAnsi" w:hAnsiTheme="minorHAnsi" w:cstheme="minorHAnsi"/>
          <w:color w:val="000000" w:themeColor="text1"/>
          <w:sz w:val="22"/>
          <w:szCs w:val="22"/>
          <w:lang w:val="en-US"/>
        </w:rPr>
        <w:t>: “</w:t>
      </w:r>
      <w:r w:rsidR="00473E8D" w:rsidRPr="00442509">
        <w:rPr>
          <w:rFonts w:asciiTheme="minorHAnsi" w:eastAsiaTheme="minorHAnsi" w:hAnsiTheme="minorHAnsi" w:cstheme="minorHAnsi"/>
          <w:i/>
          <w:color w:val="000000" w:themeColor="text1"/>
          <w:sz w:val="22"/>
          <w:szCs w:val="22"/>
          <w:lang w:val="en-US"/>
        </w:rPr>
        <w:t>while some things may be equally appropriate to do in the public and private sectors, the very different circumstances within which the public and private sectors operate will ensure that what is appropriate in one sector is unlikely to be so in the other</w:t>
      </w:r>
      <w:r w:rsidR="00A6098F" w:rsidRPr="00442509">
        <w:rPr>
          <w:rFonts w:asciiTheme="minorHAnsi" w:eastAsiaTheme="minorHAnsi" w:hAnsiTheme="minorHAnsi" w:cstheme="minorHAnsi"/>
          <w:color w:val="000000" w:themeColor="text1"/>
          <w:sz w:val="22"/>
          <w:szCs w:val="22"/>
          <w:lang w:val="en-US"/>
        </w:rPr>
        <w:t>”</w:t>
      </w:r>
      <w:r w:rsidR="00473E8D" w:rsidRPr="00442509">
        <w:rPr>
          <w:rFonts w:asciiTheme="minorHAnsi" w:eastAsiaTheme="minorHAnsi" w:hAnsiTheme="minorHAnsi" w:cstheme="minorHAnsi"/>
          <w:color w:val="000000" w:themeColor="text1"/>
          <w:sz w:val="22"/>
          <w:szCs w:val="22"/>
          <w:lang w:val="en-US"/>
        </w:rPr>
        <w:t>.</w:t>
      </w:r>
      <w:r w:rsidR="00A6098F" w:rsidRPr="00442509">
        <w:rPr>
          <w:rFonts w:asciiTheme="minorHAnsi" w:eastAsiaTheme="minorHAnsi" w:hAnsiTheme="minorHAnsi" w:cstheme="minorHAnsi"/>
          <w:color w:val="000000" w:themeColor="text1"/>
          <w:sz w:val="22"/>
          <w:szCs w:val="22"/>
          <w:lang w:val="en-US"/>
        </w:rPr>
        <w:t xml:space="preserve"> </w:t>
      </w:r>
      <w:r w:rsidR="006E2068" w:rsidRPr="00442509">
        <w:rPr>
          <w:rFonts w:asciiTheme="minorHAnsi" w:eastAsiaTheme="minorHAnsi" w:hAnsiTheme="minorHAnsi" w:cstheme="minorHAnsi"/>
          <w:color w:val="000000" w:themeColor="text1"/>
          <w:sz w:val="22"/>
          <w:szCs w:val="22"/>
        </w:rPr>
        <w:t xml:space="preserve">Publieke organisaties opereren </w:t>
      </w:r>
      <w:r w:rsidR="009F2864" w:rsidRPr="00442509">
        <w:rPr>
          <w:rFonts w:asciiTheme="minorHAnsi" w:eastAsiaTheme="minorHAnsi" w:hAnsiTheme="minorHAnsi" w:cstheme="minorHAnsi"/>
          <w:color w:val="000000" w:themeColor="text1"/>
          <w:sz w:val="22"/>
          <w:szCs w:val="22"/>
        </w:rPr>
        <w:t>binnen een complexe externe omgeving waarin verschillende actoren betrokken zijn. Deze actoren hebben eigen belangen die niet altijd verenigbaar zijn (</w:t>
      </w:r>
      <w:proofErr w:type="spellStart"/>
      <w:r w:rsidR="009F2864" w:rsidRPr="00442509">
        <w:rPr>
          <w:rFonts w:asciiTheme="minorHAnsi" w:eastAsiaTheme="minorHAnsi" w:hAnsiTheme="minorHAnsi" w:cstheme="minorHAnsi"/>
          <w:color w:val="000000" w:themeColor="text1"/>
          <w:sz w:val="22"/>
          <w:szCs w:val="22"/>
        </w:rPr>
        <w:t>Boyne</w:t>
      </w:r>
      <w:proofErr w:type="spellEnd"/>
      <w:r w:rsidR="009F2864" w:rsidRPr="00442509">
        <w:rPr>
          <w:rFonts w:asciiTheme="minorHAnsi" w:eastAsiaTheme="minorHAnsi" w:hAnsiTheme="minorHAnsi" w:cstheme="minorHAnsi"/>
          <w:color w:val="000000" w:themeColor="text1"/>
          <w:sz w:val="22"/>
          <w:szCs w:val="22"/>
        </w:rPr>
        <w:t>, 2002). Veelheid aan actoren</w:t>
      </w:r>
      <w:r w:rsidR="00EB4994" w:rsidRPr="00442509">
        <w:rPr>
          <w:rFonts w:asciiTheme="minorHAnsi" w:eastAsiaTheme="minorHAnsi" w:hAnsiTheme="minorHAnsi" w:cstheme="minorHAnsi"/>
          <w:color w:val="000000" w:themeColor="text1"/>
          <w:sz w:val="22"/>
          <w:szCs w:val="22"/>
        </w:rPr>
        <w:t xml:space="preserve"> en doelen</w:t>
      </w:r>
      <w:r w:rsidR="009F2864" w:rsidRPr="00442509">
        <w:rPr>
          <w:rFonts w:asciiTheme="minorHAnsi" w:eastAsiaTheme="minorHAnsi" w:hAnsiTheme="minorHAnsi" w:cstheme="minorHAnsi"/>
          <w:color w:val="000000" w:themeColor="text1"/>
          <w:sz w:val="22"/>
          <w:szCs w:val="22"/>
        </w:rPr>
        <w:t xml:space="preserve"> kan voor complexiteit bij besluitvorming zorgen. </w:t>
      </w:r>
      <w:r w:rsidR="00296512" w:rsidRPr="00442509">
        <w:rPr>
          <w:rFonts w:asciiTheme="minorHAnsi" w:eastAsiaTheme="minorHAnsi" w:hAnsiTheme="minorHAnsi" w:cstheme="minorHAnsi"/>
          <w:color w:val="000000" w:themeColor="text1"/>
          <w:sz w:val="22"/>
          <w:szCs w:val="22"/>
        </w:rPr>
        <w:t xml:space="preserve">Volgens </w:t>
      </w:r>
      <w:proofErr w:type="spellStart"/>
      <w:r w:rsidR="00296512" w:rsidRPr="00442509">
        <w:rPr>
          <w:rFonts w:asciiTheme="minorHAnsi" w:eastAsiaTheme="minorHAnsi" w:hAnsiTheme="minorHAnsi" w:cstheme="minorHAnsi"/>
          <w:color w:val="000000" w:themeColor="text1"/>
          <w:sz w:val="22"/>
          <w:szCs w:val="22"/>
        </w:rPr>
        <w:t>Boyne</w:t>
      </w:r>
      <w:proofErr w:type="spellEnd"/>
      <w:r w:rsidR="00296512" w:rsidRPr="00442509">
        <w:rPr>
          <w:rFonts w:asciiTheme="minorHAnsi" w:eastAsiaTheme="minorHAnsi" w:hAnsiTheme="minorHAnsi" w:cstheme="minorHAnsi"/>
          <w:color w:val="000000" w:themeColor="text1"/>
          <w:sz w:val="22"/>
          <w:szCs w:val="22"/>
        </w:rPr>
        <w:t xml:space="preserve"> (2002) wordt besluitvorming daarnaast bemoeilijkt door instabiliteit als gevolg van sturing vanuit de politiek. De opstelling van de politiek naar de uitvoerders is aan verandering onderhevig, bijvoorbeeld de hoogte van het budget of de mate van zeggenschap. Volgens </w:t>
      </w:r>
      <w:proofErr w:type="spellStart"/>
      <w:r w:rsidR="00296512" w:rsidRPr="00442509">
        <w:rPr>
          <w:rFonts w:asciiTheme="minorHAnsi" w:eastAsiaTheme="minorHAnsi" w:hAnsiTheme="minorHAnsi" w:cstheme="minorHAnsi"/>
          <w:color w:val="000000" w:themeColor="text1"/>
          <w:sz w:val="22"/>
          <w:szCs w:val="22"/>
        </w:rPr>
        <w:t>Boyne</w:t>
      </w:r>
      <w:proofErr w:type="spellEnd"/>
      <w:r w:rsidR="00296512" w:rsidRPr="00442509">
        <w:rPr>
          <w:rFonts w:asciiTheme="minorHAnsi" w:eastAsiaTheme="minorHAnsi" w:hAnsiTheme="minorHAnsi" w:cstheme="minorHAnsi"/>
          <w:color w:val="000000" w:themeColor="text1"/>
          <w:sz w:val="22"/>
          <w:szCs w:val="22"/>
        </w:rPr>
        <w:t xml:space="preserve"> (2002) heeft dit als gevolg dat publieke organisaties </w:t>
      </w:r>
      <w:r w:rsidR="002E772D" w:rsidRPr="00442509">
        <w:rPr>
          <w:rFonts w:asciiTheme="minorHAnsi" w:eastAsiaTheme="minorHAnsi" w:hAnsiTheme="minorHAnsi" w:cstheme="minorHAnsi"/>
          <w:color w:val="000000" w:themeColor="text1"/>
          <w:sz w:val="22"/>
          <w:szCs w:val="22"/>
        </w:rPr>
        <w:t>zich op de korte termijn richten om hun doelen te bereiken.</w:t>
      </w:r>
      <w:r w:rsidR="00EB4994" w:rsidRPr="00442509">
        <w:rPr>
          <w:rFonts w:asciiTheme="minorHAnsi" w:eastAsiaTheme="minorHAnsi" w:hAnsiTheme="minorHAnsi" w:cstheme="minorHAnsi"/>
          <w:color w:val="000000" w:themeColor="text1"/>
          <w:sz w:val="22"/>
          <w:szCs w:val="22"/>
        </w:rPr>
        <w:t xml:space="preserve"> Tevens kan de inkoop worden </w:t>
      </w:r>
      <w:r w:rsidR="00473E8D" w:rsidRPr="00442509">
        <w:rPr>
          <w:rFonts w:asciiTheme="minorHAnsi" w:eastAsiaTheme="minorHAnsi" w:hAnsiTheme="minorHAnsi" w:cstheme="minorHAnsi"/>
          <w:color w:val="000000" w:themeColor="text1"/>
          <w:sz w:val="22"/>
          <w:szCs w:val="22"/>
        </w:rPr>
        <w:t>beïnvloed</w:t>
      </w:r>
      <w:r w:rsidR="00EB4994" w:rsidRPr="00442509">
        <w:rPr>
          <w:rFonts w:asciiTheme="minorHAnsi" w:eastAsiaTheme="minorHAnsi" w:hAnsiTheme="minorHAnsi" w:cstheme="minorHAnsi"/>
          <w:color w:val="000000" w:themeColor="text1"/>
          <w:sz w:val="22"/>
          <w:szCs w:val="22"/>
        </w:rPr>
        <w:t xml:space="preserve"> door de veelheid aan doelen. Volgens </w:t>
      </w:r>
      <w:proofErr w:type="spellStart"/>
      <w:r w:rsidR="00EB4994" w:rsidRPr="00442509">
        <w:rPr>
          <w:rFonts w:asciiTheme="minorHAnsi" w:eastAsiaTheme="minorHAnsi" w:hAnsiTheme="minorHAnsi" w:cstheme="minorHAnsi"/>
          <w:color w:val="000000" w:themeColor="text1"/>
          <w:sz w:val="22"/>
          <w:szCs w:val="22"/>
        </w:rPr>
        <w:t>Erridge</w:t>
      </w:r>
      <w:proofErr w:type="spellEnd"/>
      <w:r w:rsidR="00EB4994" w:rsidRPr="00442509">
        <w:rPr>
          <w:rFonts w:asciiTheme="minorHAnsi" w:eastAsiaTheme="minorHAnsi" w:hAnsiTheme="minorHAnsi" w:cstheme="minorHAnsi"/>
          <w:color w:val="000000" w:themeColor="text1"/>
          <w:sz w:val="22"/>
          <w:szCs w:val="22"/>
        </w:rPr>
        <w:t xml:space="preserve"> (2007) kan een opdracht vanuit </w:t>
      </w:r>
      <w:r w:rsidR="00473E8D" w:rsidRPr="00442509">
        <w:rPr>
          <w:rFonts w:asciiTheme="minorHAnsi" w:eastAsiaTheme="minorHAnsi" w:hAnsiTheme="minorHAnsi" w:cstheme="minorHAnsi"/>
          <w:color w:val="000000" w:themeColor="text1"/>
          <w:sz w:val="22"/>
          <w:szCs w:val="22"/>
        </w:rPr>
        <w:t>sociaaleconomische motieven</w:t>
      </w:r>
      <w:r w:rsidR="00EB4994" w:rsidRPr="00442509">
        <w:rPr>
          <w:rFonts w:asciiTheme="minorHAnsi" w:eastAsiaTheme="minorHAnsi" w:hAnsiTheme="minorHAnsi" w:cstheme="minorHAnsi"/>
          <w:color w:val="000000" w:themeColor="text1"/>
          <w:sz w:val="22"/>
          <w:szCs w:val="22"/>
        </w:rPr>
        <w:t xml:space="preserve"> ingezet worden om de bedrijvigheid en ontwikkeling van een gebied of regio te stimuleren. </w:t>
      </w:r>
      <w:r w:rsidR="00473E8D" w:rsidRPr="00442509">
        <w:rPr>
          <w:rFonts w:asciiTheme="minorHAnsi" w:eastAsiaTheme="minorHAnsi" w:hAnsiTheme="minorHAnsi" w:cstheme="minorHAnsi"/>
          <w:color w:val="000000" w:themeColor="text1"/>
          <w:sz w:val="22"/>
          <w:szCs w:val="22"/>
        </w:rPr>
        <w:t>Het is aannemelijk dat dit gepaard gaat met extra of verb</w:t>
      </w:r>
      <w:r w:rsidR="00B359FD" w:rsidRPr="00442509">
        <w:rPr>
          <w:rFonts w:asciiTheme="minorHAnsi" w:eastAsiaTheme="minorHAnsi" w:hAnsiTheme="minorHAnsi" w:cstheme="minorHAnsi"/>
          <w:color w:val="000000" w:themeColor="text1"/>
          <w:sz w:val="22"/>
          <w:szCs w:val="22"/>
        </w:rPr>
        <w:t>orgen kosten (</w:t>
      </w:r>
      <w:proofErr w:type="spellStart"/>
      <w:r w:rsidR="00B359FD" w:rsidRPr="00442509">
        <w:rPr>
          <w:rFonts w:asciiTheme="minorHAnsi" w:eastAsiaTheme="minorHAnsi" w:hAnsiTheme="minorHAnsi" w:cstheme="minorHAnsi"/>
          <w:color w:val="000000" w:themeColor="text1"/>
          <w:sz w:val="22"/>
          <w:szCs w:val="22"/>
        </w:rPr>
        <w:t>Erridge</w:t>
      </w:r>
      <w:proofErr w:type="spellEnd"/>
      <w:r w:rsidR="00B359FD" w:rsidRPr="00442509">
        <w:rPr>
          <w:rFonts w:asciiTheme="minorHAnsi" w:eastAsiaTheme="minorHAnsi" w:hAnsiTheme="minorHAnsi" w:cstheme="minorHAnsi"/>
          <w:color w:val="000000" w:themeColor="text1"/>
          <w:sz w:val="22"/>
          <w:szCs w:val="22"/>
        </w:rPr>
        <w:t xml:space="preserve">, 2007). </w:t>
      </w:r>
    </w:p>
    <w:p w14:paraId="61EFD17B" w14:textId="733048E2" w:rsidR="00731E5C" w:rsidRPr="00442509" w:rsidRDefault="002E772D" w:rsidP="00731E5C">
      <w:pPr>
        <w:spacing w:after="0" w:line="276" w:lineRule="auto"/>
        <w:ind w:firstLine="708"/>
        <w:rPr>
          <w:rFonts w:asciiTheme="minorHAnsi" w:eastAsiaTheme="minorHAnsi" w:hAnsiTheme="minorHAnsi" w:cstheme="minorHAnsi"/>
          <w:color w:val="000000" w:themeColor="text1"/>
          <w:sz w:val="22"/>
          <w:szCs w:val="22"/>
        </w:rPr>
      </w:pPr>
      <w:r w:rsidRPr="00442509">
        <w:rPr>
          <w:rFonts w:asciiTheme="minorHAnsi" w:eastAsiaTheme="minorHAnsi" w:hAnsiTheme="minorHAnsi" w:cstheme="minorHAnsi"/>
          <w:color w:val="000000" w:themeColor="text1"/>
          <w:sz w:val="22"/>
          <w:szCs w:val="22"/>
        </w:rPr>
        <w:t>Ten tweede</w:t>
      </w:r>
      <w:r w:rsidR="0045770C" w:rsidRPr="00442509">
        <w:rPr>
          <w:rFonts w:asciiTheme="minorHAnsi" w:eastAsiaTheme="minorHAnsi" w:hAnsiTheme="minorHAnsi" w:cstheme="minorHAnsi"/>
          <w:color w:val="000000" w:themeColor="text1"/>
          <w:sz w:val="22"/>
          <w:szCs w:val="22"/>
        </w:rPr>
        <w:t xml:space="preserve"> is </w:t>
      </w:r>
      <w:r w:rsidR="006E1C3D" w:rsidRPr="00442509">
        <w:rPr>
          <w:rFonts w:asciiTheme="minorHAnsi" w:eastAsiaTheme="minorHAnsi" w:hAnsiTheme="minorHAnsi" w:cstheme="minorHAnsi"/>
          <w:color w:val="000000" w:themeColor="text1"/>
          <w:sz w:val="22"/>
          <w:szCs w:val="22"/>
        </w:rPr>
        <w:t>er sprake van</w:t>
      </w:r>
      <w:r w:rsidR="00145428" w:rsidRPr="00442509">
        <w:rPr>
          <w:rFonts w:asciiTheme="minorHAnsi" w:eastAsiaTheme="minorHAnsi" w:hAnsiTheme="minorHAnsi" w:cstheme="minorHAnsi"/>
          <w:color w:val="000000" w:themeColor="text1"/>
          <w:sz w:val="22"/>
          <w:szCs w:val="22"/>
        </w:rPr>
        <w:t xml:space="preserve"> een</w:t>
      </w:r>
      <w:r w:rsidR="006E1C3D" w:rsidRPr="00442509">
        <w:rPr>
          <w:rFonts w:asciiTheme="minorHAnsi" w:eastAsiaTheme="minorHAnsi" w:hAnsiTheme="minorHAnsi" w:cstheme="minorHAnsi"/>
          <w:color w:val="000000" w:themeColor="text1"/>
          <w:sz w:val="22"/>
          <w:szCs w:val="22"/>
        </w:rPr>
        <w:t xml:space="preserve"> </w:t>
      </w:r>
      <w:r w:rsidR="00145428" w:rsidRPr="00442509">
        <w:rPr>
          <w:rFonts w:asciiTheme="minorHAnsi" w:eastAsiaTheme="minorHAnsi" w:hAnsiTheme="minorHAnsi" w:cstheme="minorHAnsi"/>
          <w:color w:val="000000" w:themeColor="text1"/>
          <w:sz w:val="22"/>
          <w:szCs w:val="22"/>
        </w:rPr>
        <w:t>hoog</w:t>
      </w:r>
      <w:r w:rsidR="0045770C" w:rsidRPr="00442509">
        <w:rPr>
          <w:rFonts w:asciiTheme="minorHAnsi" w:eastAsiaTheme="minorHAnsi" w:hAnsiTheme="minorHAnsi" w:cstheme="minorHAnsi"/>
          <w:color w:val="000000" w:themeColor="text1"/>
          <w:sz w:val="22"/>
          <w:szCs w:val="22"/>
        </w:rPr>
        <w:t xml:space="preserve"> niv</w:t>
      </w:r>
      <w:r w:rsidR="002A6E1A" w:rsidRPr="00442509">
        <w:rPr>
          <w:rFonts w:asciiTheme="minorHAnsi" w:eastAsiaTheme="minorHAnsi" w:hAnsiTheme="minorHAnsi" w:cstheme="minorHAnsi"/>
          <w:color w:val="000000" w:themeColor="text1"/>
          <w:sz w:val="22"/>
          <w:szCs w:val="22"/>
        </w:rPr>
        <w:t xml:space="preserve">eau van </w:t>
      </w:r>
      <w:r w:rsidR="006E1C3D" w:rsidRPr="00442509">
        <w:rPr>
          <w:rFonts w:asciiTheme="minorHAnsi" w:eastAsiaTheme="minorHAnsi" w:hAnsiTheme="minorHAnsi" w:cstheme="minorHAnsi"/>
          <w:color w:val="000000" w:themeColor="text1"/>
          <w:sz w:val="22"/>
          <w:szCs w:val="22"/>
        </w:rPr>
        <w:t>regulaties</w:t>
      </w:r>
      <w:r w:rsidR="0045770C" w:rsidRPr="00442509">
        <w:rPr>
          <w:rFonts w:asciiTheme="minorHAnsi" w:eastAsiaTheme="minorHAnsi" w:hAnsiTheme="minorHAnsi" w:cstheme="minorHAnsi"/>
          <w:color w:val="000000" w:themeColor="text1"/>
          <w:sz w:val="22"/>
          <w:szCs w:val="22"/>
        </w:rPr>
        <w:t>.</w:t>
      </w:r>
      <w:r w:rsidR="004103BC" w:rsidRPr="00442509">
        <w:rPr>
          <w:rFonts w:asciiTheme="minorHAnsi" w:hAnsiTheme="minorHAnsi" w:cstheme="minorHAnsi"/>
          <w:sz w:val="22"/>
          <w:szCs w:val="22"/>
        </w:rPr>
        <w:t xml:space="preserve"> </w:t>
      </w:r>
      <w:r w:rsidR="004103BC" w:rsidRPr="00442509">
        <w:rPr>
          <w:rFonts w:asciiTheme="minorHAnsi" w:eastAsiaTheme="minorHAnsi" w:hAnsiTheme="minorHAnsi" w:cstheme="minorHAnsi"/>
          <w:color w:val="000000" w:themeColor="text1"/>
          <w:sz w:val="22"/>
          <w:szCs w:val="22"/>
        </w:rPr>
        <w:t>De overheid is voor inkopen gebonden aan de specifieke wet en regelgeving van het aanbestedingsrecht</w:t>
      </w:r>
      <w:r w:rsidR="001E5C4C" w:rsidRPr="00442509">
        <w:rPr>
          <w:rFonts w:asciiTheme="minorHAnsi" w:eastAsiaTheme="minorHAnsi" w:hAnsiTheme="minorHAnsi" w:cstheme="minorHAnsi"/>
          <w:color w:val="000000" w:themeColor="text1"/>
          <w:sz w:val="22"/>
          <w:szCs w:val="22"/>
        </w:rPr>
        <w:t xml:space="preserve"> (e.g. Aanbestedingswet 2012)</w:t>
      </w:r>
      <w:r w:rsidR="004103BC" w:rsidRPr="00442509">
        <w:rPr>
          <w:rFonts w:asciiTheme="minorHAnsi" w:eastAsiaTheme="minorHAnsi" w:hAnsiTheme="minorHAnsi" w:cstheme="minorHAnsi"/>
          <w:color w:val="000000" w:themeColor="text1"/>
          <w:sz w:val="22"/>
          <w:szCs w:val="22"/>
        </w:rPr>
        <w:t>. Het aanbestedingsrecht bepaalt op welke wijze de overheid haar opdrachten moet aanbesteden. Het doel van het aanbestedingsrecht is de markt voor overheidsopdrachten toegankelijk te maken voor ondernemers, ongeacht hun nationaliteit (Van Weele, 2008).</w:t>
      </w:r>
      <w:r w:rsidR="0045770C" w:rsidRPr="00442509">
        <w:rPr>
          <w:rFonts w:asciiTheme="minorHAnsi" w:eastAsiaTheme="minorHAnsi" w:hAnsiTheme="minorHAnsi" w:cstheme="minorHAnsi"/>
          <w:color w:val="000000" w:themeColor="text1"/>
          <w:sz w:val="22"/>
          <w:szCs w:val="22"/>
        </w:rPr>
        <w:t xml:space="preserve"> Publieke organisaties gebruiken </w:t>
      </w:r>
      <w:r w:rsidR="001E5C4C" w:rsidRPr="00442509">
        <w:rPr>
          <w:rFonts w:asciiTheme="minorHAnsi" w:eastAsiaTheme="minorHAnsi" w:hAnsiTheme="minorHAnsi" w:cstheme="minorHAnsi"/>
          <w:color w:val="000000" w:themeColor="text1"/>
          <w:sz w:val="22"/>
          <w:szCs w:val="22"/>
        </w:rPr>
        <w:t xml:space="preserve">ook </w:t>
      </w:r>
      <w:r w:rsidR="0045770C" w:rsidRPr="00442509">
        <w:rPr>
          <w:rFonts w:asciiTheme="minorHAnsi" w:eastAsiaTheme="minorHAnsi" w:hAnsiTheme="minorHAnsi" w:cstheme="minorHAnsi"/>
          <w:color w:val="000000" w:themeColor="text1"/>
          <w:sz w:val="22"/>
          <w:szCs w:val="22"/>
        </w:rPr>
        <w:t>significant meer protocollen voor inkoop.</w:t>
      </w:r>
      <w:r w:rsidR="006B7A09" w:rsidRPr="00442509">
        <w:rPr>
          <w:rFonts w:asciiTheme="minorHAnsi" w:eastAsiaTheme="minorHAnsi" w:hAnsiTheme="minorHAnsi" w:cstheme="minorHAnsi"/>
          <w:color w:val="000000" w:themeColor="text1"/>
          <w:sz w:val="22"/>
          <w:szCs w:val="22"/>
        </w:rPr>
        <w:t xml:space="preserve"> </w:t>
      </w:r>
      <w:r w:rsidR="00145428" w:rsidRPr="00442509">
        <w:rPr>
          <w:rFonts w:asciiTheme="minorHAnsi" w:eastAsiaTheme="minorHAnsi" w:hAnsiTheme="minorHAnsi" w:cstheme="minorHAnsi"/>
          <w:color w:val="000000" w:themeColor="text1"/>
          <w:sz w:val="22"/>
          <w:szCs w:val="22"/>
        </w:rPr>
        <w:t xml:space="preserve">Rechtmatigheid waarborgt integriteit en gelijke kansen van deelnemende partijen. </w:t>
      </w:r>
      <w:r w:rsidR="004103BC" w:rsidRPr="00442509">
        <w:rPr>
          <w:rFonts w:asciiTheme="minorHAnsi" w:eastAsiaTheme="minorHAnsi" w:hAnsiTheme="minorHAnsi" w:cstheme="minorHAnsi"/>
          <w:color w:val="000000" w:themeColor="text1"/>
          <w:sz w:val="22"/>
          <w:szCs w:val="22"/>
        </w:rPr>
        <w:t xml:space="preserve">De basisprincipes van het aanbestedingsrecht worden gevormd door de beginselen van </w:t>
      </w:r>
      <w:r w:rsidR="00C55869" w:rsidRPr="00442509">
        <w:rPr>
          <w:rFonts w:asciiTheme="minorHAnsi" w:eastAsiaTheme="minorHAnsi" w:hAnsiTheme="minorHAnsi" w:cstheme="minorHAnsi"/>
          <w:color w:val="000000" w:themeColor="text1"/>
          <w:sz w:val="22"/>
          <w:szCs w:val="22"/>
        </w:rPr>
        <w:t>non-discriminatie</w:t>
      </w:r>
      <w:r w:rsidR="004103BC" w:rsidRPr="00442509">
        <w:rPr>
          <w:rFonts w:asciiTheme="minorHAnsi" w:eastAsiaTheme="minorHAnsi" w:hAnsiTheme="minorHAnsi" w:cstheme="minorHAnsi"/>
          <w:color w:val="000000" w:themeColor="text1"/>
          <w:sz w:val="22"/>
          <w:szCs w:val="22"/>
        </w:rPr>
        <w:t xml:space="preserve">, gelijke behandeling, transparantie, wederzijde erkenning en proportionaliteit (Van Weele, 2008). De specifieke regels voor de overheidsinkopen zijn vooral van toepassing op de daadwerkelijke aanbestedingsfase. </w:t>
      </w:r>
      <w:r w:rsidR="006B7A09" w:rsidRPr="00442509">
        <w:rPr>
          <w:rFonts w:asciiTheme="minorHAnsi" w:eastAsiaTheme="minorHAnsi" w:hAnsiTheme="minorHAnsi" w:cstheme="minorHAnsi"/>
          <w:color w:val="000000" w:themeColor="text1"/>
          <w:sz w:val="22"/>
          <w:szCs w:val="22"/>
        </w:rPr>
        <w:t xml:space="preserve">Objectiviteit en transparantie vereisen dat de aanbesteder vooraf duidelijk de gunningscriteria in de aanbestedingstukken beschrijft. Dit is typisch voor de publieke sector. </w:t>
      </w:r>
      <w:r w:rsidR="006B7A09" w:rsidRPr="00442509">
        <w:rPr>
          <w:rFonts w:asciiTheme="minorHAnsi" w:eastAsiaTheme="minorHAnsi" w:hAnsiTheme="minorHAnsi" w:cstheme="minorHAnsi"/>
          <w:sz w:val="22"/>
          <w:szCs w:val="22"/>
        </w:rPr>
        <w:t>Overheidsdiensten zijn gebonden aan voorschriften uit onder meer de Aanbestedingswet 2012, Europese aanbestedingsprocedures en de Gids proportionaliteit (</w:t>
      </w:r>
      <w:proofErr w:type="spellStart"/>
      <w:r w:rsidR="00996BF1">
        <w:rPr>
          <w:rStyle w:val="Hyperlink"/>
          <w:rFonts w:asciiTheme="minorHAnsi" w:eastAsiaTheme="minorHAnsi" w:hAnsiTheme="minorHAnsi" w:cstheme="minorHAnsi"/>
          <w:color w:val="auto"/>
          <w:sz w:val="22"/>
          <w:szCs w:val="22"/>
          <w:u w:val="none"/>
        </w:rPr>
        <w:fldChar w:fldCharType="begin"/>
      </w:r>
      <w:r w:rsidR="00996BF1">
        <w:rPr>
          <w:rStyle w:val="Hyperlink"/>
          <w:rFonts w:asciiTheme="minorHAnsi" w:eastAsiaTheme="minorHAnsi" w:hAnsiTheme="minorHAnsi" w:cstheme="minorHAnsi"/>
          <w:color w:val="auto"/>
          <w:sz w:val="22"/>
          <w:szCs w:val="22"/>
          <w:u w:val="none"/>
        </w:rPr>
        <w:instrText xml:space="preserve"> HYPERLINK "https://www.rijksoverheid.nl/binaries/rijksoverheid/documenten/rapporten/2013/02/20/gids-proportionaliteit/gids-proportionaliteit-staatscourant-2013-nr-3075.pdf" </w:instrText>
      </w:r>
      <w:r w:rsidR="00996BF1">
        <w:rPr>
          <w:rStyle w:val="Hyperlink"/>
          <w:rFonts w:asciiTheme="minorHAnsi" w:eastAsiaTheme="minorHAnsi" w:hAnsiTheme="minorHAnsi" w:cstheme="minorHAnsi"/>
          <w:color w:val="auto"/>
          <w:sz w:val="22"/>
          <w:szCs w:val="22"/>
          <w:u w:val="none"/>
        </w:rPr>
        <w:fldChar w:fldCharType="end"/>
      </w:r>
      <w:r w:rsidR="006B7A09" w:rsidRPr="00442509">
        <w:rPr>
          <w:rFonts w:asciiTheme="minorHAnsi" w:eastAsiaTheme="minorHAnsi" w:hAnsiTheme="minorHAnsi" w:cstheme="minorHAnsi"/>
          <w:sz w:val="22"/>
          <w:szCs w:val="22"/>
        </w:rPr>
        <w:t>Hebly</w:t>
      </w:r>
      <w:proofErr w:type="spellEnd"/>
      <w:r w:rsidR="006B7A09" w:rsidRPr="00442509">
        <w:rPr>
          <w:rFonts w:asciiTheme="minorHAnsi" w:eastAsiaTheme="minorHAnsi" w:hAnsiTheme="minorHAnsi" w:cstheme="minorHAnsi"/>
          <w:sz w:val="22"/>
          <w:szCs w:val="22"/>
        </w:rPr>
        <w:t xml:space="preserve"> et </w:t>
      </w:r>
      <w:r w:rsidR="000B47A7">
        <w:rPr>
          <w:rFonts w:asciiTheme="minorHAnsi" w:eastAsiaTheme="minorHAnsi" w:hAnsiTheme="minorHAnsi" w:cstheme="minorHAnsi"/>
          <w:sz w:val="22"/>
          <w:szCs w:val="22"/>
        </w:rPr>
        <w:t>al.</w:t>
      </w:r>
      <w:r w:rsidR="006B7A09" w:rsidRPr="00442509">
        <w:rPr>
          <w:rFonts w:asciiTheme="minorHAnsi" w:eastAsiaTheme="minorHAnsi" w:hAnsiTheme="minorHAnsi" w:cstheme="minorHAnsi"/>
          <w:sz w:val="22"/>
          <w:szCs w:val="22"/>
        </w:rPr>
        <w:t xml:space="preserve"> 2013). Het proportionaliteitsbeginsel heeft betrekking op alles fasen van inkoop en houdt in dat inkoop in redelijke verhouding moet staan tot het voorwerp van de opdracht. In het geval van </w:t>
      </w:r>
      <w:r w:rsidR="006B7A09" w:rsidRPr="00442509">
        <w:rPr>
          <w:rFonts w:asciiTheme="minorHAnsi" w:eastAsiaTheme="minorHAnsi" w:hAnsiTheme="minorHAnsi" w:cstheme="minorHAnsi"/>
          <w:sz w:val="22"/>
          <w:szCs w:val="22"/>
        </w:rPr>
        <w:lastRenderedPageBreak/>
        <w:t>onderwijsinstellingen dient er ook rekening te worden gehouden met de rechten van medezeggenschapraad, conform de Wet medezeggenschap op scholen (</w:t>
      </w:r>
      <w:r w:rsidR="003040E4">
        <w:fldChar w:fldCharType="begin"/>
      </w:r>
      <w:r w:rsidR="003040E4">
        <w:instrText xml:space="preserve"> HYPERLINK "http://wetten.overheid.nl/BWBR0020685/2017-01-01" </w:instrText>
      </w:r>
      <w:r w:rsidR="003040E4">
        <w:fldChar w:fldCharType="separate"/>
      </w:r>
      <w:r w:rsidR="003040E4">
        <w:fldChar w:fldCharType="end"/>
      </w:r>
      <w:r w:rsidR="006B7A09" w:rsidRPr="00442509">
        <w:rPr>
          <w:rStyle w:val="Hyperlink"/>
          <w:rFonts w:asciiTheme="minorHAnsi" w:eastAsiaTheme="minorHAnsi" w:hAnsiTheme="minorHAnsi" w:cstheme="minorHAnsi"/>
          <w:color w:val="auto"/>
          <w:sz w:val="22"/>
          <w:szCs w:val="22"/>
          <w:u w:val="none"/>
        </w:rPr>
        <w:t>Wet medezeggenschap op scholen</w:t>
      </w:r>
      <w:r w:rsidR="006B7A09" w:rsidRPr="00442509">
        <w:rPr>
          <w:rFonts w:asciiTheme="minorHAnsi" w:eastAsiaTheme="minorHAnsi" w:hAnsiTheme="minorHAnsi" w:cstheme="minorHAnsi"/>
          <w:sz w:val="22"/>
          <w:szCs w:val="22"/>
        </w:rPr>
        <w:t>, 2006 H.1, artikel 3.1). Deze formele procedures maken publieke organisaties minder flexibel en meer risico vermijdend (</w:t>
      </w:r>
      <w:proofErr w:type="spellStart"/>
      <w:r w:rsidR="006B7A09" w:rsidRPr="00442509">
        <w:rPr>
          <w:rFonts w:asciiTheme="minorHAnsi" w:eastAsiaTheme="minorHAnsi" w:hAnsiTheme="minorHAnsi" w:cstheme="minorHAnsi"/>
          <w:sz w:val="22"/>
          <w:szCs w:val="22"/>
        </w:rPr>
        <w:t>Boyne</w:t>
      </w:r>
      <w:proofErr w:type="spellEnd"/>
      <w:r w:rsidR="006B7A09" w:rsidRPr="00442509">
        <w:rPr>
          <w:rFonts w:asciiTheme="minorHAnsi" w:eastAsiaTheme="minorHAnsi" w:hAnsiTheme="minorHAnsi" w:cstheme="minorHAnsi"/>
          <w:sz w:val="22"/>
          <w:szCs w:val="22"/>
        </w:rPr>
        <w:t xml:space="preserve">, 2002). Volgens </w:t>
      </w:r>
      <w:proofErr w:type="spellStart"/>
      <w:r w:rsidR="006B7A09" w:rsidRPr="00442509">
        <w:rPr>
          <w:rFonts w:asciiTheme="minorHAnsi" w:eastAsiaTheme="minorHAnsi" w:hAnsiTheme="minorHAnsi" w:cstheme="minorHAnsi"/>
          <w:sz w:val="22"/>
          <w:szCs w:val="22"/>
        </w:rPr>
        <w:t>Boyne</w:t>
      </w:r>
      <w:proofErr w:type="spellEnd"/>
      <w:r w:rsidR="006B7A09" w:rsidRPr="00442509">
        <w:rPr>
          <w:rFonts w:asciiTheme="minorHAnsi" w:eastAsiaTheme="minorHAnsi" w:hAnsiTheme="minorHAnsi" w:cstheme="minorHAnsi"/>
          <w:sz w:val="22"/>
          <w:szCs w:val="22"/>
        </w:rPr>
        <w:t xml:space="preserve"> (2002) is er sprake van </w:t>
      </w:r>
      <w:proofErr w:type="gramStart"/>
      <w:r w:rsidR="006B7A09" w:rsidRPr="00442509">
        <w:rPr>
          <w:rFonts w:asciiTheme="minorHAnsi" w:eastAsiaTheme="minorHAnsi" w:hAnsiTheme="minorHAnsi" w:cstheme="minorHAnsi"/>
          <w:i/>
          <w:sz w:val="22"/>
          <w:szCs w:val="22"/>
        </w:rPr>
        <w:t>red</w:t>
      </w:r>
      <w:proofErr w:type="gramEnd"/>
      <w:r w:rsidR="006B7A09" w:rsidRPr="00442509">
        <w:rPr>
          <w:rFonts w:asciiTheme="minorHAnsi" w:eastAsiaTheme="minorHAnsi" w:hAnsiTheme="minorHAnsi" w:cstheme="minorHAnsi"/>
          <w:i/>
          <w:sz w:val="22"/>
          <w:szCs w:val="22"/>
        </w:rPr>
        <w:t xml:space="preserve"> tape</w:t>
      </w:r>
      <w:r w:rsidR="006B7A09" w:rsidRPr="00442509">
        <w:rPr>
          <w:rFonts w:asciiTheme="minorHAnsi" w:eastAsiaTheme="minorHAnsi" w:hAnsiTheme="minorHAnsi" w:cstheme="minorHAnsi"/>
          <w:sz w:val="22"/>
          <w:szCs w:val="22"/>
        </w:rPr>
        <w:t xml:space="preserve">: een streven naar het naleven van regels. Dit heeft een negatieve werking op productiviteit en efficiëntie. </w:t>
      </w:r>
    </w:p>
    <w:p w14:paraId="7DE63C34" w14:textId="4014871B" w:rsidR="00AA060A" w:rsidRPr="00442509" w:rsidRDefault="00AE0F67" w:rsidP="00731E5C">
      <w:pPr>
        <w:spacing w:after="0" w:line="276" w:lineRule="auto"/>
        <w:rPr>
          <w:rFonts w:asciiTheme="minorHAnsi" w:eastAsiaTheme="minorHAnsi" w:hAnsiTheme="minorHAnsi" w:cstheme="minorHAnsi"/>
          <w:color w:val="000000" w:themeColor="text1"/>
          <w:sz w:val="22"/>
          <w:szCs w:val="22"/>
        </w:rPr>
      </w:pPr>
      <w:r>
        <w:rPr>
          <w:rFonts w:asciiTheme="minorHAnsi" w:eastAsiaTheme="minorHAnsi" w:hAnsiTheme="minorHAnsi" w:cstheme="minorHAnsi"/>
          <w:color w:val="000000" w:themeColor="text1"/>
          <w:sz w:val="22"/>
          <w:szCs w:val="22"/>
        </w:rPr>
        <w:tab/>
        <w:t xml:space="preserve">Ten derde wordt </w:t>
      </w:r>
      <w:r w:rsidR="002A6E1A" w:rsidRPr="00442509">
        <w:rPr>
          <w:rFonts w:asciiTheme="minorHAnsi" w:eastAsiaTheme="minorHAnsi" w:hAnsiTheme="minorHAnsi" w:cstheme="minorHAnsi"/>
          <w:color w:val="000000" w:themeColor="text1"/>
          <w:sz w:val="22"/>
          <w:szCs w:val="22"/>
        </w:rPr>
        <w:t xml:space="preserve">de discretionaire ruimte </w:t>
      </w:r>
      <w:r w:rsidR="00901808" w:rsidRPr="00442509">
        <w:rPr>
          <w:rFonts w:asciiTheme="minorHAnsi" w:eastAsiaTheme="minorHAnsi" w:hAnsiTheme="minorHAnsi" w:cstheme="minorHAnsi"/>
          <w:color w:val="000000" w:themeColor="text1"/>
          <w:sz w:val="22"/>
          <w:szCs w:val="22"/>
        </w:rPr>
        <w:t>relatief meer beperkt dan binnen de private sector. Publieke organisaties waarborgen publieke waarden, waarbij continuïteit noodzakelijk is (WRR, 2000</w:t>
      </w:r>
      <w:r w:rsidR="00D634F7" w:rsidRPr="00442509">
        <w:rPr>
          <w:rFonts w:asciiTheme="minorHAnsi" w:eastAsiaTheme="minorHAnsi" w:hAnsiTheme="minorHAnsi" w:cstheme="minorHAnsi"/>
          <w:color w:val="000000" w:themeColor="text1"/>
          <w:sz w:val="22"/>
          <w:szCs w:val="22"/>
        </w:rPr>
        <w:t xml:space="preserve">; </w:t>
      </w:r>
      <w:proofErr w:type="spellStart"/>
      <w:r w:rsidR="00D634F7" w:rsidRPr="00442509">
        <w:rPr>
          <w:rFonts w:asciiTheme="minorHAnsi" w:eastAsiaTheme="minorHAnsi" w:hAnsiTheme="minorHAnsi" w:cstheme="minorHAnsi"/>
          <w:color w:val="000000" w:themeColor="text1"/>
          <w:sz w:val="22"/>
          <w:szCs w:val="22"/>
        </w:rPr>
        <w:t>Leune</w:t>
      </w:r>
      <w:proofErr w:type="spellEnd"/>
      <w:r w:rsidR="00D634F7" w:rsidRPr="00442509">
        <w:rPr>
          <w:rFonts w:asciiTheme="minorHAnsi" w:eastAsiaTheme="minorHAnsi" w:hAnsiTheme="minorHAnsi" w:cstheme="minorHAnsi"/>
          <w:color w:val="000000" w:themeColor="text1"/>
          <w:sz w:val="22"/>
          <w:szCs w:val="22"/>
        </w:rPr>
        <w:t>, 1993</w:t>
      </w:r>
      <w:r w:rsidR="00A6098F" w:rsidRPr="00442509">
        <w:rPr>
          <w:rFonts w:asciiTheme="minorHAnsi" w:eastAsiaTheme="minorHAnsi" w:hAnsiTheme="minorHAnsi" w:cstheme="minorHAnsi"/>
          <w:color w:val="000000" w:themeColor="text1"/>
          <w:sz w:val="22"/>
          <w:szCs w:val="22"/>
        </w:rPr>
        <w:t xml:space="preserve">; </w:t>
      </w:r>
      <w:proofErr w:type="spellStart"/>
      <w:r w:rsidR="00A6098F" w:rsidRPr="00442509">
        <w:rPr>
          <w:rFonts w:asciiTheme="minorHAnsi" w:eastAsiaTheme="minorHAnsi" w:hAnsiTheme="minorHAnsi" w:cstheme="minorHAnsi"/>
          <w:color w:val="000000" w:themeColor="text1"/>
          <w:sz w:val="22"/>
          <w:szCs w:val="22"/>
        </w:rPr>
        <w:t>Erridge</w:t>
      </w:r>
      <w:proofErr w:type="spellEnd"/>
      <w:r w:rsidR="00A6098F" w:rsidRPr="00442509">
        <w:rPr>
          <w:rFonts w:asciiTheme="minorHAnsi" w:eastAsiaTheme="minorHAnsi" w:hAnsiTheme="minorHAnsi" w:cstheme="minorHAnsi"/>
          <w:color w:val="000000" w:themeColor="text1"/>
          <w:sz w:val="22"/>
          <w:szCs w:val="22"/>
        </w:rPr>
        <w:t>, 2007</w:t>
      </w:r>
      <w:r w:rsidR="00901808" w:rsidRPr="00442509">
        <w:rPr>
          <w:rFonts w:asciiTheme="minorHAnsi" w:eastAsiaTheme="minorHAnsi" w:hAnsiTheme="minorHAnsi" w:cstheme="minorHAnsi"/>
          <w:color w:val="000000" w:themeColor="text1"/>
          <w:sz w:val="22"/>
          <w:szCs w:val="22"/>
        </w:rPr>
        <w:t>).</w:t>
      </w:r>
      <w:r w:rsidR="00EC5270" w:rsidRPr="00442509">
        <w:rPr>
          <w:rFonts w:asciiTheme="minorHAnsi" w:eastAsiaTheme="minorHAnsi" w:hAnsiTheme="minorHAnsi" w:cstheme="minorHAnsi"/>
          <w:color w:val="000000" w:themeColor="text1"/>
          <w:sz w:val="22"/>
          <w:szCs w:val="22"/>
        </w:rPr>
        <w:t xml:space="preserve"> Jacobs (1992) noemt dit ‘</w:t>
      </w:r>
      <w:proofErr w:type="spellStart"/>
      <w:r w:rsidR="00EC5270" w:rsidRPr="00442509">
        <w:rPr>
          <w:rFonts w:asciiTheme="minorHAnsi" w:eastAsiaTheme="minorHAnsi" w:hAnsiTheme="minorHAnsi" w:cstheme="minorHAnsi"/>
          <w:i/>
          <w:color w:val="000000" w:themeColor="text1"/>
          <w:sz w:val="22"/>
          <w:szCs w:val="22"/>
        </w:rPr>
        <w:t>guardian</w:t>
      </w:r>
      <w:proofErr w:type="spellEnd"/>
      <w:r w:rsidR="00EC5270" w:rsidRPr="00442509">
        <w:rPr>
          <w:rFonts w:asciiTheme="minorHAnsi" w:eastAsiaTheme="minorHAnsi" w:hAnsiTheme="minorHAnsi" w:cstheme="minorHAnsi"/>
          <w:i/>
          <w:color w:val="000000" w:themeColor="text1"/>
          <w:sz w:val="22"/>
          <w:szCs w:val="22"/>
        </w:rPr>
        <w:t xml:space="preserve"> </w:t>
      </w:r>
      <w:proofErr w:type="spellStart"/>
      <w:r w:rsidR="00EC5270" w:rsidRPr="00442509">
        <w:rPr>
          <w:rFonts w:asciiTheme="minorHAnsi" w:eastAsiaTheme="minorHAnsi" w:hAnsiTheme="minorHAnsi" w:cstheme="minorHAnsi"/>
          <w:i/>
          <w:color w:val="000000" w:themeColor="text1"/>
          <w:sz w:val="22"/>
          <w:szCs w:val="22"/>
        </w:rPr>
        <w:t>syndrom</w:t>
      </w:r>
      <w:proofErr w:type="spellEnd"/>
      <w:r w:rsidR="00EC5270" w:rsidRPr="00442509">
        <w:rPr>
          <w:rFonts w:asciiTheme="minorHAnsi" w:eastAsiaTheme="minorHAnsi" w:hAnsiTheme="minorHAnsi" w:cstheme="minorHAnsi"/>
          <w:i/>
          <w:color w:val="000000" w:themeColor="text1"/>
          <w:sz w:val="22"/>
          <w:szCs w:val="22"/>
        </w:rPr>
        <w:t>’</w:t>
      </w:r>
      <w:r w:rsidR="00EC5270" w:rsidRPr="00442509">
        <w:rPr>
          <w:rFonts w:asciiTheme="minorHAnsi" w:eastAsiaTheme="minorHAnsi" w:hAnsiTheme="minorHAnsi" w:cstheme="minorHAnsi"/>
          <w:color w:val="000000" w:themeColor="text1"/>
          <w:sz w:val="22"/>
          <w:szCs w:val="22"/>
        </w:rPr>
        <w:t xml:space="preserve">: publieke sector </w:t>
      </w:r>
      <w:r w:rsidR="00AA060A" w:rsidRPr="00442509">
        <w:rPr>
          <w:rFonts w:asciiTheme="minorHAnsi" w:eastAsiaTheme="minorHAnsi" w:hAnsiTheme="minorHAnsi" w:cstheme="minorHAnsi"/>
          <w:color w:val="000000" w:themeColor="text1"/>
          <w:sz w:val="22"/>
          <w:szCs w:val="22"/>
        </w:rPr>
        <w:t xml:space="preserve">richt zich op een zelf gedefinieerde publieke zaak, het controleren van het proces en de aanpak, het uit de weg gaan van risico’s. </w:t>
      </w:r>
      <w:r w:rsidR="00452E1E" w:rsidRPr="00442509">
        <w:rPr>
          <w:rFonts w:asciiTheme="minorHAnsi" w:eastAsiaTheme="minorHAnsi" w:hAnsiTheme="minorHAnsi" w:cstheme="minorHAnsi"/>
          <w:color w:val="000000" w:themeColor="text1"/>
          <w:sz w:val="22"/>
          <w:szCs w:val="22"/>
        </w:rPr>
        <w:t>Er is sprake van volgen van formele procedures en</w:t>
      </w:r>
      <w:r w:rsidR="002C3F83">
        <w:rPr>
          <w:rFonts w:asciiTheme="minorHAnsi" w:eastAsiaTheme="minorHAnsi" w:hAnsiTheme="minorHAnsi" w:cstheme="minorHAnsi"/>
          <w:color w:val="000000" w:themeColor="text1"/>
          <w:sz w:val="22"/>
          <w:szCs w:val="22"/>
        </w:rPr>
        <w:t xml:space="preserve"> het</w:t>
      </w:r>
      <w:r w:rsidR="00452E1E" w:rsidRPr="00442509">
        <w:rPr>
          <w:rFonts w:asciiTheme="minorHAnsi" w:eastAsiaTheme="minorHAnsi" w:hAnsiTheme="minorHAnsi" w:cstheme="minorHAnsi"/>
          <w:color w:val="000000" w:themeColor="text1"/>
          <w:sz w:val="22"/>
          <w:szCs w:val="22"/>
        </w:rPr>
        <w:t xml:space="preserve"> aanmoedigen van een risico vermijdend</w:t>
      </w:r>
      <w:r w:rsidR="002C3F83">
        <w:rPr>
          <w:rFonts w:asciiTheme="minorHAnsi" w:eastAsiaTheme="minorHAnsi" w:hAnsiTheme="minorHAnsi" w:cstheme="minorHAnsi"/>
          <w:color w:val="000000" w:themeColor="text1"/>
          <w:sz w:val="22"/>
          <w:szCs w:val="22"/>
        </w:rPr>
        <w:t>e</w:t>
      </w:r>
      <w:r w:rsidR="00452E1E" w:rsidRPr="00442509">
        <w:rPr>
          <w:rFonts w:asciiTheme="minorHAnsi" w:eastAsiaTheme="minorHAnsi" w:hAnsiTheme="minorHAnsi" w:cstheme="minorHAnsi"/>
          <w:color w:val="000000" w:themeColor="text1"/>
          <w:sz w:val="22"/>
          <w:szCs w:val="22"/>
        </w:rPr>
        <w:t xml:space="preserve"> cultuur (</w:t>
      </w:r>
      <w:proofErr w:type="spellStart"/>
      <w:r w:rsidR="00452E1E" w:rsidRPr="00442509">
        <w:rPr>
          <w:rFonts w:asciiTheme="minorHAnsi" w:eastAsiaTheme="minorHAnsi" w:hAnsiTheme="minorHAnsi" w:cstheme="minorHAnsi"/>
          <w:color w:val="000000" w:themeColor="text1"/>
          <w:sz w:val="22"/>
          <w:szCs w:val="22"/>
        </w:rPr>
        <w:t>Erridge</w:t>
      </w:r>
      <w:proofErr w:type="spellEnd"/>
      <w:r w:rsidR="00452E1E" w:rsidRPr="00442509">
        <w:rPr>
          <w:rFonts w:asciiTheme="minorHAnsi" w:eastAsiaTheme="minorHAnsi" w:hAnsiTheme="minorHAnsi" w:cstheme="minorHAnsi"/>
          <w:color w:val="000000" w:themeColor="text1"/>
          <w:sz w:val="22"/>
          <w:szCs w:val="22"/>
        </w:rPr>
        <w:t>, 2007). W</w:t>
      </w:r>
      <w:r w:rsidR="002A6E1A" w:rsidRPr="00442509">
        <w:rPr>
          <w:rFonts w:asciiTheme="minorHAnsi" w:eastAsiaTheme="minorHAnsi" w:hAnsiTheme="minorHAnsi" w:cstheme="minorHAnsi"/>
          <w:color w:val="000000" w:themeColor="text1"/>
          <w:sz w:val="22"/>
          <w:szCs w:val="22"/>
        </w:rPr>
        <w:t>aarden als gelijkheid en toegankelijkheid zijn belangrijker dan efficiëntie en kostenbeheersing (</w:t>
      </w:r>
      <w:proofErr w:type="spellStart"/>
      <w:r w:rsidR="002A6E1A" w:rsidRPr="00442509">
        <w:rPr>
          <w:rFonts w:asciiTheme="minorHAnsi" w:eastAsiaTheme="minorHAnsi" w:hAnsiTheme="minorHAnsi" w:cstheme="minorHAnsi"/>
          <w:color w:val="000000" w:themeColor="text1"/>
          <w:sz w:val="22"/>
          <w:szCs w:val="22"/>
        </w:rPr>
        <w:t>Boyne</w:t>
      </w:r>
      <w:proofErr w:type="spellEnd"/>
      <w:r w:rsidR="002A6E1A" w:rsidRPr="00442509">
        <w:rPr>
          <w:rFonts w:asciiTheme="minorHAnsi" w:eastAsiaTheme="minorHAnsi" w:hAnsiTheme="minorHAnsi" w:cstheme="minorHAnsi"/>
          <w:color w:val="000000" w:themeColor="text1"/>
          <w:sz w:val="22"/>
          <w:szCs w:val="22"/>
        </w:rPr>
        <w:t xml:space="preserve">, 2002; Smit &amp; Van Thiel, 2002; WRR, 2000). Deze benadering heeft als nadeel dat </w:t>
      </w:r>
      <w:r w:rsidR="00731E5C" w:rsidRPr="00442509">
        <w:rPr>
          <w:rFonts w:asciiTheme="minorHAnsi" w:eastAsiaTheme="minorHAnsi" w:hAnsiTheme="minorHAnsi" w:cstheme="minorHAnsi"/>
          <w:color w:val="000000" w:themeColor="text1"/>
          <w:sz w:val="22"/>
          <w:szCs w:val="22"/>
        </w:rPr>
        <w:t>inkooptrajecten</w:t>
      </w:r>
      <w:r w:rsidR="002A6E1A" w:rsidRPr="00442509">
        <w:rPr>
          <w:rFonts w:asciiTheme="minorHAnsi" w:eastAsiaTheme="minorHAnsi" w:hAnsiTheme="minorHAnsi" w:cstheme="minorHAnsi"/>
          <w:color w:val="000000" w:themeColor="text1"/>
          <w:sz w:val="22"/>
          <w:szCs w:val="22"/>
        </w:rPr>
        <w:t xml:space="preserve"> in de praktijk vertraging oplopen en uiteindelijk meer gaan kosten dan voora</w:t>
      </w:r>
      <w:r w:rsidR="00B554BE">
        <w:rPr>
          <w:rFonts w:asciiTheme="minorHAnsi" w:eastAsiaTheme="minorHAnsi" w:hAnsiTheme="minorHAnsi" w:cstheme="minorHAnsi"/>
          <w:color w:val="000000" w:themeColor="text1"/>
          <w:sz w:val="22"/>
          <w:szCs w:val="22"/>
        </w:rPr>
        <w:t>f</w:t>
      </w:r>
      <w:r w:rsidR="002A6E1A" w:rsidRPr="00442509">
        <w:rPr>
          <w:rFonts w:asciiTheme="minorHAnsi" w:eastAsiaTheme="minorHAnsi" w:hAnsiTheme="minorHAnsi" w:cstheme="minorHAnsi"/>
          <w:color w:val="000000" w:themeColor="text1"/>
          <w:sz w:val="22"/>
          <w:szCs w:val="22"/>
        </w:rPr>
        <w:t xml:space="preserve"> was geraamd. </w:t>
      </w:r>
      <w:r w:rsidR="00901808" w:rsidRPr="00442509">
        <w:rPr>
          <w:rFonts w:asciiTheme="minorHAnsi" w:eastAsiaTheme="minorHAnsi" w:hAnsiTheme="minorHAnsi" w:cstheme="minorHAnsi"/>
          <w:color w:val="000000" w:themeColor="text1"/>
          <w:sz w:val="22"/>
          <w:szCs w:val="22"/>
        </w:rPr>
        <w:t>Er is geen sprake van streven naar winst.</w:t>
      </w:r>
      <w:r w:rsidR="00AA060A" w:rsidRPr="00442509">
        <w:rPr>
          <w:rFonts w:asciiTheme="minorHAnsi" w:eastAsiaTheme="minorHAnsi" w:hAnsiTheme="minorHAnsi" w:cstheme="minorHAnsi"/>
          <w:color w:val="000000" w:themeColor="text1"/>
          <w:sz w:val="22"/>
          <w:szCs w:val="22"/>
        </w:rPr>
        <w:t xml:space="preserve"> Private sector, daarentegen, lijdt aan het ‘commercial </w:t>
      </w:r>
      <w:proofErr w:type="spellStart"/>
      <w:r w:rsidR="00AA060A" w:rsidRPr="00442509">
        <w:rPr>
          <w:rFonts w:asciiTheme="minorHAnsi" w:eastAsiaTheme="minorHAnsi" w:hAnsiTheme="minorHAnsi" w:cstheme="minorHAnsi"/>
          <w:color w:val="000000" w:themeColor="text1"/>
          <w:sz w:val="22"/>
          <w:szCs w:val="22"/>
        </w:rPr>
        <w:t>syndrom</w:t>
      </w:r>
      <w:proofErr w:type="spellEnd"/>
      <w:r w:rsidR="00AA060A" w:rsidRPr="00442509">
        <w:rPr>
          <w:rFonts w:asciiTheme="minorHAnsi" w:eastAsiaTheme="minorHAnsi" w:hAnsiTheme="minorHAnsi" w:cstheme="minorHAnsi"/>
          <w:color w:val="000000" w:themeColor="text1"/>
          <w:sz w:val="22"/>
          <w:szCs w:val="22"/>
        </w:rPr>
        <w:t>’ me</w:t>
      </w:r>
      <w:r w:rsidR="00731E5C" w:rsidRPr="00442509">
        <w:rPr>
          <w:rFonts w:asciiTheme="minorHAnsi" w:eastAsiaTheme="minorHAnsi" w:hAnsiTheme="minorHAnsi" w:cstheme="minorHAnsi"/>
          <w:color w:val="000000" w:themeColor="text1"/>
          <w:sz w:val="22"/>
          <w:szCs w:val="22"/>
        </w:rPr>
        <w:t xml:space="preserve">t competitie, marktgerichtheid, </w:t>
      </w:r>
      <w:r w:rsidR="00AA060A" w:rsidRPr="00442509">
        <w:rPr>
          <w:rFonts w:asciiTheme="minorHAnsi" w:eastAsiaTheme="minorHAnsi" w:hAnsiTheme="minorHAnsi" w:cstheme="minorHAnsi"/>
          <w:color w:val="000000" w:themeColor="text1"/>
          <w:sz w:val="22"/>
          <w:szCs w:val="22"/>
        </w:rPr>
        <w:t xml:space="preserve">resultaatgerichtheid en het nemen van risico’s als karakteristieken.  </w:t>
      </w:r>
      <w:r w:rsidR="00901808" w:rsidRPr="00442509">
        <w:rPr>
          <w:rFonts w:asciiTheme="minorHAnsi" w:eastAsiaTheme="minorHAnsi" w:hAnsiTheme="minorHAnsi" w:cstheme="minorHAnsi"/>
          <w:color w:val="000000" w:themeColor="text1"/>
          <w:sz w:val="22"/>
          <w:szCs w:val="22"/>
        </w:rPr>
        <w:t xml:space="preserve"> </w:t>
      </w:r>
    </w:p>
    <w:p w14:paraId="5FA89F58" w14:textId="513E563B" w:rsidR="00E66AD5" w:rsidRPr="00442509" w:rsidRDefault="00E66AD5" w:rsidP="00731E5C">
      <w:pPr>
        <w:spacing w:after="0" w:line="276" w:lineRule="auto"/>
        <w:rPr>
          <w:rFonts w:asciiTheme="minorHAnsi" w:eastAsiaTheme="minorHAnsi" w:hAnsiTheme="minorHAnsi" w:cstheme="minorHAnsi"/>
          <w:color w:val="000000" w:themeColor="text1"/>
          <w:sz w:val="22"/>
          <w:szCs w:val="22"/>
        </w:rPr>
      </w:pPr>
      <w:bookmarkStart w:id="53" w:name="_GoBack"/>
      <w:bookmarkEnd w:id="53"/>
    </w:p>
    <w:p w14:paraId="2CDD90CB" w14:textId="77777777" w:rsidR="00F6703F" w:rsidRPr="00442509" w:rsidRDefault="00F6703F" w:rsidP="000449BC">
      <w:pPr>
        <w:spacing w:after="0" w:line="360" w:lineRule="auto"/>
        <w:rPr>
          <w:rFonts w:asciiTheme="minorHAnsi" w:eastAsiaTheme="minorHAnsi" w:hAnsiTheme="minorHAnsi" w:cs="Arial"/>
          <w:b/>
          <w:color w:val="000000" w:themeColor="text1"/>
          <w:sz w:val="22"/>
          <w:szCs w:val="22"/>
        </w:rPr>
      </w:pPr>
    </w:p>
    <w:p w14:paraId="15FC6E7A" w14:textId="383F2324" w:rsidR="000449BC" w:rsidRPr="003B56D6" w:rsidRDefault="000449BC" w:rsidP="00534B7C">
      <w:pPr>
        <w:pStyle w:val="Heading2"/>
        <w:rPr>
          <w:color w:val="1F3864" w:themeColor="accent1" w:themeShade="80"/>
          <w:sz w:val="22"/>
        </w:rPr>
      </w:pPr>
      <w:bookmarkStart w:id="54" w:name="_Toc517455454"/>
      <w:r w:rsidRPr="003B56D6">
        <w:rPr>
          <w:color w:val="1F3864" w:themeColor="accent1" w:themeShade="80"/>
        </w:rPr>
        <w:t>Antwoord op de afhankelijkheid</w:t>
      </w:r>
      <w:r w:rsidR="00FE6DE0" w:rsidRPr="003B56D6">
        <w:rPr>
          <w:color w:val="1F3864" w:themeColor="accent1" w:themeShade="80"/>
        </w:rPr>
        <w:t xml:space="preserve"> (1)</w:t>
      </w:r>
      <w:r w:rsidRPr="003B56D6">
        <w:rPr>
          <w:color w:val="1F3864" w:themeColor="accent1" w:themeShade="80"/>
        </w:rPr>
        <w:t>: p</w:t>
      </w:r>
      <w:r w:rsidR="00C00BA9" w:rsidRPr="003B56D6">
        <w:rPr>
          <w:color w:val="1F3864" w:themeColor="accent1" w:themeShade="80"/>
        </w:rPr>
        <w:t>rofessionalisering</w:t>
      </w:r>
      <w:r w:rsidRPr="003B56D6">
        <w:rPr>
          <w:color w:val="1F3864" w:themeColor="accent1" w:themeShade="80"/>
        </w:rPr>
        <w:t xml:space="preserve"> van de inkoop</w:t>
      </w:r>
      <w:bookmarkEnd w:id="54"/>
    </w:p>
    <w:p w14:paraId="0ACB745C" w14:textId="3F54955C" w:rsidR="00B9122C" w:rsidRPr="00442509" w:rsidRDefault="000449BC" w:rsidP="000449BC">
      <w:pPr>
        <w:pStyle w:val="NoSpacing"/>
        <w:spacing w:line="276" w:lineRule="auto"/>
        <w:rPr>
          <w:color w:val="000000" w:themeColor="text1"/>
        </w:rPr>
      </w:pPr>
      <w:r w:rsidRPr="00442509">
        <w:rPr>
          <w:color w:val="000000" w:themeColor="text1"/>
        </w:rPr>
        <w:t xml:space="preserve">De </w:t>
      </w:r>
      <w:r w:rsidR="00FC7531" w:rsidRPr="00442509">
        <w:rPr>
          <w:color w:val="000000" w:themeColor="text1"/>
        </w:rPr>
        <w:t>problematische</w:t>
      </w:r>
      <w:r w:rsidRPr="00442509">
        <w:rPr>
          <w:color w:val="000000" w:themeColor="text1"/>
        </w:rPr>
        <w:t xml:space="preserve"> situatie rondom inkoop van ICT door de aanwezige afhankelijkheid kan </w:t>
      </w:r>
      <w:r w:rsidR="00FC7531" w:rsidRPr="00442509">
        <w:rPr>
          <w:color w:val="000000" w:themeColor="text1"/>
        </w:rPr>
        <w:t xml:space="preserve">onder meer </w:t>
      </w:r>
      <w:r w:rsidRPr="00442509">
        <w:rPr>
          <w:color w:val="000000" w:themeColor="text1"/>
        </w:rPr>
        <w:t xml:space="preserve">door professionalisering van de inkoopfunctie worden verholpen </w:t>
      </w:r>
      <w:bookmarkStart w:id="55" w:name="_Hlk511233572"/>
      <w:r w:rsidRPr="00442509">
        <w:rPr>
          <w:color w:val="000000" w:themeColor="text1"/>
        </w:rPr>
        <w:t>(</w:t>
      </w:r>
      <w:hyperlink r:id="rId18" w:history="1"/>
      <w:r w:rsidR="00884A3A" w:rsidRPr="00442509">
        <w:rPr>
          <w:color w:val="000000" w:themeColor="text1"/>
        </w:rPr>
        <w:t>Pijpers en Lubberman, 2013).</w:t>
      </w:r>
      <w:bookmarkEnd w:id="55"/>
      <w:r w:rsidR="00884A3A" w:rsidRPr="00442509">
        <w:rPr>
          <w:color w:val="000000" w:themeColor="text1"/>
        </w:rPr>
        <w:t xml:space="preserve"> </w:t>
      </w:r>
      <w:r w:rsidR="007D36DA" w:rsidRPr="00442509">
        <w:rPr>
          <w:color w:val="000000" w:themeColor="text1"/>
        </w:rPr>
        <w:t xml:space="preserve">Binnen de publieke sector heeft inkoopprofessionaliteit in de laatste jaren veel aandacht gekregen. Volgens NEVI (2010) is dit de basis voor het bereiken van inkoopdoelstellingen van rechtmatigheid en duurzaamheid. </w:t>
      </w:r>
      <w:bookmarkStart w:id="56" w:name="_Hlk511233668"/>
      <w:r w:rsidR="007F392B" w:rsidRPr="00442509">
        <w:rPr>
          <w:color w:val="000000" w:themeColor="text1"/>
        </w:rPr>
        <w:t xml:space="preserve">Volgens </w:t>
      </w:r>
      <w:proofErr w:type="spellStart"/>
      <w:r w:rsidR="007F392B" w:rsidRPr="00442509">
        <w:rPr>
          <w:color w:val="000000" w:themeColor="text1"/>
        </w:rPr>
        <w:t>Smellie</w:t>
      </w:r>
      <w:proofErr w:type="spellEnd"/>
      <w:r w:rsidR="007F392B" w:rsidRPr="00442509">
        <w:rPr>
          <w:color w:val="000000" w:themeColor="text1"/>
        </w:rPr>
        <w:t xml:space="preserve"> en Williams (1985) is de inkoopfunctie van lokale openbare instellingen slecht georganiseerd en niet profession</w:t>
      </w:r>
      <w:r w:rsidR="006858A7" w:rsidRPr="00442509">
        <w:rPr>
          <w:color w:val="000000" w:themeColor="text1"/>
        </w:rPr>
        <w:t xml:space="preserve">eel, waarbij sommige organisaties </w:t>
      </w:r>
      <w:r w:rsidR="00DF1A5B" w:rsidRPr="00442509">
        <w:rPr>
          <w:color w:val="000000" w:themeColor="text1"/>
        </w:rPr>
        <w:t>zelfs geen inkoopfunctie</w:t>
      </w:r>
      <w:r w:rsidR="006858A7" w:rsidRPr="00442509">
        <w:rPr>
          <w:color w:val="000000" w:themeColor="text1"/>
        </w:rPr>
        <w:t xml:space="preserve"> hebben</w:t>
      </w:r>
      <w:r w:rsidR="00DF1A5B" w:rsidRPr="00442509">
        <w:rPr>
          <w:color w:val="000000" w:themeColor="text1"/>
        </w:rPr>
        <w:t>.</w:t>
      </w:r>
      <w:bookmarkEnd w:id="56"/>
      <w:r w:rsidR="006858A7" w:rsidRPr="00442509">
        <w:rPr>
          <w:color w:val="000000" w:themeColor="text1"/>
        </w:rPr>
        <w:t xml:space="preserve"> </w:t>
      </w:r>
      <w:r w:rsidR="007D36DA" w:rsidRPr="00442509">
        <w:rPr>
          <w:color w:val="000000" w:themeColor="text1"/>
        </w:rPr>
        <w:t xml:space="preserve">Wel is er volgens het onderzoek van </w:t>
      </w:r>
      <w:proofErr w:type="spellStart"/>
      <w:r w:rsidR="007D36DA" w:rsidRPr="00442509">
        <w:rPr>
          <w:color w:val="000000" w:themeColor="text1"/>
        </w:rPr>
        <w:t>BoPP</w:t>
      </w:r>
      <w:proofErr w:type="spellEnd"/>
      <w:r w:rsidR="007D36DA" w:rsidRPr="00442509">
        <w:rPr>
          <w:color w:val="000000" w:themeColor="text1"/>
        </w:rPr>
        <w:t xml:space="preserve"> (2011) de inkoopprofessionaliteit van de publi</w:t>
      </w:r>
      <w:r w:rsidR="00B9122C" w:rsidRPr="00442509">
        <w:rPr>
          <w:color w:val="000000" w:themeColor="text1"/>
        </w:rPr>
        <w:t>eke sector licht gestegen in de afgelopen jaren.</w:t>
      </w:r>
      <w:r w:rsidR="007D36DA" w:rsidRPr="00442509">
        <w:rPr>
          <w:color w:val="000000" w:themeColor="text1"/>
        </w:rPr>
        <w:t xml:space="preserve"> </w:t>
      </w:r>
    </w:p>
    <w:p w14:paraId="10270E32" w14:textId="7ACA85B0" w:rsidR="000449BC" w:rsidRPr="00442509" w:rsidRDefault="00B554BE" w:rsidP="000449BC">
      <w:pPr>
        <w:pStyle w:val="NoSpacing"/>
        <w:spacing w:line="276" w:lineRule="auto"/>
        <w:rPr>
          <w:color w:val="000000" w:themeColor="text1"/>
          <w:highlight w:val="yellow"/>
        </w:rPr>
      </w:pPr>
      <w:r>
        <w:rPr>
          <w:color w:val="000000" w:themeColor="text1"/>
        </w:rPr>
        <w:tab/>
      </w:r>
      <w:r w:rsidR="006858A7" w:rsidRPr="00442509">
        <w:rPr>
          <w:color w:val="000000" w:themeColor="text1"/>
        </w:rPr>
        <w:t>Er bestaat ruimte om de inkoopfunctie te professionaliseren.</w:t>
      </w:r>
      <w:r w:rsidR="007F392B" w:rsidRPr="00442509">
        <w:rPr>
          <w:color w:val="000000" w:themeColor="text1"/>
        </w:rPr>
        <w:t xml:space="preserve"> </w:t>
      </w:r>
      <w:r w:rsidR="000449BC" w:rsidRPr="00442509">
        <w:rPr>
          <w:color w:val="000000" w:themeColor="text1"/>
        </w:rPr>
        <w:t xml:space="preserve">Het voortgezet onderwijs professionaliseert zich op dit gebied met name middels personeelsbeleid, bijvoorbeeld door trainingen en </w:t>
      </w:r>
      <w:r>
        <w:rPr>
          <w:color w:val="000000" w:themeColor="text1"/>
        </w:rPr>
        <w:t xml:space="preserve">het </w:t>
      </w:r>
      <w:r w:rsidR="000449BC" w:rsidRPr="00442509">
        <w:rPr>
          <w:color w:val="000000" w:themeColor="text1"/>
        </w:rPr>
        <w:t>aanstellen van een contractmanager en een ICT-manager. Binnen onderwijsinstellingen dienen medewerkers zich extra in te spannen (</w:t>
      </w:r>
      <w:proofErr w:type="spellStart"/>
      <w:r w:rsidR="00996BF1">
        <w:rPr>
          <w:rStyle w:val="Hyperlink"/>
          <w:color w:val="000000" w:themeColor="text1"/>
          <w:u w:val="none"/>
        </w:rPr>
        <w:fldChar w:fldCharType="begin"/>
      </w:r>
      <w:r w:rsidR="00996BF1">
        <w:rPr>
          <w:rStyle w:val="Hyperlink"/>
          <w:color w:val="000000" w:themeColor="text1"/>
          <w:u w:val="none"/>
        </w:rPr>
        <w:instrText xml:space="preserve"> HYPERLINK "https://books.google.nl/books?id=6-zI2AYgPNMC&amp;pg=PA271&amp;lpg=PA271&amp;dq=marktgerichte+mechanisme+onderwijs&amp;source=bl&amp;ots=dYWS3Eujdm&amp;sig=UDFrArMlkyA-7yl35Ec85n4hK2I&amp;hl=nl&amp;sa=X&amp;ved=0ahUKEwijh4bE4cXNAhWH1hQKHaO6BBMQ6AEIMDAD" \l "v=onepage&amp;q=marktgerichte%20mechanisme%20onderwijs&amp;f=false" </w:instrText>
      </w:r>
      <w:r w:rsidR="00996BF1">
        <w:rPr>
          <w:rStyle w:val="Hyperlink"/>
          <w:color w:val="000000" w:themeColor="text1"/>
          <w:u w:val="none"/>
        </w:rPr>
        <w:fldChar w:fldCharType="end"/>
      </w:r>
      <w:r w:rsidR="000449BC" w:rsidRPr="00442509">
        <w:rPr>
          <w:color w:val="000000" w:themeColor="text1"/>
        </w:rPr>
        <w:t>Fortuijn</w:t>
      </w:r>
      <w:proofErr w:type="spellEnd"/>
      <w:r w:rsidR="000449BC" w:rsidRPr="00442509">
        <w:rPr>
          <w:color w:val="000000" w:themeColor="text1"/>
        </w:rPr>
        <w:t xml:space="preserve">, 2003). Zij hebben namelijk een </w:t>
      </w:r>
      <w:r w:rsidR="007B236D" w:rsidRPr="00442509">
        <w:rPr>
          <w:color w:val="000000" w:themeColor="text1"/>
        </w:rPr>
        <w:t xml:space="preserve">belangrijk </w:t>
      </w:r>
      <w:r w:rsidR="000449BC" w:rsidRPr="00442509">
        <w:rPr>
          <w:color w:val="000000" w:themeColor="text1"/>
        </w:rPr>
        <w:t>stem in de besluitvor</w:t>
      </w:r>
      <w:r w:rsidR="007B236D" w:rsidRPr="00442509">
        <w:rPr>
          <w:color w:val="000000" w:themeColor="text1"/>
        </w:rPr>
        <w:t>ming rondom inkoop.</w:t>
      </w:r>
      <w:r>
        <w:rPr>
          <w:color w:val="000000" w:themeColor="text1"/>
        </w:rPr>
        <w:t xml:space="preserve"> L</w:t>
      </w:r>
      <w:r w:rsidR="000449BC" w:rsidRPr="00442509">
        <w:rPr>
          <w:color w:val="000000" w:themeColor="text1"/>
        </w:rPr>
        <w:t>eerkrachten</w:t>
      </w:r>
      <w:r>
        <w:rPr>
          <w:color w:val="000000" w:themeColor="text1"/>
        </w:rPr>
        <w:t xml:space="preserve"> vervullen</w:t>
      </w:r>
      <w:r w:rsidR="000449BC" w:rsidRPr="00442509">
        <w:rPr>
          <w:color w:val="000000" w:themeColor="text1"/>
        </w:rPr>
        <w:t xml:space="preserve"> een belangrijke rol in de inventarisatie van de koopvraag. Als eindgebruiker heeft deze groep actoren een belangrijke stem in formuleren </w:t>
      </w:r>
      <w:r w:rsidR="00593654" w:rsidRPr="00442509">
        <w:rPr>
          <w:color w:val="000000" w:themeColor="text1"/>
        </w:rPr>
        <w:t>behoeftevraag</w:t>
      </w:r>
      <w:r w:rsidR="000449BC" w:rsidRPr="00442509">
        <w:rPr>
          <w:color w:val="000000" w:themeColor="text1"/>
        </w:rPr>
        <w:t xml:space="preserve">. Binnen de inkoopfunctie zijn leerkrachten, directie en </w:t>
      </w:r>
      <w:r w:rsidR="00145428" w:rsidRPr="00442509">
        <w:rPr>
          <w:color w:val="000000" w:themeColor="text1"/>
        </w:rPr>
        <w:t xml:space="preserve">het </w:t>
      </w:r>
      <w:r w:rsidR="000449BC" w:rsidRPr="00442509">
        <w:rPr>
          <w:color w:val="000000" w:themeColor="text1"/>
        </w:rPr>
        <w:t xml:space="preserve">ondersteund personeel </w:t>
      </w:r>
      <w:r w:rsidR="004F2B36" w:rsidRPr="00442509">
        <w:rPr>
          <w:color w:val="000000" w:themeColor="text1"/>
        </w:rPr>
        <w:t xml:space="preserve">namelijk </w:t>
      </w:r>
      <w:r w:rsidR="000449BC" w:rsidRPr="00442509">
        <w:rPr>
          <w:color w:val="000000" w:themeColor="text1"/>
        </w:rPr>
        <w:t xml:space="preserve">gezamenlijk betrokken bij de inkoop en implementatie van digitale leermiddelen.  </w:t>
      </w:r>
    </w:p>
    <w:p w14:paraId="63F4F8FF" w14:textId="5CF319EA" w:rsidR="000449BC" w:rsidRPr="00442509" w:rsidRDefault="000449BC" w:rsidP="008E55CD">
      <w:pPr>
        <w:pStyle w:val="NoSpacing"/>
        <w:spacing w:line="276" w:lineRule="auto"/>
        <w:rPr>
          <w:color w:val="000000" w:themeColor="text1"/>
        </w:rPr>
      </w:pPr>
      <w:r w:rsidRPr="00442509">
        <w:rPr>
          <w:color w:val="000000" w:themeColor="text1"/>
        </w:rPr>
        <w:tab/>
      </w:r>
      <w:proofErr w:type="spellStart"/>
      <w:r w:rsidRPr="00442509">
        <w:rPr>
          <w:color w:val="000000" w:themeColor="text1"/>
        </w:rPr>
        <w:t>Wilensky</w:t>
      </w:r>
      <w:proofErr w:type="spellEnd"/>
      <w:r w:rsidRPr="00442509">
        <w:rPr>
          <w:color w:val="000000" w:themeColor="text1"/>
        </w:rPr>
        <w:t xml:space="preserve"> (1964) </w:t>
      </w:r>
      <w:r w:rsidR="00BE40A2" w:rsidRPr="00442509">
        <w:rPr>
          <w:color w:val="000000" w:themeColor="text1"/>
        </w:rPr>
        <w:t>kent</w:t>
      </w:r>
      <w:r w:rsidRPr="00442509">
        <w:rPr>
          <w:color w:val="000000" w:themeColor="text1"/>
        </w:rPr>
        <w:t xml:space="preserve"> twee kenmerken</w:t>
      </w:r>
      <w:r w:rsidR="00BE40A2" w:rsidRPr="00442509">
        <w:rPr>
          <w:color w:val="000000" w:themeColor="text1"/>
        </w:rPr>
        <w:t xml:space="preserve"> toe aan</w:t>
      </w:r>
      <w:r w:rsidRPr="00442509">
        <w:rPr>
          <w:color w:val="000000" w:themeColor="text1"/>
        </w:rPr>
        <w:t xml:space="preserve"> professionalisme, namelijk (1) </w:t>
      </w:r>
      <w:r w:rsidRPr="00442509">
        <w:rPr>
          <w:i/>
          <w:color w:val="000000" w:themeColor="text1"/>
        </w:rPr>
        <w:t xml:space="preserve">een technische basis verworven door langdurige opleiding </w:t>
      </w:r>
      <w:r w:rsidRPr="00442509">
        <w:rPr>
          <w:color w:val="000000" w:themeColor="text1"/>
        </w:rPr>
        <w:t xml:space="preserve">en (2) </w:t>
      </w:r>
      <w:r w:rsidRPr="00442509">
        <w:rPr>
          <w:i/>
          <w:color w:val="000000" w:themeColor="text1"/>
        </w:rPr>
        <w:t>een set van professionele normen waar de professional zich aan houdt</w:t>
      </w:r>
      <w:r w:rsidRPr="00442509">
        <w:rPr>
          <w:color w:val="000000" w:themeColor="text1"/>
        </w:rPr>
        <w:t xml:space="preserve">. Professionele waarden zijn gebaseerd op </w:t>
      </w:r>
      <w:r w:rsidRPr="00083CCE">
        <w:rPr>
          <w:color w:val="000000" w:themeColor="text1"/>
        </w:rPr>
        <w:t xml:space="preserve">competenties die door </w:t>
      </w:r>
      <w:r w:rsidR="00083CCE" w:rsidRPr="00083CCE">
        <w:rPr>
          <w:color w:val="000000" w:themeColor="text1"/>
        </w:rPr>
        <w:t>training</w:t>
      </w:r>
      <w:r w:rsidRPr="00083CCE">
        <w:rPr>
          <w:color w:val="000000" w:themeColor="text1"/>
        </w:rPr>
        <w:t xml:space="preserve"> en</w:t>
      </w:r>
      <w:r w:rsidRPr="00442509">
        <w:rPr>
          <w:color w:val="000000" w:themeColor="text1"/>
        </w:rPr>
        <w:t xml:space="preserve"> socialisatie tot stand zijn gekomen (</w:t>
      </w:r>
      <w:proofErr w:type="spellStart"/>
      <w:r w:rsidRPr="00442509">
        <w:rPr>
          <w:color w:val="000000" w:themeColor="text1"/>
        </w:rPr>
        <w:t>Wilenksy</w:t>
      </w:r>
      <w:proofErr w:type="spellEnd"/>
      <w:r w:rsidRPr="00442509">
        <w:rPr>
          <w:color w:val="000000" w:themeColor="text1"/>
        </w:rPr>
        <w:t xml:space="preserve">, 1964; </w:t>
      </w:r>
      <w:proofErr w:type="spellStart"/>
      <w:r w:rsidRPr="00442509">
        <w:rPr>
          <w:color w:val="000000" w:themeColor="text1"/>
        </w:rPr>
        <w:t>Evetts</w:t>
      </w:r>
      <w:proofErr w:type="spellEnd"/>
      <w:r w:rsidRPr="00442509">
        <w:rPr>
          <w:color w:val="000000" w:themeColor="text1"/>
        </w:rPr>
        <w:t>, 2011).</w:t>
      </w:r>
      <w:r w:rsidRPr="00442509">
        <w:rPr>
          <w:rFonts w:cs="Arial"/>
          <w:color w:val="000000" w:themeColor="text1"/>
        </w:rPr>
        <w:t xml:space="preserve"> Volgens </w:t>
      </w:r>
      <w:proofErr w:type="spellStart"/>
      <w:r w:rsidRPr="00442509">
        <w:rPr>
          <w:color w:val="000000" w:themeColor="text1"/>
        </w:rPr>
        <w:t>Brandsen</w:t>
      </w:r>
      <w:proofErr w:type="spellEnd"/>
      <w:r w:rsidRPr="00442509">
        <w:rPr>
          <w:color w:val="000000" w:themeColor="text1"/>
        </w:rPr>
        <w:t xml:space="preserve"> en </w:t>
      </w:r>
      <w:proofErr w:type="spellStart"/>
      <w:r w:rsidRPr="00442509">
        <w:rPr>
          <w:color w:val="000000" w:themeColor="text1"/>
        </w:rPr>
        <w:t>Honingh</w:t>
      </w:r>
      <w:proofErr w:type="spellEnd"/>
      <w:r w:rsidRPr="00442509">
        <w:rPr>
          <w:color w:val="000000" w:themeColor="text1"/>
        </w:rPr>
        <w:t xml:space="preserve"> (2013) bezit een professional specifieke kennis en expertise, gebaseerd op het systematisch toepassen van theoretische principes. </w:t>
      </w:r>
      <w:r w:rsidR="007B236D" w:rsidRPr="00442509">
        <w:rPr>
          <w:color w:val="000000" w:themeColor="text1"/>
        </w:rPr>
        <w:t xml:space="preserve">Volgens </w:t>
      </w:r>
      <w:proofErr w:type="spellStart"/>
      <w:r w:rsidR="007B236D" w:rsidRPr="00442509">
        <w:rPr>
          <w:color w:val="000000" w:themeColor="text1"/>
        </w:rPr>
        <w:t>Noordegraaf</w:t>
      </w:r>
      <w:proofErr w:type="spellEnd"/>
      <w:r w:rsidR="007B236D" w:rsidRPr="00442509">
        <w:rPr>
          <w:color w:val="000000" w:themeColor="text1"/>
        </w:rPr>
        <w:t xml:space="preserve"> (2007) </w:t>
      </w:r>
      <w:r w:rsidR="004840B9">
        <w:rPr>
          <w:color w:val="000000" w:themeColor="text1"/>
        </w:rPr>
        <w:t>richt professionalisering zich tot twee zaken</w:t>
      </w:r>
      <w:r w:rsidR="007B236D" w:rsidRPr="00442509">
        <w:rPr>
          <w:color w:val="000000" w:themeColor="text1"/>
        </w:rPr>
        <w:t xml:space="preserve">. Enerzijds </w:t>
      </w:r>
      <w:r w:rsidR="004840B9">
        <w:rPr>
          <w:color w:val="000000" w:themeColor="text1"/>
        </w:rPr>
        <w:t xml:space="preserve">streven mensen naar </w:t>
      </w:r>
      <w:r w:rsidR="007B236D" w:rsidRPr="00442509">
        <w:rPr>
          <w:color w:val="000000" w:themeColor="text1"/>
        </w:rPr>
        <w:t xml:space="preserve">professionele controle om op die manier de inhoud en </w:t>
      </w:r>
      <w:r w:rsidR="004840B9">
        <w:rPr>
          <w:color w:val="000000" w:themeColor="text1"/>
        </w:rPr>
        <w:t xml:space="preserve">de </w:t>
      </w:r>
      <w:r w:rsidR="007B236D" w:rsidRPr="00442509">
        <w:rPr>
          <w:color w:val="000000" w:themeColor="text1"/>
        </w:rPr>
        <w:t xml:space="preserve">manier van werken zelf te kunnen bepalen. Anderzijds </w:t>
      </w:r>
      <w:r w:rsidR="009B20DC">
        <w:rPr>
          <w:color w:val="000000" w:themeColor="text1"/>
        </w:rPr>
        <w:t>creëren</w:t>
      </w:r>
      <w:r w:rsidR="004840B9">
        <w:rPr>
          <w:color w:val="000000" w:themeColor="text1"/>
        </w:rPr>
        <w:t xml:space="preserve"> zij ruimte voor zichzelf zonder invloeden en beoordelingen van buitenaf. Hiermee versterken de professionals de controle en gezag over de eigen activiteiten. </w:t>
      </w:r>
      <w:r w:rsidRPr="00442509">
        <w:rPr>
          <w:color w:val="000000" w:themeColor="text1"/>
        </w:rPr>
        <w:t>Tot slot bezitten de professionals zowel op individueel als op gemeenschappelijk niveau een bepaalde mate van discretionaire autonomie.</w:t>
      </w:r>
      <w:r w:rsidR="00145428" w:rsidRPr="00442509">
        <w:rPr>
          <w:color w:val="000000" w:themeColor="text1"/>
        </w:rPr>
        <w:t xml:space="preserve"> </w:t>
      </w:r>
      <w:r w:rsidR="003E1D39" w:rsidRPr="00442509">
        <w:rPr>
          <w:rFonts w:cs="Arial"/>
          <w:color w:val="000000" w:themeColor="text1"/>
          <w:szCs w:val="22"/>
        </w:rPr>
        <w:t xml:space="preserve">Organisaties met een hoge mate van professionalisering zijn in staat om </w:t>
      </w:r>
      <w:r w:rsidRPr="00442509">
        <w:rPr>
          <w:rFonts w:cs="Arial"/>
          <w:color w:val="000000" w:themeColor="text1"/>
          <w:szCs w:val="22"/>
        </w:rPr>
        <w:t>de meest passend inkoop mechanismen toepassen</w:t>
      </w:r>
      <w:r w:rsidR="003E1D39" w:rsidRPr="00442509">
        <w:rPr>
          <w:rFonts w:cs="Arial"/>
          <w:color w:val="000000" w:themeColor="text1"/>
          <w:szCs w:val="22"/>
        </w:rPr>
        <w:t xml:space="preserve"> (</w:t>
      </w:r>
      <w:hyperlink r:id="rId19" w:history="1"/>
      <w:r w:rsidR="006858A7" w:rsidRPr="00442509">
        <w:rPr>
          <w:color w:val="000000" w:themeColor="text1"/>
        </w:rPr>
        <w:t>V</w:t>
      </w:r>
      <w:r w:rsidR="003E1D39" w:rsidRPr="00442509">
        <w:rPr>
          <w:color w:val="000000" w:themeColor="text1"/>
        </w:rPr>
        <w:t xml:space="preserve">an Veen et </w:t>
      </w:r>
      <w:r w:rsidR="000B47A7">
        <w:rPr>
          <w:color w:val="000000" w:themeColor="text1"/>
        </w:rPr>
        <w:t>al.</w:t>
      </w:r>
      <w:r w:rsidR="003E1D39" w:rsidRPr="00442509">
        <w:rPr>
          <w:color w:val="000000" w:themeColor="text1"/>
        </w:rPr>
        <w:t xml:space="preserve"> 2010).</w:t>
      </w:r>
      <w:r w:rsidR="003E1D39" w:rsidRPr="00442509">
        <w:rPr>
          <w:rFonts w:cs="Arial"/>
          <w:color w:val="000000" w:themeColor="text1"/>
          <w:szCs w:val="22"/>
        </w:rPr>
        <w:t xml:space="preserve"> </w:t>
      </w:r>
      <w:r w:rsidRPr="00442509">
        <w:rPr>
          <w:rFonts w:cs="Arial"/>
          <w:color w:val="000000" w:themeColor="text1"/>
          <w:szCs w:val="22"/>
        </w:rPr>
        <w:t xml:space="preserve">Hiermee stijgt de flexibiliteit van de organisaties op het gebied van inkoop (Laing &amp; Lian, 2003). </w:t>
      </w:r>
    </w:p>
    <w:p w14:paraId="476A5E40" w14:textId="5F40EE86" w:rsidR="000449BC" w:rsidRPr="00442509" w:rsidRDefault="00083CCE" w:rsidP="00B773D3">
      <w:pPr>
        <w:pStyle w:val="NoSpacing"/>
        <w:spacing w:line="276" w:lineRule="auto"/>
        <w:rPr>
          <w:rFonts w:cstheme="minorHAnsi"/>
          <w:color w:val="000000" w:themeColor="text1"/>
          <w:szCs w:val="22"/>
        </w:rPr>
      </w:pPr>
      <w:r>
        <w:rPr>
          <w:szCs w:val="22"/>
        </w:rPr>
        <w:tab/>
      </w:r>
      <w:r w:rsidR="004F2B36" w:rsidRPr="00442509">
        <w:rPr>
          <w:szCs w:val="22"/>
        </w:rPr>
        <w:t xml:space="preserve">Volgens </w:t>
      </w:r>
      <w:proofErr w:type="spellStart"/>
      <w:r w:rsidR="004F2B36" w:rsidRPr="00442509">
        <w:rPr>
          <w:szCs w:val="22"/>
        </w:rPr>
        <w:t>Rozemeijer</w:t>
      </w:r>
      <w:proofErr w:type="spellEnd"/>
      <w:r w:rsidR="004F2B36" w:rsidRPr="00442509">
        <w:rPr>
          <w:szCs w:val="22"/>
        </w:rPr>
        <w:t xml:space="preserve"> </w:t>
      </w:r>
      <w:r w:rsidR="000B47A7">
        <w:rPr>
          <w:szCs w:val="22"/>
        </w:rPr>
        <w:t>et</w:t>
      </w:r>
      <w:r w:rsidR="004F2B36" w:rsidRPr="00442509">
        <w:rPr>
          <w:szCs w:val="22"/>
        </w:rPr>
        <w:t xml:space="preserve"> </w:t>
      </w:r>
      <w:r w:rsidR="00B554BE">
        <w:rPr>
          <w:szCs w:val="22"/>
        </w:rPr>
        <w:t>al</w:t>
      </w:r>
      <w:r w:rsidR="004F2B36" w:rsidRPr="00442509">
        <w:rPr>
          <w:szCs w:val="22"/>
        </w:rPr>
        <w:t xml:space="preserve">. (2003) </w:t>
      </w:r>
      <w:r w:rsidR="008873FA">
        <w:rPr>
          <w:szCs w:val="22"/>
        </w:rPr>
        <w:t>bestaat er een causaal verband</w:t>
      </w:r>
      <w:r w:rsidR="004F2B36" w:rsidRPr="00442509">
        <w:rPr>
          <w:szCs w:val="22"/>
        </w:rPr>
        <w:t xml:space="preserve"> tussen de mate van </w:t>
      </w:r>
      <w:r>
        <w:rPr>
          <w:szCs w:val="22"/>
        </w:rPr>
        <w:t>professionaliteit</w:t>
      </w:r>
      <w:r w:rsidR="004F2B36" w:rsidRPr="00442509">
        <w:rPr>
          <w:szCs w:val="22"/>
        </w:rPr>
        <w:t xml:space="preserve"> en volwassenheid van organisaties. </w:t>
      </w:r>
      <w:r w:rsidR="000449BC" w:rsidRPr="00442509">
        <w:rPr>
          <w:rFonts w:ascii="Calibri" w:eastAsia="Calibri" w:hAnsi="Calibri" w:cs="Calibri"/>
          <w:color w:val="000000"/>
          <w:szCs w:val="22"/>
        </w:rPr>
        <w:t>Volwassenheid</w:t>
      </w:r>
      <w:r w:rsidR="003E1D39" w:rsidRPr="00442509">
        <w:rPr>
          <w:rFonts w:ascii="Calibri" w:eastAsia="Calibri" w:hAnsi="Calibri" w:cs="Calibri"/>
          <w:color w:val="000000"/>
          <w:szCs w:val="22"/>
        </w:rPr>
        <w:t xml:space="preserve"> van de inkoopfunctie</w:t>
      </w:r>
      <w:r w:rsidR="000449BC" w:rsidRPr="00442509">
        <w:rPr>
          <w:rFonts w:ascii="Calibri" w:eastAsia="Calibri" w:hAnsi="Calibri" w:cs="Calibri"/>
          <w:color w:val="000000"/>
          <w:szCs w:val="22"/>
        </w:rPr>
        <w:t xml:space="preserve"> is volgens </w:t>
      </w:r>
      <w:proofErr w:type="spellStart"/>
      <w:r w:rsidR="000449BC" w:rsidRPr="00442509">
        <w:rPr>
          <w:rFonts w:ascii="Calibri" w:eastAsia="Calibri" w:hAnsi="Calibri" w:cs="Calibri"/>
          <w:color w:val="000000"/>
          <w:szCs w:val="22"/>
        </w:rPr>
        <w:t>Rozemeijer</w:t>
      </w:r>
      <w:proofErr w:type="spellEnd"/>
      <w:r w:rsidR="000449BC" w:rsidRPr="00442509">
        <w:rPr>
          <w:rFonts w:ascii="Calibri" w:eastAsia="Calibri" w:hAnsi="Calibri" w:cs="Calibri"/>
          <w:color w:val="000000"/>
          <w:szCs w:val="22"/>
        </w:rPr>
        <w:t xml:space="preserve"> et al. (2003) gerelateerd aan de rol en status van de inkoopfunctie, aan de status van de organisatie, de beschikbaarheid van </w:t>
      </w:r>
      <w:r w:rsidR="000449BC" w:rsidRPr="00442509">
        <w:rPr>
          <w:rFonts w:ascii="Calibri" w:eastAsia="Calibri" w:hAnsi="Calibri" w:cs="Calibri"/>
          <w:color w:val="000000"/>
          <w:szCs w:val="22"/>
        </w:rPr>
        <w:lastRenderedPageBreak/>
        <w:t>informatiesystemen over inkoop, de kwaliteit van de mensen die betrokken zijn bij de inkoop en de mate van samenwerking met de leveranciers. In een volwassen inkooporganisatie werken goed opgeleide inkopers die benodigde tijd en middelen krijgen vanuit de directie. De inkooporganisatie doorloopt verschillende ontwikkelfasen en werkt nauw samen met de leverancier (</w:t>
      </w:r>
      <w:proofErr w:type="spellStart"/>
      <w:r w:rsidR="000449BC" w:rsidRPr="00442509">
        <w:rPr>
          <w:rFonts w:ascii="Calibri" w:eastAsia="Calibri" w:hAnsi="Calibri" w:cs="Calibri"/>
          <w:color w:val="000000"/>
          <w:szCs w:val="22"/>
        </w:rPr>
        <w:t>Rozemeijer</w:t>
      </w:r>
      <w:proofErr w:type="spellEnd"/>
      <w:r w:rsidR="000449BC" w:rsidRPr="00442509">
        <w:rPr>
          <w:rFonts w:ascii="Calibri" w:eastAsia="Calibri" w:hAnsi="Calibri" w:cs="Calibri"/>
          <w:color w:val="000000"/>
          <w:szCs w:val="22"/>
        </w:rPr>
        <w:t xml:space="preserve"> </w:t>
      </w:r>
      <w:r w:rsidR="000B47A7">
        <w:rPr>
          <w:rFonts w:ascii="Calibri" w:eastAsia="Calibri" w:hAnsi="Calibri" w:cs="Calibri"/>
          <w:color w:val="000000"/>
          <w:szCs w:val="22"/>
        </w:rPr>
        <w:t>et</w:t>
      </w:r>
      <w:r w:rsidR="000449BC" w:rsidRPr="00442509">
        <w:rPr>
          <w:rFonts w:ascii="Calibri" w:eastAsia="Calibri" w:hAnsi="Calibri" w:cs="Calibri"/>
          <w:color w:val="000000"/>
          <w:szCs w:val="22"/>
        </w:rPr>
        <w:t xml:space="preserve"> al. 2003, </w:t>
      </w:r>
      <w:proofErr w:type="spellStart"/>
      <w:r w:rsidR="000449BC" w:rsidRPr="00442509">
        <w:rPr>
          <w:rFonts w:ascii="Calibri" w:eastAsia="Calibri" w:hAnsi="Calibri" w:cs="Calibri"/>
          <w:color w:val="000000"/>
          <w:szCs w:val="22"/>
        </w:rPr>
        <w:t>Rozemeijer</w:t>
      </w:r>
      <w:proofErr w:type="spellEnd"/>
      <w:r w:rsidR="000449BC" w:rsidRPr="00442509">
        <w:rPr>
          <w:rFonts w:ascii="Calibri" w:eastAsia="Calibri" w:hAnsi="Calibri" w:cs="Calibri"/>
          <w:color w:val="000000"/>
          <w:szCs w:val="22"/>
        </w:rPr>
        <w:t xml:space="preserve">, 2008). </w:t>
      </w:r>
      <w:r w:rsidR="000449BC" w:rsidRPr="00442509">
        <w:rPr>
          <w:rFonts w:cstheme="minorHAnsi"/>
          <w:color w:val="000000" w:themeColor="text1"/>
          <w:szCs w:val="22"/>
        </w:rPr>
        <w:t xml:space="preserve">Volgens </w:t>
      </w:r>
      <w:proofErr w:type="spellStart"/>
      <w:r w:rsidR="000449BC" w:rsidRPr="00442509">
        <w:rPr>
          <w:rFonts w:cstheme="minorHAnsi"/>
          <w:color w:val="000000" w:themeColor="text1"/>
          <w:szCs w:val="22"/>
        </w:rPr>
        <w:t>Schiele</w:t>
      </w:r>
      <w:proofErr w:type="spellEnd"/>
      <w:r w:rsidR="000449BC" w:rsidRPr="00442509">
        <w:rPr>
          <w:rFonts w:cstheme="minorHAnsi"/>
          <w:color w:val="000000" w:themeColor="text1"/>
          <w:szCs w:val="22"/>
        </w:rPr>
        <w:t xml:space="preserve"> (</w:t>
      </w:r>
      <w:hyperlink r:id="rId20" w:history="1"/>
      <w:r w:rsidR="000449BC" w:rsidRPr="00442509">
        <w:rPr>
          <w:rFonts w:cstheme="minorHAnsi"/>
          <w:color w:val="000000" w:themeColor="text1"/>
          <w:szCs w:val="22"/>
        </w:rPr>
        <w:t xml:space="preserve">2007, aangehaald in </w:t>
      </w:r>
      <w:r w:rsidR="00AE1D71">
        <w:rPr>
          <w:rFonts w:cstheme="minorHAnsi"/>
          <w:color w:val="000000" w:themeColor="text1"/>
          <w:szCs w:val="22"/>
        </w:rPr>
        <w:t xml:space="preserve">Bemelmans </w:t>
      </w:r>
      <w:r w:rsidR="000B47A7">
        <w:rPr>
          <w:rFonts w:cstheme="minorHAnsi"/>
          <w:color w:val="000000" w:themeColor="text1"/>
          <w:szCs w:val="22"/>
        </w:rPr>
        <w:t>et</w:t>
      </w:r>
      <w:r w:rsidR="00AE1D71">
        <w:rPr>
          <w:rFonts w:cstheme="minorHAnsi"/>
          <w:color w:val="000000" w:themeColor="text1"/>
          <w:szCs w:val="22"/>
        </w:rPr>
        <w:t xml:space="preserve"> al. 2013</w:t>
      </w:r>
      <w:r w:rsidR="000449BC" w:rsidRPr="00442509">
        <w:rPr>
          <w:rFonts w:cstheme="minorHAnsi"/>
          <w:color w:val="000000" w:themeColor="text1"/>
          <w:szCs w:val="22"/>
        </w:rPr>
        <w:t xml:space="preserve">) duidt een hoge mate van inkoopvolwassenheid op betere organisatorische prestatie. </w:t>
      </w:r>
      <w:r w:rsidR="009D7558" w:rsidRPr="00442509">
        <w:rPr>
          <w:rFonts w:cstheme="minorHAnsi"/>
          <w:color w:val="000000" w:themeColor="text1"/>
          <w:szCs w:val="22"/>
        </w:rPr>
        <w:t>Met de kanttekening dat dit tevens</w:t>
      </w:r>
      <w:r w:rsidR="000449BC" w:rsidRPr="00442509">
        <w:rPr>
          <w:rFonts w:cstheme="minorHAnsi"/>
          <w:color w:val="000000" w:themeColor="text1"/>
          <w:szCs w:val="22"/>
        </w:rPr>
        <w:t xml:space="preserve"> afhankelijk </w:t>
      </w:r>
      <w:r w:rsidR="009D7558" w:rsidRPr="00442509">
        <w:rPr>
          <w:rFonts w:cstheme="minorHAnsi"/>
          <w:color w:val="000000" w:themeColor="text1"/>
          <w:szCs w:val="22"/>
        </w:rPr>
        <w:t xml:space="preserve">is </w:t>
      </w:r>
      <w:r w:rsidR="000449BC" w:rsidRPr="00442509">
        <w:rPr>
          <w:rFonts w:cstheme="minorHAnsi"/>
          <w:color w:val="000000" w:themeColor="text1"/>
          <w:szCs w:val="22"/>
        </w:rPr>
        <w:t xml:space="preserve">van de organisatiestructuur en -doelen (Van Weele, 2005; </w:t>
      </w:r>
      <w:proofErr w:type="spellStart"/>
      <w:r w:rsidR="000449BC" w:rsidRPr="00442509">
        <w:rPr>
          <w:rFonts w:cstheme="minorHAnsi"/>
          <w:color w:val="000000" w:themeColor="text1"/>
          <w:szCs w:val="22"/>
        </w:rPr>
        <w:t>Keough</w:t>
      </w:r>
      <w:proofErr w:type="spellEnd"/>
      <w:r w:rsidR="000449BC" w:rsidRPr="00442509">
        <w:rPr>
          <w:rFonts w:cstheme="minorHAnsi"/>
          <w:color w:val="000000" w:themeColor="text1"/>
          <w:szCs w:val="22"/>
        </w:rPr>
        <w:t xml:space="preserve">, 1993). Het volwassenheidsniveau reflecteert de mate waarin de inkoopfunctie geïntegreerd is binnen </w:t>
      </w:r>
      <w:r w:rsidR="00FC7531" w:rsidRPr="00442509">
        <w:rPr>
          <w:rFonts w:cstheme="minorHAnsi"/>
          <w:color w:val="000000" w:themeColor="text1"/>
          <w:szCs w:val="22"/>
        </w:rPr>
        <w:t>het</w:t>
      </w:r>
      <w:r w:rsidR="000449BC" w:rsidRPr="00442509">
        <w:rPr>
          <w:rFonts w:cstheme="minorHAnsi"/>
          <w:color w:val="000000" w:themeColor="text1"/>
          <w:szCs w:val="22"/>
        </w:rPr>
        <w:t xml:space="preserve"> strategische</w:t>
      </w:r>
      <w:r w:rsidR="000449BC" w:rsidRPr="00442509">
        <w:rPr>
          <w:rFonts w:cstheme="minorHAnsi"/>
          <w:b/>
          <w:color w:val="000000" w:themeColor="text1"/>
          <w:szCs w:val="22"/>
        </w:rPr>
        <w:t xml:space="preserve"> </w:t>
      </w:r>
      <w:r w:rsidR="000449BC" w:rsidRPr="00442509">
        <w:rPr>
          <w:rFonts w:cstheme="minorHAnsi"/>
          <w:color w:val="000000" w:themeColor="text1"/>
          <w:szCs w:val="22"/>
        </w:rPr>
        <w:t>besluitvormingsproces (</w:t>
      </w:r>
      <w:r w:rsidR="00AE1D71">
        <w:rPr>
          <w:rFonts w:cstheme="minorHAnsi"/>
          <w:color w:val="000000" w:themeColor="text1"/>
          <w:szCs w:val="22"/>
        </w:rPr>
        <w:t xml:space="preserve">Bemelmans </w:t>
      </w:r>
      <w:r w:rsidR="000B47A7">
        <w:rPr>
          <w:rFonts w:cstheme="minorHAnsi"/>
          <w:color w:val="000000" w:themeColor="text1"/>
          <w:szCs w:val="22"/>
        </w:rPr>
        <w:t>et</w:t>
      </w:r>
      <w:r w:rsidR="00AE1D71">
        <w:rPr>
          <w:rFonts w:cstheme="minorHAnsi"/>
          <w:color w:val="000000" w:themeColor="text1"/>
          <w:szCs w:val="22"/>
        </w:rPr>
        <w:t xml:space="preserve"> al. 2013</w:t>
      </w:r>
      <w:r w:rsidR="000449BC" w:rsidRPr="00442509">
        <w:rPr>
          <w:rFonts w:cstheme="minorHAnsi"/>
          <w:color w:val="000000" w:themeColor="text1"/>
          <w:szCs w:val="22"/>
        </w:rPr>
        <w:t>). Een laag niveau van volwassenheid duidt op inkoopfunctie wat zich enkel op het operationeel niveau bevindt. Producten en diensten worden ingekocht zonder dat dit te herleiden is tot meerjarenplannen of strategische propositie van de organisatie.</w:t>
      </w:r>
      <w:r w:rsidR="009D7558" w:rsidRPr="00442509">
        <w:rPr>
          <w:rFonts w:cstheme="minorHAnsi"/>
          <w:color w:val="000000" w:themeColor="text1"/>
          <w:szCs w:val="22"/>
        </w:rPr>
        <w:t xml:space="preserve"> Het inkoopmodel van </w:t>
      </w:r>
      <w:proofErr w:type="spellStart"/>
      <w:r w:rsidR="009D7558" w:rsidRPr="00442509">
        <w:rPr>
          <w:rFonts w:cstheme="minorHAnsi"/>
          <w:color w:val="000000" w:themeColor="text1"/>
          <w:szCs w:val="22"/>
        </w:rPr>
        <w:t>Van</w:t>
      </w:r>
      <w:proofErr w:type="spellEnd"/>
      <w:r w:rsidR="009D7558" w:rsidRPr="00442509">
        <w:rPr>
          <w:rFonts w:cstheme="minorHAnsi"/>
          <w:color w:val="000000" w:themeColor="text1"/>
          <w:szCs w:val="22"/>
        </w:rPr>
        <w:t xml:space="preserve"> Weele (1992) biedt op operationeel niveau een oplossing. Organisaties die het inkoopmodel volgen, kennen een volwassen inkooporganisatie waarin risico’s gedekt zijn (Van Weele, 1992; 1992). Het inkoopmodel draagt in theorie bij aan efficiënt inkoop. </w:t>
      </w:r>
      <w:r w:rsidR="003A798B" w:rsidRPr="00442509">
        <w:t>In de volgende paragraaf wordt er ingezoomd op de vijf fasen van het generieke inkoopproces.</w:t>
      </w:r>
      <w:r w:rsidR="002762C3" w:rsidRPr="00442509">
        <w:t xml:space="preserve"> Het inkoopmodel is in dit onderzoek relevant omdat het duidelijke handvaten verschaft voor opdrachtgevers om hun inkoopfunctie zo efficiënt mogelijk in te richten en risico’s vroeg in kaart te brengen. Dit is een faciliterende factor in het onderzoek. </w:t>
      </w:r>
    </w:p>
    <w:p w14:paraId="69530512" w14:textId="77777777" w:rsidR="0086171C" w:rsidRDefault="0086171C">
      <w:pPr>
        <w:kinsoku/>
        <w:autoSpaceDE/>
        <w:autoSpaceDN/>
        <w:adjustRightInd/>
        <w:spacing w:after="160" w:line="259" w:lineRule="auto"/>
        <w:rPr>
          <w:b/>
          <w:sz w:val="28"/>
        </w:rPr>
      </w:pPr>
      <w:bookmarkStart w:id="57" w:name="_Hlk484109496"/>
    </w:p>
    <w:p w14:paraId="0B99D264" w14:textId="6314AF94" w:rsidR="00717BF5" w:rsidRPr="00D74730" w:rsidRDefault="00717BF5" w:rsidP="00534B7C">
      <w:pPr>
        <w:pStyle w:val="Heading2"/>
      </w:pPr>
      <w:bookmarkStart w:id="58" w:name="_Toc517455455"/>
      <w:r w:rsidRPr="003B56D6">
        <w:rPr>
          <w:color w:val="1F3864" w:themeColor="accent1" w:themeShade="80"/>
        </w:rPr>
        <w:t>Het inkoop</w:t>
      </w:r>
      <w:bookmarkEnd w:id="57"/>
      <w:r w:rsidR="005F76E5" w:rsidRPr="003B56D6">
        <w:rPr>
          <w:color w:val="1F3864" w:themeColor="accent1" w:themeShade="80"/>
        </w:rPr>
        <w:t>model</w:t>
      </w:r>
      <w:bookmarkEnd w:id="58"/>
      <w:r w:rsidRPr="003B56D6">
        <w:rPr>
          <w:color w:val="1F3864" w:themeColor="accent1" w:themeShade="80"/>
          <w:sz w:val="16"/>
        </w:rPr>
        <w:tab/>
      </w:r>
      <w:r w:rsidRPr="003B56D6">
        <w:rPr>
          <w:color w:val="1F3864" w:themeColor="accent1" w:themeShade="80"/>
        </w:rPr>
        <w:tab/>
      </w:r>
      <w:r w:rsidRPr="00D74730">
        <w:tab/>
      </w:r>
      <w:r w:rsidRPr="00D74730">
        <w:tab/>
      </w:r>
      <w:r w:rsidRPr="00D74730">
        <w:tab/>
      </w:r>
      <w:r w:rsidRPr="00D74730">
        <w:tab/>
      </w:r>
      <w:r w:rsidRPr="00D74730">
        <w:tab/>
      </w:r>
    </w:p>
    <w:p w14:paraId="27290A24" w14:textId="277D7893" w:rsidR="00717BF5" w:rsidRPr="00442509" w:rsidRDefault="00717BF5" w:rsidP="00717BF5">
      <w:pPr>
        <w:pStyle w:val="NoSpacing"/>
        <w:spacing w:line="276" w:lineRule="auto"/>
      </w:pPr>
      <w:r w:rsidRPr="00442509">
        <w:t xml:space="preserve">Van Weele (1992) heeft met zijn inkoopmodel de basis gelegd voor efficiënt en </w:t>
      </w:r>
      <w:r w:rsidR="006858A7" w:rsidRPr="00442509">
        <w:t>gestructureerde</w:t>
      </w:r>
      <w:r w:rsidRPr="00442509">
        <w:t xml:space="preserve"> inkoop in moderne organisaties. In chronologische volgorde van de organisatiekant naar de levering door de leverancier betreft het zes </w:t>
      </w:r>
      <w:r w:rsidR="006858A7" w:rsidRPr="00442509">
        <w:t>afzonderlijke basis</w:t>
      </w:r>
      <w:r w:rsidRPr="00442509">
        <w:t>processen. Het biedt organisaties een handvat om het gehele inkoopproces goed te coördineren</w:t>
      </w:r>
      <w:r w:rsidR="00015DAD" w:rsidRPr="00442509">
        <w:t xml:space="preserve"> en als organisatie te professionaliseren</w:t>
      </w:r>
      <w:r w:rsidRPr="00442509">
        <w:t xml:space="preserve">. Het inkoopmodel van </w:t>
      </w:r>
      <w:proofErr w:type="spellStart"/>
      <w:r w:rsidRPr="00442509">
        <w:t>Van</w:t>
      </w:r>
      <w:proofErr w:type="spellEnd"/>
      <w:r w:rsidRPr="00442509">
        <w:t xml:space="preserve"> Weele (199</w:t>
      </w:r>
      <w:r w:rsidR="00B554BE">
        <w:t>2</w:t>
      </w:r>
      <w:r w:rsidRPr="00442509">
        <w:t xml:space="preserve">) wordt schematisch weergegeven in </w:t>
      </w:r>
      <w:r w:rsidRPr="0052756E">
        <w:t xml:space="preserve">figuur </w:t>
      </w:r>
      <w:r w:rsidR="000462D6" w:rsidRPr="0052756E">
        <w:t>3</w:t>
      </w:r>
      <w:r w:rsidRPr="0052756E">
        <w:t>.</w:t>
      </w:r>
      <w:r w:rsidRPr="00442509">
        <w:t xml:space="preserve"> </w:t>
      </w:r>
    </w:p>
    <w:p w14:paraId="6C76C950" w14:textId="77777777" w:rsidR="00717BF5" w:rsidRDefault="00717BF5" w:rsidP="00717BF5">
      <w:pPr>
        <w:spacing w:after="0" w:line="276" w:lineRule="auto"/>
        <w:rPr>
          <w:rFonts w:asciiTheme="minorHAnsi" w:eastAsiaTheme="minorHAnsi" w:hAnsiTheme="minorHAnsi" w:cs="Arial"/>
          <w:sz w:val="22"/>
          <w:szCs w:val="22"/>
        </w:rPr>
      </w:pPr>
    </w:p>
    <w:p w14:paraId="2415F1C8" w14:textId="77777777" w:rsidR="00717BF5" w:rsidRDefault="00717BF5" w:rsidP="00717BF5">
      <w:pPr>
        <w:spacing w:after="0" w:line="276" w:lineRule="auto"/>
        <w:ind w:firstLine="708"/>
        <w:rPr>
          <w:rFonts w:asciiTheme="minorHAnsi" w:eastAsiaTheme="minorHAnsi" w:hAnsiTheme="minorHAnsi" w:cs="Arial"/>
          <w:sz w:val="22"/>
          <w:szCs w:val="22"/>
        </w:rPr>
      </w:pPr>
      <w:r>
        <w:rPr>
          <w:rFonts w:asciiTheme="minorHAnsi" w:eastAsiaTheme="minorHAnsi" w:hAnsiTheme="minorHAnsi" w:cs="Arial"/>
          <w:noProof/>
          <w:sz w:val="22"/>
          <w:szCs w:val="22"/>
          <w:lang w:eastAsia="nl-NL"/>
        </w:rPr>
        <mc:AlternateContent>
          <mc:Choice Requires="wps">
            <w:drawing>
              <wp:anchor distT="0" distB="0" distL="114300" distR="114300" simplePos="0" relativeHeight="251679744" behindDoc="0" locked="0" layoutInCell="1" allowOverlap="1" wp14:anchorId="2F3E3B18" wp14:editId="016DC949">
                <wp:simplePos x="0" y="0"/>
                <wp:positionH relativeFrom="column">
                  <wp:posOffset>1920875</wp:posOffset>
                </wp:positionH>
                <wp:positionV relativeFrom="paragraph">
                  <wp:posOffset>105248</wp:posOffset>
                </wp:positionV>
                <wp:extent cx="2392045" cy="295275"/>
                <wp:effectExtent l="0" t="0" r="19050" b="28575"/>
                <wp:wrapNone/>
                <wp:docPr id="24"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92045" cy="295275"/>
                        </a:xfrm>
                        <a:prstGeom prst="rect">
                          <a:avLst/>
                        </a:prstGeom>
                        <a:solidFill>
                          <a:srgbClr val="FFFFFF"/>
                        </a:solidFill>
                        <a:ln w="9525">
                          <a:solidFill>
                            <a:srgbClr val="000000"/>
                          </a:solidFill>
                          <a:miter lim="800000"/>
                          <a:headEnd/>
                          <a:tailEnd/>
                        </a:ln>
                      </wps:spPr>
                      <wps:txbx>
                        <w:txbxContent>
                          <w:p w14:paraId="307B526F" w14:textId="40CA2E92" w:rsidR="003040E4" w:rsidRDefault="003040E4" w:rsidP="00717BF5">
                            <w:pPr>
                              <w:jc w:val="center"/>
                            </w:pPr>
                            <w:r>
                              <w:t>Inkoopfunctie</w:t>
                            </w:r>
                          </w:p>
                        </w:txbxContent>
                      </wps:txbx>
                      <wps:bodyPr rot="0" vert="horz" wrap="square" lIns="91440" tIns="45720" rIns="91440" bIns="45720" anchor="t" anchorCtr="0" upright="1">
                        <a:noAutofit/>
                      </wps:bodyPr>
                    </wps:wsp>
                  </a:graphicData>
                </a:graphic>
                <wp14:sizeRelH relativeFrom="margin">
                  <wp14:pctWidth>40000</wp14:pctWidth>
                </wp14:sizeRelH>
                <wp14:sizeRelV relativeFrom="margin">
                  <wp14:pctHeight>0</wp14:pctHeight>
                </wp14:sizeRelV>
              </wp:anchor>
            </w:drawing>
          </mc:Choice>
          <mc:Fallback>
            <w:pict>
              <v:shapetype w14:anchorId="2F3E3B18" id="_x0000_t202" coordsize="21600,21600" o:spt="202" path="m,l,21600r21600,l21600,xe">
                <v:stroke joinstyle="miter"/>
                <v:path gradientshapeok="t" o:connecttype="rect"/>
              </v:shapetype>
              <v:shape id="Tekstvak 2" o:spid="_x0000_s1028" type="#_x0000_t202" style="position:absolute;left:0;text-align:left;margin-left:151.25pt;margin-top:8.3pt;width:188.35pt;height:23.25pt;z-index:251679744;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">
                <v:textbox>
                  <w:txbxContent>
                    <w:p w14:paraId="307B526F" w14:textId="40CA2E92" w:rsidR="003040E4" w:rsidRDefault="003040E4" w:rsidP="00717BF5">
                      <w:pPr>
                        <w:jc w:val="center"/>
                      </w:pPr>
                      <w:r>
                        <w:t>Inkoopfunctie</w:t>
                      </w:r>
                    </w:p>
                  </w:txbxContent>
                </v:textbox>
              </v:shape>
            </w:pict>
          </mc:Fallback>
        </mc:AlternateContent>
      </w:r>
    </w:p>
    <w:p w14:paraId="78E958E6" w14:textId="77777777" w:rsidR="00717BF5" w:rsidRDefault="00717BF5" w:rsidP="00717BF5">
      <w:pPr>
        <w:spacing w:after="0" w:line="276" w:lineRule="auto"/>
        <w:ind w:firstLine="708"/>
        <w:rPr>
          <w:rFonts w:asciiTheme="minorHAnsi" w:eastAsiaTheme="minorHAnsi" w:hAnsiTheme="minorHAnsi" w:cs="Arial"/>
          <w:sz w:val="22"/>
          <w:szCs w:val="22"/>
        </w:rPr>
      </w:pPr>
    </w:p>
    <w:p w14:paraId="2B046831" w14:textId="77777777" w:rsidR="00717BF5" w:rsidRDefault="00717BF5" w:rsidP="00717BF5">
      <w:pPr>
        <w:spacing w:after="0" w:line="276" w:lineRule="auto"/>
        <w:rPr>
          <w:rFonts w:asciiTheme="minorHAnsi" w:eastAsiaTheme="minorHAnsi" w:hAnsiTheme="minorHAnsi" w:cs="Arial"/>
          <w:sz w:val="22"/>
          <w:szCs w:val="22"/>
        </w:rPr>
      </w:pPr>
      <w:r>
        <w:rPr>
          <w:rFonts w:asciiTheme="minorHAnsi" w:eastAsiaTheme="minorHAnsi" w:hAnsiTheme="minorHAnsi" w:cs="Arial"/>
          <w:noProof/>
          <w:sz w:val="22"/>
          <w:szCs w:val="22"/>
          <w:lang w:eastAsia="nl-NL"/>
        </w:rPr>
        <mc:AlternateContent>
          <mc:Choice Requires="wps">
            <w:drawing>
              <wp:anchor distT="0" distB="0" distL="114300" distR="114300" simplePos="0" relativeHeight="251686912" behindDoc="0" locked="0" layoutInCell="1" allowOverlap="1" wp14:anchorId="6BCFA685" wp14:editId="18343495">
                <wp:simplePos x="0" y="0"/>
                <wp:positionH relativeFrom="column">
                  <wp:posOffset>3574415</wp:posOffset>
                </wp:positionH>
                <wp:positionV relativeFrom="paragraph">
                  <wp:posOffset>153914</wp:posOffset>
                </wp:positionV>
                <wp:extent cx="1838960" cy="240323"/>
                <wp:effectExtent l="0" t="0" r="27940" b="26670"/>
                <wp:wrapNone/>
                <wp:docPr id="23"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38960" cy="240323"/>
                        </a:xfrm>
                        <a:prstGeom prst="rect">
                          <a:avLst/>
                        </a:prstGeom>
                        <a:solidFill>
                          <a:srgbClr val="FFFFFF"/>
                        </a:solidFill>
                        <a:ln w="9525">
                          <a:solidFill>
                            <a:srgbClr val="000000"/>
                          </a:solidFill>
                          <a:miter lim="800000"/>
                          <a:headEnd/>
                          <a:tailEnd/>
                        </a:ln>
                      </wps:spPr>
                      <wps:txbx>
                        <w:txbxContent>
                          <w:p w14:paraId="061642B8" w14:textId="77777777" w:rsidR="003040E4" w:rsidRPr="005135A6" w:rsidRDefault="003040E4" w:rsidP="00717BF5">
                            <w:pPr>
                              <w:pStyle w:val="NoSpacing"/>
                              <w:jc w:val="center"/>
                              <w:rPr>
                                <w:sz w:val="20"/>
                              </w:rPr>
                            </w:pPr>
                            <w:r w:rsidRPr="005135A6">
                              <w:rPr>
                                <w:sz w:val="20"/>
                              </w:rPr>
                              <w:t>Bestel-/wervingsfunctie</w:t>
                            </w:r>
                          </w:p>
                          <w:p w14:paraId="1F0A50E2" w14:textId="77777777" w:rsidR="003040E4" w:rsidRDefault="003040E4" w:rsidP="00717BF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CFA685" id="Text Box 9" o:spid="_x0000_s1029" type="#_x0000_t202" style="position:absolute;margin-left:281.45pt;margin-top:12.1pt;width:144.8pt;height:18.9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">
                <v:textbox>
                  <w:txbxContent>
                    <w:p w14:paraId="061642B8" w14:textId="77777777" w:rsidR="003040E4" w:rsidRPr="005135A6" w:rsidRDefault="003040E4" w:rsidP="00717BF5">
                      <w:pPr>
                        <w:pStyle w:val="NoSpacing"/>
                        <w:jc w:val="center"/>
                        <w:rPr>
                          <w:sz w:val="20"/>
                        </w:rPr>
                      </w:pPr>
                      <w:r w:rsidRPr="005135A6">
                        <w:rPr>
                          <w:sz w:val="20"/>
                        </w:rPr>
                        <w:t>Bestel-/wervingsfunctie</w:t>
                      </w:r>
                    </w:p>
                    <w:p w14:paraId="1F0A50E2" w14:textId="77777777" w:rsidR="003040E4" w:rsidRDefault="003040E4" w:rsidP="00717BF5"/>
                  </w:txbxContent>
                </v:textbox>
              </v:shape>
            </w:pict>
          </mc:Fallback>
        </mc:AlternateContent>
      </w:r>
      <w:r>
        <w:rPr>
          <w:rFonts w:asciiTheme="minorHAnsi" w:eastAsiaTheme="minorHAnsi" w:hAnsiTheme="minorHAnsi" w:cs="Arial"/>
          <w:noProof/>
          <w:sz w:val="22"/>
          <w:szCs w:val="22"/>
          <w:lang w:eastAsia="nl-NL"/>
        </w:rPr>
        <mc:AlternateContent>
          <mc:Choice Requires="wps">
            <w:drawing>
              <wp:anchor distT="0" distB="0" distL="114300" distR="114300" simplePos="0" relativeHeight="251685888" behindDoc="0" locked="0" layoutInCell="1" allowOverlap="1" wp14:anchorId="25D1E550" wp14:editId="0056F5D9">
                <wp:simplePos x="0" y="0"/>
                <wp:positionH relativeFrom="column">
                  <wp:posOffset>1291088</wp:posOffset>
                </wp:positionH>
                <wp:positionV relativeFrom="paragraph">
                  <wp:posOffset>157126</wp:posOffset>
                </wp:positionV>
                <wp:extent cx="1362075" cy="247192"/>
                <wp:effectExtent l="0" t="0" r="28575" b="19685"/>
                <wp:wrapNone/>
                <wp:docPr id="2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62075" cy="247192"/>
                        </a:xfrm>
                        <a:prstGeom prst="rect">
                          <a:avLst/>
                        </a:prstGeom>
                        <a:solidFill>
                          <a:srgbClr val="FFFFFF"/>
                        </a:solidFill>
                        <a:ln w="9525">
                          <a:solidFill>
                            <a:srgbClr val="000000"/>
                          </a:solidFill>
                          <a:miter lim="800000"/>
                          <a:headEnd/>
                          <a:tailEnd/>
                        </a:ln>
                      </wps:spPr>
                      <wps:txbx>
                        <w:txbxContent>
                          <w:p w14:paraId="69CD9EE1" w14:textId="77777777" w:rsidR="003040E4" w:rsidRPr="005135A6" w:rsidRDefault="003040E4" w:rsidP="00717BF5">
                            <w:pPr>
                              <w:pStyle w:val="NoSpacing"/>
                              <w:jc w:val="center"/>
                              <w:rPr>
                                <w:sz w:val="20"/>
                              </w:rPr>
                            </w:pPr>
                            <w:r w:rsidRPr="005135A6">
                              <w:rPr>
                                <w:sz w:val="20"/>
                              </w:rPr>
                              <w:t>Initiële/tactische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D1E550" id="Text Box 8" o:spid="_x0000_s1030" type="#_x0000_t202" style="position:absolute;margin-left:101.65pt;margin-top:12.35pt;width:107.25pt;height:19.4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">
                <v:textbox>
                  <w:txbxContent>
                    <w:p w14:paraId="69CD9EE1" w14:textId="77777777" w:rsidR="003040E4" w:rsidRPr="005135A6" w:rsidRDefault="003040E4" w:rsidP="00717BF5">
                      <w:pPr>
                        <w:pStyle w:val="NoSpacing"/>
                        <w:jc w:val="center"/>
                        <w:rPr>
                          <w:sz w:val="20"/>
                        </w:rPr>
                      </w:pPr>
                      <w:r w:rsidRPr="005135A6">
                        <w:rPr>
                          <w:sz w:val="20"/>
                        </w:rPr>
                        <w:t>Initiële/tactische</w:t>
                      </w:r>
                    </w:p>
                  </w:txbxContent>
                </v:textbox>
              </v:shape>
            </w:pict>
          </mc:Fallback>
        </mc:AlternateContent>
      </w:r>
      <w:r>
        <w:rPr>
          <w:rFonts w:asciiTheme="minorHAnsi" w:eastAsiaTheme="minorHAnsi" w:hAnsiTheme="minorHAnsi" w:cs="Arial"/>
          <w:noProof/>
          <w:sz w:val="22"/>
          <w:szCs w:val="22"/>
          <w:lang w:eastAsia="nl-NL"/>
        </w:rPr>
        <mc:AlternateContent>
          <mc:Choice Requires="wps">
            <w:drawing>
              <wp:anchor distT="0" distB="0" distL="114300" distR="114300" simplePos="0" relativeHeight="251678720" behindDoc="0" locked="0" layoutInCell="1" allowOverlap="1" wp14:anchorId="232239C2" wp14:editId="730E9C98">
                <wp:simplePos x="0" y="0"/>
                <wp:positionH relativeFrom="column">
                  <wp:posOffset>52705</wp:posOffset>
                </wp:positionH>
                <wp:positionV relativeFrom="paragraph">
                  <wp:posOffset>38262</wp:posOffset>
                </wp:positionV>
                <wp:extent cx="5924550" cy="0"/>
                <wp:effectExtent l="38100" t="76200" r="19050" b="95250"/>
                <wp:wrapNone/>
                <wp:docPr id="19"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24550" cy="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76DA38C" id="_x0000_t32" coordsize="21600,21600" o:spt="32" o:oned="t" path="m,l21600,21600e" filled="f">
                <v:path arrowok="t" fillok="f" o:connecttype="none"/>
                <o:lock v:ext="edit" shapetype="t"/>
              </v:shapetype>
              <v:shape id="AutoShape 4" o:spid="_x0000_s1026" type="#_x0000_t32" style="position:absolute;margin-left:4.15pt;margin-top:3pt;width:466.5pt;height:0;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">
                <v:stroke startarrow="block" endarrow="block"/>
              </v:shape>
            </w:pict>
          </mc:Fallback>
        </mc:AlternateContent>
      </w:r>
    </w:p>
    <w:p w14:paraId="631DE45C" w14:textId="77777777" w:rsidR="00717BF5" w:rsidRPr="001818A4" w:rsidRDefault="00717BF5" w:rsidP="00717BF5">
      <w:pPr>
        <w:spacing w:after="0" w:line="276" w:lineRule="auto"/>
        <w:rPr>
          <w:rFonts w:asciiTheme="minorHAnsi" w:eastAsiaTheme="minorHAnsi" w:hAnsiTheme="minorHAnsi" w:cs="Arial"/>
          <w:sz w:val="22"/>
          <w:szCs w:val="22"/>
        </w:rPr>
      </w:pPr>
      <w:r>
        <w:rPr>
          <w:rFonts w:asciiTheme="minorHAnsi" w:eastAsiaTheme="minorHAnsi" w:hAnsiTheme="minorHAnsi" w:cs="Arial"/>
          <w:noProof/>
          <w:sz w:val="22"/>
          <w:szCs w:val="22"/>
          <w:lang w:eastAsia="nl-NL"/>
        </w:rPr>
        <mc:AlternateContent>
          <mc:Choice Requires="wps">
            <w:drawing>
              <wp:anchor distT="0" distB="0" distL="114300" distR="114300" simplePos="0" relativeHeight="251683840" behindDoc="0" locked="0" layoutInCell="1" allowOverlap="1" wp14:anchorId="129A68A2" wp14:editId="48ACDA9B">
                <wp:simplePos x="0" y="0"/>
                <wp:positionH relativeFrom="column">
                  <wp:posOffset>605155</wp:posOffset>
                </wp:positionH>
                <wp:positionV relativeFrom="paragraph">
                  <wp:posOffset>252730</wp:posOffset>
                </wp:positionV>
                <wp:extent cx="2743200" cy="0"/>
                <wp:effectExtent l="17145" t="53340" r="20955" b="60960"/>
                <wp:wrapNone/>
                <wp:docPr id="20"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43200" cy="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2E27B1C" id="AutoShape 6" o:spid="_x0000_s1026" type="#_x0000_t32" style="position:absolute;margin-left:47.65pt;margin-top:19.9pt;width:3in;height:0;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">
                <v:stroke startarrow="block" endarrow="block"/>
              </v:shape>
            </w:pict>
          </mc:Fallback>
        </mc:AlternateContent>
      </w:r>
      <w:r w:rsidRPr="001818A4">
        <w:rPr>
          <w:rFonts w:asciiTheme="minorHAnsi" w:eastAsiaTheme="minorHAnsi" w:hAnsiTheme="minorHAnsi" w:cs="Arial"/>
          <w:noProof/>
          <w:sz w:val="22"/>
          <w:szCs w:val="22"/>
          <w:lang w:eastAsia="nl-NL"/>
        </w:rPr>
        <w:drawing>
          <wp:anchor distT="0" distB="0" distL="114300" distR="114300" simplePos="0" relativeHeight="251680768" behindDoc="1" locked="0" layoutInCell="1" allowOverlap="1" wp14:anchorId="2A4B384A" wp14:editId="22BB2967">
            <wp:simplePos x="0" y="0"/>
            <wp:positionH relativeFrom="column">
              <wp:posOffset>500380</wp:posOffset>
            </wp:positionH>
            <wp:positionV relativeFrom="paragraph">
              <wp:posOffset>14605</wp:posOffset>
            </wp:positionV>
            <wp:extent cx="5029200" cy="1143000"/>
            <wp:effectExtent l="19050" t="0" r="38100" b="0"/>
            <wp:wrapTight wrapText="bothSides">
              <wp:wrapPolygon edited="0">
                <wp:start x="-82" y="6120"/>
                <wp:lineTo x="-82" y="7560"/>
                <wp:lineTo x="245" y="12600"/>
                <wp:lineTo x="-82" y="14040"/>
                <wp:lineTo x="-82" y="15480"/>
                <wp:lineTo x="16936" y="15480"/>
                <wp:lineTo x="20455" y="14760"/>
                <wp:lineTo x="21518" y="14400"/>
                <wp:lineTo x="21355" y="12600"/>
                <wp:lineTo x="21682" y="10800"/>
                <wp:lineTo x="21600" y="10440"/>
                <wp:lineTo x="20945" y="6120"/>
                <wp:lineTo x="-82" y="6120"/>
              </wp:wrapPolygon>
            </wp:wrapTight>
            <wp:docPr id="5"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14:sizeRelH relativeFrom="page">
              <wp14:pctWidth>0</wp14:pctWidth>
            </wp14:sizeRelH>
            <wp14:sizeRelV relativeFrom="page">
              <wp14:pctHeight>0</wp14:pctHeight>
            </wp14:sizeRelV>
          </wp:anchor>
        </w:drawing>
      </w:r>
      <w:r>
        <w:rPr>
          <w:rFonts w:asciiTheme="minorHAnsi" w:eastAsiaTheme="minorHAnsi" w:hAnsiTheme="minorHAnsi" w:cs="Arial"/>
          <w:noProof/>
          <w:sz w:val="22"/>
          <w:szCs w:val="22"/>
          <w:lang w:eastAsia="nl-NL"/>
        </w:rPr>
        <mc:AlternateContent>
          <mc:Choice Requires="wps">
            <w:drawing>
              <wp:anchor distT="0" distB="0" distL="114300" distR="114300" simplePos="0" relativeHeight="251681792" behindDoc="0" locked="0" layoutInCell="1" allowOverlap="1" wp14:anchorId="013028F1" wp14:editId="2F9F54D5">
                <wp:simplePos x="0" y="0"/>
                <wp:positionH relativeFrom="column">
                  <wp:posOffset>5548630</wp:posOffset>
                </wp:positionH>
                <wp:positionV relativeFrom="paragraph">
                  <wp:posOffset>52705</wp:posOffset>
                </wp:positionV>
                <wp:extent cx="542925" cy="1143000"/>
                <wp:effectExtent l="7620" t="5715" r="11430" b="13335"/>
                <wp:wrapNone/>
                <wp:docPr id="18"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2925" cy="1143000"/>
                        </a:xfrm>
                        <a:prstGeom prst="rect">
                          <a:avLst/>
                        </a:prstGeom>
                        <a:solidFill>
                          <a:schemeClr val="bg1">
                            <a:lumMod val="95000"/>
                            <a:lumOff val="0"/>
                          </a:schemeClr>
                        </a:solidFill>
                        <a:ln w="9525">
                          <a:solidFill>
                            <a:srgbClr val="000000"/>
                          </a:solidFill>
                          <a:miter lim="800000"/>
                          <a:headEnd/>
                          <a:tailEnd/>
                        </a:ln>
                      </wps:spPr>
                      <wps:txbx>
                        <w:txbxContent>
                          <w:p w14:paraId="10550119" w14:textId="77777777" w:rsidR="003040E4" w:rsidRDefault="003040E4" w:rsidP="00717BF5">
                            <w:pPr>
                              <w:pStyle w:val="NoSpacing"/>
                              <w:jc w:val="center"/>
                            </w:pPr>
                          </w:p>
                          <w:p w14:paraId="2817CA04" w14:textId="77777777" w:rsidR="003040E4" w:rsidRPr="007E216E" w:rsidRDefault="003040E4" w:rsidP="00717BF5">
                            <w:pPr>
                              <w:pStyle w:val="NoSpacing"/>
                              <w:jc w:val="center"/>
                              <w:rPr>
                                <w:b/>
                                <w:sz w:val="24"/>
                              </w:rPr>
                            </w:pPr>
                            <w:r w:rsidRPr="007E216E">
                              <w:rPr>
                                <w:b/>
                                <w:sz w:val="28"/>
                              </w:rPr>
                              <w:t>Leverancier</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3028F1" id="Rectangle 3" o:spid="_x0000_s1031" style="position:absolute;margin-left:436.9pt;margin-top:4.15pt;width:42.75pt;height:90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" fillcolor="#f2f2f2 [3052]">
                <v:textbox style="layout-flow:vertical;mso-layout-flow-alt:bottom-to-top">
                  <w:txbxContent>
                    <w:p w14:paraId="10550119" w14:textId="77777777" w:rsidR="003040E4" w:rsidRDefault="003040E4" w:rsidP="00717BF5">
                      <w:pPr>
                        <w:pStyle w:val="NoSpacing"/>
                        <w:jc w:val="center"/>
                      </w:pPr>
                    </w:p>
                    <w:p w14:paraId="2817CA04" w14:textId="77777777" w:rsidR="003040E4" w:rsidRPr="007E216E" w:rsidRDefault="003040E4" w:rsidP="00717BF5">
                      <w:pPr>
                        <w:pStyle w:val="NoSpacing"/>
                        <w:jc w:val="center"/>
                        <w:rPr>
                          <w:b/>
                          <w:sz w:val="24"/>
                        </w:rPr>
                      </w:pPr>
                      <w:r w:rsidRPr="007E216E">
                        <w:rPr>
                          <w:b/>
                          <w:sz w:val="28"/>
                        </w:rPr>
                        <w:t>Leverancier</w:t>
                      </w:r>
                    </w:p>
                  </w:txbxContent>
                </v:textbox>
              </v:rect>
            </w:pict>
          </mc:Fallback>
        </mc:AlternateContent>
      </w:r>
      <w:r>
        <w:rPr>
          <w:rFonts w:asciiTheme="minorHAnsi" w:eastAsiaTheme="minorHAnsi" w:hAnsiTheme="minorHAnsi" w:cs="Arial"/>
          <w:noProof/>
          <w:sz w:val="22"/>
          <w:szCs w:val="22"/>
          <w:lang w:eastAsia="nl-NL"/>
        </w:rPr>
        <mc:AlternateContent>
          <mc:Choice Requires="wps">
            <w:drawing>
              <wp:anchor distT="0" distB="0" distL="114300" distR="114300" simplePos="0" relativeHeight="251682816" behindDoc="0" locked="0" layoutInCell="1" allowOverlap="1" wp14:anchorId="0E863A76" wp14:editId="4E7D7FFE">
                <wp:simplePos x="0" y="0"/>
                <wp:positionH relativeFrom="column">
                  <wp:posOffset>-52070</wp:posOffset>
                </wp:positionH>
                <wp:positionV relativeFrom="paragraph">
                  <wp:posOffset>52705</wp:posOffset>
                </wp:positionV>
                <wp:extent cx="533400" cy="1143000"/>
                <wp:effectExtent l="7620" t="5715" r="11430" b="13335"/>
                <wp:wrapNone/>
                <wp:docPr id="1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0" cy="1143000"/>
                        </a:xfrm>
                        <a:prstGeom prst="rect">
                          <a:avLst/>
                        </a:prstGeom>
                        <a:solidFill>
                          <a:srgbClr val="92D050"/>
                        </a:solidFill>
                        <a:ln w="9525">
                          <a:solidFill>
                            <a:srgbClr val="000000"/>
                          </a:solidFill>
                          <a:miter lim="800000"/>
                          <a:headEnd/>
                          <a:tailEnd/>
                        </a:ln>
                      </wps:spPr>
                      <wps:txbx>
                        <w:txbxContent>
                          <w:p w14:paraId="33ADBC31" w14:textId="77777777" w:rsidR="003040E4" w:rsidRDefault="003040E4" w:rsidP="00717BF5">
                            <w:pPr>
                              <w:pStyle w:val="NoSpacing"/>
                              <w:jc w:val="center"/>
                            </w:pPr>
                          </w:p>
                          <w:p w14:paraId="2B197B3E" w14:textId="77777777" w:rsidR="003040E4" w:rsidRPr="007E216E" w:rsidRDefault="003040E4" w:rsidP="00717BF5">
                            <w:pPr>
                              <w:pStyle w:val="NoSpacing"/>
                              <w:jc w:val="center"/>
                              <w:rPr>
                                <w:b/>
                                <w:sz w:val="28"/>
                              </w:rPr>
                            </w:pPr>
                            <w:r w:rsidRPr="007C688D">
                              <w:rPr>
                                <w:b/>
                                <w:sz w:val="28"/>
                              </w:rPr>
                              <w:t>Klant</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863A76" id="Rectangle 2" o:spid="_x0000_s1032" style="position:absolute;margin-left:-4.1pt;margin-top:4.15pt;width:42pt;height:90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" fillcolor="#92d050">
                <v:textbox style="layout-flow:vertical;mso-layout-flow-alt:bottom-to-top">
                  <w:txbxContent>
                    <w:p w14:paraId="33ADBC31" w14:textId="77777777" w:rsidR="003040E4" w:rsidRDefault="003040E4" w:rsidP="00717BF5">
                      <w:pPr>
                        <w:pStyle w:val="NoSpacing"/>
                        <w:jc w:val="center"/>
                      </w:pPr>
                    </w:p>
                    <w:p w14:paraId="2B197B3E" w14:textId="77777777" w:rsidR="003040E4" w:rsidRPr="007E216E" w:rsidRDefault="003040E4" w:rsidP="00717BF5">
                      <w:pPr>
                        <w:pStyle w:val="NoSpacing"/>
                        <w:jc w:val="center"/>
                        <w:rPr>
                          <w:b/>
                          <w:sz w:val="28"/>
                        </w:rPr>
                      </w:pPr>
                      <w:r w:rsidRPr="007C688D">
                        <w:rPr>
                          <w:b/>
                          <w:sz w:val="28"/>
                        </w:rPr>
                        <w:t>Klant</w:t>
                      </w:r>
                    </w:p>
                  </w:txbxContent>
                </v:textbox>
              </v:rect>
            </w:pict>
          </mc:Fallback>
        </mc:AlternateContent>
      </w:r>
    </w:p>
    <w:p w14:paraId="0CCE7EFB" w14:textId="77777777" w:rsidR="00717BF5" w:rsidRPr="001818A4" w:rsidRDefault="00717BF5" w:rsidP="00717BF5">
      <w:pPr>
        <w:spacing w:after="0" w:line="276" w:lineRule="auto"/>
        <w:rPr>
          <w:rFonts w:asciiTheme="minorHAnsi" w:eastAsiaTheme="minorHAnsi" w:hAnsiTheme="minorHAnsi" w:cs="Arial"/>
          <w:sz w:val="22"/>
          <w:szCs w:val="22"/>
        </w:rPr>
      </w:pPr>
      <w:r>
        <w:rPr>
          <w:rFonts w:asciiTheme="minorHAnsi" w:eastAsiaTheme="minorHAnsi" w:hAnsiTheme="minorHAnsi" w:cs="Arial"/>
          <w:noProof/>
          <w:sz w:val="22"/>
          <w:szCs w:val="22"/>
          <w:lang w:eastAsia="nl-NL"/>
        </w:rPr>
        <mc:AlternateContent>
          <mc:Choice Requires="wps">
            <w:drawing>
              <wp:anchor distT="0" distB="0" distL="114300" distR="114300" simplePos="0" relativeHeight="251684864" behindDoc="0" locked="0" layoutInCell="1" allowOverlap="1" wp14:anchorId="3FA42188" wp14:editId="16A72FEE">
                <wp:simplePos x="0" y="0"/>
                <wp:positionH relativeFrom="column">
                  <wp:posOffset>3574268</wp:posOffset>
                </wp:positionH>
                <wp:positionV relativeFrom="paragraph">
                  <wp:posOffset>56515</wp:posOffset>
                </wp:positionV>
                <wp:extent cx="1790700" cy="0"/>
                <wp:effectExtent l="38100" t="76200" r="19050" b="95250"/>
                <wp:wrapNone/>
                <wp:docPr id="21"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90700" cy="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964F77E" id="AutoShape 7" o:spid="_x0000_s1026" type="#_x0000_t32" style="position:absolute;margin-left:281.45pt;margin-top:4.45pt;width:141pt;height:0;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">
                <v:stroke startarrow="block" endarrow="block"/>
              </v:shape>
            </w:pict>
          </mc:Fallback>
        </mc:AlternateContent>
      </w:r>
    </w:p>
    <w:p w14:paraId="68EA29B0" w14:textId="77777777" w:rsidR="00717BF5" w:rsidRPr="001818A4" w:rsidRDefault="00717BF5" w:rsidP="00717BF5">
      <w:pPr>
        <w:spacing w:after="0" w:line="276" w:lineRule="auto"/>
        <w:rPr>
          <w:rFonts w:asciiTheme="minorHAnsi" w:eastAsiaTheme="minorHAnsi" w:hAnsiTheme="minorHAnsi" w:cs="Arial"/>
          <w:sz w:val="22"/>
          <w:szCs w:val="22"/>
        </w:rPr>
      </w:pPr>
    </w:p>
    <w:p w14:paraId="7A4E4237" w14:textId="77777777" w:rsidR="00717BF5" w:rsidRPr="001818A4" w:rsidRDefault="00717BF5" w:rsidP="00717BF5">
      <w:pPr>
        <w:spacing w:after="0" w:line="276" w:lineRule="auto"/>
        <w:rPr>
          <w:rFonts w:asciiTheme="minorHAnsi" w:eastAsiaTheme="minorHAnsi" w:hAnsiTheme="minorHAnsi" w:cs="Arial"/>
          <w:sz w:val="22"/>
          <w:szCs w:val="22"/>
        </w:rPr>
      </w:pPr>
    </w:p>
    <w:p w14:paraId="274F2CCC" w14:textId="77777777" w:rsidR="00717BF5" w:rsidRDefault="00717BF5" w:rsidP="00717BF5">
      <w:pPr>
        <w:spacing w:after="0" w:line="276" w:lineRule="auto"/>
        <w:rPr>
          <w:rFonts w:asciiTheme="minorHAnsi" w:eastAsiaTheme="minorHAnsi" w:hAnsiTheme="minorHAnsi" w:cs="Arial"/>
          <w:sz w:val="22"/>
          <w:szCs w:val="22"/>
        </w:rPr>
      </w:pPr>
    </w:p>
    <w:p w14:paraId="2376487B" w14:textId="77777777" w:rsidR="00717BF5" w:rsidRDefault="00717BF5" w:rsidP="00717BF5">
      <w:pPr>
        <w:spacing w:after="0" w:line="276" w:lineRule="auto"/>
        <w:rPr>
          <w:rFonts w:asciiTheme="minorHAnsi" w:eastAsiaTheme="minorHAnsi" w:hAnsiTheme="minorHAnsi" w:cs="Arial"/>
          <w:sz w:val="22"/>
          <w:szCs w:val="22"/>
        </w:rPr>
      </w:pPr>
    </w:p>
    <w:p w14:paraId="37DE621E" w14:textId="77777777" w:rsidR="000462D6" w:rsidRDefault="000462D6" w:rsidP="00717BF5">
      <w:pPr>
        <w:pStyle w:val="Caption"/>
        <w:rPr>
          <w:rFonts w:ascii="Verdana" w:hAnsi="Verdana"/>
          <w:b w:val="0"/>
          <w:sz w:val="20"/>
        </w:rPr>
      </w:pPr>
      <w:bookmarkStart w:id="59" w:name="_Hlk484359168"/>
    </w:p>
    <w:p w14:paraId="7A51D796" w14:textId="426D7085" w:rsidR="00717BF5" w:rsidRPr="00470552" w:rsidRDefault="00717BF5" w:rsidP="00470552">
      <w:pPr>
        <w:pStyle w:val="Caption"/>
      </w:pPr>
      <w:r w:rsidRPr="00470552">
        <w:t xml:space="preserve">Figuur </w:t>
      </w:r>
      <w:r w:rsidR="000462D6" w:rsidRPr="00470552">
        <w:t>3</w:t>
      </w:r>
      <w:r w:rsidRPr="00470552">
        <w:t xml:space="preserve">: Inkoopmode van </w:t>
      </w:r>
      <w:proofErr w:type="spellStart"/>
      <w:r w:rsidRPr="00470552">
        <w:t>Van</w:t>
      </w:r>
      <w:proofErr w:type="spellEnd"/>
      <w:r w:rsidRPr="00470552">
        <w:t xml:space="preserve"> Weele (</w:t>
      </w:r>
      <w:r w:rsidR="004848A4" w:rsidRPr="00470552">
        <w:t xml:space="preserve">Van Weele, </w:t>
      </w:r>
      <w:r w:rsidRPr="00470552">
        <w:t>1992)</w:t>
      </w:r>
    </w:p>
    <w:bookmarkEnd w:id="59"/>
    <w:p w14:paraId="30C88630" w14:textId="2D2D0D28" w:rsidR="00717BF5" w:rsidRPr="00442509" w:rsidRDefault="00717BF5" w:rsidP="00717BF5">
      <w:pPr>
        <w:spacing w:line="276" w:lineRule="auto"/>
        <w:rPr>
          <w:rFonts w:asciiTheme="minorHAnsi" w:eastAsiaTheme="minorHAnsi" w:hAnsiTheme="minorHAnsi" w:cstheme="minorHAnsi"/>
          <w:sz w:val="22"/>
          <w:szCs w:val="22"/>
        </w:rPr>
      </w:pPr>
      <w:r w:rsidRPr="00442509">
        <w:rPr>
          <w:rFonts w:asciiTheme="minorHAnsi" w:eastAsiaTheme="minorHAnsi" w:hAnsiTheme="minorHAnsi" w:cstheme="minorHAnsi"/>
          <w:sz w:val="22"/>
          <w:szCs w:val="22"/>
        </w:rPr>
        <w:t xml:space="preserve">In dit onderzoek zal het inkoopproces van </w:t>
      </w:r>
      <w:proofErr w:type="spellStart"/>
      <w:r w:rsidRPr="00442509">
        <w:rPr>
          <w:rFonts w:asciiTheme="minorHAnsi" w:eastAsiaTheme="minorHAnsi" w:hAnsiTheme="minorHAnsi" w:cstheme="minorHAnsi"/>
          <w:sz w:val="22"/>
          <w:szCs w:val="22"/>
        </w:rPr>
        <w:t>Van</w:t>
      </w:r>
      <w:proofErr w:type="spellEnd"/>
      <w:r w:rsidRPr="00442509">
        <w:rPr>
          <w:rFonts w:asciiTheme="minorHAnsi" w:eastAsiaTheme="minorHAnsi" w:hAnsiTheme="minorHAnsi" w:cstheme="minorHAnsi"/>
          <w:sz w:val="22"/>
          <w:szCs w:val="22"/>
        </w:rPr>
        <w:t xml:space="preserve"> Weele gebruikt worden </w:t>
      </w:r>
      <w:r w:rsidR="00236356" w:rsidRPr="00442509">
        <w:rPr>
          <w:rFonts w:asciiTheme="minorHAnsi" w:eastAsiaTheme="minorHAnsi" w:hAnsiTheme="minorHAnsi" w:cstheme="minorHAnsi"/>
          <w:sz w:val="22"/>
          <w:szCs w:val="22"/>
        </w:rPr>
        <w:t xml:space="preserve">om op een systematische manier het inkooptraject van de voortgezet onderwijsinstellingen te toetsen </w:t>
      </w:r>
      <w:r w:rsidR="00955834">
        <w:rPr>
          <w:rFonts w:asciiTheme="minorHAnsi" w:eastAsiaTheme="minorHAnsi" w:hAnsiTheme="minorHAnsi" w:cstheme="minorHAnsi"/>
          <w:sz w:val="22"/>
          <w:szCs w:val="22"/>
        </w:rPr>
        <w:t>aan</w:t>
      </w:r>
      <w:r w:rsidR="00236356" w:rsidRPr="00442509">
        <w:rPr>
          <w:rFonts w:asciiTheme="minorHAnsi" w:eastAsiaTheme="minorHAnsi" w:hAnsiTheme="minorHAnsi" w:cstheme="minorHAnsi"/>
          <w:sz w:val="22"/>
          <w:szCs w:val="22"/>
        </w:rPr>
        <w:t xml:space="preserve"> de variabele professionaliteit. </w:t>
      </w:r>
      <w:r w:rsidRPr="00442509">
        <w:rPr>
          <w:rFonts w:asciiTheme="minorHAnsi" w:eastAsiaTheme="minorHAnsi" w:hAnsiTheme="minorHAnsi" w:cstheme="minorHAnsi"/>
          <w:sz w:val="22"/>
          <w:szCs w:val="22"/>
        </w:rPr>
        <w:t xml:space="preserve">In de volgende paragrafen zullen de fasen afzonderlijk worden nagelopen en van een nadere theoretische onderbouwing worden voorzien. </w:t>
      </w:r>
    </w:p>
    <w:p w14:paraId="299384D7" w14:textId="77777777" w:rsidR="00F26545" w:rsidRDefault="00F26545">
      <w:pPr>
        <w:kinsoku/>
        <w:autoSpaceDE/>
        <w:autoSpaceDN/>
        <w:adjustRightInd/>
        <w:spacing w:after="160" w:line="259" w:lineRule="auto"/>
        <w:rPr>
          <w:rFonts w:asciiTheme="minorHAnsi" w:eastAsiaTheme="minorHAnsi" w:hAnsiTheme="minorHAnsi"/>
          <w:b/>
          <w:color w:val="1F3864" w:themeColor="accent1" w:themeShade="80"/>
          <w:sz w:val="22"/>
        </w:rPr>
      </w:pPr>
      <w:bookmarkStart w:id="60" w:name="_Hlk484109546"/>
      <w:r>
        <w:rPr>
          <w:color w:val="1F3864" w:themeColor="accent1" w:themeShade="80"/>
        </w:rPr>
        <w:br w:type="page"/>
      </w:r>
    </w:p>
    <w:p w14:paraId="17D09A1C" w14:textId="43979748" w:rsidR="00717BF5" w:rsidRPr="003B56D6" w:rsidRDefault="00717BF5" w:rsidP="00D10775">
      <w:pPr>
        <w:pStyle w:val="Heading3"/>
        <w:rPr>
          <w:color w:val="1F3864" w:themeColor="accent1" w:themeShade="80"/>
        </w:rPr>
      </w:pPr>
      <w:bookmarkStart w:id="61" w:name="_Toc517455456"/>
      <w:r w:rsidRPr="003B56D6">
        <w:rPr>
          <w:color w:val="1F3864" w:themeColor="accent1" w:themeShade="80"/>
        </w:rPr>
        <w:lastRenderedPageBreak/>
        <w:t>3.5.2 Fase specificeren</w:t>
      </w:r>
      <w:bookmarkEnd w:id="61"/>
    </w:p>
    <w:bookmarkEnd w:id="60"/>
    <w:p w14:paraId="38B4E044" w14:textId="77777777" w:rsidR="00717BF5" w:rsidRPr="00442509" w:rsidRDefault="00717BF5" w:rsidP="00717BF5">
      <w:pPr>
        <w:pStyle w:val="NoSpacing"/>
        <w:rPr>
          <w:rFonts w:cstheme="minorHAnsi"/>
          <w:i/>
          <w:szCs w:val="22"/>
        </w:rPr>
      </w:pPr>
      <w:r w:rsidRPr="00442509">
        <w:rPr>
          <w:rFonts w:cstheme="minorHAnsi"/>
          <w:i/>
          <w:szCs w:val="22"/>
        </w:rPr>
        <w:t xml:space="preserve">- Wat is de vraag? - </w:t>
      </w:r>
    </w:p>
    <w:p w14:paraId="0E0C5E1C" w14:textId="3825A5A5" w:rsidR="00717BF5" w:rsidRPr="00442509" w:rsidRDefault="00717BF5" w:rsidP="00717BF5">
      <w:pPr>
        <w:pStyle w:val="NoSpacing"/>
        <w:spacing w:line="276" w:lineRule="auto"/>
        <w:rPr>
          <w:rFonts w:cstheme="minorHAnsi"/>
          <w:color w:val="000000" w:themeColor="text1"/>
          <w:szCs w:val="22"/>
        </w:rPr>
      </w:pPr>
      <w:r w:rsidRPr="00442509">
        <w:rPr>
          <w:rFonts w:cstheme="minorHAnsi"/>
          <w:color w:val="000000" w:themeColor="text1"/>
          <w:szCs w:val="22"/>
        </w:rPr>
        <w:t xml:space="preserve">Over het algemeen is de eerste stap van inkoop het formuleren van de specificaties van het product of dienst (Van Weele, 1992). De vraag van de gebruikersorganisatie dient </w:t>
      </w:r>
      <w:r w:rsidRPr="00442509">
        <w:rPr>
          <w:rFonts w:cstheme="minorHAnsi"/>
          <w:i/>
          <w:color w:val="000000" w:themeColor="text1"/>
          <w:szCs w:val="22"/>
        </w:rPr>
        <w:t>gespecificeerd</w:t>
      </w:r>
      <w:r w:rsidRPr="00442509">
        <w:rPr>
          <w:rFonts w:cstheme="minorHAnsi"/>
          <w:color w:val="000000" w:themeColor="text1"/>
          <w:szCs w:val="22"/>
        </w:rPr>
        <w:t xml:space="preserve"> te worden. In deze fase kan zowel de inkoopafdeling als de gebruikers van het product of dienst worden betrokken (</w:t>
      </w:r>
      <w:proofErr w:type="spellStart"/>
      <w:r w:rsidRPr="00442509">
        <w:rPr>
          <w:rFonts w:cstheme="minorHAnsi"/>
          <w:color w:val="000000" w:themeColor="text1"/>
          <w:szCs w:val="22"/>
        </w:rPr>
        <w:t>Brun</w:t>
      </w:r>
      <w:proofErr w:type="spellEnd"/>
      <w:r w:rsidRPr="00442509">
        <w:rPr>
          <w:rFonts w:cstheme="minorHAnsi"/>
          <w:color w:val="000000" w:themeColor="text1"/>
          <w:szCs w:val="22"/>
        </w:rPr>
        <w:t xml:space="preserve"> et </w:t>
      </w:r>
      <w:r w:rsidR="000B47A7">
        <w:rPr>
          <w:rFonts w:cstheme="minorHAnsi"/>
          <w:color w:val="000000" w:themeColor="text1"/>
          <w:szCs w:val="22"/>
        </w:rPr>
        <w:t>al.</w:t>
      </w:r>
      <w:r w:rsidRPr="00442509">
        <w:rPr>
          <w:rFonts w:cstheme="minorHAnsi"/>
          <w:color w:val="000000" w:themeColor="text1"/>
          <w:szCs w:val="22"/>
        </w:rPr>
        <w:t xml:space="preserve"> 2013). Het vaststellen van de inkoopbehoefte </w:t>
      </w:r>
      <w:r w:rsidR="005477BA" w:rsidRPr="00442509">
        <w:rPr>
          <w:rFonts w:cstheme="minorHAnsi"/>
          <w:color w:val="000000" w:themeColor="text1"/>
          <w:szCs w:val="22"/>
        </w:rPr>
        <w:t xml:space="preserve">gebeurt </w:t>
      </w:r>
      <w:r w:rsidR="00421A25" w:rsidRPr="00442509">
        <w:rPr>
          <w:rFonts w:cstheme="minorHAnsi"/>
          <w:color w:val="000000" w:themeColor="text1"/>
          <w:szCs w:val="22"/>
        </w:rPr>
        <w:t>in</w:t>
      </w:r>
      <w:r w:rsidRPr="00442509">
        <w:rPr>
          <w:rFonts w:cstheme="minorHAnsi"/>
          <w:color w:val="000000" w:themeColor="text1"/>
          <w:szCs w:val="22"/>
        </w:rPr>
        <w:t xml:space="preserve"> drie stappen: (1) het opstellen van een functionele specificatie, (2) gedetailleerde technische specificatie en van een (3) logistieke en onderhoudsspecificatie. In het eerste geval betreft het een beschrijving van de functionele behoeften van de inkooporganisatie. In het tweede geval gaat het om de technische aspecten die aan het product of dienst verbonden zijn. Tot slot gaat de derde stap over de uiteindelijke levering, eisen aan onderhoud en voorwaarden voor de periode ná aankoop. Volgens Knoester (2009) draait het in deze fase om een mix van prijs en kwaliteit. Gebruik van een beoordelingsmatrix is hierbij wenselijk omdat de inkooporganisatie op een objectieve en reproduceerbare manier een beoordelingskader kan vaststellen (Knoester, 2009). De beoordelingsmatrix met criteria en wegingsfactoren kan met de vraag mee worden uitgezet naar de potentiele opdrachtnemers.</w:t>
      </w:r>
    </w:p>
    <w:p w14:paraId="0B82FDA4" w14:textId="13875B20" w:rsidR="00717BF5" w:rsidRPr="00442509" w:rsidRDefault="00717BF5" w:rsidP="00717BF5">
      <w:pPr>
        <w:pStyle w:val="NoSpacing"/>
        <w:spacing w:line="276" w:lineRule="auto"/>
        <w:rPr>
          <w:rFonts w:cstheme="minorHAnsi"/>
          <w:color w:val="000000" w:themeColor="text1"/>
          <w:szCs w:val="22"/>
        </w:rPr>
      </w:pPr>
      <w:r w:rsidRPr="00442509">
        <w:rPr>
          <w:rFonts w:cstheme="minorHAnsi"/>
          <w:color w:val="000000" w:themeColor="text1"/>
          <w:szCs w:val="22"/>
        </w:rPr>
        <w:t xml:space="preserve">De uitvoering van deze fase in de praktijk is een uitdaging op zich. </w:t>
      </w:r>
      <w:r w:rsidR="00CC73B2" w:rsidRPr="00442509">
        <w:rPr>
          <w:rFonts w:cstheme="minorHAnsi"/>
          <w:color w:val="000000" w:themeColor="text1"/>
          <w:szCs w:val="22"/>
        </w:rPr>
        <w:t>Inkooporganisaties zijn niet altijd in staat om gedetailleerd</w:t>
      </w:r>
      <w:r w:rsidR="00B554BE">
        <w:rPr>
          <w:rFonts w:cstheme="minorHAnsi"/>
          <w:color w:val="000000" w:themeColor="text1"/>
          <w:szCs w:val="22"/>
        </w:rPr>
        <w:t>e</w:t>
      </w:r>
      <w:r w:rsidR="00CC73B2" w:rsidRPr="00442509">
        <w:rPr>
          <w:rFonts w:cstheme="minorHAnsi"/>
          <w:color w:val="000000" w:themeColor="text1"/>
          <w:szCs w:val="22"/>
        </w:rPr>
        <w:t xml:space="preserve"> en complete specificaties op te stellen die tevens houdbaar zijn (</w:t>
      </w:r>
      <w:proofErr w:type="spellStart"/>
      <w:r w:rsidR="00CC73B2" w:rsidRPr="00442509">
        <w:rPr>
          <w:rFonts w:cstheme="minorHAnsi"/>
          <w:color w:val="000000" w:themeColor="text1"/>
          <w:szCs w:val="22"/>
        </w:rPr>
        <w:t>Ellram</w:t>
      </w:r>
      <w:proofErr w:type="spellEnd"/>
      <w:r w:rsidR="00CC73B2" w:rsidRPr="00442509">
        <w:rPr>
          <w:rFonts w:cstheme="minorHAnsi"/>
          <w:color w:val="000000" w:themeColor="text1"/>
          <w:szCs w:val="22"/>
        </w:rPr>
        <w:t xml:space="preserve"> &amp; </w:t>
      </w:r>
      <w:proofErr w:type="spellStart"/>
      <w:r w:rsidR="00CC73B2" w:rsidRPr="00442509">
        <w:rPr>
          <w:rFonts w:cstheme="minorHAnsi"/>
          <w:color w:val="000000" w:themeColor="text1"/>
          <w:szCs w:val="22"/>
        </w:rPr>
        <w:t>Carr</w:t>
      </w:r>
      <w:proofErr w:type="spellEnd"/>
      <w:r w:rsidR="00CC73B2" w:rsidRPr="00442509">
        <w:rPr>
          <w:rFonts w:cstheme="minorHAnsi"/>
          <w:color w:val="000000" w:themeColor="text1"/>
          <w:szCs w:val="22"/>
        </w:rPr>
        <w:t xml:space="preserve">, 1994). </w:t>
      </w:r>
      <w:r w:rsidRPr="00442509">
        <w:rPr>
          <w:rFonts w:cstheme="minorHAnsi"/>
          <w:color w:val="000000" w:themeColor="text1"/>
          <w:szCs w:val="22"/>
        </w:rPr>
        <w:t xml:space="preserve">De technische en functionele specificaties van digitale leermiddelen zijn lastig te </w:t>
      </w:r>
      <w:r w:rsidR="00CC73B2" w:rsidRPr="00442509">
        <w:rPr>
          <w:rFonts w:cstheme="minorHAnsi"/>
          <w:color w:val="000000" w:themeColor="text1"/>
          <w:szCs w:val="22"/>
        </w:rPr>
        <w:t xml:space="preserve">specificeren, met name </w:t>
      </w:r>
      <w:r w:rsidR="008873FA">
        <w:rPr>
          <w:rFonts w:cstheme="minorHAnsi"/>
          <w:color w:val="000000" w:themeColor="text1"/>
          <w:szCs w:val="22"/>
        </w:rPr>
        <w:t>bij kennisachterstand. Dit</w:t>
      </w:r>
      <w:r w:rsidR="00CC73B2" w:rsidRPr="00442509">
        <w:rPr>
          <w:rFonts w:cstheme="minorHAnsi"/>
          <w:color w:val="000000" w:themeColor="text1"/>
          <w:szCs w:val="22"/>
        </w:rPr>
        <w:t xml:space="preserve"> </w:t>
      </w:r>
      <w:r w:rsidRPr="00442509">
        <w:rPr>
          <w:rFonts w:cstheme="minorHAnsi"/>
          <w:color w:val="000000" w:themeColor="text1"/>
          <w:szCs w:val="22"/>
        </w:rPr>
        <w:t>brengt</w:t>
      </w:r>
      <w:r w:rsidR="00CC73B2" w:rsidRPr="00442509">
        <w:rPr>
          <w:rFonts w:cstheme="minorHAnsi"/>
          <w:color w:val="000000" w:themeColor="text1"/>
          <w:szCs w:val="22"/>
        </w:rPr>
        <w:t xml:space="preserve"> risico’s met zich mee binnen de</w:t>
      </w:r>
      <w:r w:rsidR="00BF016B">
        <w:rPr>
          <w:rFonts w:cstheme="minorHAnsi"/>
          <w:color w:val="000000" w:themeColor="text1"/>
          <w:szCs w:val="22"/>
        </w:rPr>
        <w:t xml:space="preserve"> opdrachtgeverschap waarbij de partij met de kennisachterstand misleid kan worden. </w:t>
      </w:r>
      <w:r w:rsidR="0062022D">
        <w:rPr>
          <w:rFonts w:cstheme="minorHAnsi"/>
          <w:color w:val="000000" w:themeColor="text1"/>
          <w:szCs w:val="22"/>
        </w:rPr>
        <w:t>I</w:t>
      </w:r>
      <w:r w:rsidR="00BF016B">
        <w:rPr>
          <w:rFonts w:cstheme="minorHAnsi"/>
          <w:color w:val="000000" w:themeColor="text1"/>
          <w:szCs w:val="22"/>
        </w:rPr>
        <w:t xml:space="preserve">n </w:t>
      </w:r>
      <w:r w:rsidRPr="00442509">
        <w:rPr>
          <w:rFonts w:cstheme="minorHAnsi"/>
          <w:color w:val="000000" w:themeColor="text1"/>
          <w:szCs w:val="22"/>
        </w:rPr>
        <w:t xml:space="preserve">dat geval heeft de leverancier informatievoorsprong ten opzichte van de inkoper en kan dit inzetten op eigen profijt te maximaliseren (Davis et al, 1997; Van </w:t>
      </w:r>
      <w:proofErr w:type="spellStart"/>
      <w:r w:rsidRPr="00442509">
        <w:rPr>
          <w:rFonts w:cstheme="minorHAnsi"/>
          <w:color w:val="000000" w:themeColor="text1"/>
          <w:szCs w:val="22"/>
        </w:rPr>
        <w:t>Slyke</w:t>
      </w:r>
      <w:proofErr w:type="spellEnd"/>
      <w:r w:rsidRPr="00442509">
        <w:rPr>
          <w:rFonts w:cstheme="minorHAnsi"/>
          <w:color w:val="000000" w:themeColor="text1"/>
          <w:szCs w:val="22"/>
        </w:rPr>
        <w:t>, 2006). De inkoper zal zich in dat geval richten op kosten-baten analyse (</w:t>
      </w:r>
      <w:proofErr w:type="spellStart"/>
      <w:r w:rsidRPr="00442509">
        <w:rPr>
          <w:rFonts w:cstheme="minorHAnsi"/>
          <w:color w:val="000000" w:themeColor="text1"/>
          <w:szCs w:val="22"/>
        </w:rPr>
        <w:t>Corra</w:t>
      </w:r>
      <w:proofErr w:type="spellEnd"/>
      <w:r w:rsidRPr="00442509">
        <w:rPr>
          <w:rFonts w:cstheme="minorHAnsi"/>
          <w:color w:val="000000" w:themeColor="text1"/>
          <w:szCs w:val="22"/>
        </w:rPr>
        <w:t xml:space="preserve"> et </w:t>
      </w:r>
      <w:r w:rsidR="000B47A7">
        <w:rPr>
          <w:rFonts w:cstheme="minorHAnsi"/>
          <w:color w:val="000000" w:themeColor="text1"/>
          <w:szCs w:val="22"/>
        </w:rPr>
        <w:t>al.</w:t>
      </w:r>
      <w:r w:rsidRPr="00442509">
        <w:rPr>
          <w:rFonts w:cstheme="minorHAnsi"/>
          <w:color w:val="000000" w:themeColor="text1"/>
          <w:szCs w:val="22"/>
        </w:rPr>
        <w:t xml:space="preserve"> 2011).</w:t>
      </w:r>
    </w:p>
    <w:p w14:paraId="00BCE6A9" w14:textId="45308135" w:rsidR="00717BF5" w:rsidRPr="00442509" w:rsidRDefault="00717BF5" w:rsidP="00717BF5">
      <w:pPr>
        <w:pStyle w:val="NoSpacing"/>
        <w:spacing w:line="276" w:lineRule="auto"/>
        <w:rPr>
          <w:rFonts w:cstheme="minorHAnsi"/>
          <w:color w:val="000000" w:themeColor="text1"/>
          <w:szCs w:val="22"/>
        </w:rPr>
      </w:pPr>
      <w:r w:rsidRPr="00442509">
        <w:rPr>
          <w:rFonts w:cstheme="minorHAnsi"/>
          <w:color w:val="000000" w:themeColor="text1"/>
          <w:szCs w:val="22"/>
        </w:rPr>
        <w:t>De specificatiefase is met name essentieel bij inkoop van ICT, vanwege de korte productlevenscyclus. De opgestelde technische specificaties hebben een beperkte houdbaarheid</w:t>
      </w:r>
      <w:r w:rsidR="0062022D">
        <w:rPr>
          <w:rFonts w:cstheme="minorHAnsi"/>
          <w:color w:val="000000" w:themeColor="text1"/>
          <w:szCs w:val="22"/>
        </w:rPr>
        <w:t xml:space="preserve">. </w:t>
      </w:r>
      <w:r w:rsidRPr="00442509">
        <w:rPr>
          <w:rFonts w:cstheme="minorHAnsi"/>
          <w:color w:val="000000" w:themeColor="text1"/>
          <w:szCs w:val="22"/>
        </w:rPr>
        <w:t>Daarnaast zijn de ‘</w:t>
      </w:r>
      <w:proofErr w:type="spellStart"/>
      <w:r w:rsidRPr="00442509">
        <w:rPr>
          <w:rFonts w:cstheme="minorHAnsi"/>
          <w:color w:val="000000" w:themeColor="text1"/>
          <w:szCs w:val="22"/>
        </w:rPr>
        <w:t>lock</w:t>
      </w:r>
      <w:proofErr w:type="spellEnd"/>
      <w:r w:rsidRPr="00442509">
        <w:rPr>
          <w:rFonts w:cstheme="minorHAnsi"/>
          <w:color w:val="000000" w:themeColor="text1"/>
          <w:szCs w:val="22"/>
        </w:rPr>
        <w:t xml:space="preserve"> </w:t>
      </w:r>
      <w:r w:rsidRPr="00442509">
        <w:rPr>
          <w:rFonts w:cstheme="minorHAnsi"/>
          <w:szCs w:val="22"/>
        </w:rPr>
        <w:t>in’ effecten hoog bij aankoop van ICT</w:t>
      </w:r>
      <w:r w:rsidR="00B554BE">
        <w:rPr>
          <w:rFonts w:cstheme="minorHAnsi"/>
          <w:szCs w:val="22"/>
        </w:rPr>
        <w:t>.</w:t>
      </w:r>
      <w:r w:rsidRPr="00442509">
        <w:rPr>
          <w:rFonts w:cstheme="minorHAnsi"/>
          <w:szCs w:val="22"/>
        </w:rPr>
        <w:t xml:space="preserve"> </w:t>
      </w:r>
      <w:r w:rsidR="00B554BE">
        <w:rPr>
          <w:rFonts w:cstheme="minorHAnsi"/>
          <w:szCs w:val="22"/>
        </w:rPr>
        <w:t>E</w:t>
      </w:r>
      <w:r w:rsidRPr="00442509">
        <w:rPr>
          <w:rFonts w:cstheme="minorHAnsi"/>
          <w:szCs w:val="22"/>
        </w:rPr>
        <w:t>enmaal gedane investeringen zijn niet makkelijk te veranderen (</w:t>
      </w:r>
      <w:hyperlink r:id="rId26" w:history="1"/>
      <w:r w:rsidRPr="00442509">
        <w:rPr>
          <w:rFonts w:cstheme="minorHAnsi"/>
          <w:szCs w:val="22"/>
        </w:rPr>
        <w:t xml:space="preserve">Behr, 2004). </w:t>
      </w:r>
      <w:r w:rsidR="00CC73B2" w:rsidRPr="00442509">
        <w:rPr>
          <w:rFonts w:cstheme="minorHAnsi"/>
          <w:szCs w:val="22"/>
        </w:rPr>
        <w:t>Een</w:t>
      </w:r>
      <w:r w:rsidR="0062022D">
        <w:rPr>
          <w:rFonts w:cstheme="minorHAnsi"/>
          <w:szCs w:val="22"/>
        </w:rPr>
        <w:t xml:space="preserve"> ander</w:t>
      </w:r>
      <w:r w:rsidR="00CC73B2" w:rsidRPr="00442509">
        <w:rPr>
          <w:rFonts w:cstheme="minorHAnsi"/>
          <w:szCs w:val="22"/>
        </w:rPr>
        <w:t xml:space="preserve"> bekende risi</w:t>
      </w:r>
      <w:r w:rsidR="008873FA">
        <w:rPr>
          <w:rFonts w:cstheme="minorHAnsi"/>
          <w:szCs w:val="22"/>
        </w:rPr>
        <w:t>co</w:t>
      </w:r>
      <w:r w:rsidR="00CC73B2" w:rsidRPr="00442509">
        <w:rPr>
          <w:rFonts w:cstheme="minorHAnsi"/>
          <w:szCs w:val="22"/>
        </w:rPr>
        <w:t xml:space="preserve"> in ICT-projecten zijn de onvoorziene omstandigheden die verband houden met veranderingen en toevoegingen aan de oorspronkelijke specificaties gedurende het project (De Bruijn et </w:t>
      </w:r>
      <w:r w:rsidR="000B47A7">
        <w:rPr>
          <w:rFonts w:cstheme="minorHAnsi"/>
          <w:szCs w:val="22"/>
        </w:rPr>
        <w:t>al.</w:t>
      </w:r>
      <w:r w:rsidR="00CC73B2" w:rsidRPr="00442509">
        <w:rPr>
          <w:rFonts w:cstheme="minorHAnsi"/>
          <w:szCs w:val="22"/>
        </w:rPr>
        <w:t xml:space="preserve"> 2015).</w:t>
      </w:r>
    </w:p>
    <w:p w14:paraId="1B81E7E3" w14:textId="5C8877A9" w:rsidR="00126C00" w:rsidRPr="00442509" w:rsidRDefault="00717BF5" w:rsidP="008F0579">
      <w:pPr>
        <w:spacing w:after="0" w:line="276" w:lineRule="auto"/>
        <w:ind w:firstLine="708"/>
        <w:rPr>
          <w:rFonts w:asciiTheme="minorHAnsi" w:eastAsiaTheme="minorHAnsi" w:hAnsiTheme="minorHAnsi" w:cstheme="minorHAnsi"/>
          <w:color w:val="000000" w:themeColor="text1"/>
          <w:sz w:val="22"/>
          <w:szCs w:val="22"/>
        </w:rPr>
      </w:pPr>
      <w:bookmarkStart w:id="62" w:name="_Hlk496446484"/>
      <w:r w:rsidRPr="00442509">
        <w:rPr>
          <w:rFonts w:asciiTheme="minorHAnsi" w:eastAsiaTheme="minorHAnsi" w:hAnsiTheme="minorHAnsi" w:cstheme="minorHAnsi"/>
          <w:color w:val="000000" w:themeColor="text1"/>
          <w:sz w:val="22"/>
          <w:szCs w:val="22"/>
        </w:rPr>
        <w:t xml:space="preserve">Van der Valk en </w:t>
      </w:r>
      <w:proofErr w:type="spellStart"/>
      <w:r w:rsidRPr="00442509">
        <w:rPr>
          <w:rFonts w:asciiTheme="minorHAnsi" w:eastAsiaTheme="minorHAnsi" w:hAnsiTheme="minorHAnsi" w:cstheme="minorHAnsi"/>
          <w:color w:val="000000" w:themeColor="text1"/>
          <w:sz w:val="22"/>
          <w:szCs w:val="22"/>
        </w:rPr>
        <w:t>Rozemeijer</w:t>
      </w:r>
      <w:proofErr w:type="spellEnd"/>
      <w:r w:rsidRPr="00442509">
        <w:rPr>
          <w:rFonts w:asciiTheme="minorHAnsi" w:eastAsiaTheme="minorHAnsi" w:hAnsiTheme="minorHAnsi" w:cstheme="minorHAnsi"/>
          <w:color w:val="000000" w:themeColor="text1"/>
          <w:sz w:val="22"/>
          <w:szCs w:val="22"/>
        </w:rPr>
        <w:t xml:space="preserve"> (</w:t>
      </w:r>
      <w:hyperlink r:id="rId27" w:history="1"/>
      <w:r w:rsidRPr="00442509">
        <w:rPr>
          <w:rFonts w:asciiTheme="minorHAnsi" w:eastAsiaTheme="minorHAnsi" w:hAnsiTheme="minorHAnsi" w:cstheme="minorHAnsi"/>
          <w:color w:val="000000" w:themeColor="text1"/>
          <w:sz w:val="22"/>
          <w:szCs w:val="22"/>
        </w:rPr>
        <w:t xml:space="preserve">2009) vullen het inkoopproces van </w:t>
      </w:r>
      <w:proofErr w:type="spellStart"/>
      <w:r w:rsidRPr="00442509">
        <w:rPr>
          <w:rFonts w:asciiTheme="minorHAnsi" w:eastAsiaTheme="minorHAnsi" w:hAnsiTheme="minorHAnsi" w:cstheme="minorHAnsi"/>
          <w:color w:val="000000" w:themeColor="text1"/>
          <w:sz w:val="22"/>
          <w:szCs w:val="22"/>
        </w:rPr>
        <w:t>Van</w:t>
      </w:r>
      <w:proofErr w:type="spellEnd"/>
      <w:r w:rsidRPr="00442509">
        <w:rPr>
          <w:rFonts w:asciiTheme="minorHAnsi" w:eastAsiaTheme="minorHAnsi" w:hAnsiTheme="minorHAnsi" w:cstheme="minorHAnsi"/>
          <w:color w:val="000000" w:themeColor="text1"/>
          <w:sz w:val="22"/>
          <w:szCs w:val="22"/>
        </w:rPr>
        <w:t xml:space="preserve"> Weele aan door twee essentiële aspecten aan toe te voegen: verzoek tot informatieverlening en gedetailleerde specificatie.</w:t>
      </w:r>
      <w:r w:rsidR="00037E92">
        <w:rPr>
          <w:rFonts w:asciiTheme="minorHAnsi" w:eastAsiaTheme="minorHAnsi" w:hAnsiTheme="minorHAnsi" w:cstheme="minorHAnsi"/>
          <w:color w:val="000000" w:themeColor="text1"/>
          <w:sz w:val="22"/>
          <w:szCs w:val="22"/>
        </w:rPr>
        <w:t xml:space="preserve"> Dit wordt weergegeven in figuur 4.</w:t>
      </w:r>
      <w:r w:rsidRPr="00442509">
        <w:rPr>
          <w:rFonts w:asciiTheme="minorHAnsi" w:eastAsiaTheme="minorHAnsi" w:hAnsiTheme="minorHAnsi" w:cstheme="minorHAnsi"/>
          <w:color w:val="000000" w:themeColor="text1"/>
          <w:sz w:val="22"/>
          <w:szCs w:val="22"/>
        </w:rPr>
        <w:t xml:space="preserve"> Dit is een welkome aanvulling vanwege de geconstateerde problemen van het model.</w:t>
      </w:r>
      <w:bookmarkEnd w:id="62"/>
      <w:r w:rsidR="008F0579" w:rsidRPr="00442509">
        <w:rPr>
          <w:rFonts w:asciiTheme="minorHAnsi" w:eastAsiaTheme="minorHAnsi" w:hAnsiTheme="minorHAnsi" w:cstheme="minorHAnsi"/>
          <w:color w:val="000000" w:themeColor="text1"/>
          <w:sz w:val="22"/>
          <w:szCs w:val="22"/>
        </w:rPr>
        <w:t xml:space="preserve"> </w:t>
      </w:r>
      <w:r w:rsidRPr="00442509">
        <w:rPr>
          <w:rFonts w:asciiTheme="minorHAnsi" w:eastAsiaTheme="minorHAnsi" w:hAnsiTheme="minorHAnsi" w:cstheme="minorHAnsi"/>
          <w:color w:val="000000" w:themeColor="text1"/>
          <w:sz w:val="22"/>
          <w:szCs w:val="22"/>
        </w:rPr>
        <w:t xml:space="preserve">Volgens Van der Valk en </w:t>
      </w:r>
      <w:proofErr w:type="spellStart"/>
      <w:r w:rsidRPr="00442509">
        <w:rPr>
          <w:rFonts w:asciiTheme="minorHAnsi" w:eastAsiaTheme="minorHAnsi" w:hAnsiTheme="minorHAnsi" w:cstheme="minorHAnsi"/>
          <w:color w:val="000000" w:themeColor="text1"/>
          <w:sz w:val="22"/>
          <w:szCs w:val="22"/>
        </w:rPr>
        <w:t>Rozemeijer</w:t>
      </w:r>
      <w:proofErr w:type="spellEnd"/>
      <w:r w:rsidRPr="00442509">
        <w:rPr>
          <w:rFonts w:asciiTheme="minorHAnsi" w:eastAsiaTheme="minorHAnsi" w:hAnsiTheme="minorHAnsi" w:cstheme="minorHAnsi"/>
          <w:color w:val="000000" w:themeColor="text1"/>
          <w:sz w:val="22"/>
          <w:szCs w:val="22"/>
        </w:rPr>
        <w:t xml:space="preserve"> (2009) is het formuleren van specificaties van diensten om een tweetal redenen problematisch.</w:t>
      </w:r>
      <w:r w:rsidR="00B554BE">
        <w:rPr>
          <w:rFonts w:asciiTheme="minorHAnsi" w:eastAsiaTheme="minorHAnsi" w:hAnsiTheme="minorHAnsi" w:cstheme="minorHAnsi"/>
          <w:color w:val="000000" w:themeColor="text1"/>
          <w:sz w:val="22"/>
          <w:szCs w:val="22"/>
        </w:rPr>
        <w:t xml:space="preserve"> </w:t>
      </w:r>
      <w:r w:rsidRPr="00442509">
        <w:rPr>
          <w:rFonts w:asciiTheme="minorHAnsi" w:eastAsiaTheme="minorHAnsi" w:hAnsiTheme="minorHAnsi" w:cstheme="minorHAnsi"/>
          <w:color w:val="000000" w:themeColor="text1"/>
          <w:sz w:val="22"/>
          <w:szCs w:val="22"/>
        </w:rPr>
        <w:t xml:space="preserve">Indien de inhoud van een SLA niet duidelijk is gespecificeerd, weten de partijen niet welke aspecten van de dienst geïnspecteerd zullen worden. Dit is de eerste stap in het proces bepalend voor de volgende fasen. In de beginfase, de fase van specificeren, dient een gewogen stakeholdersanalyse uitgevoerd te worden om in kaart te brengen wie de actoren zijn en welk belang zij bij deze dienst hebben. Mede hierom is het raadzaam om alvorens door te schakelen naar de fase van leverancierskeuze, de twee stappen in overweging te nemen. De inkooporganisatie dient na te gaan of de gekozen specificaties van de vraag accuraat en compleet zijn. Van der Valk &amp; </w:t>
      </w:r>
      <w:proofErr w:type="spellStart"/>
      <w:r w:rsidRPr="00442509">
        <w:rPr>
          <w:rFonts w:asciiTheme="minorHAnsi" w:eastAsiaTheme="minorHAnsi" w:hAnsiTheme="minorHAnsi" w:cstheme="minorHAnsi"/>
          <w:color w:val="000000" w:themeColor="text1"/>
          <w:sz w:val="22"/>
          <w:szCs w:val="22"/>
        </w:rPr>
        <w:t>Rozemeijer</w:t>
      </w:r>
      <w:proofErr w:type="spellEnd"/>
      <w:r w:rsidRPr="00442509">
        <w:rPr>
          <w:rFonts w:asciiTheme="minorHAnsi" w:eastAsiaTheme="minorHAnsi" w:hAnsiTheme="minorHAnsi" w:cstheme="minorHAnsi"/>
          <w:color w:val="000000" w:themeColor="text1"/>
          <w:sz w:val="22"/>
          <w:szCs w:val="22"/>
        </w:rPr>
        <w:t xml:space="preserve"> (</w:t>
      </w:r>
      <w:hyperlink r:id="rId28" w:history="1"/>
      <w:r w:rsidRPr="00442509">
        <w:rPr>
          <w:rFonts w:asciiTheme="minorHAnsi" w:eastAsiaTheme="minorHAnsi" w:hAnsiTheme="minorHAnsi" w:cstheme="minorHAnsi"/>
          <w:color w:val="000000" w:themeColor="text1"/>
          <w:sz w:val="22"/>
          <w:szCs w:val="22"/>
        </w:rPr>
        <w:t>2009) noemen dit de initiatiefase. De initiële fasen van het inkooptraject, specificeren, kiezen van leverancier en c</w:t>
      </w:r>
      <w:r w:rsidR="008873FA">
        <w:rPr>
          <w:rFonts w:asciiTheme="minorHAnsi" w:eastAsiaTheme="minorHAnsi" w:hAnsiTheme="minorHAnsi" w:cstheme="minorHAnsi"/>
          <w:color w:val="000000" w:themeColor="text1"/>
          <w:sz w:val="22"/>
          <w:szCs w:val="22"/>
        </w:rPr>
        <w:t>ontracteren, zijn onder te scharen</w:t>
      </w:r>
      <w:r w:rsidRPr="00442509">
        <w:rPr>
          <w:rFonts w:asciiTheme="minorHAnsi" w:eastAsiaTheme="minorHAnsi" w:hAnsiTheme="minorHAnsi" w:cstheme="minorHAnsi"/>
          <w:color w:val="000000" w:themeColor="text1"/>
          <w:sz w:val="22"/>
          <w:szCs w:val="22"/>
        </w:rPr>
        <w:t xml:space="preserve"> onder tactisch</w:t>
      </w:r>
      <w:r w:rsidR="00B554BE">
        <w:rPr>
          <w:rFonts w:asciiTheme="minorHAnsi" w:eastAsiaTheme="minorHAnsi" w:hAnsiTheme="minorHAnsi" w:cstheme="minorHAnsi"/>
          <w:color w:val="000000" w:themeColor="text1"/>
          <w:sz w:val="22"/>
          <w:szCs w:val="22"/>
        </w:rPr>
        <w:t>e</w:t>
      </w:r>
      <w:r w:rsidRPr="00442509">
        <w:rPr>
          <w:rFonts w:asciiTheme="minorHAnsi" w:eastAsiaTheme="minorHAnsi" w:hAnsiTheme="minorHAnsi" w:cstheme="minorHAnsi"/>
          <w:color w:val="000000" w:themeColor="text1"/>
          <w:sz w:val="22"/>
          <w:szCs w:val="22"/>
        </w:rPr>
        <w:t xml:space="preserve"> inkoop (De Bruijn et </w:t>
      </w:r>
      <w:r w:rsidR="000B47A7">
        <w:rPr>
          <w:rFonts w:asciiTheme="minorHAnsi" w:eastAsiaTheme="minorHAnsi" w:hAnsiTheme="minorHAnsi" w:cstheme="minorHAnsi"/>
          <w:color w:val="000000" w:themeColor="text1"/>
          <w:sz w:val="22"/>
          <w:szCs w:val="22"/>
        </w:rPr>
        <w:t>al.</w:t>
      </w:r>
      <w:r w:rsidRPr="00442509">
        <w:rPr>
          <w:rFonts w:asciiTheme="minorHAnsi" w:eastAsiaTheme="minorHAnsi" w:hAnsiTheme="minorHAnsi" w:cstheme="minorHAnsi"/>
          <w:color w:val="000000" w:themeColor="text1"/>
          <w:sz w:val="22"/>
          <w:szCs w:val="22"/>
        </w:rPr>
        <w:t xml:space="preserve"> 2015). Deze fasen komen in sterke mate overeen met de algemene inkoopfasen van </w:t>
      </w:r>
      <w:proofErr w:type="spellStart"/>
      <w:r w:rsidRPr="00442509">
        <w:rPr>
          <w:rFonts w:asciiTheme="minorHAnsi" w:eastAsiaTheme="minorHAnsi" w:hAnsiTheme="minorHAnsi" w:cstheme="minorHAnsi"/>
          <w:color w:val="000000" w:themeColor="text1"/>
          <w:sz w:val="22"/>
          <w:szCs w:val="22"/>
        </w:rPr>
        <w:t>Van</w:t>
      </w:r>
      <w:proofErr w:type="spellEnd"/>
      <w:r w:rsidRPr="00442509">
        <w:rPr>
          <w:rFonts w:asciiTheme="minorHAnsi" w:eastAsiaTheme="minorHAnsi" w:hAnsiTheme="minorHAnsi" w:cstheme="minorHAnsi"/>
          <w:color w:val="000000" w:themeColor="text1"/>
          <w:sz w:val="22"/>
          <w:szCs w:val="22"/>
        </w:rPr>
        <w:t xml:space="preserve"> We</w:t>
      </w:r>
      <w:r w:rsidR="00126C00" w:rsidRPr="00442509">
        <w:rPr>
          <w:rFonts w:asciiTheme="minorHAnsi" w:eastAsiaTheme="minorHAnsi" w:hAnsiTheme="minorHAnsi" w:cstheme="minorHAnsi"/>
          <w:color w:val="000000" w:themeColor="text1"/>
          <w:sz w:val="22"/>
          <w:szCs w:val="22"/>
        </w:rPr>
        <w:t xml:space="preserve">ele (De Bruijn et </w:t>
      </w:r>
      <w:r w:rsidR="000B47A7">
        <w:rPr>
          <w:rFonts w:asciiTheme="minorHAnsi" w:eastAsiaTheme="minorHAnsi" w:hAnsiTheme="minorHAnsi" w:cstheme="minorHAnsi"/>
          <w:color w:val="000000" w:themeColor="text1"/>
          <w:sz w:val="22"/>
          <w:szCs w:val="22"/>
        </w:rPr>
        <w:t>al.</w:t>
      </w:r>
      <w:r w:rsidR="00126C00" w:rsidRPr="00442509">
        <w:rPr>
          <w:rFonts w:asciiTheme="minorHAnsi" w:eastAsiaTheme="minorHAnsi" w:hAnsiTheme="minorHAnsi" w:cstheme="minorHAnsi"/>
          <w:color w:val="000000" w:themeColor="text1"/>
          <w:sz w:val="22"/>
          <w:szCs w:val="22"/>
        </w:rPr>
        <w:t xml:space="preserve"> 2015). </w:t>
      </w:r>
    </w:p>
    <w:p w14:paraId="10C21A87" w14:textId="0EB79CC9" w:rsidR="00717BF5" w:rsidRPr="00442509" w:rsidRDefault="00717BF5" w:rsidP="00717BF5">
      <w:pPr>
        <w:spacing w:after="0" w:line="276" w:lineRule="auto"/>
        <w:rPr>
          <w:rFonts w:asciiTheme="minorHAnsi" w:eastAsiaTheme="minorHAnsi" w:hAnsiTheme="minorHAnsi" w:cstheme="minorHAnsi"/>
          <w:color w:val="000000" w:themeColor="text1"/>
          <w:sz w:val="22"/>
          <w:szCs w:val="22"/>
        </w:rPr>
      </w:pPr>
      <w:r w:rsidRPr="00442509">
        <w:rPr>
          <w:rFonts w:asciiTheme="minorHAnsi" w:eastAsiaTheme="minorHAnsi" w:hAnsiTheme="minorHAnsi" w:cstheme="minorHAnsi"/>
          <w:color w:val="000000" w:themeColor="text1"/>
          <w:sz w:val="22"/>
          <w:szCs w:val="22"/>
        </w:rPr>
        <w:t xml:space="preserve">Ten tweede moeten inkopers leveranciers verzoeken om informatie te leveren. Hierdoor ontstaat interactie tussen de partijen en kan de verworven informatie gebruikt worden om een gedetailleerde specificatie op te stellen. </w:t>
      </w:r>
      <w:r w:rsidR="008F0579" w:rsidRPr="00442509">
        <w:rPr>
          <w:rFonts w:asciiTheme="minorHAnsi" w:eastAsiaTheme="minorHAnsi" w:hAnsiTheme="minorHAnsi" w:cstheme="minorHAnsi"/>
          <w:color w:val="000000" w:themeColor="text1"/>
          <w:sz w:val="22"/>
          <w:szCs w:val="22"/>
        </w:rPr>
        <w:t xml:space="preserve">Door coöperatieve leveranciers, gericht op samenwerking, wordt dit als gebruikelijk ervaren (De Bruijn et </w:t>
      </w:r>
      <w:r w:rsidR="000B47A7">
        <w:rPr>
          <w:rFonts w:asciiTheme="minorHAnsi" w:eastAsiaTheme="minorHAnsi" w:hAnsiTheme="minorHAnsi" w:cstheme="minorHAnsi"/>
          <w:color w:val="000000" w:themeColor="text1"/>
          <w:sz w:val="22"/>
          <w:szCs w:val="22"/>
        </w:rPr>
        <w:t>al.</w:t>
      </w:r>
      <w:r w:rsidR="008F0579" w:rsidRPr="00442509">
        <w:rPr>
          <w:rFonts w:asciiTheme="minorHAnsi" w:eastAsiaTheme="minorHAnsi" w:hAnsiTheme="minorHAnsi" w:cstheme="minorHAnsi"/>
          <w:color w:val="000000" w:themeColor="text1"/>
          <w:sz w:val="22"/>
          <w:szCs w:val="22"/>
        </w:rPr>
        <w:t xml:space="preserve"> 2015).</w:t>
      </w:r>
    </w:p>
    <w:p w14:paraId="0180592E" w14:textId="77777777" w:rsidR="00717BF5" w:rsidRPr="00F20EE0" w:rsidRDefault="00717BF5" w:rsidP="00717BF5">
      <w:pPr>
        <w:spacing w:after="0" w:line="276" w:lineRule="auto"/>
        <w:rPr>
          <w:rFonts w:asciiTheme="minorHAnsi" w:eastAsiaTheme="minorHAnsi" w:hAnsiTheme="minorHAnsi" w:cstheme="minorHAnsi"/>
          <w:color w:val="000000" w:themeColor="text1"/>
          <w:sz w:val="22"/>
          <w:szCs w:val="22"/>
        </w:rPr>
      </w:pPr>
    </w:p>
    <w:p w14:paraId="33E9ECAA" w14:textId="77777777" w:rsidR="00717BF5" w:rsidRDefault="00717BF5" w:rsidP="00717BF5">
      <w:pPr>
        <w:keepNext/>
        <w:spacing w:after="0" w:line="276" w:lineRule="auto"/>
      </w:pPr>
      <w:r>
        <w:rPr>
          <w:noProof/>
          <w:lang w:eastAsia="nl-NL"/>
        </w:rPr>
        <w:lastRenderedPageBreak/>
        <w:drawing>
          <wp:inline distT="0" distB="0" distL="0" distR="0" wp14:anchorId="26E688EA" wp14:editId="73A5014F">
            <wp:extent cx="4846320" cy="1595373"/>
            <wp:effectExtent l="0" t="0" r="0" b="5080"/>
            <wp:docPr id="308" name="Afbeelding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060660" cy="1665932"/>
                    </a:xfrm>
                    <a:prstGeom prst="rect">
                      <a:avLst/>
                    </a:prstGeom>
                    <a:noFill/>
                    <a:ln>
                      <a:noFill/>
                    </a:ln>
                  </pic:spPr>
                </pic:pic>
              </a:graphicData>
            </a:graphic>
          </wp:inline>
        </w:drawing>
      </w:r>
    </w:p>
    <w:p w14:paraId="3028FD04" w14:textId="1C3118EC" w:rsidR="00717BF5" w:rsidRPr="0052756E" w:rsidRDefault="004848A4" w:rsidP="0052756E">
      <w:pPr>
        <w:pStyle w:val="Caption"/>
      </w:pPr>
      <w:bookmarkStart w:id="63" w:name="_Hlk484359203"/>
      <w:r w:rsidRPr="0052756E">
        <w:t xml:space="preserve">Figuur </w:t>
      </w:r>
      <w:r w:rsidR="0052756E">
        <w:t>4</w:t>
      </w:r>
      <w:r w:rsidR="00717BF5" w:rsidRPr="0052756E">
        <w:t xml:space="preserve">: Aanvulling aan het model van </w:t>
      </w:r>
      <w:proofErr w:type="spellStart"/>
      <w:r w:rsidR="00717BF5" w:rsidRPr="0052756E">
        <w:t>Van</w:t>
      </w:r>
      <w:proofErr w:type="spellEnd"/>
      <w:r w:rsidR="00717BF5" w:rsidRPr="0052756E">
        <w:t xml:space="preserve"> Weele. </w:t>
      </w:r>
      <w:r w:rsidR="00F26545">
        <w:t>Ontleend uit</w:t>
      </w:r>
      <w:r w:rsidR="00717BF5" w:rsidRPr="0052756E">
        <w:t xml:space="preserve"> </w:t>
      </w:r>
      <w:hyperlink r:id="rId30" w:history="1"/>
      <w:r w:rsidR="00717BF5" w:rsidRPr="0052756E">
        <w:t xml:space="preserve">Van der Valk &amp; </w:t>
      </w:r>
      <w:proofErr w:type="spellStart"/>
      <w:r w:rsidR="00717BF5" w:rsidRPr="0052756E">
        <w:t>Rozemeijer</w:t>
      </w:r>
      <w:proofErr w:type="spellEnd"/>
      <w:r w:rsidR="00717BF5" w:rsidRPr="0052756E">
        <w:t>, 2009.</w:t>
      </w:r>
      <w:r w:rsidR="00717BF5" w:rsidRPr="0052756E">
        <w:tab/>
      </w:r>
    </w:p>
    <w:bookmarkEnd w:id="63"/>
    <w:p w14:paraId="2F7F5DD4" w14:textId="77777777" w:rsidR="00717BF5" w:rsidRPr="00D50F3E" w:rsidRDefault="00717BF5" w:rsidP="00717BF5">
      <w:pPr>
        <w:rPr>
          <w:rFonts w:eastAsiaTheme="minorHAnsi"/>
          <w:lang w:val="de-DE"/>
        </w:rPr>
      </w:pPr>
    </w:p>
    <w:p w14:paraId="443F6844" w14:textId="5D44A7F6" w:rsidR="00717BF5" w:rsidRPr="003B56D6" w:rsidRDefault="00717BF5" w:rsidP="00D10775">
      <w:pPr>
        <w:pStyle w:val="Heading3"/>
        <w:rPr>
          <w:color w:val="1F3864" w:themeColor="accent1" w:themeShade="80"/>
        </w:rPr>
      </w:pPr>
      <w:bookmarkStart w:id="64" w:name="_Toc517455457"/>
      <w:bookmarkStart w:id="65" w:name="_Hlk484109640"/>
      <w:r w:rsidRPr="003B56D6">
        <w:rPr>
          <w:color w:val="1F3864" w:themeColor="accent1" w:themeShade="80"/>
        </w:rPr>
        <w:t>3.5.3 Fase selecteren</w:t>
      </w:r>
      <w:bookmarkEnd w:id="64"/>
    </w:p>
    <w:bookmarkEnd w:id="65"/>
    <w:p w14:paraId="4F8FDD85" w14:textId="77777777" w:rsidR="00717BF5" w:rsidRPr="00442509" w:rsidRDefault="00717BF5" w:rsidP="00717BF5">
      <w:pPr>
        <w:spacing w:after="0" w:line="276" w:lineRule="auto"/>
        <w:rPr>
          <w:rFonts w:asciiTheme="minorHAnsi" w:eastAsiaTheme="minorHAnsi" w:hAnsiTheme="minorHAnsi" w:cs="Arial"/>
          <w:i/>
          <w:color w:val="000000" w:themeColor="text1"/>
          <w:sz w:val="22"/>
          <w:szCs w:val="22"/>
        </w:rPr>
      </w:pPr>
      <w:r w:rsidRPr="00442509">
        <w:rPr>
          <w:rFonts w:asciiTheme="minorHAnsi" w:eastAsiaTheme="minorHAnsi" w:hAnsiTheme="minorHAnsi" w:cs="Arial"/>
          <w:i/>
          <w:color w:val="000000" w:themeColor="text1"/>
          <w:sz w:val="22"/>
          <w:szCs w:val="22"/>
        </w:rPr>
        <w:t>- Wie mag het leveren? -</w:t>
      </w:r>
    </w:p>
    <w:p w14:paraId="5D320D2F" w14:textId="5F7C6415" w:rsidR="00717BF5" w:rsidRPr="00442509" w:rsidRDefault="00A87533" w:rsidP="00717BF5">
      <w:pPr>
        <w:spacing w:after="0" w:line="276" w:lineRule="auto"/>
        <w:rPr>
          <w:rFonts w:asciiTheme="minorHAnsi" w:eastAsiaTheme="minorHAnsi" w:hAnsiTheme="minorHAnsi" w:cs="Arial"/>
          <w:color w:val="000000" w:themeColor="text1"/>
          <w:sz w:val="22"/>
          <w:szCs w:val="22"/>
        </w:rPr>
      </w:pPr>
      <w:r>
        <w:rPr>
          <w:rFonts w:asciiTheme="minorHAnsi" w:eastAsiaTheme="minorHAnsi" w:hAnsiTheme="minorHAnsi" w:cs="Arial"/>
          <w:color w:val="000000" w:themeColor="text1"/>
          <w:sz w:val="22"/>
          <w:szCs w:val="22"/>
        </w:rPr>
        <w:t>De t</w:t>
      </w:r>
      <w:r w:rsidR="00717BF5" w:rsidRPr="00442509">
        <w:rPr>
          <w:rFonts w:asciiTheme="minorHAnsi" w:eastAsiaTheme="minorHAnsi" w:hAnsiTheme="minorHAnsi" w:cs="Arial"/>
          <w:color w:val="000000" w:themeColor="text1"/>
          <w:sz w:val="22"/>
          <w:szCs w:val="22"/>
        </w:rPr>
        <w:t xml:space="preserve">weede stap in het inkoopproces betreft het </w:t>
      </w:r>
      <w:r w:rsidR="00717BF5" w:rsidRPr="00442509">
        <w:rPr>
          <w:rFonts w:asciiTheme="minorHAnsi" w:eastAsiaTheme="minorHAnsi" w:hAnsiTheme="minorHAnsi" w:cs="Arial"/>
          <w:i/>
          <w:color w:val="000000" w:themeColor="text1"/>
          <w:sz w:val="22"/>
          <w:szCs w:val="22"/>
        </w:rPr>
        <w:t>kiezen van een leverancier</w:t>
      </w:r>
      <w:r w:rsidR="00717BF5" w:rsidRPr="00442509">
        <w:rPr>
          <w:rFonts w:asciiTheme="minorHAnsi" w:eastAsiaTheme="minorHAnsi" w:hAnsiTheme="minorHAnsi" w:cs="Arial"/>
          <w:color w:val="000000" w:themeColor="text1"/>
          <w:sz w:val="22"/>
          <w:szCs w:val="22"/>
        </w:rPr>
        <w:t xml:space="preserve">. Binnen deze fase worden de mogelijke leveranciers, zowel nieuwe als bestaande, geïdentificeerd. </w:t>
      </w:r>
      <w:r w:rsidR="00AA6B78" w:rsidRPr="00442509">
        <w:rPr>
          <w:rFonts w:asciiTheme="minorHAnsi" w:eastAsiaTheme="minorHAnsi" w:hAnsiTheme="minorHAnsi" w:cs="Arial"/>
          <w:color w:val="000000" w:themeColor="text1"/>
          <w:sz w:val="22"/>
          <w:szCs w:val="22"/>
        </w:rPr>
        <w:t>Organisaties</w:t>
      </w:r>
      <w:r w:rsidR="00717BF5" w:rsidRPr="00442509">
        <w:rPr>
          <w:rFonts w:asciiTheme="minorHAnsi" w:eastAsiaTheme="minorHAnsi" w:hAnsiTheme="minorHAnsi" w:cs="Arial"/>
          <w:color w:val="000000" w:themeColor="text1"/>
          <w:sz w:val="22"/>
          <w:szCs w:val="22"/>
        </w:rPr>
        <w:t xml:space="preserve"> oriënteren zich uitgebreid op de markt</w:t>
      </w:r>
      <w:r w:rsidR="00DD16DA">
        <w:rPr>
          <w:rFonts w:asciiTheme="minorHAnsi" w:eastAsiaTheme="minorHAnsi" w:hAnsiTheme="minorHAnsi" w:cs="Arial"/>
          <w:color w:val="000000" w:themeColor="text1"/>
          <w:sz w:val="22"/>
          <w:szCs w:val="22"/>
        </w:rPr>
        <w:t xml:space="preserve"> en met name bij </w:t>
      </w:r>
      <w:r w:rsidR="00717BF5" w:rsidRPr="00442509">
        <w:rPr>
          <w:rFonts w:asciiTheme="minorHAnsi" w:eastAsiaTheme="minorHAnsi" w:hAnsiTheme="minorHAnsi" w:cs="Arial"/>
          <w:color w:val="000000" w:themeColor="text1"/>
          <w:sz w:val="22"/>
          <w:szCs w:val="22"/>
        </w:rPr>
        <w:t>kapitaalintensieve aankopen</w:t>
      </w:r>
      <w:r w:rsidR="00DD16DA">
        <w:rPr>
          <w:rFonts w:asciiTheme="minorHAnsi" w:eastAsiaTheme="minorHAnsi" w:hAnsiTheme="minorHAnsi" w:cs="Arial"/>
          <w:color w:val="000000" w:themeColor="text1"/>
          <w:sz w:val="22"/>
          <w:szCs w:val="22"/>
        </w:rPr>
        <w:t xml:space="preserve"> wordt er gebruik</w:t>
      </w:r>
      <w:r w:rsidR="002C44E1">
        <w:rPr>
          <w:rFonts w:asciiTheme="minorHAnsi" w:eastAsiaTheme="minorHAnsi" w:hAnsiTheme="minorHAnsi" w:cs="Arial"/>
          <w:color w:val="000000" w:themeColor="text1"/>
          <w:sz w:val="22"/>
          <w:szCs w:val="22"/>
        </w:rPr>
        <w:t xml:space="preserve"> gemaakt</w:t>
      </w:r>
      <w:r w:rsidR="00DD16DA">
        <w:rPr>
          <w:rFonts w:asciiTheme="minorHAnsi" w:eastAsiaTheme="minorHAnsi" w:hAnsiTheme="minorHAnsi" w:cs="Arial"/>
          <w:color w:val="000000" w:themeColor="text1"/>
          <w:sz w:val="22"/>
          <w:szCs w:val="22"/>
        </w:rPr>
        <w:t xml:space="preserve"> van </w:t>
      </w:r>
      <w:r w:rsidR="00717BF5" w:rsidRPr="00442509">
        <w:rPr>
          <w:rFonts w:asciiTheme="minorHAnsi" w:eastAsiaTheme="minorHAnsi" w:hAnsiTheme="minorHAnsi" w:cs="Arial"/>
          <w:color w:val="000000" w:themeColor="text1"/>
          <w:sz w:val="22"/>
          <w:szCs w:val="22"/>
        </w:rPr>
        <w:t>marktconsultatie door een extern partij. Tijdens de marktoriëntatie wordt er gekeken welke leverancier aan de gestelde specificaties kan voldoen. Van Wetering (2015) pleit voor verkenning van de markt, vergelijking van het aanbod van verschillende leveranciers en het gesprek aangaan met leveranciers bij grote investeringen. Dit is met na</w:t>
      </w:r>
      <w:r w:rsidR="00AA6B78" w:rsidRPr="00442509">
        <w:rPr>
          <w:rFonts w:asciiTheme="minorHAnsi" w:eastAsiaTheme="minorHAnsi" w:hAnsiTheme="minorHAnsi" w:cs="Arial"/>
          <w:color w:val="000000" w:themeColor="text1"/>
          <w:sz w:val="22"/>
          <w:szCs w:val="22"/>
        </w:rPr>
        <w:t>me relevant als het gaat om ICT, aangezien</w:t>
      </w:r>
      <w:r w:rsidR="00717BF5" w:rsidRPr="00442509">
        <w:rPr>
          <w:rFonts w:asciiTheme="minorHAnsi" w:eastAsiaTheme="minorHAnsi" w:hAnsiTheme="minorHAnsi" w:cs="Arial"/>
          <w:color w:val="000000" w:themeColor="text1"/>
          <w:sz w:val="22"/>
          <w:szCs w:val="22"/>
        </w:rPr>
        <w:t xml:space="preserve"> de</w:t>
      </w:r>
      <w:r w:rsidR="00AA6B78" w:rsidRPr="00442509">
        <w:rPr>
          <w:rFonts w:asciiTheme="minorHAnsi" w:eastAsiaTheme="minorHAnsi" w:hAnsiTheme="minorHAnsi" w:cs="Arial"/>
          <w:color w:val="000000" w:themeColor="text1"/>
          <w:sz w:val="22"/>
          <w:szCs w:val="22"/>
        </w:rPr>
        <w:t xml:space="preserve">ze producten en diensten </w:t>
      </w:r>
      <w:r w:rsidR="00717BF5" w:rsidRPr="00442509">
        <w:rPr>
          <w:rFonts w:asciiTheme="minorHAnsi" w:eastAsiaTheme="minorHAnsi" w:hAnsiTheme="minorHAnsi" w:cs="Arial"/>
          <w:color w:val="000000" w:themeColor="text1"/>
          <w:sz w:val="22"/>
          <w:szCs w:val="22"/>
        </w:rPr>
        <w:t xml:space="preserve">door verschillende marktpartijen </w:t>
      </w:r>
      <w:r w:rsidR="00AA6B78" w:rsidRPr="00442509">
        <w:rPr>
          <w:rFonts w:asciiTheme="minorHAnsi" w:eastAsiaTheme="minorHAnsi" w:hAnsiTheme="minorHAnsi" w:cs="Arial"/>
          <w:color w:val="000000" w:themeColor="text1"/>
          <w:sz w:val="22"/>
          <w:szCs w:val="22"/>
        </w:rPr>
        <w:t xml:space="preserve">worden </w:t>
      </w:r>
      <w:r w:rsidR="00717BF5" w:rsidRPr="00442509">
        <w:rPr>
          <w:rFonts w:asciiTheme="minorHAnsi" w:eastAsiaTheme="minorHAnsi" w:hAnsiTheme="minorHAnsi" w:cs="Arial"/>
          <w:color w:val="000000" w:themeColor="text1"/>
          <w:sz w:val="22"/>
          <w:szCs w:val="22"/>
        </w:rPr>
        <w:t>aangeboden. In de praktijk zijn schoolbesturen doorgaans geneigd om vanuit het oogpunt va</w:t>
      </w:r>
      <w:r w:rsidR="00AA6B78" w:rsidRPr="00442509">
        <w:rPr>
          <w:rFonts w:asciiTheme="minorHAnsi" w:eastAsiaTheme="minorHAnsi" w:hAnsiTheme="minorHAnsi" w:cs="Arial"/>
          <w:color w:val="000000" w:themeColor="text1"/>
          <w:sz w:val="22"/>
          <w:szCs w:val="22"/>
        </w:rPr>
        <w:t>n vertrouwen en gemak beperkt aantal partijen</w:t>
      </w:r>
      <w:r w:rsidR="00717BF5" w:rsidRPr="00442509">
        <w:rPr>
          <w:rFonts w:asciiTheme="minorHAnsi" w:eastAsiaTheme="minorHAnsi" w:hAnsiTheme="minorHAnsi" w:cs="Arial"/>
          <w:color w:val="000000" w:themeColor="text1"/>
          <w:sz w:val="22"/>
          <w:szCs w:val="22"/>
        </w:rPr>
        <w:t xml:space="preserve"> in het proces te betrekken. Met als gevolg dat zij steeds afhankelijker worden van diensten en producten van één leverancier. Een schoolbestuur dat de markt heeft verkend en het aanbod van leveranciers heeft vergeleken, kan meer gericht met marktpartijen in gesprek gaan over specifieke wensen (Van Wetering, 2015). Dit heeft een posit</w:t>
      </w:r>
      <w:r w:rsidR="00AA6B78" w:rsidRPr="00442509">
        <w:rPr>
          <w:rFonts w:asciiTheme="minorHAnsi" w:eastAsiaTheme="minorHAnsi" w:hAnsiTheme="minorHAnsi" w:cs="Arial"/>
          <w:color w:val="000000" w:themeColor="text1"/>
          <w:sz w:val="22"/>
          <w:szCs w:val="22"/>
        </w:rPr>
        <w:t xml:space="preserve">ieve invloed op </w:t>
      </w:r>
      <w:r w:rsidR="00717BF5" w:rsidRPr="00442509">
        <w:rPr>
          <w:rFonts w:asciiTheme="minorHAnsi" w:eastAsiaTheme="minorHAnsi" w:hAnsiTheme="minorHAnsi" w:cs="Arial"/>
          <w:color w:val="000000" w:themeColor="text1"/>
          <w:sz w:val="22"/>
          <w:szCs w:val="22"/>
        </w:rPr>
        <w:t xml:space="preserve">efficiënt inkoop.  </w:t>
      </w:r>
    </w:p>
    <w:p w14:paraId="3D535CFF" w14:textId="0A4C9830" w:rsidR="00717BF5" w:rsidRPr="00A87533" w:rsidRDefault="002C44E1" w:rsidP="00A87533">
      <w:pPr>
        <w:spacing w:after="0" w:line="276" w:lineRule="auto"/>
        <w:rPr>
          <w:rFonts w:asciiTheme="minorHAnsi" w:eastAsiaTheme="minorHAnsi" w:hAnsiTheme="minorHAnsi" w:cs="Arial"/>
          <w:sz w:val="22"/>
          <w:szCs w:val="22"/>
        </w:rPr>
      </w:pPr>
      <w:r>
        <w:rPr>
          <w:rFonts w:asciiTheme="minorHAnsi" w:eastAsiaTheme="minorHAnsi" w:hAnsiTheme="minorHAnsi" w:cs="Arial"/>
          <w:color w:val="000000" w:themeColor="text1"/>
          <w:sz w:val="22"/>
          <w:szCs w:val="22"/>
        </w:rPr>
        <w:tab/>
      </w:r>
      <w:r w:rsidR="00717BF5" w:rsidRPr="00442509">
        <w:rPr>
          <w:rFonts w:asciiTheme="minorHAnsi" w:eastAsiaTheme="minorHAnsi" w:hAnsiTheme="minorHAnsi" w:cs="Arial"/>
          <w:color w:val="000000" w:themeColor="text1"/>
          <w:sz w:val="22"/>
          <w:szCs w:val="22"/>
        </w:rPr>
        <w:t>Bij het selecteren van de leverancier dient er ook rekening te worden gehouden met de veelheid aan doelen (</w:t>
      </w:r>
      <w:proofErr w:type="spellStart"/>
      <w:r w:rsidR="00717BF5" w:rsidRPr="00442509">
        <w:rPr>
          <w:rFonts w:asciiTheme="minorHAnsi" w:eastAsiaTheme="minorHAnsi" w:hAnsiTheme="minorHAnsi" w:cs="Arial"/>
          <w:color w:val="000000" w:themeColor="text1"/>
          <w:sz w:val="22"/>
          <w:szCs w:val="22"/>
        </w:rPr>
        <w:t>Brun</w:t>
      </w:r>
      <w:proofErr w:type="spellEnd"/>
      <w:r w:rsidR="00717BF5" w:rsidRPr="00442509">
        <w:rPr>
          <w:rFonts w:asciiTheme="minorHAnsi" w:eastAsiaTheme="minorHAnsi" w:hAnsiTheme="minorHAnsi" w:cs="Arial"/>
          <w:color w:val="000000" w:themeColor="text1"/>
          <w:sz w:val="22"/>
          <w:szCs w:val="22"/>
        </w:rPr>
        <w:t xml:space="preserve"> </w:t>
      </w:r>
      <w:r w:rsidR="00AA6B78" w:rsidRPr="00442509">
        <w:rPr>
          <w:rFonts w:asciiTheme="minorHAnsi" w:eastAsiaTheme="minorHAnsi" w:hAnsiTheme="minorHAnsi" w:cs="Arial"/>
          <w:color w:val="000000" w:themeColor="text1"/>
          <w:sz w:val="22"/>
          <w:szCs w:val="22"/>
        </w:rPr>
        <w:t xml:space="preserve">et </w:t>
      </w:r>
      <w:r w:rsidR="000B47A7">
        <w:rPr>
          <w:rFonts w:asciiTheme="minorHAnsi" w:eastAsiaTheme="minorHAnsi" w:hAnsiTheme="minorHAnsi" w:cs="Arial"/>
          <w:color w:val="000000" w:themeColor="text1"/>
          <w:sz w:val="22"/>
          <w:szCs w:val="22"/>
        </w:rPr>
        <w:t>al.</w:t>
      </w:r>
      <w:r w:rsidR="00AA6B78" w:rsidRPr="00442509">
        <w:rPr>
          <w:rFonts w:asciiTheme="minorHAnsi" w:eastAsiaTheme="minorHAnsi" w:hAnsiTheme="minorHAnsi" w:cs="Arial"/>
          <w:color w:val="000000" w:themeColor="text1"/>
          <w:sz w:val="22"/>
          <w:szCs w:val="22"/>
        </w:rPr>
        <w:t xml:space="preserve"> 2013). H</w:t>
      </w:r>
      <w:r w:rsidR="00717BF5" w:rsidRPr="00442509">
        <w:rPr>
          <w:rFonts w:asciiTheme="minorHAnsi" w:eastAsiaTheme="minorHAnsi" w:hAnsiTheme="minorHAnsi" w:cs="Arial"/>
          <w:color w:val="000000" w:themeColor="text1"/>
          <w:sz w:val="22"/>
          <w:szCs w:val="22"/>
        </w:rPr>
        <w:t xml:space="preserve">ierbij </w:t>
      </w:r>
      <w:r w:rsidR="00AA6B78" w:rsidRPr="00442509">
        <w:rPr>
          <w:rFonts w:asciiTheme="minorHAnsi" w:eastAsiaTheme="minorHAnsi" w:hAnsiTheme="minorHAnsi" w:cs="Arial"/>
          <w:color w:val="000000" w:themeColor="text1"/>
          <w:sz w:val="22"/>
          <w:szCs w:val="22"/>
        </w:rPr>
        <w:t xml:space="preserve">wordt </w:t>
      </w:r>
      <w:r w:rsidR="00717BF5" w:rsidRPr="00442509">
        <w:rPr>
          <w:rFonts w:asciiTheme="minorHAnsi" w:eastAsiaTheme="minorHAnsi" w:hAnsiTheme="minorHAnsi" w:cs="Arial"/>
          <w:color w:val="000000" w:themeColor="text1"/>
          <w:sz w:val="22"/>
          <w:szCs w:val="22"/>
        </w:rPr>
        <w:t xml:space="preserve">een hiërarch onderscheid gemaakt in materiële en immateriële criteria om deze doelstellingen te toetsen. Het is essentieel om hierbij de selectiecriteria en rangorde consistent te gebruiken. Traditioneel wordt er aandacht besteedt aan de kwantitatieve criteria als prijs, productiecapaciteit en financiële positie en status van de leverancier. Uit de theorie en de praktijk komt echter naar voren dat </w:t>
      </w:r>
      <w:r w:rsidR="00BF4E6C">
        <w:rPr>
          <w:rFonts w:asciiTheme="minorHAnsi" w:eastAsiaTheme="minorHAnsi" w:hAnsiTheme="minorHAnsi" w:cs="Arial"/>
          <w:color w:val="000000" w:themeColor="text1"/>
          <w:sz w:val="22"/>
          <w:szCs w:val="22"/>
        </w:rPr>
        <w:t xml:space="preserve">er </w:t>
      </w:r>
      <w:r w:rsidR="00717BF5" w:rsidRPr="00442509">
        <w:rPr>
          <w:rFonts w:asciiTheme="minorHAnsi" w:eastAsiaTheme="minorHAnsi" w:hAnsiTheme="minorHAnsi" w:cs="Arial"/>
          <w:color w:val="000000" w:themeColor="text1"/>
          <w:sz w:val="22"/>
          <w:szCs w:val="22"/>
        </w:rPr>
        <w:t xml:space="preserve">tevens aandacht uit moet gaan naar factoren </w:t>
      </w:r>
      <w:r w:rsidR="00BF4E6C">
        <w:rPr>
          <w:rFonts w:asciiTheme="minorHAnsi" w:eastAsiaTheme="minorHAnsi" w:hAnsiTheme="minorHAnsi" w:cs="Arial"/>
          <w:color w:val="000000" w:themeColor="text1"/>
          <w:sz w:val="22"/>
          <w:szCs w:val="22"/>
        </w:rPr>
        <w:t>als</w:t>
      </w:r>
      <w:r w:rsidR="00717BF5" w:rsidRPr="00442509">
        <w:rPr>
          <w:rFonts w:asciiTheme="minorHAnsi" w:eastAsiaTheme="minorHAnsi" w:hAnsiTheme="minorHAnsi" w:cs="Arial"/>
          <w:color w:val="000000" w:themeColor="text1"/>
          <w:sz w:val="22"/>
          <w:szCs w:val="22"/>
        </w:rPr>
        <w:t xml:space="preserve"> verzekering, aanwezige risico’s, beperkingen en andere aspecten van het product of dienst (</w:t>
      </w:r>
      <w:proofErr w:type="spellStart"/>
      <w:r w:rsidR="00717BF5" w:rsidRPr="00442509">
        <w:rPr>
          <w:rFonts w:asciiTheme="minorHAnsi" w:eastAsiaTheme="minorHAnsi" w:hAnsiTheme="minorHAnsi" w:cs="Arial"/>
          <w:color w:val="000000" w:themeColor="text1"/>
          <w:sz w:val="22"/>
          <w:szCs w:val="22"/>
        </w:rPr>
        <w:t>Brun</w:t>
      </w:r>
      <w:proofErr w:type="spellEnd"/>
      <w:r w:rsidR="00717BF5" w:rsidRPr="00442509">
        <w:rPr>
          <w:rFonts w:asciiTheme="minorHAnsi" w:eastAsiaTheme="minorHAnsi" w:hAnsiTheme="minorHAnsi" w:cs="Arial"/>
          <w:color w:val="000000" w:themeColor="text1"/>
          <w:sz w:val="22"/>
          <w:szCs w:val="22"/>
        </w:rPr>
        <w:t xml:space="preserve"> et </w:t>
      </w:r>
      <w:r w:rsidR="000B47A7">
        <w:rPr>
          <w:rFonts w:asciiTheme="minorHAnsi" w:eastAsiaTheme="minorHAnsi" w:hAnsiTheme="minorHAnsi" w:cs="Arial"/>
          <w:color w:val="000000" w:themeColor="text1"/>
          <w:sz w:val="22"/>
          <w:szCs w:val="22"/>
        </w:rPr>
        <w:t>al.</w:t>
      </w:r>
      <w:r w:rsidR="00717BF5" w:rsidRPr="00442509">
        <w:rPr>
          <w:rFonts w:asciiTheme="minorHAnsi" w:eastAsiaTheme="minorHAnsi" w:hAnsiTheme="minorHAnsi" w:cs="Arial"/>
          <w:color w:val="000000" w:themeColor="text1"/>
          <w:sz w:val="22"/>
          <w:szCs w:val="22"/>
        </w:rPr>
        <w:t xml:space="preserve"> 2013). Organisaties kunnen van </w:t>
      </w:r>
      <w:r w:rsidR="00717BF5" w:rsidRPr="00442509">
        <w:rPr>
          <w:rFonts w:asciiTheme="minorHAnsi" w:eastAsiaTheme="minorHAnsi" w:hAnsiTheme="minorHAnsi" w:cs="Arial"/>
          <w:sz w:val="22"/>
          <w:szCs w:val="22"/>
        </w:rPr>
        <w:t xml:space="preserve">verschillende kwantitatieve modellen en kwalitatieve methoden om leverancier te selecteren, te categoriseren, kostenbasten-analyse uit te </w:t>
      </w:r>
      <w:r w:rsidR="00717BF5" w:rsidRPr="00A87533">
        <w:rPr>
          <w:rFonts w:asciiTheme="minorHAnsi" w:eastAsiaTheme="minorHAnsi" w:hAnsiTheme="minorHAnsi" w:cstheme="minorHAnsi"/>
          <w:sz w:val="22"/>
          <w:szCs w:val="22"/>
        </w:rPr>
        <w:t>voeren en tegen elkaar af te wegen.</w:t>
      </w:r>
      <w:r w:rsidR="00A87533" w:rsidRPr="00A87533">
        <w:rPr>
          <w:rFonts w:asciiTheme="minorHAnsi" w:eastAsiaTheme="minorHAnsi" w:hAnsiTheme="minorHAnsi" w:cstheme="minorHAnsi"/>
          <w:sz w:val="22"/>
          <w:szCs w:val="22"/>
        </w:rPr>
        <w:t xml:space="preserve"> </w:t>
      </w:r>
      <w:r w:rsidR="00985D79" w:rsidRPr="00A87533">
        <w:rPr>
          <w:rFonts w:asciiTheme="minorHAnsi" w:hAnsiTheme="minorHAnsi" w:cstheme="minorHAnsi"/>
          <w:sz w:val="22"/>
          <w:szCs w:val="22"/>
        </w:rPr>
        <w:t xml:space="preserve">Opdrachtgevers dienen heldere gunningscriteria te hanteren om de aanbieders te beoordelen (Van Weele, 1992). </w:t>
      </w:r>
      <w:r w:rsidR="00717BF5" w:rsidRPr="00A87533">
        <w:rPr>
          <w:rFonts w:asciiTheme="minorHAnsi" w:hAnsiTheme="minorHAnsi" w:cstheme="minorHAnsi"/>
          <w:sz w:val="22"/>
          <w:szCs w:val="22"/>
        </w:rPr>
        <w:t>Onder gunningscriteria worden de inhoudelijke criteria voor keuze van de beste aanbieding verstaan (</w:t>
      </w:r>
      <w:proofErr w:type="spellStart"/>
      <w:r w:rsidR="00717BF5" w:rsidRPr="00A87533">
        <w:rPr>
          <w:rFonts w:asciiTheme="minorHAnsi" w:hAnsiTheme="minorHAnsi" w:cstheme="minorHAnsi"/>
          <w:sz w:val="22"/>
          <w:szCs w:val="22"/>
        </w:rPr>
        <w:t>PIANOo</w:t>
      </w:r>
      <w:proofErr w:type="spellEnd"/>
      <w:r w:rsidR="00717BF5" w:rsidRPr="00A87533">
        <w:rPr>
          <w:rFonts w:asciiTheme="minorHAnsi" w:hAnsiTheme="minorHAnsi" w:cstheme="minorHAnsi"/>
          <w:sz w:val="22"/>
          <w:szCs w:val="22"/>
        </w:rPr>
        <w:t>, z.j.). Laagste prijs als gunningscriterium komt doorgaans vaak voor. Bij de aanbesteding van een project worden de ingediende offertes vergeleken waarna in eerste instantie de laagste inschrijver als winnaar wordt aangewezen. Laagste prijs kan overigens tevens inhouden dat naast de aanschafprijs ook andere financiële aspecten, zoals onderhoudskosten en licenties meegewogen worden.</w:t>
      </w:r>
      <w:r w:rsidR="00AA6B78" w:rsidRPr="00A87533">
        <w:rPr>
          <w:rFonts w:asciiTheme="minorHAnsi" w:hAnsiTheme="minorHAnsi" w:cstheme="minorHAnsi"/>
          <w:sz w:val="22"/>
          <w:szCs w:val="22"/>
        </w:rPr>
        <w:t xml:space="preserve"> Bij ICT wordt ook wel gesproken van Total </w:t>
      </w:r>
      <w:proofErr w:type="spellStart"/>
      <w:r w:rsidR="00AA6B78" w:rsidRPr="00A87533">
        <w:rPr>
          <w:rFonts w:asciiTheme="minorHAnsi" w:hAnsiTheme="minorHAnsi" w:cstheme="minorHAnsi"/>
          <w:sz w:val="22"/>
          <w:szCs w:val="22"/>
        </w:rPr>
        <w:t>Cost</w:t>
      </w:r>
      <w:proofErr w:type="spellEnd"/>
      <w:r w:rsidR="00AA6B78" w:rsidRPr="00A87533">
        <w:rPr>
          <w:rFonts w:asciiTheme="minorHAnsi" w:hAnsiTheme="minorHAnsi" w:cstheme="minorHAnsi"/>
          <w:sz w:val="22"/>
          <w:szCs w:val="22"/>
        </w:rPr>
        <w:t xml:space="preserve"> of </w:t>
      </w:r>
      <w:proofErr w:type="spellStart"/>
      <w:r w:rsidR="00AA6B78" w:rsidRPr="00A87533">
        <w:rPr>
          <w:rFonts w:asciiTheme="minorHAnsi" w:hAnsiTheme="minorHAnsi" w:cstheme="minorHAnsi"/>
          <w:sz w:val="22"/>
          <w:szCs w:val="22"/>
        </w:rPr>
        <w:t>Ownership</w:t>
      </w:r>
      <w:proofErr w:type="spellEnd"/>
      <w:r w:rsidR="00AA6B78" w:rsidRPr="00A87533">
        <w:rPr>
          <w:rStyle w:val="FootnoteReference"/>
          <w:rFonts w:asciiTheme="minorHAnsi" w:hAnsiTheme="minorHAnsi" w:cstheme="minorHAnsi"/>
          <w:color w:val="000000" w:themeColor="text1"/>
          <w:sz w:val="22"/>
          <w:szCs w:val="22"/>
        </w:rPr>
        <w:footnoteReference w:id="4"/>
      </w:r>
      <w:r w:rsidR="00AA6B78" w:rsidRPr="00A87533">
        <w:rPr>
          <w:rFonts w:asciiTheme="minorHAnsi" w:hAnsiTheme="minorHAnsi" w:cstheme="minorHAnsi"/>
          <w:sz w:val="22"/>
          <w:szCs w:val="22"/>
        </w:rPr>
        <w:t>.</w:t>
      </w:r>
      <w:r w:rsidR="00717BF5" w:rsidRPr="00A87533">
        <w:rPr>
          <w:rFonts w:asciiTheme="minorHAnsi" w:hAnsiTheme="minorHAnsi" w:cstheme="minorHAnsi"/>
          <w:sz w:val="22"/>
          <w:szCs w:val="22"/>
        </w:rPr>
        <w:t xml:space="preserve"> Indien organisaties EMVI (‘economisch meest voordelige inschrijving’) als criterium hanteren, dan spelen naast de prijs ook andere factoren een rol. Toepassing van EMVI als gunningscriterium betekent dus dat naast de prijs andere </w:t>
      </w:r>
      <w:r w:rsidR="00717BF5" w:rsidRPr="00A87533">
        <w:rPr>
          <w:rFonts w:asciiTheme="minorHAnsi" w:hAnsiTheme="minorHAnsi" w:cstheme="minorHAnsi"/>
          <w:sz w:val="22"/>
          <w:szCs w:val="22"/>
        </w:rPr>
        <w:lastRenderedPageBreak/>
        <w:t>factoren meegewogen worden. Het gaat steeds om het vinden van de beste prijskwaliteitverhouding. Dat betekent echter niet dat bij gunning op basis van laagste prijs de prijskwaliteitverhouding geen rol speelt noch dat de kwaliteit bij voorbaat laag is. De opdrachtgever legt de eisen met betrekking tot kwaliteit van tevoren vast. Offeranten worden geacht dezelfde kwaliteit te leveren. Het wezenlijke verschil met EMVI is dat inschrijvers bij laagste prijs slechts in beperkte mate invloed kunnen uitoefenen op de (technische) uitwerking en zich dus op dat punt niet kunnen onderscheiden. EMVI is simpelweg een algemene omschrijving van het gunningcriterium. Het krijgt pas betekenis door een specifieke invulling met deelcriteria, wegings- en beoordelingsmethoden. De opdrachtgever heeft een grote mate van keuzevrijheid bij het invullen van EMVI. Met name op dit punt ligt een uitdaging voor de opdrachtgever. Dit vergt immers vakinhoudelijke kennis en expertise, wat niet altijd aanwezig is binnen de organisati</w:t>
      </w:r>
      <w:r w:rsidR="00BF4E6C">
        <w:rPr>
          <w:rFonts w:asciiTheme="minorHAnsi" w:hAnsiTheme="minorHAnsi" w:cstheme="minorHAnsi"/>
          <w:sz w:val="22"/>
          <w:szCs w:val="22"/>
        </w:rPr>
        <w:t>e</w:t>
      </w:r>
      <w:r w:rsidR="00717BF5" w:rsidRPr="00A87533">
        <w:rPr>
          <w:rFonts w:asciiTheme="minorHAnsi" w:hAnsiTheme="minorHAnsi" w:cstheme="minorHAnsi"/>
          <w:sz w:val="22"/>
          <w:szCs w:val="22"/>
        </w:rPr>
        <w:t>.</w:t>
      </w:r>
      <w:r w:rsidR="00717BF5" w:rsidRPr="00442509">
        <w:t xml:space="preserve"> </w:t>
      </w:r>
      <w:bookmarkStart w:id="66" w:name="_Hlk486022195"/>
    </w:p>
    <w:bookmarkEnd w:id="66"/>
    <w:p w14:paraId="03437038" w14:textId="516AAF02" w:rsidR="00717BF5" w:rsidRPr="00442509" w:rsidRDefault="00CA070E" w:rsidP="00FC5496">
      <w:pPr>
        <w:spacing w:after="0" w:line="276" w:lineRule="auto"/>
        <w:ind w:firstLine="708"/>
        <w:rPr>
          <w:rFonts w:asciiTheme="minorHAnsi" w:eastAsiaTheme="minorHAnsi" w:hAnsiTheme="minorHAnsi" w:cs="Arial"/>
          <w:sz w:val="22"/>
          <w:szCs w:val="22"/>
        </w:rPr>
      </w:pPr>
      <w:r w:rsidRPr="00442509">
        <w:rPr>
          <w:rFonts w:asciiTheme="minorHAnsi" w:eastAsiaTheme="minorHAnsi" w:hAnsiTheme="minorHAnsi" w:cs="Arial"/>
          <w:sz w:val="22"/>
          <w:szCs w:val="22"/>
        </w:rPr>
        <w:t xml:space="preserve">Leveranciers worden stapsgewijs geselecteerd. </w:t>
      </w:r>
      <w:r w:rsidR="00717BF5" w:rsidRPr="00442509">
        <w:rPr>
          <w:rFonts w:asciiTheme="minorHAnsi" w:eastAsiaTheme="minorHAnsi" w:hAnsiTheme="minorHAnsi" w:cs="Arial"/>
          <w:sz w:val="22"/>
          <w:szCs w:val="22"/>
        </w:rPr>
        <w:t xml:space="preserve">Van Weele (1992) kent vijf deelstappen toe bij het selecteren van een leverancier. Ten eerste betreft het de wijze waarop uitbesteding plaats dient te vinden. In hoofdlijnen worden twee methoden van uitbesteden onderscheiden: </w:t>
      </w:r>
      <w:r w:rsidR="00717BF5" w:rsidRPr="00442509">
        <w:rPr>
          <w:rFonts w:asciiTheme="minorHAnsi" w:eastAsiaTheme="minorHAnsi" w:hAnsiTheme="minorHAnsi" w:cs="Arial"/>
          <w:i/>
          <w:sz w:val="22"/>
          <w:szCs w:val="22"/>
        </w:rPr>
        <w:t>integraal</w:t>
      </w:r>
      <w:r w:rsidR="00717BF5" w:rsidRPr="00442509">
        <w:rPr>
          <w:rFonts w:asciiTheme="minorHAnsi" w:eastAsiaTheme="minorHAnsi" w:hAnsiTheme="minorHAnsi" w:cs="Arial"/>
          <w:sz w:val="22"/>
          <w:szCs w:val="22"/>
        </w:rPr>
        <w:t xml:space="preserve"> en </w:t>
      </w:r>
      <w:r w:rsidR="00717BF5" w:rsidRPr="00442509">
        <w:rPr>
          <w:rFonts w:asciiTheme="minorHAnsi" w:eastAsiaTheme="minorHAnsi" w:hAnsiTheme="minorHAnsi" w:cs="Arial"/>
          <w:i/>
          <w:sz w:val="22"/>
          <w:szCs w:val="22"/>
        </w:rPr>
        <w:t>partieel</w:t>
      </w:r>
      <w:r w:rsidR="00717BF5" w:rsidRPr="00442509">
        <w:rPr>
          <w:rFonts w:asciiTheme="minorHAnsi" w:eastAsiaTheme="minorHAnsi" w:hAnsiTheme="minorHAnsi" w:cs="Arial"/>
          <w:sz w:val="22"/>
          <w:szCs w:val="22"/>
        </w:rPr>
        <w:t xml:space="preserve">. Er is sprake van partieel uitbesteden wanneer de opdracht in delen wordt gesplitst. De opdrachtgever blijft verantwoordelijk voor de coördinatie van het proces. Bij integraal uitbesteden wordt de verantwoordelijkheid voor het uitvoeren van de gehele opdracht in handen gelegd van de leverancier. De keuze voor integraal of partieel uitbesteden is onder andere afhankelijk van de relatie binnen de opdrachtgeverschap. </w:t>
      </w:r>
    </w:p>
    <w:p w14:paraId="4D34B670" w14:textId="355DDDBA" w:rsidR="00717BF5" w:rsidRDefault="008B4FEA" w:rsidP="00717BF5">
      <w:pPr>
        <w:spacing w:after="0" w:line="276" w:lineRule="auto"/>
        <w:rPr>
          <w:rFonts w:asciiTheme="minorHAnsi" w:eastAsiaTheme="minorHAnsi" w:hAnsiTheme="minorHAnsi" w:cs="Arial"/>
          <w:sz w:val="22"/>
          <w:szCs w:val="22"/>
        </w:rPr>
      </w:pPr>
      <w:r>
        <w:rPr>
          <w:rFonts w:asciiTheme="minorHAnsi" w:eastAsiaTheme="minorHAnsi" w:hAnsiTheme="minorHAnsi" w:cs="Arial"/>
          <w:sz w:val="22"/>
          <w:szCs w:val="22"/>
        </w:rPr>
        <w:t xml:space="preserve">In </w:t>
      </w:r>
      <w:r w:rsidRPr="00D12C93">
        <w:rPr>
          <w:rFonts w:asciiTheme="minorHAnsi" w:eastAsiaTheme="minorHAnsi" w:hAnsiTheme="minorHAnsi" w:cs="Arial"/>
          <w:sz w:val="22"/>
          <w:szCs w:val="22"/>
        </w:rPr>
        <w:t xml:space="preserve">tabel </w:t>
      </w:r>
      <w:r w:rsidR="005A38AE">
        <w:rPr>
          <w:rFonts w:asciiTheme="minorHAnsi" w:eastAsiaTheme="minorHAnsi" w:hAnsiTheme="minorHAnsi" w:cs="Arial"/>
          <w:sz w:val="22"/>
          <w:szCs w:val="22"/>
        </w:rPr>
        <w:t>2</w:t>
      </w:r>
      <w:r w:rsidR="00717BF5" w:rsidRPr="00D12C93">
        <w:rPr>
          <w:rFonts w:asciiTheme="minorHAnsi" w:eastAsiaTheme="minorHAnsi" w:hAnsiTheme="minorHAnsi" w:cs="Arial"/>
          <w:sz w:val="22"/>
          <w:szCs w:val="22"/>
        </w:rPr>
        <w:t xml:space="preserve"> geeft</w:t>
      </w:r>
      <w:r w:rsidR="00717BF5" w:rsidRPr="00CA070E">
        <w:rPr>
          <w:rFonts w:asciiTheme="minorHAnsi" w:eastAsiaTheme="minorHAnsi" w:hAnsiTheme="minorHAnsi" w:cs="Arial"/>
          <w:sz w:val="22"/>
          <w:szCs w:val="22"/>
        </w:rPr>
        <w:t xml:space="preserve"> Van Weele (1992 p.81) de voor- en nadelen van beide benaderingen. </w:t>
      </w:r>
    </w:p>
    <w:p w14:paraId="0CE588D2" w14:textId="77777777" w:rsidR="00AD0058" w:rsidRPr="00CA070E" w:rsidRDefault="00AD0058" w:rsidP="00717BF5">
      <w:pPr>
        <w:spacing w:after="0" w:line="276" w:lineRule="auto"/>
        <w:rPr>
          <w:rFonts w:asciiTheme="minorHAnsi" w:eastAsiaTheme="minorHAnsi" w:hAnsiTheme="minorHAnsi" w:cs="Arial"/>
          <w:sz w:val="22"/>
          <w:szCs w:val="22"/>
        </w:rPr>
      </w:pPr>
    </w:p>
    <w:tbl>
      <w:tblPr>
        <w:tblStyle w:val="GridTable1Light"/>
        <w:tblW w:w="0" w:type="auto"/>
        <w:tblLook w:val="04A0" w:firstRow="1" w:lastRow="0" w:firstColumn="1" w:lastColumn="0" w:noHBand="0" w:noVBand="1"/>
      </w:tblPr>
      <w:tblGrid>
        <w:gridCol w:w="3221"/>
        <w:gridCol w:w="3221"/>
        <w:gridCol w:w="3222"/>
      </w:tblGrid>
      <w:tr w:rsidR="00717BF5" w:rsidRPr="00CA070E" w14:paraId="34BEBDF9" w14:textId="77777777" w:rsidTr="0095583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1" w:type="dxa"/>
          </w:tcPr>
          <w:p w14:paraId="7A47B2F7" w14:textId="77777777" w:rsidR="00717BF5" w:rsidRPr="00CA070E" w:rsidRDefault="00717BF5" w:rsidP="002E772D">
            <w:pPr>
              <w:spacing w:after="0" w:line="276" w:lineRule="auto"/>
              <w:rPr>
                <w:rFonts w:asciiTheme="minorHAnsi" w:eastAsiaTheme="minorHAnsi" w:hAnsiTheme="minorHAnsi" w:cs="Arial"/>
              </w:rPr>
            </w:pPr>
            <w:bookmarkStart w:id="67" w:name="_Hlk486194004"/>
          </w:p>
        </w:tc>
        <w:tc>
          <w:tcPr>
            <w:tcW w:w="3221" w:type="dxa"/>
          </w:tcPr>
          <w:p w14:paraId="2BA99B21" w14:textId="77777777" w:rsidR="00717BF5" w:rsidRPr="00CA070E" w:rsidRDefault="00717BF5" w:rsidP="002E772D">
            <w:pPr>
              <w:spacing w:after="0" w:line="276" w:lineRule="auto"/>
              <w:cnfStyle w:val="100000000000" w:firstRow="1" w:lastRow="0" w:firstColumn="0" w:lastColumn="0" w:oddVBand="0" w:evenVBand="0" w:oddHBand="0" w:evenHBand="0" w:firstRowFirstColumn="0" w:firstRowLastColumn="0" w:lastRowFirstColumn="0" w:lastRowLastColumn="0"/>
              <w:rPr>
                <w:rFonts w:asciiTheme="minorHAnsi" w:eastAsiaTheme="minorHAnsi" w:hAnsiTheme="minorHAnsi" w:cs="Arial"/>
                <w:i/>
              </w:rPr>
            </w:pPr>
            <w:r w:rsidRPr="00CA070E">
              <w:rPr>
                <w:rFonts w:asciiTheme="minorHAnsi" w:eastAsiaTheme="minorHAnsi" w:hAnsiTheme="minorHAnsi" w:cs="Arial"/>
                <w:i/>
              </w:rPr>
              <w:t>Voordelen</w:t>
            </w:r>
          </w:p>
        </w:tc>
        <w:tc>
          <w:tcPr>
            <w:tcW w:w="3222" w:type="dxa"/>
          </w:tcPr>
          <w:p w14:paraId="24B0FBF5" w14:textId="77777777" w:rsidR="00717BF5" w:rsidRPr="00CA070E" w:rsidRDefault="00717BF5" w:rsidP="002E772D">
            <w:pPr>
              <w:spacing w:after="0" w:line="276" w:lineRule="auto"/>
              <w:cnfStyle w:val="100000000000" w:firstRow="1" w:lastRow="0" w:firstColumn="0" w:lastColumn="0" w:oddVBand="0" w:evenVBand="0" w:oddHBand="0" w:evenHBand="0" w:firstRowFirstColumn="0" w:firstRowLastColumn="0" w:lastRowFirstColumn="0" w:lastRowLastColumn="0"/>
              <w:rPr>
                <w:rFonts w:asciiTheme="minorHAnsi" w:eastAsiaTheme="minorHAnsi" w:hAnsiTheme="minorHAnsi" w:cs="Arial"/>
                <w:i/>
              </w:rPr>
            </w:pPr>
            <w:r w:rsidRPr="00CA070E">
              <w:rPr>
                <w:rFonts w:asciiTheme="minorHAnsi" w:eastAsiaTheme="minorHAnsi" w:hAnsiTheme="minorHAnsi" w:cs="Arial"/>
                <w:i/>
              </w:rPr>
              <w:t>Nadelen</w:t>
            </w:r>
          </w:p>
        </w:tc>
      </w:tr>
      <w:tr w:rsidR="00717BF5" w:rsidRPr="00CA070E" w14:paraId="732E8415" w14:textId="77777777" w:rsidTr="00955834">
        <w:tc>
          <w:tcPr>
            <w:cnfStyle w:val="001000000000" w:firstRow="0" w:lastRow="0" w:firstColumn="1" w:lastColumn="0" w:oddVBand="0" w:evenVBand="0" w:oddHBand="0" w:evenHBand="0" w:firstRowFirstColumn="0" w:firstRowLastColumn="0" w:lastRowFirstColumn="0" w:lastRowLastColumn="0"/>
            <w:tcW w:w="3221" w:type="dxa"/>
          </w:tcPr>
          <w:p w14:paraId="148AB660" w14:textId="77777777" w:rsidR="00717BF5" w:rsidRPr="00CA070E" w:rsidRDefault="00717BF5" w:rsidP="002E772D">
            <w:pPr>
              <w:spacing w:after="0" w:line="276" w:lineRule="auto"/>
              <w:rPr>
                <w:rFonts w:asciiTheme="minorHAnsi" w:eastAsiaTheme="minorHAnsi" w:hAnsiTheme="minorHAnsi" w:cs="Arial"/>
              </w:rPr>
            </w:pPr>
            <w:r w:rsidRPr="00CA070E">
              <w:rPr>
                <w:rFonts w:asciiTheme="minorHAnsi" w:eastAsiaTheme="minorHAnsi" w:hAnsiTheme="minorHAnsi" w:cs="Arial"/>
              </w:rPr>
              <w:t>Integraal uitbesteding</w:t>
            </w:r>
          </w:p>
        </w:tc>
        <w:tc>
          <w:tcPr>
            <w:tcW w:w="3221" w:type="dxa"/>
          </w:tcPr>
          <w:p w14:paraId="28834E34" w14:textId="77777777" w:rsidR="00717BF5" w:rsidRPr="00CA070E" w:rsidRDefault="00717BF5" w:rsidP="002E772D">
            <w:pPr>
              <w:spacing w:after="0" w:line="276" w:lineRule="auto"/>
              <w:cnfStyle w:val="000000000000" w:firstRow="0" w:lastRow="0" w:firstColumn="0" w:lastColumn="0" w:oddVBand="0" w:evenVBand="0" w:oddHBand="0" w:evenHBand="0" w:firstRowFirstColumn="0" w:firstRowLastColumn="0" w:lastRowFirstColumn="0" w:lastRowLastColumn="0"/>
              <w:rPr>
                <w:rFonts w:asciiTheme="minorHAnsi" w:eastAsiaTheme="minorHAnsi" w:hAnsiTheme="minorHAnsi" w:cs="Arial"/>
              </w:rPr>
            </w:pPr>
            <w:r w:rsidRPr="00CA070E">
              <w:rPr>
                <w:rFonts w:asciiTheme="minorHAnsi" w:eastAsiaTheme="minorHAnsi" w:hAnsiTheme="minorHAnsi" w:cs="Arial"/>
              </w:rPr>
              <w:t>• bemoeienis van de opdrachtgever tijdens het project is minimaal</w:t>
            </w:r>
          </w:p>
          <w:p w14:paraId="505BE5C0" w14:textId="77777777" w:rsidR="00717BF5" w:rsidRPr="00CA070E" w:rsidRDefault="00717BF5" w:rsidP="002E772D">
            <w:pPr>
              <w:spacing w:after="0" w:line="276" w:lineRule="auto"/>
              <w:cnfStyle w:val="000000000000" w:firstRow="0" w:lastRow="0" w:firstColumn="0" w:lastColumn="0" w:oddVBand="0" w:evenVBand="0" w:oddHBand="0" w:evenHBand="0" w:firstRowFirstColumn="0" w:firstRowLastColumn="0" w:lastRowFirstColumn="0" w:lastRowLastColumn="0"/>
              <w:rPr>
                <w:rFonts w:asciiTheme="minorHAnsi" w:eastAsiaTheme="minorHAnsi" w:hAnsiTheme="minorHAnsi" w:cs="Arial"/>
              </w:rPr>
            </w:pPr>
            <w:r w:rsidRPr="00CA070E">
              <w:rPr>
                <w:rFonts w:asciiTheme="minorHAnsi" w:eastAsiaTheme="minorHAnsi" w:hAnsiTheme="minorHAnsi" w:cs="Arial"/>
              </w:rPr>
              <w:t>• de opdrachtgever hoeft geen ervaring met soortgelijke projecten te hebben</w:t>
            </w:r>
          </w:p>
          <w:p w14:paraId="7089CDD0" w14:textId="77777777" w:rsidR="00717BF5" w:rsidRPr="00CA070E" w:rsidRDefault="00717BF5" w:rsidP="002E772D">
            <w:pPr>
              <w:spacing w:after="0" w:line="276" w:lineRule="auto"/>
              <w:cnfStyle w:val="000000000000" w:firstRow="0" w:lastRow="0" w:firstColumn="0" w:lastColumn="0" w:oddVBand="0" w:evenVBand="0" w:oddHBand="0" w:evenHBand="0" w:firstRowFirstColumn="0" w:firstRowLastColumn="0" w:lastRowFirstColumn="0" w:lastRowLastColumn="0"/>
              <w:rPr>
                <w:rFonts w:asciiTheme="minorHAnsi" w:eastAsiaTheme="minorHAnsi" w:hAnsiTheme="minorHAnsi" w:cs="Arial"/>
              </w:rPr>
            </w:pPr>
            <w:r w:rsidRPr="00CA070E">
              <w:rPr>
                <w:rFonts w:asciiTheme="minorHAnsi" w:eastAsiaTheme="minorHAnsi" w:hAnsiTheme="minorHAnsi" w:cs="Arial"/>
              </w:rPr>
              <w:t xml:space="preserve">• het project verloopt in het algemeen probleemloos voor de opdrachtgever  </w:t>
            </w:r>
          </w:p>
          <w:p w14:paraId="71A9A74F" w14:textId="77777777" w:rsidR="00717BF5" w:rsidRPr="00CA070E" w:rsidRDefault="00717BF5" w:rsidP="002E772D">
            <w:pPr>
              <w:spacing w:after="0" w:line="276" w:lineRule="auto"/>
              <w:cnfStyle w:val="000000000000" w:firstRow="0" w:lastRow="0" w:firstColumn="0" w:lastColumn="0" w:oddVBand="0" w:evenVBand="0" w:oddHBand="0" w:evenHBand="0" w:firstRowFirstColumn="0" w:firstRowLastColumn="0" w:lastRowFirstColumn="0" w:lastRowLastColumn="0"/>
              <w:rPr>
                <w:rFonts w:asciiTheme="minorHAnsi" w:eastAsiaTheme="minorHAnsi" w:hAnsiTheme="minorHAnsi" w:cs="Arial"/>
              </w:rPr>
            </w:pPr>
            <w:r w:rsidRPr="00CA070E">
              <w:rPr>
                <w:rFonts w:asciiTheme="minorHAnsi" w:eastAsiaTheme="minorHAnsi" w:hAnsiTheme="minorHAnsi" w:cs="Arial"/>
              </w:rPr>
              <w:t xml:space="preserve"> </w:t>
            </w:r>
          </w:p>
        </w:tc>
        <w:tc>
          <w:tcPr>
            <w:tcW w:w="3222" w:type="dxa"/>
          </w:tcPr>
          <w:p w14:paraId="1484808E" w14:textId="77777777" w:rsidR="00717BF5" w:rsidRPr="00CA070E" w:rsidRDefault="00717BF5" w:rsidP="002E772D">
            <w:pPr>
              <w:spacing w:after="0" w:line="276" w:lineRule="auto"/>
              <w:cnfStyle w:val="000000000000" w:firstRow="0" w:lastRow="0" w:firstColumn="0" w:lastColumn="0" w:oddVBand="0" w:evenVBand="0" w:oddHBand="0" w:evenHBand="0" w:firstRowFirstColumn="0" w:firstRowLastColumn="0" w:lastRowFirstColumn="0" w:lastRowLastColumn="0"/>
              <w:rPr>
                <w:rFonts w:asciiTheme="minorHAnsi" w:eastAsiaTheme="minorHAnsi" w:hAnsiTheme="minorHAnsi" w:cs="Arial"/>
              </w:rPr>
            </w:pPr>
            <w:r w:rsidRPr="00CA070E">
              <w:rPr>
                <w:rFonts w:asciiTheme="minorHAnsi" w:eastAsiaTheme="minorHAnsi" w:hAnsiTheme="minorHAnsi" w:cs="Arial"/>
              </w:rPr>
              <w:t>• de opdrachtgever heeft slechts in beperkte mate invloed op de prijsvorming van het project</w:t>
            </w:r>
          </w:p>
          <w:p w14:paraId="3A448EFE" w14:textId="77777777" w:rsidR="00717BF5" w:rsidRPr="00CA070E" w:rsidRDefault="00717BF5" w:rsidP="002E772D">
            <w:pPr>
              <w:spacing w:after="0" w:line="276" w:lineRule="auto"/>
              <w:cnfStyle w:val="000000000000" w:firstRow="0" w:lastRow="0" w:firstColumn="0" w:lastColumn="0" w:oddVBand="0" w:evenVBand="0" w:oddHBand="0" w:evenHBand="0" w:firstRowFirstColumn="0" w:firstRowLastColumn="0" w:lastRowFirstColumn="0" w:lastRowLastColumn="0"/>
              <w:rPr>
                <w:rFonts w:asciiTheme="minorHAnsi" w:eastAsiaTheme="minorHAnsi" w:hAnsiTheme="minorHAnsi" w:cs="Arial"/>
              </w:rPr>
            </w:pPr>
            <w:r w:rsidRPr="00CA070E">
              <w:rPr>
                <w:rFonts w:asciiTheme="minorHAnsi" w:eastAsiaTheme="minorHAnsi" w:hAnsiTheme="minorHAnsi" w:cs="Arial"/>
              </w:rPr>
              <w:t>• op opdrachtgever heeft slechts in geringe mate invloed op de gebruikte materialen en kwaliteiten</w:t>
            </w:r>
          </w:p>
        </w:tc>
      </w:tr>
      <w:tr w:rsidR="00717BF5" w:rsidRPr="00CA070E" w14:paraId="2DC7221A" w14:textId="77777777" w:rsidTr="00955834">
        <w:tc>
          <w:tcPr>
            <w:cnfStyle w:val="001000000000" w:firstRow="0" w:lastRow="0" w:firstColumn="1" w:lastColumn="0" w:oddVBand="0" w:evenVBand="0" w:oddHBand="0" w:evenHBand="0" w:firstRowFirstColumn="0" w:firstRowLastColumn="0" w:lastRowFirstColumn="0" w:lastRowLastColumn="0"/>
            <w:tcW w:w="3221" w:type="dxa"/>
          </w:tcPr>
          <w:p w14:paraId="5A8E035A" w14:textId="77777777" w:rsidR="00717BF5" w:rsidRPr="00CA070E" w:rsidRDefault="00717BF5" w:rsidP="002E772D">
            <w:pPr>
              <w:spacing w:after="0" w:line="276" w:lineRule="auto"/>
              <w:rPr>
                <w:rFonts w:asciiTheme="minorHAnsi" w:eastAsiaTheme="minorHAnsi" w:hAnsiTheme="minorHAnsi" w:cs="Arial"/>
              </w:rPr>
            </w:pPr>
            <w:r w:rsidRPr="00CA070E">
              <w:rPr>
                <w:rFonts w:asciiTheme="minorHAnsi" w:eastAsiaTheme="minorHAnsi" w:hAnsiTheme="minorHAnsi" w:cs="Arial"/>
              </w:rPr>
              <w:t>Partiele uitbesteding</w:t>
            </w:r>
          </w:p>
        </w:tc>
        <w:tc>
          <w:tcPr>
            <w:tcW w:w="3221" w:type="dxa"/>
          </w:tcPr>
          <w:p w14:paraId="152378ED" w14:textId="77777777" w:rsidR="00717BF5" w:rsidRPr="00CA070E" w:rsidRDefault="00717BF5" w:rsidP="002E772D">
            <w:pPr>
              <w:spacing w:after="0" w:line="276" w:lineRule="auto"/>
              <w:cnfStyle w:val="000000000000" w:firstRow="0" w:lastRow="0" w:firstColumn="0" w:lastColumn="0" w:oddVBand="0" w:evenVBand="0" w:oddHBand="0" w:evenHBand="0" w:firstRowFirstColumn="0" w:firstRowLastColumn="0" w:lastRowFirstColumn="0" w:lastRowLastColumn="0"/>
              <w:rPr>
                <w:rFonts w:asciiTheme="minorHAnsi" w:eastAsiaTheme="minorHAnsi" w:hAnsiTheme="minorHAnsi" w:cs="Arial"/>
              </w:rPr>
            </w:pPr>
            <w:r w:rsidRPr="00CA070E">
              <w:rPr>
                <w:rFonts w:asciiTheme="minorHAnsi" w:eastAsiaTheme="minorHAnsi" w:hAnsiTheme="minorHAnsi" w:cs="Arial"/>
              </w:rPr>
              <w:t>• de opdrachtgever heeft meer grip op de prijsvorming van het project</w:t>
            </w:r>
          </w:p>
          <w:p w14:paraId="0CE2DECA" w14:textId="77777777" w:rsidR="00717BF5" w:rsidRPr="00CA070E" w:rsidRDefault="00717BF5" w:rsidP="002E772D">
            <w:pPr>
              <w:spacing w:after="0" w:line="276" w:lineRule="auto"/>
              <w:cnfStyle w:val="000000000000" w:firstRow="0" w:lastRow="0" w:firstColumn="0" w:lastColumn="0" w:oddVBand="0" w:evenVBand="0" w:oddHBand="0" w:evenHBand="0" w:firstRowFirstColumn="0" w:firstRowLastColumn="0" w:lastRowFirstColumn="0" w:lastRowLastColumn="0"/>
              <w:rPr>
                <w:rFonts w:asciiTheme="minorHAnsi" w:eastAsiaTheme="minorHAnsi" w:hAnsiTheme="minorHAnsi" w:cs="Arial"/>
              </w:rPr>
            </w:pPr>
            <w:r w:rsidRPr="00CA070E">
              <w:rPr>
                <w:rFonts w:asciiTheme="minorHAnsi" w:eastAsiaTheme="minorHAnsi" w:hAnsiTheme="minorHAnsi" w:cs="Arial"/>
              </w:rPr>
              <w:t>• de opdrachtgever heeft meer invloed op de gebruikte materialen en kwaliteiten</w:t>
            </w:r>
          </w:p>
          <w:p w14:paraId="768991D1" w14:textId="77777777" w:rsidR="00717BF5" w:rsidRPr="00CA070E" w:rsidRDefault="00717BF5" w:rsidP="002E772D">
            <w:pPr>
              <w:spacing w:after="0" w:line="276" w:lineRule="auto"/>
              <w:cnfStyle w:val="000000000000" w:firstRow="0" w:lastRow="0" w:firstColumn="0" w:lastColumn="0" w:oddVBand="0" w:evenVBand="0" w:oddHBand="0" w:evenHBand="0" w:firstRowFirstColumn="0" w:firstRowLastColumn="0" w:lastRowFirstColumn="0" w:lastRowLastColumn="0"/>
              <w:rPr>
                <w:rFonts w:asciiTheme="minorHAnsi" w:eastAsiaTheme="minorHAnsi" w:hAnsiTheme="minorHAnsi" w:cs="Arial"/>
              </w:rPr>
            </w:pPr>
            <w:r w:rsidRPr="00CA070E">
              <w:rPr>
                <w:rFonts w:asciiTheme="minorHAnsi" w:eastAsiaTheme="minorHAnsi" w:hAnsiTheme="minorHAnsi" w:cs="Arial"/>
              </w:rPr>
              <w:t>• specifieke voordelen kunnen tot prijsvermindering leiden</w:t>
            </w:r>
          </w:p>
        </w:tc>
        <w:tc>
          <w:tcPr>
            <w:tcW w:w="3222" w:type="dxa"/>
          </w:tcPr>
          <w:p w14:paraId="16AC0619" w14:textId="77777777" w:rsidR="00717BF5" w:rsidRPr="00CA070E" w:rsidRDefault="00717BF5" w:rsidP="002E772D">
            <w:pPr>
              <w:spacing w:after="0" w:line="276" w:lineRule="auto"/>
              <w:cnfStyle w:val="000000000000" w:firstRow="0" w:lastRow="0" w:firstColumn="0" w:lastColumn="0" w:oddVBand="0" w:evenVBand="0" w:oddHBand="0" w:evenHBand="0" w:firstRowFirstColumn="0" w:firstRowLastColumn="0" w:lastRowFirstColumn="0" w:lastRowLastColumn="0"/>
              <w:rPr>
                <w:rFonts w:asciiTheme="minorHAnsi" w:eastAsiaTheme="minorHAnsi" w:hAnsiTheme="minorHAnsi" w:cs="Arial"/>
              </w:rPr>
            </w:pPr>
            <w:r w:rsidRPr="00CA070E">
              <w:rPr>
                <w:rFonts w:asciiTheme="minorHAnsi" w:eastAsiaTheme="minorHAnsi" w:hAnsiTheme="minorHAnsi" w:cs="Arial"/>
              </w:rPr>
              <w:t>• de opdrachtgever moet kennis hebben van de afzonderlijke delen van het project</w:t>
            </w:r>
          </w:p>
          <w:p w14:paraId="6072BAA2" w14:textId="77777777" w:rsidR="00717BF5" w:rsidRPr="00CA070E" w:rsidRDefault="00717BF5" w:rsidP="002E772D">
            <w:pPr>
              <w:spacing w:after="0" w:line="276" w:lineRule="auto"/>
              <w:cnfStyle w:val="000000000000" w:firstRow="0" w:lastRow="0" w:firstColumn="0" w:lastColumn="0" w:oddVBand="0" w:evenVBand="0" w:oddHBand="0" w:evenHBand="0" w:firstRowFirstColumn="0" w:firstRowLastColumn="0" w:lastRowFirstColumn="0" w:lastRowLastColumn="0"/>
              <w:rPr>
                <w:rFonts w:asciiTheme="minorHAnsi" w:eastAsiaTheme="minorHAnsi" w:hAnsiTheme="minorHAnsi" w:cs="Arial"/>
              </w:rPr>
            </w:pPr>
            <w:r w:rsidRPr="00CA070E">
              <w:rPr>
                <w:rFonts w:asciiTheme="minorHAnsi" w:eastAsiaTheme="minorHAnsi" w:hAnsiTheme="minorHAnsi" w:cs="Arial"/>
              </w:rPr>
              <w:t xml:space="preserve">• de opdrachtgever moet over de nodige organisatorische bekwaamheden voor coördinatie en integratie beschikken </w:t>
            </w:r>
          </w:p>
          <w:p w14:paraId="2C6EB29E" w14:textId="77777777" w:rsidR="00717BF5" w:rsidRPr="00CA070E" w:rsidRDefault="00717BF5" w:rsidP="002E772D">
            <w:pPr>
              <w:spacing w:after="0" w:line="276" w:lineRule="auto"/>
              <w:cnfStyle w:val="000000000000" w:firstRow="0" w:lastRow="0" w:firstColumn="0" w:lastColumn="0" w:oddVBand="0" w:evenVBand="0" w:oddHBand="0" w:evenHBand="0" w:firstRowFirstColumn="0" w:firstRowLastColumn="0" w:lastRowFirstColumn="0" w:lastRowLastColumn="0"/>
              <w:rPr>
                <w:rFonts w:asciiTheme="minorHAnsi" w:eastAsiaTheme="minorHAnsi" w:hAnsiTheme="minorHAnsi" w:cs="Arial"/>
              </w:rPr>
            </w:pPr>
            <w:r w:rsidRPr="00CA070E">
              <w:rPr>
                <w:rFonts w:asciiTheme="minorHAnsi" w:eastAsiaTheme="minorHAnsi" w:hAnsiTheme="minorHAnsi" w:cs="Arial"/>
              </w:rPr>
              <w:t>• communicatie-en coördinatiestoornissen kunnen vertraging opleveren</w:t>
            </w:r>
          </w:p>
        </w:tc>
      </w:tr>
    </w:tbl>
    <w:bookmarkEnd w:id="67"/>
    <w:p w14:paraId="4926F6EE" w14:textId="7750D1C0" w:rsidR="00FC5496" w:rsidRPr="008B4FEA" w:rsidRDefault="00FC5496" w:rsidP="00D10775">
      <w:pPr>
        <w:pStyle w:val="Caption"/>
        <w:rPr>
          <w:rFonts w:eastAsiaTheme="minorHAnsi"/>
        </w:rPr>
      </w:pPr>
      <w:r w:rsidRPr="008B4FEA">
        <w:rPr>
          <w:rFonts w:eastAsiaTheme="minorHAnsi"/>
        </w:rPr>
        <w:t xml:space="preserve">Tabel </w:t>
      </w:r>
      <w:r w:rsidR="005A38AE">
        <w:rPr>
          <w:rFonts w:eastAsiaTheme="minorHAnsi"/>
        </w:rPr>
        <w:t>2</w:t>
      </w:r>
      <w:r w:rsidRPr="008B4FEA">
        <w:rPr>
          <w:rFonts w:eastAsiaTheme="minorHAnsi"/>
        </w:rPr>
        <w:t xml:space="preserve">: </w:t>
      </w:r>
      <w:r w:rsidR="008B4FEA" w:rsidRPr="008B4FEA">
        <w:rPr>
          <w:rFonts w:eastAsiaTheme="minorHAnsi"/>
        </w:rPr>
        <w:t xml:space="preserve">Uiteenzetting van integraal en partieel uitbesteding </w:t>
      </w:r>
    </w:p>
    <w:p w14:paraId="72C95C41" w14:textId="77777777" w:rsidR="008B4FEA" w:rsidRDefault="008B4FEA" w:rsidP="00283DEB">
      <w:pPr>
        <w:spacing w:after="0" w:line="276" w:lineRule="auto"/>
        <w:rPr>
          <w:rFonts w:asciiTheme="minorHAnsi" w:eastAsiaTheme="minorHAnsi" w:hAnsiTheme="minorHAnsi" w:cs="Arial"/>
          <w:sz w:val="22"/>
          <w:szCs w:val="22"/>
        </w:rPr>
      </w:pPr>
    </w:p>
    <w:p w14:paraId="5AB28B60" w14:textId="707A7922" w:rsidR="00717BF5" w:rsidRPr="00442509" w:rsidRDefault="00A87533" w:rsidP="00283DEB">
      <w:pPr>
        <w:spacing w:after="0" w:line="276" w:lineRule="auto"/>
        <w:rPr>
          <w:rFonts w:asciiTheme="minorHAnsi" w:eastAsiaTheme="minorHAnsi" w:hAnsiTheme="minorHAnsi" w:cs="Arial"/>
          <w:sz w:val="22"/>
          <w:szCs w:val="22"/>
        </w:rPr>
      </w:pPr>
      <w:r>
        <w:rPr>
          <w:rFonts w:asciiTheme="minorHAnsi" w:eastAsiaTheme="minorHAnsi" w:hAnsiTheme="minorHAnsi" w:cs="Arial"/>
          <w:sz w:val="22"/>
          <w:szCs w:val="22"/>
        </w:rPr>
        <w:t>De tweede stap is de keuze</w:t>
      </w:r>
      <w:r w:rsidR="00717BF5" w:rsidRPr="00CA070E">
        <w:rPr>
          <w:rFonts w:asciiTheme="minorHAnsi" w:eastAsiaTheme="minorHAnsi" w:hAnsiTheme="minorHAnsi" w:cs="Arial"/>
          <w:sz w:val="22"/>
          <w:szCs w:val="22"/>
        </w:rPr>
        <w:t xml:space="preserve"> tussen </w:t>
      </w:r>
      <w:r w:rsidR="00717BF5" w:rsidRPr="00CA070E">
        <w:rPr>
          <w:rFonts w:asciiTheme="minorHAnsi" w:eastAsiaTheme="minorHAnsi" w:hAnsiTheme="minorHAnsi" w:cs="Arial"/>
          <w:i/>
          <w:sz w:val="22"/>
          <w:szCs w:val="22"/>
        </w:rPr>
        <w:t>uitvoering door aanneming</w:t>
      </w:r>
      <w:r w:rsidR="00717BF5" w:rsidRPr="00CA070E">
        <w:rPr>
          <w:rFonts w:asciiTheme="minorHAnsi" w:eastAsiaTheme="minorHAnsi" w:hAnsiTheme="minorHAnsi" w:cs="Arial"/>
          <w:sz w:val="22"/>
          <w:szCs w:val="22"/>
        </w:rPr>
        <w:t xml:space="preserve"> en </w:t>
      </w:r>
      <w:r w:rsidR="00717BF5" w:rsidRPr="00CA070E">
        <w:rPr>
          <w:rFonts w:asciiTheme="minorHAnsi" w:eastAsiaTheme="minorHAnsi" w:hAnsiTheme="minorHAnsi" w:cs="Arial"/>
          <w:i/>
          <w:sz w:val="22"/>
          <w:szCs w:val="22"/>
        </w:rPr>
        <w:t>uitvoering in regie.</w:t>
      </w:r>
      <w:r w:rsidR="00717BF5" w:rsidRPr="00CA070E">
        <w:rPr>
          <w:rFonts w:asciiTheme="minorHAnsi" w:eastAsiaTheme="minorHAnsi" w:hAnsiTheme="minorHAnsi" w:cs="Arial"/>
          <w:sz w:val="22"/>
          <w:szCs w:val="22"/>
        </w:rPr>
        <w:t xml:space="preserve"> In het geval van uitvoering door aanneming staat prijs en de deadline van het project vast. Bij uitvoering in regie is dat </w:t>
      </w:r>
      <w:r w:rsidR="00717BF5" w:rsidRPr="00442509">
        <w:rPr>
          <w:rFonts w:asciiTheme="minorHAnsi" w:eastAsiaTheme="minorHAnsi" w:hAnsiTheme="minorHAnsi" w:cs="Arial"/>
          <w:sz w:val="22"/>
          <w:szCs w:val="22"/>
        </w:rPr>
        <w:t xml:space="preserve">anders. De leverancier voert de opdracht uit tegen een afgesproken uurtarief en percentage voor de overheadkosten. </w:t>
      </w:r>
      <w:r w:rsidR="00283DEB" w:rsidRPr="00442509">
        <w:rPr>
          <w:rFonts w:asciiTheme="minorHAnsi" w:eastAsiaTheme="minorHAnsi" w:hAnsiTheme="minorHAnsi" w:cs="Arial"/>
          <w:sz w:val="22"/>
          <w:szCs w:val="22"/>
        </w:rPr>
        <w:t xml:space="preserve">Een viertal factoren zijn bepalend in de keuze voor een van de twee benaderingen: (1) </w:t>
      </w:r>
      <w:r w:rsidR="00283DEB" w:rsidRPr="00442509">
        <w:rPr>
          <w:rFonts w:asciiTheme="minorHAnsi" w:eastAsiaTheme="minorHAnsi" w:hAnsiTheme="minorHAnsi" w:cs="Arial"/>
          <w:i/>
          <w:sz w:val="22"/>
          <w:szCs w:val="22"/>
        </w:rPr>
        <w:t>de compleetheid van de specificatie</w:t>
      </w:r>
      <w:r w:rsidR="00283DEB" w:rsidRPr="00442509">
        <w:rPr>
          <w:rFonts w:asciiTheme="minorHAnsi" w:eastAsiaTheme="minorHAnsi" w:hAnsiTheme="minorHAnsi" w:cs="Arial"/>
          <w:sz w:val="22"/>
          <w:szCs w:val="22"/>
        </w:rPr>
        <w:t xml:space="preserve">, (2) </w:t>
      </w:r>
      <w:r w:rsidR="00283DEB" w:rsidRPr="00442509">
        <w:rPr>
          <w:rFonts w:asciiTheme="minorHAnsi" w:eastAsiaTheme="minorHAnsi" w:hAnsiTheme="minorHAnsi" w:cs="Arial"/>
          <w:i/>
          <w:sz w:val="22"/>
          <w:szCs w:val="22"/>
        </w:rPr>
        <w:t>de beschikbare tijd</w:t>
      </w:r>
      <w:r w:rsidR="00283DEB" w:rsidRPr="00442509">
        <w:rPr>
          <w:rFonts w:asciiTheme="minorHAnsi" w:eastAsiaTheme="minorHAnsi" w:hAnsiTheme="minorHAnsi" w:cs="Arial"/>
          <w:sz w:val="22"/>
          <w:szCs w:val="22"/>
        </w:rPr>
        <w:t xml:space="preserve">, (3) </w:t>
      </w:r>
      <w:r w:rsidR="00283DEB" w:rsidRPr="00442509">
        <w:rPr>
          <w:rFonts w:asciiTheme="minorHAnsi" w:eastAsiaTheme="minorHAnsi" w:hAnsiTheme="minorHAnsi" w:cs="Arial"/>
          <w:i/>
          <w:sz w:val="22"/>
          <w:szCs w:val="22"/>
        </w:rPr>
        <w:t xml:space="preserve">de technische expertise voor de uitvoering van de werkzaamheden </w:t>
      </w:r>
      <w:r w:rsidR="00283DEB" w:rsidRPr="00442509">
        <w:rPr>
          <w:rFonts w:asciiTheme="minorHAnsi" w:eastAsiaTheme="minorHAnsi" w:hAnsiTheme="minorHAnsi" w:cs="Arial"/>
          <w:sz w:val="22"/>
          <w:szCs w:val="22"/>
        </w:rPr>
        <w:t xml:space="preserve">en (4) </w:t>
      </w:r>
      <w:r w:rsidR="00283DEB" w:rsidRPr="00442509">
        <w:rPr>
          <w:rFonts w:asciiTheme="minorHAnsi" w:eastAsiaTheme="minorHAnsi" w:hAnsiTheme="minorHAnsi" w:cs="Arial"/>
          <w:i/>
          <w:sz w:val="22"/>
          <w:szCs w:val="22"/>
        </w:rPr>
        <w:t>vertrouwen in de branche.</w:t>
      </w:r>
      <w:r w:rsidR="00283DEB" w:rsidRPr="00442509">
        <w:rPr>
          <w:rFonts w:asciiTheme="minorHAnsi" w:eastAsiaTheme="minorHAnsi" w:hAnsiTheme="minorHAnsi" w:cs="Arial"/>
          <w:sz w:val="22"/>
          <w:szCs w:val="22"/>
        </w:rPr>
        <w:t xml:space="preserve">  </w:t>
      </w:r>
      <w:r w:rsidR="00717BF5" w:rsidRPr="00442509">
        <w:rPr>
          <w:rFonts w:asciiTheme="minorHAnsi" w:eastAsiaTheme="minorHAnsi" w:hAnsiTheme="minorHAnsi" w:cs="Arial"/>
          <w:sz w:val="22"/>
          <w:szCs w:val="22"/>
        </w:rPr>
        <w:t>Van Weele (1992) geeft aan dat wanneer deskundigheid bij de opdrachtgever ontbreekt, de methode van uitvoering door aanneming nadelen met zich meebrengt.</w:t>
      </w:r>
      <w:r w:rsidR="00283DEB" w:rsidRPr="00442509">
        <w:rPr>
          <w:rFonts w:asciiTheme="minorHAnsi" w:eastAsiaTheme="minorHAnsi" w:hAnsiTheme="minorHAnsi" w:cs="Arial"/>
          <w:sz w:val="22"/>
          <w:szCs w:val="22"/>
        </w:rPr>
        <w:t xml:space="preserve"> </w:t>
      </w:r>
      <w:r w:rsidR="00D12C93">
        <w:rPr>
          <w:rFonts w:asciiTheme="minorHAnsi" w:eastAsiaTheme="minorHAnsi" w:hAnsiTheme="minorHAnsi" w:cs="Arial"/>
          <w:sz w:val="22"/>
          <w:szCs w:val="22"/>
        </w:rPr>
        <w:t>T</w:t>
      </w:r>
      <w:r w:rsidR="00717BF5" w:rsidRPr="00442509">
        <w:rPr>
          <w:rFonts w:asciiTheme="minorHAnsi" w:eastAsiaTheme="minorHAnsi" w:hAnsiTheme="minorHAnsi" w:cs="Arial"/>
          <w:sz w:val="22"/>
          <w:szCs w:val="22"/>
        </w:rPr>
        <w:t>abel</w:t>
      </w:r>
      <w:r w:rsidR="00D12C93">
        <w:rPr>
          <w:rFonts w:asciiTheme="minorHAnsi" w:eastAsiaTheme="minorHAnsi" w:hAnsiTheme="minorHAnsi" w:cs="Arial"/>
          <w:sz w:val="22"/>
          <w:szCs w:val="22"/>
        </w:rPr>
        <w:t xml:space="preserve"> </w:t>
      </w:r>
      <w:r w:rsidR="005A38AE">
        <w:rPr>
          <w:rFonts w:asciiTheme="minorHAnsi" w:eastAsiaTheme="minorHAnsi" w:hAnsiTheme="minorHAnsi" w:cs="Arial"/>
          <w:sz w:val="22"/>
          <w:szCs w:val="22"/>
        </w:rPr>
        <w:t>3</w:t>
      </w:r>
      <w:r w:rsidR="00717BF5" w:rsidRPr="00442509">
        <w:rPr>
          <w:rFonts w:asciiTheme="minorHAnsi" w:eastAsiaTheme="minorHAnsi" w:hAnsiTheme="minorHAnsi" w:cs="Arial"/>
          <w:sz w:val="22"/>
          <w:szCs w:val="22"/>
        </w:rPr>
        <w:t xml:space="preserve"> illustreert de voor-en nadelen van beide benaderingen:</w:t>
      </w:r>
    </w:p>
    <w:tbl>
      <w:tblPr>
        <w:tblStyle w:val="GridTable1Light"/>
        <w:tblW w:w="0" w:type="auto"/>
        <w:tblLook w:val="04A0" w:firstRow="1" w:lastRow="0" w:firstColumn="1" w:lastColumn="0" w:noHBand="0" w:noVBand="1"/>
      </w:tblPr>
      <w:tblGrid>
        <w:gridCol w:w="3221"/>
        <w:gridCol w:w="3221"/>
        <w:gridCol w:w="3222"/>
      </w:tblGrid>
      <w:tr w:rsidR="00717BF5" w:rsidRPr="00CA070E" w14:paraId="228D3F6E" w14:textId="77777777" w:rsidTr="00A8753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1" w:type="dxa"/>
          </w:tcPr>
          <w:p w14:paraId="0E99C801" w14:textId="77777777" w:rsidR="00717BF5" w:rsidRPr="00CA070E" w:rsidRDefault="00717BF5" w:rsidP="002E772D">
            <w:pPr>
              <w:spacing w:after="0" w:line="276" w:lineRule="auto"/>
              <w:rPr>
                <w:rFonts w:asciiTheme="minorHAnsi" w:eastAsiaTheme="minorHAnsi" w:hAnsiTheme="minorHAnsi" w:cs="Arial"/>
              </w:rPr>
            </w:pPr>
            <w:bookmarkStart w:id="68" w:name="_Hlk486194011"/>
          </w:p>
        </w:tc>
        <w:tc>
          <w:tcPr>
            <w:tcW w:w="3221" w:type="dxa"/>
          </w:tcPr>
          <w:p w14:paraId="3C9A97F2" w14:textId="77777777" w:rsidR="00717BF5" w:rsidRPr="00CA070E" w:rsidRDefault="00717BF5" w:rsidP="002E772D">
            <w:pPr>
              <w:spacing w:after="0" w:line="276" w:lineRule="auto"/>
              <w:cnfStyle w:val="100000000000" w:firstRow="1" w:lastRow="0" w:firstColumn="0" w:lastColumn="0" w:oddVBand="0" w:evenVBand="0" w:oddHBand="0" w:evenHBand="0" w:firstRowFirstColumn="0" w:firstRowLastColumn="0" w:lastRowFirstColumn="0" w:lastRowLastColumn="0"/>
              <w:rPr>
                <w:rFonts w:asciiTheme="minorHAnsi" w:eastAsiaTheme="minorHAnsi" w:hAnsiTheme="minorHAnsi" w:cs="Arial"/>
                <w:i/>
              </w:rPr>
            </w:pPr>
            <w:r w:rsidRPr="00CA070E">
              <w:rPr>
                <w:rFonts w:asciiTheme="minorHAnsi" w:eastAsiaTheme="minorHAnsi" w:hAnsiTheme="minorHAnsi" w:cs="Arial"/>
                <w:i/>
              </w:rPr>
              <w:t>Voordelen</w:t>
            </w:r>
          </w:p>
        </w:tc>
        <w:tc>
          <w:tcPr>
            <w:tcW w:w="3222" w:type="dxa"/>
          </w:tcPr>
          <w:p w14:paraId="11C3E0A1" w14:textId="77777777" w:rsidR="00717BF5" w:rsidRPr="00CA070E" w:rsidRDefault="00717BF5" w:rsidP="002E772D">
            <w:pPr>
              <w:spacing w:after="0" w:line="276" w:lineRule="auto"/>
              <w:cnfStyle w:val="100000000000" w:firstRow="1" w:lastRow="0" w:firstColumn="0" w:lastColumn="0" w:oddVBand="0" w:evenVBand="0" w:oddHBand="0" w:evenHBand="0" w:firstRowFirstColumn="0" w:firstRowLastColumn="0" w:lastRowFirstColumn="0" w:lastRowLastColumn="0"/>
              <w:rPr>
                <w:rFonts w:asciiTheme="minorHAnsi" w:eastAsiaTheme="minorHAnsi" w:hAnsiTheme="minorHAnsi" w:cs="Arial"/>
                <w:i/>
              </w:rPr>
            </w:pPr>
            <w:r w:rsidRPr="00CA070E">
              <w:rPr>
                <w:rFonts w:asciiTheme="minorHAnsi" w:eastAsiaTheme="minorHAnsi" w:hAnsiTheme="minorHAnsi" w:cs="Arial"/>
                <w:i/>
              </w:rPr>
              <w:t>Nadelen</w:t>
            </w:r>
          </w:p>
        </w:tc>
      </w:tr>
      <w:tr w:rsidR="00717BF5" w:rsidRPr="00CA070E" w14:paraId="288FA300" w14:textId="77777777" w:rsidTr="00A87533">
        <w:tc>
          <w:tcPr>
            <w:cnfStyle w:val="001000000000" w:firstRow="0" w:lastRow="0" w:firstColumn="1" w:lastColumn="0" w:oddVBand="0" w:evenVBand="0" w:oddHBand="0" w:evenHBand="0" w:firstRowFirstColumn="0" w:firstRowLastColumn="0" w:lastRowFirstColumn="0" w:lastRowLastColumn="0"/>
            <w:tcW w:w="3221" w:type="dxa"/>
          </w:tcPr>
          <w:p w14:paraId="1FC7289E" w14:textId="77777777" w:rsidR="00717BF5" w:rsidRPr="00CA070E" w:rsidRDefault="00717BF5" w:rsidP="002E772D">
            <w:pPr>
              <w:spacing w:after="0" w:line="276" w:lineRule="auto"/>
              <w:rPr>
                <w:rFonts w:asciiTheme="minorHAnsi" w:eastAsiaTheme="minorHAnsi" w:hAnsiTheme="minorHAnsi" w:cs="Arial"/>
              </w:rPr>
            </w:pPr>
            <w:r w:rsidRPr="00CA070E">
              <w:rPr>
                <w:rFonts w:asciiTheme="minorHAnsi" w:eastAsiaTheme="minorHAnsi" w:hAnsiTheme="minorHAnsi" w:cs="Arial"/>
              </w:rPr>
              <w:t xml:space="preserve">Uitvoering door aanmaning </w:t>
            </w:r>
          </w:p>
        </w:tc>
        <w:tc>
          <w:tcPr>
            <w:tcW w:w="3221" w:type="dxa"/>
          </w:tcPr>
          <w:p w14:paraId="366DFE14" w14:textId="77777777" w:rsidR="00717BF5" w:rsidRPr="00CA070E" w:rsidRDefault="00717BF5" w:rsidP="002E772D">
            <w:pPr>
              <w:spacing w:after="0" w:line="276" w:lineRule="auto"/>
              <w:cnfStyle w:val="000000000000" w:firstRow="0" w:lastRow="0" w:firstColumn="0" w:lastColumn="0" w:oddVBand="0" w:evenVBand="0" w:oddHBand="0" w:evenHBand="0" w:firstRowFirstColumn="0" w:firstRowLastColumn="0" w:lastRowFirstColumn="0" w:lastRowLastColumn="0"/>
              <w:rPr>
                <w:rFonts w:asciiTheme="minorHAnsi" w:eastAsiaTheme="minorHAnsi" w:hAnsiTheme="minorHAnsi" w:cs="Arial"/>
              </w:rPr>
            </w:pPr>
            <w:r w:rsidRPr="00CA070E">
              <w:rPr>
                <w:rFonts w:asciiTheme="minorHAnsi" w:eastAsiaTheme="minorHAnsi" w:hAnsiTheme="minorHAnsi" w:cs="Arial"/>
              </w:rPr>
              <w:t xml:space="preserve">• vaste prijs en datum </w:t>
            </w:r>
          </w:p>
        </w:tc>
        <w:tc>
          <w:tcPr>
            <w:tcW w:w="3222" w:type="dxa"/>
          </w:tcPr>
          <w:p w14:paraId="34B92673" w14:textId="456BC34E" w:rsidR="00717BF5" w:rsidRPr="00CA070E" w:rsidRDefault="00641B5C" w:rsidP="002E772D">
            <w:pPr>
              <w:spacing w:after="0" w:line="276" w:lineRule="auto"/>
              <w:cnfStyle w:val="000000000000" w:firstRow="0" w:lastRow="0" w:firstColumn="0" w:lastColumn="0" w:oddVBand="0" w:evenVBand="0" w:oddHBand="0" w:evenHBand="0" w:firstRowFirstColumn="0" w:firstRowLastColumn="0" w:lastRowFirstColumn="0" w:lastRowLastColumn="0"/>
              <w:rPr>
                <w:rFonts w:asciiTheme="minorHAnsi" w:eastAsiaTheme="minorHAnsi" w:hAnsiTheme="minorHAnsi" w:cs="Arial"/>
              </w:rPr>
            </w:pPr>
            <w:r>
              <w:rPr>
                <w:rFonts w:asciiTheme="minorHAnsi" w:eastAsiaTheme="minorHAnsi" w:hAnsiTheme="minorHAnsi" w:cs="Arial"/>
              </w:rPr>
              <w:t>• p</w:t>
            </w:r>
            <w:r w:rsidR="00717BF5" w:rsidRPr="00CA070E">
              <w:rPr>
                <w:rFonts w:asciiTheme="minorHAnsi" w:eastAsiaTheme="minorHAnsi" w:hAnsiTheme="minorHAnsi" w:cs="Arial"/>
              </w:rPr>
              <w:t>rijscontrole moeilijk bij kennis-asymmetrie en gebrek aan deskundigheid</w:t>
            </w:r>
          </w:p>
          <w:p w14:paraId="3E04D3CF" w14:textId="77777777" w:rsidR="00717BF5" w:rsidRPr="00CA070E" w:rsidRDefault="00717BF5" w:rsidP="002E772D">
            <w:pPr>
              <w:spacing w:after="0" w:line="276" w:lineRule="auto"/>
              <w:cnfStyle w:val="000000000000" w:firstRow="0" w:lastRow="0" w:firstColumn="0" w:lastColumn="0" w:oddVBand="0" w:evenVBand="0" w:oddHBand="0" w:evenHBand="0" w:firstRowFirstColumn="0" w:firstRowLastColumn="0" w:lastRowFirstColumn="0" w:lastRowLastColumn="0"/>
              <w:rPr>
                <w:rFonts w:asciiTheme="minorHAnsi" w:eastAsiaTheme="minorHAnsi" w:hAnsiTheme="minorHAnsi" w:cs="Arial"/>
              </w:rPr>
            </w:pPr>
            <w:r w:rsidRPr="00CA070E">
              <w:rPr>
                <w:rFonts w:asciiTheme="minorHAnsi" w:eastAsiaTheme="minorHAnsi" w:hAnsiTheme="minorHAnsi" w:cs="Arial"/>
              </w:rPr>
              <w:t>• vraagt om veel voorbereiding</w:t>
            </w:r>
          </w:p>
          <w:p w14:paraId="5A3E715B" w14:textId="77777777" w:rsidR="00717BF5" w:rsidRPr="00CA070E" w:rsidRDefault="00717BF5" w:rsidP="002E772D">
            <w:pPr>
              <w:spacing w:after="0" w:line="276" w:lineRule="auto"/>
              <w:cnfStyle w:val="000000000000" w:firstRow="0" w:lastRow="0" w:firstColumn="0" w:lastColumn="0" w:oddVBand="0" w:evenVBand="0" w:oddHBand="0" w:evenHBand="0" w:firstRowFirstColumn="0" w:firstRowLastColumn="0" w:lastRowFirstColumn="0" w:lastRowLastColumn="0"/>
              <w:rPr>
                <w:rFonts w:asciiTheme="minorHAnsi" w:eastAsiaTheme="minorHAnsi" w:hAnsiTheme="minorHAnsi" w:cs="Arial"/>
              </w:rPr>
            </w:pPr>
            <w:r w:rsidRPr="00CA070E">
              <w:rPr>
                <w:rFonts w:asciiTheme="minorHAnsi" w:eastAsiaTheme="minorHAnsi" w:hAnsiTheme="minorHAnsi" w:cs="Arial"/>
              </w:rPr>
              <w:t xml:space="preserve">• op voorhand niet duidelijke welke leverancier als beste uit de bus komt </w:t>
            </w:r>
          </w:p>
        </w:tc>
      </w:tr>
      <w:tr w:rsidR="00717BF5" w:rsidRPr="00C748C7" w14:paraId="7BC7C082" w14:textId="77777777" w:rsidTr="00A87533">
        <w:tc>
          <w:tcPr>
            <w:cnfStyle w:val="001000000000" w:firstRow="0" w:lastRow="0" w:firstColumn="1" w:lastColumn="0" w:oddVBand="0" w:evenVBand="0" w:oddHBand="0" w:evenHBand="0" w:firstRowFirstColumn="0" w:firstRowLastColumn="0" w:lastRowFirstColumn="0" w:lastRowLastColumn="0"/>
            <w:tcW w:w="3221" w:type="dxa"/>
          </w:tcPr>
          <w:p w14:paraId="296D02E7" w14:textId="77777777" w:rsidR="00717BF5" w:rsidRPr="00CA070E" w:rsidRDefault="00717BF5" w:rsidP="002E772D">
            <w:pPr>
              <w:spacing w:after="0" w:line="276" w:lineRule="auto"/>
              <w:rPr>
                <w:rFonts w:asciiTheme="minorHAnsi" w:eastAsiaTheme="minorHAnsi" w:hAnsiTheme="minorHAnsi" w:cs="Arial"/>
              </w:rPr>
            </w:pPr>
            <w:r w:rsidRPr="00CA070E">
              <w:rPr>
                <w:rFonts w:asciiTheme="minorHAnsi" w:eastAsiaTheme="minorHAnsi" w:hAnsiTheme="minorHAnsi" w:cs="Arial"/>
              </w:rPr>
              <w:t xml:space="preserve">Uitvoering in regie </w:t>
            </w:r>
          </w:p>
        </w:tc>
        <w:tc>
          <w:tcPr>
            <w:tcW w:w="3221" w:type="dxa"/>
          </w:tcPr>
          <w:p w14:paraId="561531D5" w14:textId="77777777" w:rsidR="00717BF5" w:rsidRPr="00CA070E" w:rsidRDefault="00717BF5" w:rsidP="002E772D">
            <w:pPr>
              <w:spacing w:after="0" w:line="276" w:lineRule="auto"/>
              <w:cnfStyle w:val="000000000000" w:firstRow="0" w:lastRow="0" w:firstColumn="0" w:lastColumn="0" w:oddVBand="0" w:evenVBand="0" w:oddHBand="0" w:evenHBand="0" w:firstRowFirstColumn="0" w:firstRowLastColumn="0" w:lastRowFirstColumn="0" w:lastRowLastColumn="0"/>
              <w:rPr>
                <w:rFonts w:asciiTheme="minorHAnsi" w:eastAsiaTheme="minorHAnsi" w:hAnsiTheme="minorHAnsi" w:cs="Arial"/>
              </w:rPr>
            </w:pPr>
            <w:r w:rsidRPr="00CA070E">
              <w:rPr>
                <w:rFonts w:asciiTheme="minorHAnsi" w:eastAsiaTheme="minorHAnsi" w:hAnsiTheme="minorHAnsi" w:cs="Arial"/>
              </w:rPr>
              <w:t>• exact inzicht in kostenstructuur van het werk</w:t>
            </w:r>
          </w:p>
          <w:p w14:paraId="06259106" w14:textId="77777777" w:rsidR="00717BF5" w:rsidRPr="00CA070E" w:rsidRDefault="00717BF5" w:rsidP="002E772D">
            <w:pPr>
              <w:spacing w:after="0" w:line="276" w:lineRule="auto"/>
              <w:cnfStyle w:val="000000000000" w:firstRow="0" w:lastRow="0" w:firstColumn="0" w:lastColumn="0" w:oddVBand="0" w:evenVBand="0" w:oddHBand="0" w:evenHBand="0" w:firstRowFirstColumn="0" w:firstRowLastColumn="0" w:lastRowFirstColumn="0" w:lastRowLastColumn="0"/>
              <w:rPr>
                <w:rFonts w:asciiTheme="minorHAnsi" w:eastAsiaTheme="minorHAnsi" w:hAnsiTheme="minorHAnsi" w:cs="Arial"/>
              </w:rPr>
            </w:pPr>
            <w:r w:rsidRPr="00CA070E">
              <w:rPr>
                <w:rFonts w:asciiTheme="minorHAnsi" w:eastAsiaTheme="minorHAnsi" w:hAnsiTheme="minorHAnsi" w:cs="Arial"/>
              </w:rPr>
              <w:t>• vrij in de keuze van de leverancier</w:t>
            </w:r>
          </w:p>
        </w:tc>
        <w:tc>
          <w:tcPr>
            <w:tcW w:w="3222" w:type="dxa"/>
          </w:tcPr>
          <w:p w14:paraId="6A394215" w14:textId="77777777" w:rsidR="00717BF5" w:rsidRPr="00CA070E" w:rsidRDefault="00717BF5" w:rsidP="002E772D">
            <w:pPr>
              <w:spacing w:after="0" w:line="276" w:lineRule="auto"/>
              <w:cnfStyle w:val="000000000000" w:firstRow="0" w:lastRow="0" w:firstColumn="0" w:lastColumn="0" w:oddVBand="0" w:evenVBand="0" w:oddHBand="0" w:evenHBand="0" w:firstRowFirstColumn="0" w:firstRowLastColumn="0" w:lastRowFirstColumn="0" w:lastRowLastColumn="0"/>
              <w:rPr>
                <w:rFonts w:asciiTheme="minorHAnsi" w:eastAsiaTheme="minorHAnsi" w:hAnsiTheme="minorHAnsi" w:cs="Arial"/>
              </w:rPr>
            </w:pPr>
            <w:r w:rsidRPr="00CA070E">
              <w:rPr>
                <w:rFonts w:asciiTheme="minorHAnsi" w:eastAsiaTheme="minorHAnsi" w:hAnsiTheme="minorHAnsi" w:cs="Arial"/>
              </w:rPr>
              <w:t>• de financiële gevolgen op voorhand niet bekend</w:t>
            </w:r>
          </w:p>
          <w:p w14:paraId="31A91498" w14:textId="77777777" w:rsidR="00717BF5" w:rsidRPr="00CA070E" w:rsidRDefault="00717BF5" w:rsidP="002E772D">
            <w:pPr>
              <w:spacing w:after="0" w:line="276" w:lineRule="auto"/>
              <w:cnfStyle w:val="000000000000" w:firstRow="0" w:lastRow="0" w:firstColumn="0" w:lastColumn="0" w:oddVBand="0" w:evenVBand="0" w:oddHBand="0" w:evenHBand="0" w:firstRowFirstColumn="0" w:firstRowLastColumn="0" w:lastRowFirstColumn="0" w:lastRowLastColumn="0"/>
              <w:rPr>
                <w:rFonts w:asciiTheme="minorHAnsi" w:eastAsiaTheme="minorHAnsi" w:hAnsiTheme="minorHAnsi" w:cs="Arial"/>
              </w:rPr>
            </w:pPr>
            <w:r w:rsidRPr="00CA070E">
              <w:rPr>
                <w:rFonts w:asciiTheme="minorHAnsi" w:eastAsiaTheme="minorHAnsi" w:hAnsiTheme="minorHAnsi" w:cs="Arial"/>
              </w:rPr>
              <w:t>• prikkel tot efficiëntie ontbreekt</w:t>
            </w:r>
          </w:p>
          <w:p w14:paraId="3E87D373" w14:textId="77777777" w:rsidR="00717BF5" w:rsidRPr="00CA070E" w:rsidRDefault="00717BF5" w:rsidP="002E772D">
            <w:pPr>
              <w:spacing w:after="0" w:line="276" w:lineRule="auto"/>
              <w:cnfStyle w:val="000000000000" w:firstRow="0" w:lastRow="0" w:firstColumn="0" w:lastColumn="0" w:oddVBand="0" w:evenVBand="0" w:oddHBand="0" w:evenHBand="0" w:firstRowFirstColumn="0" w:firstRowLastColumn="0" w:lastRowFirstColumn="0" w:lastRowLastColumn="0"/>
              <w:rPr>
                <w:rFonts w:asciiTheme="minorHAnsi" w:eastAsiaTheme="minorHAnsi" w:hAnsiTheme="minorHAnsi" w:cs="Arial"/>
              </w:rPr>
            </w:pPr>
            <w:r w:rsidRPr="00CA070E">
              <w:rPr>
                <w:rFonts w:asciiTheme="minorHAnsi" w:eastAsiaTheme="minorHAnsi" w:hAnsiTheme="minorHAnsi" w:cs="Arial"/>
              </w:rPr>
              <w:t>• geen zekerheid over leveringsdatum</w:t>
            </w:r>
          </w:p>
        </w:tc>
      </w:tr>
    </w:tbl>
    <w:bookmarkEnd w:id="68"/>
    <w:p w14:paraId="39314459" w14:textId="1EF73E0C" w:rsidR="00717BF5" w:rsidRPr="00C748C7" w:rsidRDefault="008B4FEA" w:rsidP="00D10775">
      <w:pPr>
        <w:pStyle w:val="Caption"/>
        <w:rPr>
          <w:rFonts w:asciiTheme="minorHAnsi" w:eastAsiaTheme="minorHAnsi" w:hAnsiTheme="minorHAnsi"/>
          <w:sz w:val="22"/>
          <w:highlight w:val="yellow"/>
        </w:rPr>
      </w:pPr>
      <w:r w:rsidRPr="008B4FEA">
        <w:rPr>
          <w:rFonts w:eastAsiaTheme="minorHAnsi"/>
        </w:rPr>
        <w:t xml:space="preserve">Tabel </w:t>
      </w:r>
      <w:r w:rsidR="005A38AE">
        <w:rPr>
          <w:rFonts w:eastAsiaTheme="minorHAnsi"/>
        </w:rPr>
        <w:t>3</w:t>
      </w:r>
      <w:r w:rsidRPr="008B4FEA">
        <w:rPr>
          <w:rFonts w:eastAsiaTheme="minorHAnsi"/>
        </w:rPr>
        <w:t>: Uiteenzetting van integraal en partieel uitbesteding</w:t>
      </w:r>
    </w:p>
    <w:p w14:paraId="6BC3E1BC" w14:textId="325934FC" w:rsidR="00717BF5" w:rsidRPr="00D97BDF" w:rsidRDefault="00717BF5" w:rsidP="00283DEB">
      <w:pPr>
        <w:spacing w:after="0" w:line="276" w:lineRule="auto"/>
      </w:pPr>
      <w:r w:rsidRPr="00C748C7">
        <w:rPr>
          <w:rFonts w:asciiTheme="minorHAnsi" w:eastAsiaTheme="minorHAnsi" w:hAnsiTheme="minorHAnsi" w:cs="Arial"/>
          <w:sz w:val="22"/>
          <w:szCs w:val="22"/>
          <w:highlight w:val="yellow"/>
        </w:rPr>
        <w:t xml:space="preserve"> </w:t>
      </w:r>
    </w:p>
    <w:p w14:paraId="54B7E022" w14:textId="77777777" w:rsidR="00717BF5" w:rsidRPr="00D97BDF" w:rsidRDefault="00717BF5" w:rsidP="00717BF5">
      <w:pPr>
        <w:pStyle w:val="NoSpacing"/>
      </w:pPr>
    </w:p>
    <w:p w14:paraId="2D1E557D" w14:textId="472A03AF" w:rsidR="00717BF5" w:rsidRPr="003B56D6" w:rsidRDefault="00717BF5" w:rsidP="00D10775">
      <w:pPr>
        <w:pStyle w:val="Heading3"/>
        <w:rPr>
          <w:color w:val="1F3864" w:themeColor="accent1" w:themeShade="80"/>
        </w:rPr>
      </w:pPr>
      <w:bookmarkStart w:id="69" w:name="_Toc517455458"/>
      <w:bookmarkStart w:id="70" w:name="_Hlk484109765"/>
      <w:r w:rsidRPr="003B56D6">
        <w:rPr>
          <w:color w:val="1F3864" w:themeColor="accent1" w:themeShade="80"/>
        </w:rPr>
        <w:t>3.5.4 Fase contracteren</w:t>
      </w:r>
      <w:bookmarkEnd w:id="69"/>
    </w:p>
    <w:bookmarkEnd w:id="70"/>
    <w:p w14:paraId="7FC26DC7" w14:textId="77777777" w:rsidR="00717BF5" w:rsidRPr="00442509" w:rsidRDefault="00717BF5" w:rsidP="00717BF5">
      <w:pPr>
        <w:spacing w:after="0" w:line="276" w:lineRule="auto"/>
        <w:rPr>
          <w:rFonts w:asciiTheme="minorHAnsi" w:eastAsiaTheme="minorHAnsi" w:hAnsiTheme="minorHAnsi" w:cs="Arial"/>
          <w:i/>
          <w:sz w:val="22"/>
          <w:szCs w:val="22"/>
        </w:rPr>
      </w:pPr>
      <w:r w:rsidRPr="00442509">
        <w:rPr>
          <w:rFonts w:asciiTheme="minorHAnsi" w:eastAsiaTheme="minorHAnsi" w:hAnsiTheme="minorHAnsi" w:cs="Arial"/>
          <w:i/>
          <w:sz w:val="22"/>
          <w:szCs w:val="22"/>
        </w:rPr>
        <w:t>- Wat spreken we af? -</w:t>
      </w:r>
    </w:p>
    <w:p w14:paraId="60FA7589" w14:textId="75267279" w:rsidR="00717BF5" w:rsidRPr="00442509" w:rsidRDefault="00717BF5" w:rsidP="00283DEB">
      <w:pPr>
        <w:spacing w:after="0" w:line="276" w:lineRule="auto"/>
        <w:rPr>
          <w:rFonts w:asciiTheme="minorHAnsi" w:eastAsiaTheme="minorHAnsi" w:hAnsiTheme="minorHAnsi" w:cs="Arial"/>
          <w:sz w:val="22"/>
          <w:szCs w:val="22"/>
        </w:rPr>
      </w:pPr>
      <w:r w:rsidRPr="00442509">
        <w:rPr>
          <w:rFonts w:asciiTheme="minorHAnsi" w:eastAsiaTheme="minorHAnsi" w:hAnsiTheme="minorHAnsi" w:cs="Arial"/>
          <w:sz w:val="22"/>
          <w:szCs w:val="22"/>
        </w:rPr>
        <w:t xml:space="preserve">De derde stap in het inkoopproces is het </w:t>
      </w:r>
      <w:r w:rsidRPr="00442509">
        <w:rPr>
          <w:rFonts w:asciiTheme="minorHAnsi" w:eastAsiaTheme="minorHAnsi" w:hAnsiTheme="minorHAnsi" w:cs="Arial"/>
          <w:i/>
          <w:sz w:val="22"/>
          <w:szCs w:val="22"/>
        </w:rPr>
        <w:t>contracteren</w:t>
      </w:r>
      <w:r w:rsidRPr="00442509">
        <w:rPr>
          <w:rFonts w:asciiTheme="minorHAnsi" w:eastAsiaTheme="minorHAnsi" w:hAnsiTheme="minorHAnsi" w:cs="Arial"/>
          <w:sz w:val="22"/>
          <w:szCs w:val="22"/>
        </w:rPr>
        <w:t xml:space="preserve"> van de leverancier</w:t>
      </w:r>
      <w:r w:rsidR="00CF6097" w:rsidRPr="00442509">
        <w:rPr>
          <w:rFonts w:asciiTheme="minorHAnsi" w:eastAsiaTheme="minorHAnsi" w:hAnsiTheme="minorHAnsi" w:cs="Arial"/>
          <w:sz w:val="22"/>
          <w:szCs w:val="22"/>
        </w:rPr>
        <w:t xml:space="preserve"> om de </w:t>
      </w:r>
      <w:r w:rsidRPr="00442509">
        <w:rPr>
          <w:rFonts w:asciiTheme="minorHAnsi" w:eastAsiaTheme="minorHAnsi" w:hAnsiTheme="minorHAnsi" w:cs="Arial"/>
          <w:sz w:val="22"/>
          <w:szCs w:val="22"/>
        </w:rPr>
        <w:t>(juridisch) rechten en plichten van de leverancier vast</w:t>
      </w:r>
      <w:r w:rsidR="00CF6097" w:rsidRPr="00442509">
        <w:rPr>
          <w:rFonts w:asciiTheme="minorHAnsi" w:eastAsiaTheme="minorHAnsi" w:hAnsiTheme="minorHAnsi" w:cs="Arial"/>
          <w:sz w:val="22"/>
          <w:szCs w:val="22"/>
        </w:rPr>
        <w:t xml:space="preserve"> te stellen. </w:t>
      </w:r>
      <w:r w:rsidRPr="00442509">
        <w:rPr>
          <w:rFonts w:asciiTheme="minorHAnsi" w:eastAsiaTheme="minorHAnsi" w:hAnsiTheme="minorHAnsi" w:cs="Arial"/>
          <w:sz w:val="22"/>
          <w:szCs w:val="22"/>
        </w:rPr>
        <w:t>Het hanteren van een standaard-inkoopcontact is niet haalbaar vanwege de vele (technische) specificaties per product en dienst</w:t>
      </w:r>
      <w:r w:rsidR="00CF6097" w:rsidRPr="00442509">
        <w:rPr>
          <w:rFonts w:asciiTheme="minorHAnsi" w:eastAsiaTheme="minorHAnsi" w:hAnsiTheme="minorHAnsi" w:cs="Arial"/>
          <w:sz w:val="22"/>
          <w:szCs w:val="22"/>
        </w:rPr>
        <w:t xml:space="preserve">. Ook hier zorgt </w:t>
      </w:r>
      <w:r w:rsidRPr="00442509">
        <w:rPr>
          <w:rFonts w:asciiTheme="minorHAnsi" w:eastAsiaTheme="minorHAnsi" w:hAnsiTheme="minorHAnsi" w:cs="Arial"/>
          <w:sz w:val="22"/>
          <w:szCs w:val="22"/>
        </w:rPr>
        <w:t>asymmetrie in kennis en expertise voor ongelij</w:t>
      </w:r>
      <w:r w:rsidR="00283DEB" w:rsidRPr="00442509">
        <w:rPr>
          <w:rFonts w:asciiTheme="minorHAnsi" w:eastAsiaTheme="minorHAnsi" w:hAnsiTheme="minorHAnsi" w:cs="Arial"/>
          <w:sz w:val="22"/>
          <w:szCs w:val="22"/>
        </w:rPr>
        <w:t>kheid in de onderhandelingen. In de theorie worden handvaten aangereikt om hiermee om te gaan.</w:t>
      </w:r>
    </w:p>
    <w:p w14:paraId="436F03CF" w14:textId="26DE54ED" w:rsidR="00717BF5" w:rsidRPr="00442509" w:rsidRDefault="00717BF5" w:rsidP="00283DEB">
      <w:pPr>
        <w:pStyle w:val="NoSpacing"/>
        <w:spacing w:line="276" w:lineRule="auto"/>
      </w:pPr>
      <w:r w:rsidRPr="00442509">
        <w:t xml:space="preserve">Bij het opstellen van algemene inkoopvoorwaarden dient er rekening te worden gehouden met de materie. Afspraken over levertijden, kwaliteit, prijs, prestatie, aansprakelijkheid e.d. zijn per product anders. ICT heeft bijvoorbeeld meer aandacht nodig dan materialen voor de gymzaal. </w:t>
      </w:r>
      <w:proofErr w:type="spellStart"/>
      <w:r w:rsidRPr="00442509">
        <w:t>Koppenjan</w:t>
      </w:r>
      <w:proofErr w:type="spellEnd"/>
      <w:r w:rsidRPr="00442509">
        <w:t xml:space="preserve"> (2012) noemt dit </w:t>
      </w:r>
      <w:r w:rsidRPr="00442509">
        <w:rPr>
          <w:i/>
        </w:rPr>
        <w:t>smart contracting</w:t>
      </w:r>
      <w:r w:rsidRPr="00442509">
        <w:t xml:space="preserve">. Gewaarde kwaliteitsaspecten moeten worden opgenomen in het contact met de leverancier, zodat er geen ruimte ontstaat voor misverstanden over de levering. </w:t>
      </w:r>
      <w:r w:rsidR="00283DEB" w:rsidRPr="00442509">
        <w:t xml:space="preserve">Binnen smart </w:t>
      </w:r>
      <w:proofErr w:type="spellStart"/>
      <w:r w:rsidR="00283DEB" w:rsidRPr="00442509">
        <w:t>contracting</w:t>
      </w:r>
      <w:proofErr w:type="spellEnd"/>
      <w:r w:rsidR="00283DEB" w:rsidRPr="00442509">
        <w:t xml:space="preserve"> moeten de belangen van beide partijen eerlijk zijn gewaarborgd. </w:t>
      </w:r>
      <w:r w:rsidRPr="00442509">
        <w:t>De voorwaarden moeten dus passend en redelijk zijn. Dit zal uiteindelijk leiden tot duurzame relatie. Nadat de voorwaarden expliciet zijn opgenomen in het contract en beide partijen mee hebben ingestemd, is het van belang om duidelijk te hebben wiens voor</w:t>
      </w:r>
      <w:r w:rsidR="00641B5C">
        <w:t>w</w:t>
      </w:r>
      <w:r w:rsidRPr="00442509">
        <w:t>aarden wanneer gelden. Bij geschillen is het aannemelijk dat beide partijen naar hun eigen algemene voorwaarden verwijzen. Dit wordt ook wel de ‘</w:t>
      </w:r>
      <w:proofErr w:type="spellStart"/>
      <w:r w:rsidRPr="00442509">
        <w:t>battle</w:t>
      </w:r>
      <w:proofErr w:type="spellEnd"/>
      <w:r w:rsidRPr="00442509">
        <w:t xml:space="preserve"> of </w:t>
      </w:r>
      <w:proofErr w:type="spellStart"/>
      <w:r w:rsidRPr="00442509">
        <w:t>the</w:t>
      </w:r>
      <w:proofErr w:type="spellEnd"/>
      <w:r w:rsidRPr="00442509">
        <w:t xml:space="preserve"> </w:t>
      </w:r>
      <w:proofErr w:type="spellStart"/>
      <w:r w:rsidRPr="00442509">
        <w:t>forms</w:t>
      </w:r>
      <w:proofErr w:type="spellEnd"/>
      <w:r w:rsidRPr="00442509">
        <w:t>’ genoemd (</w:t>
      </w:r>
      <w:hyperlink r:id="rId31" w:anchor="page_scan_tab_contents" w:history="1"/>
      <w:r w:rsidRPr="00442509">
        <w:t xml:space="preserve">Von </w:t>
      </w:r>
      <w:proofErr w:type="spellStart"/>
      <w:r w:rsidRPr="00442509">
        <w:t>Mehren</w:t>
      </w:r>
      <w:proofErr w:type="spellEnd"/>
      <w:r w:rsidRPr="00442509">
        <w:t>, 1990).</w:t>
      </w:r>
    </w:p>
    <w:p w14:paraId="3F7F5D03" w14:textId="0B2BE89F" w:rsidR="00B460A4" w:rsidRPr="00442509" w:rsidRDefault="00283DEB" w:rsidP="00B460A4">
      <w:pPr>
        <w:pStyle w:val="NoSpacing"/>
        <w:spacing w:line="276" w:lineRule="auto"/>
      </w:pPr>
      <w:r w:rsidRPr="00442509">
        <w:t>H</w:t>
      </w:r>
      <w:r w:rsidR="00717BF5" w:rsidRPr="00442509">
        <w:t xml:space="preserve">et </w:t>
      </w:r>
      <w:r w:rsidRPr="00442509">
        <w:t xml:space="preserve">is </w:t>
      </w:r>
      <w:r w:rsidR="00717BF5" w:rsidRPr="00442509">
        <w:t xml:space="preserve">noodzakelijk om de inkoop- en raamcontracten </w:t>
      </w:r>
      <w:r w:rsidR="00641B5C">
        <w:t>na een bepaalde periode tegen het</w:t>
      </w:r>
      <w:r w:rsidR="00717BF5" w:rsidRPr="00442509">
        <w:t xml:space="preserve"> licht te houden en verbeteringen door te voeren. Hierbij </w:t>
      </w:r>
      <w:r w:rsidRPr="00442509">
        <w:t>wordt gereflecteerd</w:t>
      </w:r>
      <w:r w:rsidR="00717BF5" w:rsidRPr="00442509">
        <w:t xml:space="preserve"> in hoeverre de eigen belangen nog gewaarborgd worden. Adequaat schakelen op veranderingen is noodzakelijk. Dit dient volgens </w:t>
      </w:r>
      <w:r w:rsidR="00BF4E6C">
        <w:t>het</w:t>
      </w:r>
      <w:r w:rsidR="00717BF5" w:rsidRPr="00442509">
        <w:t xml:space="preserve"> netwerk </w:t>
      </w:r>
      <w:proofErr w:type="spellStart"/>
      <w:r w:rsidR="00717BF5" w:rsidRPr="00442509">
        <w:t>governance</w:t>
      </w:r>
      <w:proofErr w:type="spellEnd"/>
      <w:r w:rsidR="00717BF5" w:rsidRPr="00442509">
        <w:t xml:space="preserve"> </w:t>
      </w:r>
      <w:r w:rsidR="00BF4E6C">
        <w:t xml:space="preserve">te </w:t>
      </w:r>
      <w:r w:rsidR="00717BF5" w:rsidRPr="00442509">
        <w:t>verlopen (</w:t>
      </w:r>
      <w:proofErr w:type="spellStart"/>
      <w:r w:rsidR="00717BF5" w:rsidRPr="00442509">
        <w:t>Koppenjan</w:t>
      </w:r>
      <w:proofErr w:type="spellEnd"/>
      <w:r w:rsidR="00717BF5" w:rsidRPr="00442509">
        <w:t>, 2012). De inkoper en de leverancier zijn in dat geval gezamenlijk verantwoordelijk voor de evaluatie en naleving van de afspraken. Da</w:t>
      </w:r>
      <w:r w:rsidR="00595ACC" w:rsidRPr="00442509">
        <w:t xml:space="preserve">t is volgens </w:t>
      </w:r>
      <w:proofErr w:type="spellStart"/>
      <w:r w:rsidR="00595ACC" w:rsidRPr="00442509">
        <w:t>Koppenjan</w:t>
      </w:r>
      <w:proofErr w:type="spellEnd"/>
      <w:r w:rsidR="00595ACC" w:rsidRPr="00442509">
        <w:t xml:space="preserve"> (2012) in het bijzonder</w:t>
      </w:r>
      <w:r w:rsidR="00717BF5" w:rsidRPr="00442509">
        <w:t xml:space="preserve"> geschikt in een situatie waarin autonome partijen wederzijds van elkaar afhankelijk zijn. Het samenspel tussen actoren in een netwerk zorgt ervoor dat actoren de eigen belangen of diensten proberen af te stemmen op de verwachtingen van de tegenpartij.</w:t>
      </w:r>
    </w:p>
    <w:p w14:paraId="1A572758" w14:textId="217E8727" w:rsidR="00717BF5" w:rsidRPr="00442509" w:rsidRDefault="00B460A4" w:rsidP="00B460A4">
      <w:pPr>
        <w:pStyle w:val="NoSpacing"/>
        <w:spacing w:line="276" w:lineRule="auto"/>
        <w:ind w:firstLine="708"/>
      </w:pPr>
      <w:r w:rsidRPr="00442509">
        <w:rPr>
          <w:rFonts w:cstheme="minorHAnsi"/>
          <w:szCs w:val="22"/>
        </w:rPr>
        <w:t xml:space="preserve">Contracteren kent in theorie een aantal belemmeringen. </w:t>
      </w:r>
      <w:r w:rsidR="00717BF5" w:rsidRPr="00442509">
        <w:rPr>
          <w:rFonts w:cstheme="minorHAnsi"/>
          <w:szCs w:val="22"/>
        </w:rPr>
        <w:t>De fase contra</w:t>
      </w:r>
      <w:r w:rsidR="00470734">
        <w:rPr>
          <w:rFonts w:cstheme="minorHAnsi"/>
          <w:szCs w:val="22"/>
        </w:rPr>
        <w:t>cteren</w:t>
      </w:r>
      <w:r w:rsidR="00717BF5" w:rsidRPr="00442509">
        <w:rPr>
          <w:rFonts w:cstheme="minorHAnsi"/>
          <w:szCs w:val="22"/>
        </w:rPr>
        <w:t xml:space="preserve"> verloopt in de praktijk doorgaans problematisch omdat er geen sprake is van </w:t>
      </w:r>
      <w:r w:rsidR="000D44A2" w:rsidRPr="00442509">
        <w:rPr>
          <w:rFonts w:cstheme="minorHAnsi"/>
          <w:szCs w:val="22"/>
        </w:rPr>
        <w:t xml:space="preserve">een </w:t>
      </w:r>
      <w:r w:rsidR="00717BF5" w:rsidRPr="00442509">
        <w:rPr>
          <w:rFonts w:cstheme="minorHAnsi"/>
          <w:szCs w:val="22"/>
        </w:rPr>
        <w:t>gebalanceerde kennisverhouding (</w:t>
      </w:r>
      <w:proofErr w:type="spellStart"/>
      <w:r w:rsidR="00717BF5" w:rsidRPr="00442509">
        <w:rPr>
          <w:rFonts w:cstheme="minorHAnsi"/>
          <w:szCs w:val="22"/>
        </w:rPr>
        <w:t>McCue</w:t>
      </w:r>
      <w:proofErr w:type="spellEnd"/>
      <w:r w:rsidR="00717BF5" w:rsidRPr="00442509">
        <w:rPr>
          <w:rFonts w:cstheme="minorHAnsi"/>
          <w:szCs w:val="22"/>
        </w:rPr>
        <w:t xml:space="preserve"> en </w:t>
      </w:r>
      <w:proofErr w:type="spellStart"/>
      <w:r w:rsidR="00717BF5" w:rsidRPr="00442509">
        <w:rPr>
          <w:rFonts w:cstheme="minorHAnsi"/>
          <w:szCs w:val="22"/>
        </w:rPr>
        <w:t>Prier</w:t>
      </w:r>
      <w:proofErr w:type="spellEnd"/>
      <w:r w:rsidR="00717BF5" w:rsidRPr="00442509">
        <w:rPr>
          <w:rFonts w:cstheme="minorHAnsi"/>
          <w:szCs w:val="22"/>
        </w:rPr>
        <w:t>,</w:t>
      </w:r>
      <w:r w:rsidR="00717BF5" w:rsidRPr="006E0867">
        <w:rPr>
          <w:rFonts w:cstheme="minorHAnsi"/>
          <w:szCs w:val="22"/>
        </w:rPr>
        <w:t xml:space="preserve"> </w:t>
      </w:r>
      <w:r w:rsidR="00717BF5" w:rsidRPr="00442509">
        <w:rPr>
          <w:rFonts w:cstheme="minorHAnsi"/>
          <w:szCs w:val="22"/>
        </w:rPr>
        <w:t>2008</w:t>
      </w:r>
      <w:r w:rsidR="008B4FEA">
        <w:rPr>
          <w:rFonts w:cstheme="minorHAnsi"/>
          <w:szCs w:val="22"/>
        </w:rPr>
        <w:t xml:space="preserve">; </w:t>
      </w:r>
      <w:r w:rsidR="008B4FEA" w:rsidRPr="00442509">
        <w:rPr>
          <w:rFonts w:cstheme="minorHAnsi"/>
          <w:szCs w:val="22"/>
        </w:rPr>
        <w:t xml:space="preserve">De Bruijn et </w:t>
      </w:r>
      <w:r w:rsidR="000B47A7">
        <w:rPr>
          <w:rFonts w:cstheme="minorHAnsi"/>
          <w:szCs w:val="22"/>
        </w:rPr>
        <w:t>al.</w:t>
      </w:r>
      <w:r w:rsidR="008B4FEA" w:rsidRPr="00442509">
        <w:rPr>
          <w:rFonts w:cstheme="minorHAnsi"/>
          <w:szCs w:val="22"/>
        </w:rPr>
        <w:t xml:space="preserve"> 2015</w:t>
      </w:r>
      <w:r w:rsidR="00717BF5" w:rsidRPr="00442509">
        <w:rPr>
          <w:rFonts w:cstheme="minorHAnsi"/>
          <w:szCs w:val="22"/>
        </w:rPr>
        <w:t xml:space="preserve">). Informatieasymmetrie en de daaraan gekoppelde afhankelijkheid is bepalend </w:t>
      </w:r>
      <w:r w:rsidR="000D44A2" w:rsidRPr="00442509">
        <w:rPr>
          <w:rFonts w:cstheme="minorHAnsi"/>
          <w:szCs w:val="22"/>
        </w:rPr>
        <w:t>in deze fase</w:t>
      </w:r>
      <w:r w:rsidR="00717BF5" w:rsidRPr="00442509">
        <w:rPr>
          <w:rFonts w:cstheme="minorHAnsi"/>
          <w:szCs w:val="22"/>
        </w:rPr>
        <w:t xml:space="preserve">. </w:t>
      </w:r>
      <w:r w:rsidR="000D44A2" w:rsidRPr="00442509">
        <w:rPr>
          <w:rFonts w:cstheme="minorHAnsi"/>
          <w:szCs w:val="22"/>
        </w:rPr>
        <w:t xml:space="preserve">Het leidt </w:t>
      </w:r>
      <w:r w:rsidR="008A4E9F" w:rsidRPr="00442509">
        <w:rPr>
          <w:rFonts w:cstheme="minorHAnsi"/>
          <w:szCs w:val="22"/>
        </w:rPr>
        <w:t>ertoe</w:t>
      </w:r>
      <w:r w:rsidR="000D44A2" w:rsidRPr="00442509">
        <w:rPr>
          <w:rFonts w:cstheme="minorHAnsi"/>
          <w:szCs w:val="22"/>
        </w:rPr>
        <w:t xml:space="preserve"> dat</w:t>
      </w:r>
      <w:r w:rsidR="00717BF5" w:rsidRPr="00442509">
        <w:rPr>
          <w:rFonts w:cstheme="minorHAnsi"/>
          <w:szCs w:val="22"/>
        </w:rPr>
        <w:t xml:space="preserve"> moeilijk of duur wordt voor de inkooporganisatie om te verifiëren wat de leverancier precies doet (De Bruijn et </w:t>
      </w:r>
      <w:r w:rsidR="000B47A7">
        <w:rPr>
          <w:rFonts w:cstheme="minorHAnsi"/>
          <w:szCs w:val="22"/>
        </w:rPr>
        <w:t>al.</w:t>
      </w:r>
      <w:r w:rsidR="00717BF5" w:rsidRPr="00442509">
        <w:rPr>
          <w:rFonts w:cstheme="minorHAnsi"/>
          <w:szCs w:val="22"/>
        </w:rPr>
        <w:t xml:space="preserve"> 2015). Er is sprake van zwakke controlemechanisme. Organisaties zijn niet in staat om de eigen behoeften in kaart te brengen door een gebrek aan adequate expertise en kennis (De Bruijn et </w:t>
      </w:r>
      <w:r w:rsidR="000B47A7">
        <w:rPr>
          <w:rFonts w:cstheme="minorHAnsi"/>
          <w:szCs w:val="22"/>
        </w:rPr>
        <w:t>al.</w:t>
      </w:r>
      <w:r w:rsidR="00717BF5" w:rsidRPr="00442509">
        <w:rPr>
          <w:rFonts w:cstheme="minorHAnsi"/>
          <w:szCs w:val="22"/>
        </w:rPr>
        <w:t xml:space="preserve"> 2015). Er is dan ook nauwelijks sprake </w:t>
      </w:r>
      <w:r w:rsidR="000D44A2" w:rsidRPr="00442509">
        <w:rPr>
          <w:rFonts w:cstheme="minorHAnsi"/>
          <w:szCs w:val="22"/>
        </w:rPr>
        <w:t xml:space="preserve">van </w:t>
      </w:r>
      <w:r w:rsidR="00717BF5" w:rsidRPr="00442509">
        <w:rPr>
          <w:rFonts w:cstheme="minorHAnsi"/>
          <w:szCs w:val="22"/>
        </w:rPr>
        <w:t xml:space="preserve">rationaliteit. Volgens </w:t>
      </w:r>
      <w:proofErr w:type="spellStart"/>
      <w:r w:rsidR="00717BF5" w:rsidRPr="00442509">
        <w:rPr>
          <w:rFonts w:cstheme="minorHAnsi"/>
          <w:szCs w:val="22"/>
        </w:rPr>
        <w:t>Hartley</w:t>
      </w:r>
      <w:proofErr w:type="spellEnd"/>
      <w:r w:rsidR="00717BF5" w:rsidRPr="00442509">
        <w:rPr>
          <w:rFonts w:cstheme="minorHAnsi"/>
          <w:szCs w:val="22"/>
        </w:rPr>
        <w:t xml:space="preserve"> en Parker (1997) wordt de begrensde rationaliteit en opportunistisch gedrag geassocieerd met asymmetrie in de opdrachtnemer-opdrachtgever relatie, wat leidt tot verlies van welvaart van een van de partijen. Onvolledige informatie heeft een negatief effect op het opstellen van optimale contracten (</w:t>
      </w:r>
      <w:proofErr w:type="spellStart"/>
      <w:r w:rsidR="00717BF5" w:rsidRPr="00442509">
        <w:rPr>
          <w:rFonts w:cstheme="minorHAnsi"/>
          <w:szCs w:val="22"/>
        </w:rPr>
        <w:t>Hartley</w:t>
      </w:r>
      <w:proofErr w:type="spellEnd"/>
      <w:r w:rsidR="00717BF5" w:rsidRPr="00442509">
        <w:rPr>
          <w:rFonts w:cstheme="minorHAnsi"/>
          <w:szCs w:val="22"/>
        </w:rPr>
        <w:t xml:space="preserve"> en Parker, 1997). Incomplete informatie stelt een partij in staat om opportunistisch te </w:t>
      </w:r>
      <w:r w:rsidR="00717BF5" w:rsidRPr="00442509">
        <w:rPr>
          <w:rFonts w:cstheme="minorHAnsi"/>
          <w:szCs w:val="22"/>
        </w:rPr>
        <w:lastRenderedPageBreak/>
        <w:t xml:space="preserve">handelen en informatievoordelen te exploiteren, over bijvoorbeeld de kwaliteit van product of dienst. Dit kan leiden tot de ‘agency probleem’. De ‘agent’ en de opdrachtgever </w:t>
      </w:r>
      <w:r w:rsidR="00884A79" w:rsidRPr="00442509">
        <w:rPr>
          <w:rFonts w:cstheme="minorHAnsi"/>
          <w:szCs w:val="22"/>
        </w:rPr>
        <w:t xml:space="preserve">hebben dan tegenstrijdige belangen </w:t>
      </w:r>
      <w:r w:rsidR="00717BF5" w:rsidRPr="00442509">
        <w:rPr>
          <w:rFonts w:cstheme="minorHAnsi"/>
          <w:szCs w:val="22"/>
        </w:rPr>
        <w:t xml:space="preserve">(Davis et al, 1997; Van </w:t>
      </w:r>
      <w:proofErr w:type="spellStart"/>
      <w:r w:rsidR="00717BF5" w:rsidRPr="00442509">
        <w:rPr>
          <w:rFonts w:cstheme="minorHAnsi"/>
          <w:szCs w:val="22"/>
        </w:rPr>
        <w:t>Slyke</w:t>
      </w:r>
      <w:proofErr w:type="spellEnd"/>
      <w:r w:rsidR="00717BF5" w:rsidRPr="00442509">
        <w:rPr>
          <w:rFonts w:cstheme="minorHAnsi"/>
          <w:szCs w:val="22"/>
        </w:rPr>
        <w:t>, 2006; De Bruijn et al, 2015).</w:t>
      </w:r>
      <w:r w:rsidR="00884A79" w:rsidRPr="00442509">
        <w:rPr>
          <w:rFonts w:cstheme="minorHAnsi"/>
          <w:szCs w:val="22"/>
        </w:rPr>
        <w:t xml:space="preserve"> </w:t>
      </w:r>
      <w:r w:rsidR="00717BF5" w:rsidRPr="00442509">
        <w:rPr>
          <w:rFonts w:cstheme="minorHAnsi"/>
          <w:szCs w:val="22"/>
        </w:rPr>
        <w:t>De Bruijn et al. (2015) reflecteren hieraan in hun onderzoek door middel van een combinatie van ‘</w:t>
      </w:r>
      <w:proofErr w:type="spellStart"/>
      <w:r w:rsidR="00717BF5" w:rsidRPr="00442509">
        <w:rPr>
          <w:rFonts w:cstheme="minorHAnsi"/>
          <w:szCs w:val="22"/>
        </w:rPr>
        <w:t>contractual</w:t>
      </w:r>
      <w:proofErr w:type="spellEnd"/>
      <w:r w:rsidR="00717BF5" w:rsidRPr="00442509">
        <w:rPr>
          <w:rFonts w:cstheme="minorHAnsi"/>
          <w:szCs w:val="22"/>
        </w:rPr>
        <w:t>’ en ‘</w:t>
      </w:r>
      <w:proofErr w:type="spellStart"/>
      <w:r w:rsidR="00717BF5" w:rsidRPr="00442509">
        <w:rPr>
          <w:rFonts w:cstheme="minorHAnsi"/>
          <w:szCs w:val="22"/>
        </w:rPr>
        <w:t>relational</w:t>
      </w:r>
      <w:proofErr w:type="spellEnd"/>
      <w:r w:rsidR="00717BF5" w:rsidRPr="00442509">
        <w:rPr>
          <w:rFonts w:cstheme="minorHAnsi"/>
          <w:szCs w:val="22"/>
        </w:rPr>
        <w:t xml:space="preserve">’ </w:t>
      </w:r>
      <w:proofErr w:type="spellStart"/>
      <w:r w:rsidR="00717BF5" w:rsidRPr="00442509">
        <w:rPr>
          <w:rFonts w:cstheme="minorHAnsi"/>
          <w:szCs w:val="22"/>
        </w:rPr>
        <w:t>governance</w:t>
      </w:r>
      <w:proofErr w:type="spellEnd"/>
      <w:r w:rsidR="00717BF5" w:rsidRPr="00442509">
        <w:rPr>
          <w:rFonts w:cstheme="minorHAnsi"/>
          <w:szCs w:val="22"/>
        </w:rPr>
        <w:t>. Dit zijn handvaten om een eventuele</w:t>
      </w:r>
      <w:r w:rsidR="00126C00" w:rsidRPr="00442509">
        <w:rPr>
          <w:rFonts w:cstheme="minorHAnsi"/>
          <w:szCs w:val="22"/>
        </w:rPr>
        <w:t xml:space="preserve"> ‘agency </w:t>
      </w:r>
      <w:proofErr w:type="spellStart"/>
      <w:r w:rsidR="00126C00" w:rsidRPr="00442509">
        <w:rPr>
          <w:rFonts w:cstheme="minorHAnsi"/>
          <w:szCs w:val="22"/>
        </w:rPr>
        <w:t>problem</w:t>
      </w:r>
      <w:proofErr w:type="spellEnd"/>
      <w:r w:rsidR="00126C00" w:rsidRPr="00442509">
        <w:rPr>
          <w:rFonts w:cstheme="minorHAnsi"/>
          <w:szCs w:val="22"/>
        </w:rPr>
        <w:t>’ tegen te gaan.</w:t>
      </w:r>
    </w:p>
    <w:p w14:paraId="31A149DE" w14:textId="23AC73BA" w:rsidR="00717BF5" w:rsidRPr="00442509" w:rsidRDefault="00717BF5" w:rsidP="00EA3325">
      <w:pPr>
        <w:pStyle w:val="NoSpacing"/>
        <w:spacing w:line="276" w:lineRule="auto"/>
      </w:pPr>
      <w:proofErr w:type="spellStart"/>
      <w:r w:rsidRPr="00442509">
        <w:t>Relational</w:t>
      </w:r>
      <w:proofErr w:type="spellEnd"/>
      <w:r w:rsidRPr="00442509">
        <w:t xml:space="preserve"> </w:t>
      </w:r>
      <w:proofErr w:type="spellStart"/>
      <w:r w:rsidRPr="00442509">
        <w:t>governance</w:t>
      </w:r>
      <w:proofErr w:type="spellEnd"/>
      <w:r w:rsidRPr="00442509">
        <w:t xml:space="preserve"> beschrijft een coöperatieve manier van contracten opstellen. Het contract met de leverancier moet flexibel zijn en de verschillende partijen in staat stellen om de productspecificaties aan te kunnen passen zonder dat contractonderhandelingen aan te pas komen. In andere woorden, het destabiliseren van specificaties is geformaliseerd in het contract zelf. Meerwaarde van deze vorm van </w:t>
      </w:r>
      <w:proofErr w:type="spellStart"/>
      <w:r w:rsidRPr="00442509">
        <w:t>governance</w:t>
      </w:r>
      <w:proofErr w:type="spellEnd"/>
      <w:r w:rsidRPr="00442509">
        <w:t xml:space="preserve"> wordt door De Bruijn et al. </w:t>
      </w:r>
      <w:r w:rsidRPr="00442509">
        <w:rPr>
          <w:lang w:val="en-US"/>
        </w:rPr>
        <w:t xml:space="preserve">(2015) </w:t>
      </w:r>
      <w:proofErr w:type="spellStart"/>
      <w:r w:rsidRPr="00442509">
        <w:rPr>
          <w:lang w:val="en-US"/>
        </w:rPr>
        <w:t>aangehaald</w:t>
      </w:r>
      <w:proofErr w:type="spellEnd"/>
      <w:r w:rsidRPr="00442509">
        <w:rPr>
          <w:lang w:val="en-US"/>
        </w:rPr>
        <w:t xml:space="preserve"> </w:t>
      </w:r>
      <w:proofErr w:type="spellStart"/>
      <w:r w:rsidRPr="00442509">
        <w:rPr>
          <w:lang w:val="en-US"/>
        </w:rPr>
        <w:t>als</w:t>
      </w:r>
      <w:proofErr w:type="spellEnd"/>
      <w:r w:rsidRPr="00442509">
        <w:rPr>
          <w:lang w:val="en-US"/>
        </w:rPr>
        <w:t>: “</w:t>
      </w:r>
      <w:r w:rsidRPr="00442509">
        <w:rPr>
          <w:i/>
          <w:lang w:val="en-US"/>
        </w:rPr>
        <w:t xml:space="preserve">Relational governance can provide </w:t>
      </w:r>
      <w:r w:rsidRPr="00442509">
        <w:rPr>
          <w:i/>
        </w:rPr>
        <w:t>ﬂ</w:t>
      </w:r>
      <w:proofErr w:type="spellStart"/>
      <w:r w:rsidRPr="00442509">
        <w:rPr>
          <w:i/>
          <w:lang w:val="en-US"/>
        </w:rPr>
        <w:t>exibility</w:t>
      </w:r>
      <w:proofErr w:type="spellEnd"/>
      <w:r w:rsidRPr="00442509">
        <w:rPr>
          <w:i/>
          <w:lang w:val="en-US"/>
        </w:rPr>
        <w:t xml:space="preserve"> in the procurement of professional ICT-services, outside the formal contract, allowing parties to share interpretations, renegotiation, and adjustment” </w:t>
      </w:r>
      <w:r w:rsidRPr="00442509">
        <w:rPr>
          <w:lang w:val="en-US"/>
        </w:rPr>
        <w:t>(p.222)</w:t>
      </w:r>
      <w:r w:rsidRPr="00442509">
        <w:rPr>
          <w:i/>
          <w:lang w:val="en-US"/>
        </w:rPr>
        <w:t>.</w:t>
      </w:r>
      <w:r w:rsidR="000D44A2" w:rsidRPr="00442509">
        <w:rPr>
          <w:lang w:val="en-US"/>
        </w:rPr>
        <w:t xml:space="preserve"> </w:t>
      </w:r>
      <w:r w:rsidRPr="00442509">
        <w:t xml:space="preserve">Er wordt hiermee voor een wenselijke flexibiliteit gepleit, waarbij de partijen gedeelde belangen hebben. In het hoofdstuk over opdrachtgeverschap zal </w:t>
      </w:r>
      <w:r w:rsidR="00EA3325" w:rsidRPr="00442509">
        <w:t>hier nader op worden ingezoomd.</w:t>
      </w:r>
      <w:r w:rsidRPr="00442509">
        <w:t xml:space="preserve"> Daarnaast bestaat er volgens Van der Valk </w:t>
      </w:r>
      <w:r w:rsidR="000B47A7">
        <w:t>et</w:t>
      </w:r>
      <w:r w:rsidRPr="00442509">
        <w:t xml:space="preserve"> al. (2013) de mogelijkheid om controle contracten op te stellen. Deze contracten bevatten controleafspraken over gedrag en uitkomsten. Volgens Van der Valk et al. (2013) dragen welgekozen controlecontracten bij aan beheersbaarheid van contracten gedurende de servicelevering. Deze op prestatie gebaseerde contracten dragen de financiële risico’s van een aankoop over aan de leveranciers. In theorie leidt deze contractvorm tot betere dienstverlening en lagere kosten, voornamelijk vanwege het feit dat risico’s en verantwoordelijkheden gespreid worden (De Bruijn et </w:t>
      </w:r>
      <w:r w:rsidR="000B47A7">
        <w:t>al.</w:t>
      </w:r>
      <w:r w:rsidRPr="00442509">
        <w:t xml:space="preserve"> 2015).</w:t>
      </w:r>
      <w:r w:rsidR="00AB6E00">
        <w:t xml:space="preserve"> </w:t>
      </w:r>
      <w:r w:rsidRPr="00442509">
        <w:t xml:space="preserve">Deze contracten bevatten een aantal algemene aspecten: </w:t>
      </w:r>
    </w:p>
    <w:p w14:paraId="139B903C" w14:textId="77777777" w:rsidR="00717BF5" w:rsidRPr="00442509" w:rsidRDefault="00717BF5" w:rsidP="00EA3325">
      <w:pPr>
        <w:pStyle w:val="NoSpacing"/>
        <w:spacing w:line="276" w:lineRule="auto"/>
        <w:rPr>
          <w:i/>
        </w:rPr>
      </w:pPr>
      <w:r w:rsidRPr="00442509">
        <w:rPr>
          <w:i/>
        </w:rPr>
        <w:t xml:space="preserve">(1) opdelen van grotere projecten in kleiner projecten, </w:t>
      </w:r>
    </w:p>
    <w:p w14:paraId="51F90551" w14:textId="77777777" w:rsidR="00717BF5" w:rsidRPr="00442509" w:rsidRDefault="00717BF5" w:rsidP="00EA3325">
      <w:pPr>
        <w:pStyle w:val="NoSpacing"/>
        <w:spacing w:line="276" w:lineRule="auto"/>
        <w:rPr>
          <w:i/>
        </w:rPr>
      </w:pPr>
      <w:r w:rsidRPr="00442509">
        <w:rPr>
          <w:i/>
        </w:rPr>
        <w:t xml:space="preserve">(2) toevoegen van boetes ter waarborging van de kwaliteit </w:t>
      </w:r>
    </w:p>
    <w:p w14:paraId="594DE51E" w14:textId="77777777" w:rsidR="00717BF5" w:rsidRPr="00442509" w:rsidRDefault="00717BF5" w:rsidP="00EA3325">
      <w:pPr>
        <w:pStyle w:val="NoSpacing"/>
        <w:spacing w:line="276" w:lineRule="auto"/>
        <w:rPr>
          <w:i/>
        </w:rPr>
      </w:pPr>
      <w:r w:rsidRPr="00442509">
        <w:rPr>
          <w:i/>
        </w:rPr>
        <w:t>(3) kiezen van een geschikte methode om contracten te beheren.</w:t>
      </w:r>
    </w:p>
    <w:p w14:paraId="1C5B90EF" w14:textId="77777777" w:rsidR="00717BF5" w:rsidRPr="00442509" w:rsidRDefault="00717BF5" w:rsidP="00717BF5">
      <w:pPr>
        <w:kinsoku/>
        <w:autoSpaceDE/>
        <w:autoSpaceDN/>
        <w:adjustRightInd/>
        <w:spacing w:after="160" w:line="259" w:lineRule="auto"/>
        <w:rPr>
          <w:rFonts w:asciiTheme="minorHAnsi" w:eastAsiaTheme="minorHAnsi" w:hAnsiTheme="minorHAnsi" w:cs="Arial"/>
          <w:b/>
          <w:sz w:val="22"/>
          <w:szCs w:val="22"/>
        </w:rPr>
      </w:pPr>
      <w:bookmarkStart w:id="71" w:name="_Hlk484109840"/>
    </w:p>
    <w:p w14:paraId="7FD3DCEA" w14:textId="54EDCCB8" w:rsidR="00717BF5" w:rsidRPr="003B56D6" w:rsidRDefault="00717BF5" w:rsidP="00D10775">
      <w:pPr>
        <w:pStyle w:val="Heading3"/>
        <w:rPr>
          <w:color w:val="1F3864" w:themeColor="accent1" w:themeShade="80"/>
        </w:rPr>
      </w:pPr>
      <w:bookmarkStart w:id="72" w:name="_Toc517455459"/>
      <w:r w:rsidRPr="003B56D6">
        <w:rPr>
          <w:color w:val="1F3864" w:themeColor="accent1" w:themeShade="80"/>
        </w:rPr>
        <w:t>3.5.5 Fase bestellen</w:t>
      </w:r>
      <w:bookmarkEnd w:id="72"/>
    </w:p>
    <w:bookmarkEnd w:id="71"/>
    <w:p w14:paraId="7DCEF0C5" w14:textId="77777777" w:rsidR="00717BF5" w:rsidRPr="00442509" w:rsidRDefault="00717BF5" w:rsidP="00717BF5">
      <w:pPr>
        <w:spacing w:after="0" w:line="276" w:lineRule="auto"/>
        <w:rPr>
          <w:rFonts w:asciiTheme="minorHAnsi" w:eastAsiaTheme="minorHAnsi" w:hAnsiTheme="minorHAnsi" w:cs="Arial"/>
          <w:i/>
          <w:sz w:val="22"/>
          <w:szCs w:val="22"/>
        </w:rPr>
      </w:pPr>
      <w:r w:rsidRPr="00442509">
        <w:rPr>
          <w:rFonts w:asciiTheme="minorHAnsi" w:eastAsiaTheme="minorHAnsi" w:hAnsiTheme="minorHAnsi" w:cs="Arial"/>
          <w:i/>
          <w:sz w:val="22"/>
          <w:szCs w:val="22"/>
        </w:rPr>
        <w:t>- Wat ontvangen wij -</w:t>
      </w:r>
    </w:p>
    <w:p w14:paraId="06F7A7D6" w14:textId="0E13B238" w:rsidR="00717BF5" w:rsidRPr="00442509" w:rsidRDefault="00717BF5" w:rsidP="00717BF5">
      <w:pPr>
        <w:spacing w:after="0" w:line="276" w:lineRule="auto"/>
        <w:rPr>
          <w:rFonts w:asciiTheme="minorHAnsi" w:eastAsiaTheme="minorHAnsi" w:hAnsiTheme="minorHAnsi" w:cs="Arial"/>
          <w:sz w:val="22"/>
          <w:szCs w:val="22"/>
        </w:rPr>
      </w:pPr>
      <w:r w:rsidRPr="00442509">
        <w:rPr>
          <w:rFonts w:asciiTheme="minorHAnsi" w:eastAsiaTheme="minorHAnsi" w:hAnsiTheme="minorHAnsi" w:cs="Arial"/>
          <w:sz w:val="22"/>
          <w:szCs w:val="22"/>
        </w:rPr>
        <w:t xml:space="preserve">Een gecontroleerd verloop van de voorgaande fase is een voorbode voor een </w:t>
      </w:r>
      <w:proofErr w:type="gramStart"/>
      <w:r w:rsidRPr="00442509">
        <w:rPr>
          <w:rFonts w:asciiTheme="minorHAnsi" w:eastAsiaTheme="minorHAnsi" w:hAnsiTheme="minorHAnsi" w:cs="Arial"/>
          <w:sz w:val="22"/>
          <w:szCs w:val="22"/>
        </w:rPr>
        <w:t>goed</w:t>
      </w:r>
      <w:r w:rsidR="00470734">
        <w:rPr>
          <w:rFonts w:asciiTheme="minorHAnsi" w:eastAsiaTheme="minorHAnsi" w:hAnsiTheme="minorHAnsi" w:cs="Arial"/>
          <w:sz w:val="22"/>
          <w:szCs w:val="22"/>
        </w:rPr>
        <w:t>e</w:t>
      </w:r>
      <w:proofErr w:type="gramEnd"/>
      <w:r w:rsidRPr="00442509">
        <w:rPr>
          <w:rFonts w:asciiTheme="minorHAnsi" w:eastAsiaTheme="minorHAnsi" w:hAnsiTheme="minorHAnsi" w:cs="Arial"/>
          <w:sz w:val="22"/>
          <w:szCs w:val="22"/>
        </w:rPr>
        <w:t xml:space="preserve"> verloop van stap vier: het daadwerkelijk </w:t>
      </w:r>
      <w:r w:rsidRPr="00442509">
        <w:rPr>
          <w:rFonts w:asciiTheme="minorHAnsi" w:eastAsiaTheme="minorHAnsi" w:hAnsiTheme="minorHAnsi" w:cs="Arial"/>
          <w:i/>
          <w:sz w:val="22"/>
          <w:szCs w:val="22"/>
        </w:rPr>
        <w:t>bestellen</w:t>
      </w:r>
      <w:r w:rsidRPr="00442509">
        <w:rPr>
          <w:rFonts w:asciiTheme="minorHAnsi" w:eastAsiaTheme="minorHAnsi" w:hAnsiTheme="minorHAnsi" w:cs="Arial"/>
          <w:sz w:val="22"/>
          <w:szCs w:val="22"/>
        </w:rPr>
        <w:t xml:space="preserve"> van de order. Desalniettemin dient orderbewaking nauwkeurig plaats te vinden. Opdrachtnemer ziet toe dat de leverancier goederen en diensten volgens de vastgestelde specificaties en normen levert.</w:t>
      </w:r>
    </w:p>
    <w:p w14:paraId="65EE705E" w14:textId="20C5B57E" w:rsidR="00717BF5" w:rsidRPr="00442509" w:rsidRDefault="00717BF5" w:rsidP="00717BF5">
      <w:pPr>
        <w:spacing w:after="0" w:line="276" w:lineRule="auto"/>
        <w:rPr>
          <w:rFonts w:asciiTheme="minorHAnsi" w:eastAsiaTheme="minorHAnsi" w:hAnsiTheme="minorHAnsi" w:cs="Arial"/>
          <w:sz w:val="22"/>
          <w:szCs w:val="22"/>
        </w:rPr>
      </w:pPr>
      <w:r w:rsidRPr="00442509">
        <w:rPr>
          <w:rFonts w:asciiTheme="minorHAnsi" w:eastAsiaTheme="minorHAnsi" w:hAnsiTheme="minorHAnsi" w:cs="Arial"/>
          <w:sz w:val="22"/>
          <w:szCs w:val="22"/>
        </w:rPr>
        <w:t xml:space="preserve">Ook in deze fase dient de contractmanager betrokken te worden. De contractmanager is verantwoordelijk voor de aanbestedingstrajecten vanwege de specifieke kennis wat de persoon bezit (Knoester, 2009). </w:t>
      </w:r>
    </w:p>
    <w:p w14:paraId="1538D4A0" w14:textId="23F31618" w:rsidR="00717BF5" w:rsidRDefault="00717BF5" w:rsidP="00717BF5">
      <w:pPr>
        <w:spacing w:after="0" w:line="276" w:lineRule="auto"/>
        <w:rPr>
          <w:rFonts w:asciiTheme="minorHAnsi" w:eastAsiaTheme="minorHAnsi" w:hAnsiTheme="minorHAnsi" w:cs="Arial"/>
          <w:sz w:val="22"/>
          <w:szCs w:val="22"/>
        </w:rPr>
      </w:pPr>
      <w:r w:rsidRPr="00442509">
        <w:rPr>
          <w:rFonts w:asciiTheme="minorHAnsi" w:eastAsiaTheme="minorHAnsi" w:hAnsiTheme="minorHAnsi" w:cs="Arial"/>
          <w:sz w:val="22"/>
          <w:szCs w:val="22"/>
        </w:rPr>
        <w:t>Fase bestellen heeft in de theorie een marginaal belang, het gaat om operationele werkzaamheden die van weinig strategisc</w:t>
      </w:r>
      <w:r w:rsidR="00182DDA" w:rsidRPr="00442509">
        <w:rPr>
          <w:rFonts w:asciiTheme="minorHAnsi" w:eastAsiaTheme="minorHAnsi" w:hAnsiTheme="minorHAnsi" w:cs="Arial"/>
          <w:sz w:val="22"/>
          <w:szCs w:val="22"/>
        </w:rPr>
        <w:t xml:space="preserve">h belang zijn. Desondanks </w:t>
      </w:r>
      <w:r w:rsidRPr="00442509">
        <w:rPr>
          <w:rFonts w:asciiTheme="minorHAnsi" w:eastAsiaTheme="minorHAnsi" w:hAnsiTheme="minorHAnsi" w:cs="Arial"/>
          <w:sz w:val="22"/>
          <w:szCs w:val="22"/>
        </w:rPr>
        <w:t xml:space="preserve">is het volgens Kappert </w:t>
      </w:r>
      <w:r w:rsidR="000B47A7">
        <w:rPr>
          <w:rFonts w:asciiTheme="minorHAnsi" w:eastAsiaTheme="minorHAnsi" w:hAnsiTheme="minorHAnsi" w:cs="Arial"/>
          <w:sz w:val="22"/>
          <w:szCs w:val="22"/>
        </w:rPr>
        <w:t>et</w:t>
      </w:r>
      <w:r w:rsidRPr="00442509">
        <w:rPr>
          <w:rFonts w:asciiTheme="minorHAnsi" w:eastAsiaTheme="minorHAnsi" w:hAnsiTheme="minorHAnsi" w:cs="Arial"/>
          <w:sz w:val="22"/>
          <w:szCs w:val="22"/>
        </w:rPr>
        <w:t xml:space="preserve"> </w:t>
      </w:r>
      <w:r w:rsidR="000B47A7">
        <w:rPr>
          <w:rFonts w:asciiTheme="minorHAnsi" w:eastAsiaTheme="minorHAnsi" w:hAnsiTheme="minorHAnsi" w:cs="Arial"/>
          <w:sz w:val="22"/>
          <w:szCs w:val="22"/>
        </w:rPr>
        <w:t>al.</w:t>
      </w:r>
      <w:r w:rsidRPr="00442509">
        <w:rPr>
          <w:rFonts w:asciiTheme="minorHAnsi" w:eastAsiaTheme="minorHAnsi" w:hAnsiTheme="minorHAnsi" w:cs="Arial"/>
          <w:sz w:val="22"/>
          <w:szCs w:val="22"/>
        </w:rPr>
        <w:t xml:space="preserve"> (2017) belangrijk voor inkooporganisaties om zich aan het inkoopbeleid en investeringsplan te houden. Dit moet ah-hoc aankopen tegengaan, want dat brengt immers nieuwe (financiële) consequenties met zich mee. </w:t>
      </w:r>
    </w:p>
    <w:p w14:paraId="06E1921B" w14:textId="77777777" w:rsidR="00AA1F93" w:rsidRDefault="00AA1F93">
      <w:pPr>
        <w:kinsoku/>
        <w:autoSpaceDE/>
        <w:autoSpaceDN/>
        <w:adjustRightInd/>
        <w:spacing w:after="160" w:line="259" w:lineRule="auto"/>
        <w:rPr>
          <w:rFonts w:asciiTheme="minorHAnsi" w:eastAsiaTheme="minorHAnsi" w:hAnsiTheme="minorHAnsi" w:cstheme="minorHAnsi"/>
          <w:b/>
          <w:sz w:val="22"/>
          <w:szCs w:val="22"/>
        </w:rPr>
      </w:pPr>
      <w:bookmarkStart w:id="73" w:name="_Hlk484109872"/>
      <w:r>
        <w:rPr>
          <w:rFonts w:asciiTheme="minorHAnsi" w:eastAsiaTheme="minorHAnsi" w:hAnsiTheme="minorHAnsi" w:cstheme="minorHAnsi"/>
          <w:b/>
          <w:sz w:val="22"/>
          <w:szCs w:val="22"/>
        </w:rPr>
        <w:br w:type="page"/>
      </w:r>
    </w:p>
    <w:p w14:paraId="37662328" w14:textId="28F2D4FC" w:rsidR="00717BF5" w:rsidRPr="003B56D6" w:rsidRDefault="00717BF5" w:rsidP="00D10775">
      <w:pPr>
        <w:pStyle w:val="Heading3"/>
        <w:rPr>
          <w:color w:val="1F3864" w:themeColor="accent1" w:themeShade="80"/>
        </w:rPr>
      </w:pPr>
      <w:bookmarkStart w:id="74" w:name="_Toc517455460"/>
      <w:r w:rsidRPr="003B56D6">
        <w:rPr>
          <w:color w:val="1F3864" w:themeColor="accent1" w:themeShade="80"/>
        </w:rPr>
        <w:lastRenderedPageBreak/>
        <w:t>3.5.6 Fase bewaken</w:t>
      </w:r>
      <w:bookmarkEnd w:id="74"/>
    </w:p>
    <w:bookmarkEnd w:id="73"/>
    <w:p w14:paraId="645F7EA9" w14:textId="77777777" w:rsidR="00717BF5" w:rsidRPr="00442509" w:rsidRDefault="00717BF5" w:rsidP="00717BF5">
      <w:pPr>
        <w:spacing w:after="0" w:line="276" w:lineRule="auto"/>
        <w:rPr>
          <w:rFonts w:asciiTheme="minorHAnsi" w:eastAsiaTheme="minorHAnsi" w:hAnsiTheme="minorHAnsi" w:cstheme="minorHAnsi"/>
          <w:i/>
          <w:sz w:val="22"/>
          <w:szCs w:val="22"/>
        </w:rPr>
      </w:pPr>
      <w:r w:rsidRPr="00442509">
        <w:rPr>
          <w:rFonts w:asciiTheme="minorHAnsi" w:eastAsiaTheme="minorHAnsi" w:hAnsiTheme="minorHAnsi" w:cstheme="minorHAnsi"/>
          <w:i/>
          <w:sz w:val="22"/>
          <w:szCs w:val="22"/>
        </w:rPr>
        <w:t>- Voldoet de levering aan de vraag? -</w:t>
      </w:r>
    </w:p>
    <w:p w14:paraId="3E8AFE06" w14:textId="644FD27D" w:rsidR="00717BF5" w:rsidRPr="00442509" w:rsidRDefault="00717BF5" w:rsidP="00717BF5">
      <w:pPr>
        <w:spacing w:after="0" w:line="276" w:lineRule="auto"/>
        <w:rPr>
          <w:rFonts w:asciiTheme="minorHAnsi" w:eastAsiaTheme="minorHAnsi" w:hAnsiTheme="minorHAnsi" w:cstheme="minorHAnsi"/>
          <w:sz w:val="22"/>
          <w:szCs w:val="22"/>
        </w:rPr>
      </w:pPr>
      <w:r w:rsidRPr="00442509">
        <w:rPr>
          <w:rFonts w:asciiTheme="minorHAnsi" w:eastAsiaTheme="minorHAnsi" w:hAnsiTheme="minorHAnsi" w:cstheme="minorHAnsi"/>
          <w:sz w:val="22"/>
          <w:szCs w:val="22"/>
        </w:rPr>
        <w:t xml:space="preserve">Tot slot dient er aandacht uit te gaan naar de </w:t>
      </w:r>
      <w:r w:rsidRPr="00442509">
        <w:rPr>
          <w:rFonts w:asciiTheme="minorHAnsi" w:eastAsiaTheme="minorHAnsi" w:hAnsiTheme="minorHAnsi" w:cstheme="minorHAnsi"/>
          <w:i/>
          <w:sz w:val="22"/>
          <w:szCs w:val="22"/>
        </w:rPr>
        <w:t>nazorg</w:t>
      </w:r>
      <w:r w:rsidRPr="00442509">
        <w:rPr>
          <w:rFonts w:asciiTheme="minorHAnsi" w:eastAsiaTheme="minorHAnsi" w:hAnsiTheme="minorHAnsi" w:cstheme="minorHAnsi"/>
          <w:sz w:val="22"/>
          <w:szCs w:val="22"/>
        </w:rPr>
        <w:t xml:space="preserve"> van de inkoop. Dit is </w:t>
      </w:r>
      <w:r w:rsidR="00B8425A" w:rsidRPr="00442509">
        <w:rPr>
          <w:rFonts w:asciiTheme="minorHAnsi" w:eastAsiaTheme="minorHAnsi" w:hAnsiTheme="minorHAnsi" w:cstheme="minorHAnsi"/>
          <w:sz w:val="22"/>
          <w:szCs w:val="22"/>
        </w:rPr>
        <w:t xml:space="preserve">(voorlopig) </w:t>
      </w:r>
      <w:r w:rsidRPr="00442509">
        <w:rPr>
          <w:rFonts w:asciiTheme="minorHAnsi" w:eastAsiaTheme="minorHAnsi" w:hAnsiTheme="minorHAnsi" w:cstheme="minorHAnsi"/>
          <w:sz w:val="22"/>
          <w:szCs w:val="22"/>
        </w:rPr>
        <w:t>de laatste stap in het aankoopproces. De inkoper blijft verantwoordelijk voor de ingekochte dienst of product ook ná de implementatiefase. De levering moet worden gereflecteerd aan het contract. Door dit te evalueren kan de opdrachtgever besluiten om de leverancier ook in de toekomst in het inkoopproces te betrekken. Contractbewaking is essentieel onderdeel binnen de fase bewaken. Knoester (</w:t>
      </w:r>
      <w:hyperlink r:id="rId32" w:history="1"/>
      <w:r w:rsidRPr="00442509">
        <w:rPr>
          <w:rFonts w:asciiTheme="minorHAnsi" w:eastAsiaTheme="minorHAnsi" w:hAnsiTheme="minorHAnsi" w:cstheme="minorHAnsi"/>
          <w:sz w:val="22"/>
          <w:szCs w:val="22"/>
        </w:rPr>
        <w:t>2009) geeft drie vormen van contractbewaking aan die ten doel hebben de geleverde producten en diensten te toetsen aan de afspraken:</w:t>
      </w:r>
    </w:p>
    <w:p w14:paraId="754003D8" w14:textId="77777777" w:rsidR="00717BF5" w:rsidRPr="00442509" w:rsidRDefault="00717BF5" w:rsidP="00717BF5">
      <w:pPr>
        <w:pStyle w:val="ListParagraph"/>
        <w:numPr>
          <w:ilvl w:val="0"/>
          <w:numId w:val="7"/>
        </w:numPr>
        <w:spacing w:after="0" w:line="276" w:lineRule="auto"/>
        <w:rPr>
          <w:rFonts w:asciiTheme="minorHAnsi" w:eastAsiaTheme="minorHAnsi" w:hAnsiTheme="minorHAnsi" w:cstheme="minorHAnsi"/>
          <w:sz w:val="22"/>
          <w:szCs w:val="22"/>
        </w:rPr>
      </w:pPr>
      <w:r w:rsidRPr="00442509">
        <w:rPr>
          <w:rFonts w:asciiTheme="minorHAnsi" w:eastAsiaTheme="minorHAnsi" w:hAnsiTheme="minorHAnsi" w:cstheme="minorHAnsi"/>
          <w:i/>
          <w:sz w:val="22"/>
          <w:szCs w:val="22"/>
        </w:rPr>
        <w:t>Juridische</w:t>
      </w:r>
      <w:r w:rsidRPr="00442509">
        <w:rPr>
          <w:rFonts w:asciiTheme="minorHAnsi" w:eastAsiaTheme="minorHAnsi" w:hAnsiTheme="minorHAnsi" w:cstheme="minorHAnsi"/>
          <w:sz w:val="22"/>
          <w:szCs w:val="22"/>
        </w:rPr>
        <w:t xml:space="preserve"> contractbewaking: dit heeft met name betrekking op de looptijd van het contract en de vraag of het verlengd dient te worden. </w:t>
      </w:r>
    </w:p>
    <w:p w14:paraId="33E0633D" w14:textId="2BD4463E" w:rsidR="00717BF5" w:rsidRPr="00442509" w:rsidRDefault="00717BF5" w:rsidP="00717BF5">
      <w:pPr>
        <w:pStyle w:val="ListParagraph"/>
        <w:numPr>
          <w:ilvl w:val="0"/>
          <w:numId w:val="7"/>
        </w:numPr>
        <w:spacing w:after="0" w:line="276" w:lineRule="auto"/>
        <w:rPr>
          <w:rFonts w:asciiTheme="minorHAnsi" w:eastAsiaTheme="minorHAnsi" w:hAnsiTheme="minorHAnsi" w:cstheme="minorHAnsi"/>
          <w:sz w:val="22"/>
          <w:szCs w:val="22"/>
        </w:rPr>
      </w:pPr>
      <w:r w:rsidRPr="00442509">
        <w:rPr>
          <w:rFonts w:asciiTheme="minorHAnsi" w:eastAsiaTheme="minorHAnsi" w:hAnsiTheme="minorHAnsi" w:cstheme="minorHAnsi"/>
          <w:i/>
          <w:sz w:val="22"/>
          <w:szCs w:val="22"/>
        </w:rPr>
        <w:t>Operationeel</w:t>
      </w:r>
      <w:r w:rsidRPr="00442509">
        <w:rPr>
          <w:rFonts w:asciiTheme="minorHAnsi" w:eastAsiaTheme="minorHAnsi" w:hAnsiTheme="minorHAnsi" w:cstheme="minorHAnsi"/>
          <w:sz w:val="22"/>
          <w:szCs w:val="22"/>
        </w:rPr>
        <w:t>: bewaken van de prestatie. In hoeverre is er voldaan aan afspraken uit het contract. Scherpe prestatiebewaking ziet erop dat de leverancier zo veel mogelijk aan de afspraken voldo</w:t>
      </w:r>
      <w:r w:rsidR="000B47A7">
        <w:rPr>
          <w:rFonts w:asciiTheme="minorHAnsi" w:eastAsiaTheme="minorHAnsi" w:hAnsiTheme="minorHAnsi" w:cstheme="minorHAnsi"/>
          <w:sz w:val="22"/>
          <w:szCs w:val="22"/>
        </w:rPr>
        <w:t>et</w:t>
      </w:r>
      <w:r w:rsidRPr="00442509">
        <w:rPr>
          <w:rFonts w:asciiTheme="minorHAnsi" w:eastAsiaTheme="minorHAnsi" w:hAnsiTheme="minorHAnsi" w:cstheme="minorHAnsi"/>
          <w:sz w:val="22"/>
          <w:szCs w:val="22"/>
        </w:rPr>
        <w:t xml:space="preserve"> Hierbij kan er gebruik worden gemaakt van goede protocollen. Essentieel is tijdig informeren van de contractmanager als de prestaties achter blijven. Het gebruik van een SLA maakt dit eerder afdwingbaar. </w:t>
      </w:r>
    </w:p>
    <w:p w14:paraId="424BF90C" w14:textId="77777777" w:rsidR="00717BF5" w:rsidRPr="00442509" w:rsidRDefault="00717BF5" w:rsidP="00717BF5">
      <w:pPr>
        <w:pStyle w:val="ListParagraph"/>
        <w:numPr>
          <w:ilvl w:val="0"/>
          <w:numId w:val="7"/>
        </w:numPr>
        <w:spacing w:after="0" w:line="276" w:lineRule="auto"/>
        <w:rPr>
          <w:rFonts w:asciiTheme="minorHAnsi" w:eastAsiaTheme="minorHAnsi" w:hAnsiTheme="minorHAnsi" w:cstheme="minorHAnsi"/>
          <w:sz w:val="22"/>
          <w:szCs w:val="22"/>
        </w:rPr>
      </w:pPr>
      <w:r w:rsidRPr="00442509">
        <w:rPr>
          <w:rFonts w:asciiTheme="minorHAnsi" w:eastAsiaTheme="minorHAnsi" w:hAnsiTheme="minorHAnsi" w:cstheme="minorHAnsi"/>
          <w:i/>
          <w:sz w:val="22"/>
          <w:szCs w:val="22"/>
        </w:rPr>
        <w:t>Financieel</w:t>
      </w:r>
      <w:r w:rsidRPr="00442509">
        <w:rPr>
          <w:rFonts w:asciiTheme="minorHAnsi" w:eastAsiaTheme="minorHAnsi" w:hAnsiTheme="minorHAnsi" w:cstheme="minorHAnsi"/>
          <w:sz w:val="22"/>
          <w:szCs w:val="22"/>
        </w:rPr>
        <w:t xml:space="preserve">: afspraken over de betaling aan de leverancier. Een goed risicobeheer is hierbij belangrijk. In het geval van </w:t>
      </w:r>
      <w:proofErr w:type="spellStart"/>
      <w:r w:rsidRPr="00442509">
        <w:rPr>
          <w:rFonts w:asciiTheme="minorHAnsi" w:eastAsiaTheme="minorHAnsi" w:hAnsiTheme="minorHAnsi" w:cstheme="minorHAnsi"/>
          <w:sz w:val="22"/>
          <w:szCs w:val="22"/>
        </w:rPr>
        <w:t>fixed</w:t>
      </w:r>
      <w:proofErr w:type="spellEnd"/>
      <w:r w:rsidRPr="00442509">
        <w:rPr>
          <w:rFonts w:asciiTheme="minorHAnsi" w:eastAsiaTheme="minorHAnsi" w:hAnsiTheme="minorHAnsi" w:cstheme="minorHAnsi"/>
          <w:sz w:val="22"/>
          <w:szCs w:val="22"/>
        </w:rPr>
        <w:t xml:space="preserve"> </w:t>
      </w:r>
      <w:proofErr w:type="spellStart"/>
      <w:r w:rsidRPr="00442509">
        <w:rPr>
          <w:rFonts w:asciiTheme="minorHAnsi" w:eastAsiaTheme="minorHAnsi" w:hAnsiTheme="minorHAnsi" w:cstheme="minorHAnsi"/>
          <w:sz w:val="22"/>
          <w:szCs w:val="22"/>
        </w:rPr>
        <w:t>price</w:t>
      </w:r>
      <w:proofErr w:type="spellEnd"/>
      <w:r w:rsidRPr="00442509">
        <w:rPr>
          <w:rFonts w:asciiTheme="minorHAnsi" w:eastAsiaTheme="minorHAnsi" w:hAnsiTheme="minorHAnsi" w:cstheme="minorHAnsi"/>
          <w:sz w:val="22"/>
          <w:szCs w:val="22"/>
        </w:rPr>
        <w:t xml:space="preserve"> diensten en producten worden facturen doorgaans vóór de daadwerkelijk levering of prestatie in rekening gebracht. Gevaar is dat de leverancier failliet kan gaan en inflatie tot hogere prijzen kan leiden die achteraf geïndexeerd worden. </w:t>
      </w:r>
    </w:p>
    <w:p w14:paraId="779E0BAF" w14:textId="77777777" w:rsidR="00717BF5" w:rsidRPr="00442509" w:rsidRDefault="00717BF5" w:rsidP="00717BF5">
      <w:pPr>
        <w:spacing w:after="0" w:line="276" w:lineRule="auto"/>
        <w:rPr>
          <w:rFonts w:asciiTheme="minorHAnsi" w:eastAsiaTheme="minorHAnsi" w:hAnsiTheme="minorHAnsi" w:cstheme="minorHAnsi"/>
          <w:sz w:val="22"/>
          <w:szCs w:val="22"/>
        </w:rPr>
      </w:pPr>
    </w:p>
    <w:p w14:paraId="05333FF9" w14:textId="7B58B8AC" w:rsidR="00717BF5" w:rsidRPr="00442509" w:rsidRDefault="00717BF5" w:rsidP="00717BF5">
      <w:pPr>
        <w:spacing w:after="0" w:line="276" w:lineRule="auto"/>
        <w:rPr>
          <w:rFonts w:asciiTheme="minorHAnsi" w:eastAsiaTheme="minorHAnsi" w:hAnsiTheme="minorHAnsi" w:cstheme="minorHAnsi"/>
          <w:sz w:val="22"/>
          <w:szCs w:val="22"/>
        </w:rPr>
      </w:pPr>
      <w:r w:rsidRPr="00442509">
        <w:rPr>
          <w:rFonts w:asciiTheme="minorHAnsi" w:eastAsiaTheme="minorHAnsi" w:hAnsiTheme="minorHAnsi" w:cstheme="minorHAnsi"/>
          <w:sz w:val="22"/>
          <w:szCs w:val="22"/>
        </w:rPr>
        <w:t xml:space="preserve">Het is van belang dat scholen de contracten tegen het licht houden en onderzoeken of ze nog geldig zijn en of er voldaan wordt aan de </w:t>
      </w:r>
      <w:r w:rsidR="00CF6382" w:rsidRPr="00442509">
        <w:rPr>
          <w:rFonts w:asciiTheme="minorHAnsi" w:eastAsiaTheme="minorHAnsi" w:hAnsiTheme="minorHAnsi" w:cstheme="minorHAnsi"/>
          <w:sz w:val="22"/>
          <w:szCs w:val="22"/>
        </w:rPr>
        <w:t xml:space="preserve">beschreven afspraken. </w:t>
      </w:r>
      <w:r w:rsidRPr="00442509">
        <w:rPr>
          <w:rFonts w:asciiTheme="minorHAnsi" w:eastAsiaTheme="minorHAnsi" w:hAnsiTheme="minorHAnsi" w:cstheme="minorHAnsi"/>
          <w:sz w:val="22"/>
          <w:szCs w:val="22"/>
        </w:rPr>
        <w:t xml:space="preserve">Kappert </w:t>
      </w:r>
      <w:r w:rsidR="000B47A7">
        <w:rPr>
          <w:rFonts w:asciiTheme="minorHAnsi" w:eastAsiaTheme="minorHAnsi" w:hAnsiTheme="minorHAnsi" w:cstheme="minorHAnsi"/>
          <w:sz w:val="22"/>
          <w:szCs w:val="22"/>
        </w:rPr>
        <w:t>et</w:t>
      </w:r>
      <w:r w:rsidRPr="00442509">
        <w:rPr>
          <w:rFonts w:asciiTheme="minorHAnsi" w:eastAsiaTheme="minorHAnsi" w:hAnsiTheme="minorHAnsi" w:cstheme="minorHAnsi"/>
          <w:sz w:val="22"/>
          <w:szCs w:val="22"/>
        </w:rPr>
        <w:t xml:space="preserve"> </w:t>
      </w:r>
      <w:r w:rsidR="000B47A7">
        <w:rPr>
          <w:rFonts w:asciiTheme="minorHAnsi" w:eastAsiaTheme="minorHAnsi" w:hAnsiTheme="minorHAnsi" w:cstheme="minorHAnsi"/>
          <w:sz w:val="22"/>
          <w:szCs w:val="22"/>
        </w:rPr>
        <w:t>al.</w:t>
      </w:r>
      <w:r w:rsidRPr="00442509">
        <w:rPr>
          <w:rFonts w:asciiTheme="minorHAnsi" w:eastAsiaTheme="minorHAnsi" w:hAnsiTheme="minorHAnsi" w:cstheme="minorHAnsi"/>
          <w:sz w:val="22"/>
          <w:szCs w:val="22"/>
        </w:rPr>
        <w:t xml:space="preserve"> (2017)</w:t>
      </w:r>
      <w:r w:rsidR="00CF6382" w:rsidRPr="00442509">
        <w:rPr>
          <w:rFonts w:asciiTheme="minorHAnsi" w:eastAsiaTheme="minorHAnsi" w:hAnsiTheme="minorHAnsi" w:cstheme="minorHAnsi"/>
          <w:sz w:val="22"/>
          <w:szCs w:val="22"/>
        </w:rPr>
        <w:t xml:space="preserve"> halen in hun onderzoek een voorbeeld naar voren</w:t>
      </w:r>
      <w:r w:rsidRPr="00442509">
        <w:rPr>
          <w:rFonts w:asciiTheme="minorHAnsi" w:eastAsiaTheme="minorHAnsi" w:hAnsiTheme="minorHAnsi" w:cstheme="minorHAnsi"/>
          <w:sz w:val="22"/>
          <w:szCs w:val="22"/>
        </w:rPr>
        <w:t xml:space="preserve"> bijvoo</w:t>
      </w:r>
      <w:r w:rsidR="00CF6382" w:rsidRPr="00442509">
        <w:rPr>
          <w:rFonts w:asciiTheme="minorHAnsi" w:eastAsiaTheme="minorHAnsi" w:hAnsiTheme="minorHAnsi" w:cstheme="minorHAnsi"/>
          <w:sz w:val="22"/>
          <w:szCs w:val="22"/>
        </w:rPr>
        <w:t>rbeeld wat laat zien dat een onderzochte school</w:t>
      </w:r>
      <w:r w:rsidRPr="00442509">
        <w:rPr>
          <w:rFonts w:asciiTheme="minorHAnsi" w:eastAsiaTheme="minorHAnsi" w:hAnsiTheme="minorHAnsi" w:cstheme="minorHAnsi"/>
          <w:sz w:val="22"/>
          <w:szCs w:val="22"/>
        </w:rPr>
        <w:t xml:space="preserve"> dubbel betaalde voor </w:t>
      </w:r>
      <w:r w:rsidR="00CF6382" w:rsidRPr="00442509">
        <w:rPr>
          <w:rFonts w:asciiTheme="minorHAnsi" w:eastAsiaTheme="minorHAnsi" w:hAnsiTheme="minorHAnsi" w:cstheme="minorHAnsi"/>
          <w:sz w:val="22"/>
          <w:szCs w:val="22"/>
        </w:rPr>
        <w:t xml:space="preserve">het ICT-onderhoud. </w:t>
      </w:r>
      <w:r w:rsidRPr="00442509">
        <w:rPr>
          <w:rFonts w:asciiTheme="minorHAnsi" w:eastAsiaTheme="minorHAnsi" w:hAnsiTheme="minorHAnsi" w:cstheme="minorHAnsi"/>
          <w:sz w:val="22"/>
          <w:szCs w:val="22"/>
        </w:rPr>
        <w:t xml:space="preserve"> </w:t>
      </w:r>
    </w:p>
    <w:p w14:paraId="08CFCECA" w14:textId="36AD464E" w:rsidR="00083C10" w:rsidRDefault="00083C10">
      <w:pPr>
        <w:kinsoku/>
        <w:autoSpaceDE/>
        <w:autoSpaceDN/>
        <w:adjustRightInd/>
        <w:spacing w:after="160" w:line="259" w:lineRule="auto"/>
        <w:rPr>
          <w:rFonts w:asciiTheme="minorHAnsi" w:eastAsiaTheme="minorHAnsi" w:hAnsiTheme="minorHAnsi" w:cs="Arial"/>
          <w:b/>
          <w:color w:val="000000" w:themeColor="text1"/>
          <w:sz w:val="24"/>
          <w:szCs w:val="22"/>
          <w:highlight w:val="green"/>
        </w:rPr>
      </w:pPr>
    </w:p>
    <w:p w14:paraId="26810B70" w14:textId="1AF03961" w:rsidR="00901808" w:rsidRPr="003B56D6" w:rsidRDefault="00901808" w:rsidP="00D10775">
      <w:pPr>
        <w:pStyle w:val="Heading2"/>
        <w:rPr>
          <w:color w:val="1F3864" w:themeColor="accent1" w:themeShade="80"/>
        </w:rPr>
      </w:pPr>
      <w:bookmarkStart w:id="75" w:name="_Toc517455461"/>
      <w:r w:rsidRPr="003B56D6">
        <w:rPr>
          <w:color w:val="1F3864" w:themeColor="accent1" w:themeShade="80"/>
        </w:rPr>
        <w:t>Antwoord op de afhankelijkheid</w:t>
      </w:r>
      <w:r w:rsidR="00FE6DE0" w:rsidRPr="003B56D6">
        <w:rPr>
          <w:color w:val="1F3864" w:themeColor="accent1" w:themeShade="80"/>
        </w:rPr>
        <w:t xml:space="preserve"> (2)</w:t>
      </w:r>
      <w:r w:rsidRPr="003B56D6">
        <w:rPr>
          <w:color w:val="1F3864" w:themeColor="accent1" w:themeShade="80"/>
        </w:rPr>
        <w:t>: soort opdrachtgever-opdrachtnemer relatie</w:t>
      </w:r>
      <w:bookmarkEnd w:id="75"/>
    </w:p>
    <w:p w14:paraId="0B0F0705" w14:textId="1EEC3ACF" w:rsidR="00901808" w:rsidRPr="00442509" w:rsidRDefault="00901808" w:rsidP="00901808">
      <w:pPr>
        <w:spacing w:after="0" w:line="276" w:lineRule="auto"/>
        <w:rPr>
          <w:rFonts w:asciiTheme="minorHAnsi" w:eastAsiaTheme="minorHAnsi" w:hAnsiTheme="minorHAnsi" w:cstheme="minorHAnsi"/>
          <w:color w:val="000000" w:themeColor="text1"/>
          <w:sz w:val="22"/>
          <w:szCs w:val="22"/>
        </w:rPr>
      </w:pPr>
      <w:r w:rsidRPr="00442509">
        <w:rPr>
          <w:rFonts w:asciiTheme="minorHAnsi" w:eastAsiaTheme="minorHAnsi" w:hAnsiTheme="minorHAnsi" w:cstheme="minorHAnsi"/>
          <w:color w:val="000000" w:themeColor="text1"/>
          <w:sz w:val="22"/>
          <w:szCs w:val="22"/>
        </w:rPr>
        <w:t>De relatie tussen opdrachtgever en opdrachtnemer is een belangrijk</w:t>
      </w:r>
      <w:r w:rsidR="00A462F8">
        <w:rPr>
          <w:rFonts w:asciiTheme="minorHAnsi" w:eastAsiaTheme="minorHAnsi" w:hAnsiTheme="minorHAnsi" w:cstheme="minorHAnsi"/>
          <w:color w:val="000000" w:themeColor="text1"/>
          <w:sz w:val="22"/>
          <w:szCs w:val="22"/>
        </w:rPr>
        <w:t>e</w:t>
      </w:r>
      <w:r w:rsidRPr="00442509">
        <w:rPr>
          <w:rFonts w:asciiTheme="minorHAnsi" w:eastAsiaTheme="minorHAnsi" w:hAnsiTheme="minorHAnsi" w:cstheme="minorHAnsi"/>
          <w:color w:val="000000" w:themeColor="text1"/>
          <w:sz w:val="22"/>
          <w:szCs w:val="22"/>
        </w:rPr>
        <w:t xml:space="preserve"> vormgever van inkoop. In de literatuur wordt dit aangeduid als interorganisationele samenw</w:t>
      </w:r>
      <w:r w:rsidR="00083C10" w:rsidRPr="00442509">
        <w:rPr>
          <w:rFonts w:asciiTheme="minorHAnsi" w:eastAsiaTheme="minorHAnsi" w:hAnsiTheme="minorHAnsi" w:cstheme="minorHAnsi"/>
          <w:color w:val="000000" w:themeColor="text1"/>
          <w:sz w:val="22"/>
          <w:szCs w:val="22"/>
        </w:rPr>
        <w:t>erkingsverband ten hoeve van de</w:t>
      </w:r>
      <w:r w:rsidRPr="00442509">
        <w:rPr>
          <w:rFonts w:asciiTheme="minorHAnsi" w:eastAsiaTheme="minorHAnsi" w:hAnsiTheme="minorHAnsi" w:cstheme="minorHAnsi"/>
          <w:color w:val="000000" w:themeColor="text1"/>
          <w:sz w:val="22"/>
          <w:szCs w:val="22"/>
        </w:rPr>
        <w:t xml:space="preserve"> transactie (</w:t>
      </w:r>
      <w:proofErr w:type="spellStart"/>
      <w:r w:rsidRPr="00442509">
        <w:rPr>
          <w:rFonts w:asciiTheme="minorHAnsi" w:eastAsiaTheme="minorHAnsi" w:hAnsiTheme="minorHAnsi" w:cstheme="minorHAnsi"/>
          <w:color w:val="000000" w:themeColor="text1"/>
          <w:sz w:val="22"/>
          <w:szCs w:val="22"/>
        </w:rPr>
        <w:t>Koh</w:t>
      </w:r>
      <w:proofErr w:type="spellEnd"/>
      <w:r w:rsidRPr="00442509">
        <w:rPr>
          <w:rFonts w:asciiTheme="minorHAnsi" w:eastAsiaTheme="minorHAnsi" w:hAnsiTheme="minorHAnsi" w:cstheme="minorHAnsi"/>
          <w:color w:val="000000" w:themeColor="text1"/>
          <w:sz w:val="22"/>
          <w:szCs w:val="22"/>
        </w:rPr>
        <w:t xml:space="preserve"> et al, 2004). De opdrachtnemer levert een product of dienst aan de opdrachtgever tegen een overeengekomen tegenprestatie (</w:t>
      </w:r>
      <w:proofErr w:type="spellStart"/>
      <w:r w:rsidRPr="00442509">
        <w:rPr>
          <w:rFonts w:asciiTheme="minorHAnsi" w:eastAsiaTheme="minorHAnsi" w:hAnsiTheme="minorHAnsi" w:cstheme="minorHAnsi"/>
          <w:color w:val="000000" w:themeColor="text1"/>
          <w:sz w:val="22"/>
          <w:szCs w:val="22"/>
        </w:rPr>
        <w:t>Willcoks</w:t>
      </w:r>
      <w:proofErr w:type="spellEnd"/>
      <w:r w:rsidRPr="00442509">
        <w:rPr>
          <w:rFonts w:asciiTheme="minorHAnsi" w:eastAsiaTheme="minorHAnsi" w:hAnsiTheme="minorHAnsi" w:cstheme="minorHAnsi"/>
          <w:color w:val="000000" w:themeColor="text1"/>
          <w:sz w:val="22"/>
          <w:szCs w:val="22"/>
        </w:rPr>
        <w:t>, 2001). Er vindt overdacht van activa plaats tussen de leverancier en de klant. De Rouw &amp; Rietveld (</w:t>
      </w:r>
      <w:hyperlink r:id="rId33" w:history="1"/>
      <w:r w:rsidRPr="00442509">
        <w:rPr>
          <w:rFonts w:asciiTheme="minorHAnsi" w:eastAsiaTheme="minorHAnsi" w:hAnsiTheme="minorHAnsi" w:cstheme="minorHAnsi"/>
          <w:color w:val="000000" w:themeColor="text1"/>
          <w:sz w:val="22"/>
          <w:szCs w:val="22"/>
        </w:rPr>
        <w:t>2004) beschrijven d</w:t>
      </w:r>
      <w:r w:rsidR="009F3135" w:rsidRPr="00442509">
        <w:rPr>
          <w:rFonts w:asciiTheme="minorHAnsi" w:eastAsiaTheme="minorHAnsi" w:hAnsiTheme="minorHAnsi" w:cstheme="minorHAnsi"/>
          <w:color w:val="000000" w:themeColor="text1"/>
          <w:sz w:val="22"/>
          <w:szCs w:val="22"/>
        </w:rPr>
        <w:t xml:space="preserve">eze opdrachtgever-opdrachtnemer </w:t>
      </w:r>
      <w:r w:rsidRPr="00442509">
        <w:rPr>
          <w:rFonts w:asciiTheme="minorHAnsi" w:eastAsiaTheme="minorHAnsi" w:hAnsiTheme="minorHAnsi" w:cstheme="minorHAnsi"/>
          <w:color w:val="000000" w:themeColor="text1"/>
          <w:sz w:val="22"/>
          <w:szCs w:val="22"/>
        </w:rPr>
        <w:t xml:space="preserve">relatie als de verhouding tussen meerdere partijen die opdrachten verstrekken en een of meerdere partijen die opdrachten uitvoeren. Deze relatie bestaat uit twee componenten: </w:t>
      </w:r>
      <w:r w:rsidRPr="00442509">
        <w:rPr>
          <w:rFonts w:asciiTheme="minorHAnsi" w:eastAsiaTheme="minorHAnsi" w:hAnsiTheme="minorHAnsi" w:cstheme="minorHAnsi"/>
          <w:i/>
          <w:color w:val="000000" w:themeColor="text1"/>
          <w:sz w:val="22"/>
          <w:szCs w:val="22"/>
        </w:rPr>
        <w:t>de aard van de relatie</w:t>
      </w:r>
      <w:r w:rsidRPr="00442509">
        <w:rPr>
          <w:rFonts w:asciiTheme="minorHAnsi" w:eastAsiaTheme="minorHAnsi" w:hAnsiTheme="minorHAnsi" w:cstheme="minorHAnsi"/>
          <w:color w:val="000000" w:themeColor="text1"/>
          <w:sz w:val="22"/>
          <w:szCs w:val="22"/>
        </w:rPr>
        <w:t xml:space="preserve"> en </w:t>
      </w:r>
      <w:r w:rsidRPr="00442509">
        <w:rPr>
          <w:rFonts w:asciiTheme="minorHAnsi" w:eastAsiaTheme="minorHAnsi" w:hAnsiTheme="minorHAnsi" w:cstheme="minorHAnsi"/>
          <w:i/>
          <w:color w:val="000000" w:themeColor="text1"/>
          <w:sz w:val="22"/>
          <w:szCs w:val="22"/>
        </w:rPr>
        <w:t>de vrijheid van de opdrachtgever bij de keuze van het soort relatie</w:t>
      </w:r>
      <w:r w:rsidRPr="00442509">
        <w:rPr>
          <w:rFonts w:asciiTheme="minorHAnsi" w:eastAsiaTheme="minorHAnsi" w:hAnsiTheme="minorHAnsi" w:cstheme="minorHAnsi"/>
          <w:color w:val="000000" w:themeColor="text1"/>
          <w:sz w:val="22"/>
          <w:szCs w:val="22"/>
        </w:rPr>
        <w:t xml:space="preserve">. In een volwassen relatie tussen opdrachtgever en opdrachtnemer is de opdrachtgever in staat om de wensen en behoeften te formuleren en te controleren (De Rouw &amp; Rietveld, 2014). </w:t>
      </w:r>
    </w:p>
    <w:p w14:paraId="42406E59" w14:textId="40D64BD5" w:rsidR="00DB3220" w:rsidRPr="00442509" w:rsidRDefault="00901808" w:rsidP="00901808">
      <w:pPr>
        <w:spacing w:after="0" w:line="276" w:lineRule="auto"/>
        <w:ind w:firstLine="708"/>
        <w:rPr>
          <w:rFonts w:asciiTheme="minorHAnsi" w:eastAsiaTheme="minorHAnsi" w:hAnsiTheme="minorHAnsi" w:cstheme="minorHAnsi"/>
          <w:color w:val="000000" w:themeColor="text1"/>
          <w:sz w:val="22"/>
          <w:szCs w:val="22"/>
        </w:rPr>
      </w:pPr>
      <w:r w:rsidRPr="00442509">
        <w:rPr>
          <w:rFonts w:asciiTheme="minorHAnsi" w:eastAsiaTheme="minorHAnsi" w:hAnsiTheme="minorHAnsi" w:cstheme="minorHAnsi"/>
          <w:color w:val="000000" w:themeColor="text1"/>
          <w:sz w:val="22"/>
          <w:szCs w:val="22"/>
        </w:rPr>
        <w:t xml:space="preserve">Volgens King (aangehaald in </w:t>
      </w:r>
      <w:proofErr w:type="spellStart"/>
      <w:r w:rsidRPr="00442509">
        <w:rPr>
          <w:rFonts w:asciiTheme="minorHAnsi" w:eastAsiaTheme="minorHAnsi" w:hAnsiTheme="minorHAnsi" w:cstheme="minorHAnsi"/>
          <w:color w:val="000000" w:themeColor="text1"/>
          <w:sz w:val="22"/>
          <w:szCs w:val="22"/>
        </w:rPr>
        <w:t>Brun</w:t>
      </w:r>
      <w:proofErr w:type="spellEnd"/>
      <w:r w:rsidRPr="00442509">
        <w:rPr>
          <w:rFonts w:asciiTheme="minorHAnsi" w:eastAsiaTheme="minorHAnsi" w:hAnsiTheme="minorHAnsi" w:cstheme="minorHAnsi"/>
          <w:color w:val="000000" w:themeColor="text1"/>
          <w:sz w:val="22"/>
          <w:szCs w:val="22"/>
        </w:rPr>
        <w:t xml:space="preserve"> et </w:t>
      </w:r>
      <w:r w:rsidR="000B47A7">
        <w:rPr>
          <w:rFonts w:asciiTheme="minorHAnsi" w:eastAsiaTheme="minorHAnsi" w:hAnsiTheme="minorHAnsi" w:cstheme="minorHAnsi"/>
          <w:color w:val="000000" w:themeColor="text1"/>
          <w:sz w:val="22"/>
          <w:szCs w:val="22"/>
        </w:rPr>
        <w:t>al.</w:t>
      </w:r>
      <w:r w:rsidRPr="00442509">
        <w:rPr>
          <w:rFonts w:asciiTheme="minorHAnsi" w:eastAsiaTheme="minorHAnsi" w:hAnsiTheme="minorHAnsi" w:cstheme="minorHAnsi"/>
          <w:color w:val="000000" w:themeColor="text1"/>
          <w:sz w:val="22"/>
          <w:szCs w:val="22"/>
        </w:rPr>
        <w:t xml:space="preserve"> 2013) is de effectiviteit van inkoop mede afhankelijk van </w:t>
      </w:r>
      <w:r w:rsidRPr="00442509">
        <w:rPr>
          <w:rFonts w:asciiTheme="minorHAnsi" w:eastAsiaTheme="minorHAnsi" w:hAnsiTheme="minorHAnsi" w:cstheme="minorHAnsi"/>
          <w:i/>
          <w:color w:val="000000" w:themeColor="text1"/>
          <w:sz w:val="22"/>
          <w:szCs w:val="22"/>
        </w:rPr>
        <w:t>kwalificatie van de leverancier en evaluatie –en relatiemanagement.</w:t>
      </w:r>
      <w:r w:rsidRPr="00442509">
        <w:rPr>
          <w:rFonts w:asciiTheme="minorHAnsi" w:eastAsiaTheme="minorHAnsi" w:hAnsiTheme="minorHAnsi" w:cstheme="minorHAnsi"/>
          <w:color w:val="000000" w:themeColor="text1"/>
          <w:sz w:val="22"/>
          <w:szCs w:val="22"/>
        </w:rPr>
        <w:t xml:space="preserve"> Organisaties die geen aandacht besteden aan monitoren en managen van de relatie met de leverancier ná aankoop worden verrast door de negatieve uitkomsten van het project (King aangehaald in </w:t>
      </w:r>
      <w:proofErr w:type="spellStart"/>
      <w:r w:rsidRPr="00442509">
        <w:rPr>
          <w:rFonts w:asciiTheme="minorHAnsi" w:eastAsiaTheme="minorHAnsi" w:hAnsiTheme="minorHAnsi" w:cstheme="minorHAnsi"/>
          <w:color w:val="000000" w:themeColor="text1"/>
          <w:sz w:val="22"/>
          <w:szCs w:val="22"/>
        </w:rPr>
        <w:t>Brun</w:t>
      </w:r>
      <w:proofErr w:type="spellEnd"/>
      <w:r w:rsidRPr="00442509">
        <w:rPr>
          <w:rFonts w:asciiTheme="minorHAnsi" w:eastAsiaTheme="minorHAnsi" w:hAnsiTheme="minorHAnsi" w:cstheme="minorHAnsi"/>
          <w:color w:val="000000" w:themeColor="text1"/>
          <w:sz w:val="22"/>
          <w:szCs w:val="22"/>
        </w:rPr>
        <w:t xml:space="preserve"> et </w:t>
      </w:r>
      <w:r w:rsidR="000B47A7">
        <w:rPr>
          <w:rFonts w:asciiTheme="minorHAnsi" w:eastAsiaTheme="minorHAnsi" w:hAnsiTheme="minorHAnsi" w:cstheme="minorHAnsi"/>
          <w:color w:val="000000" w:themeColor="text1"/>
          <w:sz w:val="22"/>
          <w:szCs w:val="22"/>
        </w:rPr>
        <w:t>al.</w:t>
      </w:r>
      <w:r w:rsidRPr="00442509">
        <w:rPr>
          <w:rFonts w:asciiTheme="minorHAnsi" w:eastAsiaTheme="minorHAnsi" w:hAnsiTheme="minorHAnsi" w:cstheme="minorHAnsi"/>
          <w:color w:val="000000" w:themeColor="text1"/>
          <w:sz w:val="22"/>
          <w:szCs w:val="22"/>
        </w:rPr>
        <w:t xml:space="preserve"> 2013). Volgens Gibbs et al. (1998) is er sprake van effectieve relatie wanneer de relatie tussen twee organisaties veranderd van enkel gericht op de transactie naar een meer coöperatieve relatie. Hiermee neemt de volwassenheid van de organisatie toe.</w:t>
      </w:r>
      <w:r w:rsidR="009F3135" w:rsidRPr="00442509">
        <w:rPr>
          <w:rFonts w:asciiTheme="minorHAnsi" w:eastAsiaTheme="minorHAnsi" w:hAnsiTheme="minorHAnsi" w:cstheme="minorHAnsi"/>
          <w:color w:val="000000" w:themeColor="text1"/>
          <w:sz w:val="22"/>
          <w:szCs w:val="22"/>
        </w:rPr>
        <w:t xml:space="preserve"> </w:t>
      </w:r>
      <w:r w:rsidR="00083C10" w:rsidRPr="00442509">
        <w:rPr>
          <w:rFonts w:asciiTheme="minorHAnsi" w:eastAsiaTheme="minorHAnsi" w:hAnsiTheme="minorHAnsi" w:cstheme="minorHAnsi"/>
          <w:color w:val="000000" w:themeColor="text1"/>
          <w:sz w:val="22"/>
          <w:szCs w:val="22"/>
        </w:rPr>
        <w:t>Het streven is</w:t>
      </w:r>
      <w:r w:rsidR="009F3135" w:rsidRPr="00442509">
        <w:rPr>
          <w:rFonts w:asciiTheme="minorHAnsi" w:eastAsiaTheme="minorHAnsi" w:hAnsiTheme="minorHAnsi" w:cstheme="minorHAnsi"/>
          <w:color w:val="000000" w:themeColor="text1"/>
          <w:sz w:val="22"/>
          <w:szCs w:val="22"/>
        </w:rPr>
        <w:t xml:space="preserve"> om gezamenlijk de doelen te verenigen (Eversdijk &amp; Korsten, 2008). </w:t>
      </w:r>
      <w:r w:rsidR="00DB3220" w:rsidRPr="00442509">
        <w:rPr>
          <w:rFonts w:asciiTheme="minorHAnsi" w:eastAsiaTheme="minorHAnsi" w:hAnsiTheme="minorHAnsi" w:cstheme="minorHAnsi"/>
          <w:color w:val="000000" w:themeColor="text1"/>
          <w:sz w:val="22"/>
          <w:szCs w:val="22"/>
        </w:rPr>
        <w:t xml:space="preserve">Opdrachtgever en opdrachtnemer werken samen op basis van wederzijds vertrouwen en zien voordeel in een strategische alliantie. </w:t>
      </w:r>
      <w:proofErr w:type="spellStart"/>
      <w:r w:rsidR="00DB3220" w:rsidRPr="00442509">
        <w:rPr>
          <w:rFonts w:asciiTheme="minorHAnsi" w:eastAsiaTheme="minorHAnsi" w:hAnsiTheme="minorHAnsi" w:cstheme="minorHAnsi"/>
          <w:color w:val="000000" w:themeColor="text1"/>
          <w:sz w:val="22"/>
          <w:szCs w:val="22"/>
        </w:rPr>
        <w:t>Monczka</w:t>
      </w:r>
      <w:proofErr w:type="spellEnd"/>
      <w:r w:rsidR="00DB3220" w:rsidRPr="00442509">
        <w:rPr>
          <w:rFonts w:asciiTheme="minorHAnsi" w:eastAsiaTheme="minorHAnsi" w:hAnsiTheme="minorHAnsi" w:cstheme="minorHAnsi"/>
          <w:color w:val="000000" w:themeColor="text1"/>
          <w:sz w:val="22"/>
          <w:szCs w:val="22"/>
        </w:rPr>
        <w:t xml:space="preserve"> et al. (1998) koppelen vier aspecten aan</w:t>
      </w:r>
      <w:r w:rsidR="00083C10" w:rsidRPr="00442509">
        <w:rPr>
          <w:rFonts w:asciiTheme="minorHAnsi" w:eastAsiaTheme="minorHAnsi" w:hAnsiTheme="minorHAnsi" w:cstheme="minorHAnsi"/>
          <w:color w:val="000000" w:themeColor="text1"/>
          <w:sz w:val="22"/>
          <w:szCs w:val="22"/>
        </w:rPr>
        <w:t xml:space="preserve"> een </w:t>
      </w:r>
      <w:r w:rsidR="00DB3220" w:rsidRPr="00442509">
        <w:rPr>
          <w:rFonts w:asciiTheme="minorHAnsi" w:eastAsiaTheme="minorHAnsi" w:hAnsiTheme="minorHAnsi" w:cstheme="minorHAnsi"/>
          <w:color w:val="000000" w:themeColor="text1"/>
          <w:sz w:val="22"/>
          <w:szCs w:val="22"/>
        </w:rPr>
        <w:t xml:space="preserve">strategische allianties: </w:t>
      </w:r>
    </w:p>
    <w:p w14:paraId="741C4116" w14:textId="3CF36DDA" w:rsidR="00DB3220" w:rsidRPr="00442509" w:rsidRDefault="00083C10" w:rsidP="00DB3220">
      <w:pPr>
        <w:spacing w:after="0" w:line="276" w:lineRule="auto"/>
        <w:ind w:firstLine="708"/>
        <w:rPr>
          <w:rFonts w:asciiTheme="minorHAnsi" w:eastAsiaTheme="minorHAnsi" w:hAnsiTheme="minorHAnsi" w:cstheme="minorHAnsi"/>
          <w:color w:val="000000" w:themeColor="text1"/>
          <w:sz w:val="22"/>
          <w:szCs w:val="22"/>
        </w:rPr>
      </w:pPr>
      <w:r w:rsidRPr="00442509">
        <w:rPr>
          <w:rFonts w:asciiTheme="minorHAnsi" w:eastAsiaTheme="minorHAnsi" w:hAnsiTheme="minorHAnsi" w:cstheme="minorHAnsi"/>
          <w:color w:val="000000" w:themeColor="text1"/>
          <w:sz w:val="22"/>
          <w:szCs w:val="22"/>
        </w:rPr>
        <w:t>(1)</w:t>
      </w:r>
      <w:r w:rsidR="00DB3220" w:rsidRPr="00442509">
        <w:rPr>
          <w:rFonts w:asciiTheme="minorHAnsi" w:eastAsiaTheme="minorHAnsi" w:hAnsiTheme="minorHAnsi" w:cstheme="minorHAnsi"/>
          <w:color w:val="000000" w:themeColor="text1"/>
          <w:sz w:val="22"/>
          <w:szCs w:val="22"/>
        </w:rPr>
        <w:t xml:space="preserve"> alle partijen zijn onafhankelijk</w:t>
      </w:r>
    </w:p>
    <w:p w14:paraId="69BD21CE" w14:textId="41353FDA" w:rsidR="00DB3220" w:rsidRPr="00442509" w:rsidRDefault="00083C10" w:rsidP="00DB3220">
      <w:pPr>
        <w:spacing w:after="0" w:line="276" w:lineRule="auto"/>
        <w:ind w:firstLine="708"/>
        <w:rPr>
          <w:rFonts w:asciiTheme="minorHAnsi" w:eastAsiaTheme="minorHAnsi" w:hAnsiTheme="minorHAnsi" w:cstheme="minorHAnsi"/>
          <w:color w:val="000000" w:themeColor="text1"/>
          <w:sz w:val="22"/>
          <w:szCs w:val="22"/>
        </w:rPr>
      </w:pPr>
      <w:r w:rsidRPr="00442509">
        <w:rPr>
          <w:rFonts w:asciiTheme="minorHAnsi" w:eastAsiaTheme="minorHAnsi" w:hAnsiTheme="minorHAnsi" w:cstheme="minorHAnsi"/>
          <w:color w:val="000000" w:themeColor="text1"/>
          <w:sz w:val="22"/>
          <w:szCs w:val="22"/>
        </w:rPr>
        <w:t>(2)</w:t>
      </w:r>
      <w:r w:rsidR="00DB3220" w:rsidRPr="00442509">
        <w:rPr>
          <w:rFonts w:asciiTheme="minorHAnsi" w:eastAsiaTheme="minorHAnsi" w:hAnsiTheme="minorHAnsi" w:cstheme="minorHAnsi"/>
          <w:color w:val="000000" w:themeColor="text1"/>
          <w:sz w:val="22"/>
          <w:szCs w:val="22"/>
        </w:rPr>
        <w:t xml:space="preserve"> de risico’s en opbrengsten worden onderling verdeeld</w:t>
      </w:r>
    </w:p>
    <w:p w14:paraId="0ACC0CBC" w14:textId="6062F842" w:rsidR="00DB3220" w:rsidRPr="00442509" w:rsidRDefault="00083C10" w:rsidP="00DB3220">
      <w:pPr>
        <w:spacing w:after="0" w:line="276" w:lineRule="auto"/>
        <w:ind w:firstLine="708"/>
        <w:rPr>
          <w:rFonts w:asciiTheme="minorHAnsi" w:eastAsiaTheme="minorHAnsi" w:hAnsiTheme="minorHAnsi" w:cstheme="minorHAnsi"/>
          <w:color w:val="000000" w:themeColor="text1"/>
          <w:sz w:val="22"/>
          <w:szCs w:val="22"/>
        </w:rPr>
      </w:pPr>
      <w:r w:rsidRPr="00442509">
        <w:rPr>
          <w:rFonts w:asciiTheme="minorHAnsi" w:eastAsiaTheme="minorHAnsi" w:hAnsiTheme="minorHAnsi" w:cstheme="minorHAnsi"/>
          <w:color w:val="000000" w:themeColor="text1"/>
          <w:sz w:val="22"/>
          <w:szCs w:val="22"/>
        </w:rPr>
        <w:t>(3)</w:t>
      </w:r>
      <w:r w:rsidR="00DB3220" w:rsidRPr="00442509">
        <w:rPr>
          <w:rFonts w:asciiTheme="minorHAnsi" w:eastAsiaTheme="minorHAnsi" w:hAnsiTheme="minorHAnsi" w:cstheme="minorHAnsi"/>
          <w:color w:val="000000" w:themeColor="text1"/>
          <w:sz w:val="22"/>
          <w:szCs w:val="22"/>
        </w:rPr>
        <w:t xml:space="preserve"> er wordt gewerkt op basis van gelijkwaardigheid en volgens overeenkomsten</w:t>
      </w:r>
    </w:p>
    <w:p w14:paraId="38BB8B41" w14:textId="29B049A6" w:rsidR="00DB3220" w:rsidRPr="00442509" w:rsidRDefault="00083C10" w:rsidP="00DB3220">
      <w:pPr>
        <w:spacing w:after="0" w:line="276" w:lineRule="auto"/>
        <w:ind w:firstLine="708"/>
        <w:rPr>
          <w:rFonts w:asciiTheme="minorHAnsi" w:eastAsiaTheme="minorHAnsi" w:hAnsiTheme="minorHAnsi" w:cstheme="minorHAnsi"/>
          <w:color w:val="000000" w:themeColor="text1"/>
          <w:sz w:val="22"/>
          <w:szCs w:val="22"/>
        </w:rPr>
      </w:pPr>
      <w:r w:rsidRPr="00442509">
        <w:rPr>
          <w:rFonts w:asciiTheme="minorHAnsi" w:eastAsiaTheme="minorHAnsi" w:hAnsiTheme="minorHAnsi" w:cstheme="minorHAnsi"/>
          <w:color w:val="000000" w:themeColor="text1"/>
          <w:sz w:val="22"/>
          <w:szCs w:val="22"/>
        </w:rPr>
        <w:t>(4)</w:t>
      </w:r>
      <w:r w:rsidR="00DB3220" w:rsidRPr="00442509">
        <w:rPr>
          <w:rFonts w:asciiTheme="minorHAnsi" w:eastAsiaTheme="minorHAnsi" w:hAnsiTheme="minorHAnsi" w:cstheme="minorHAnsi"/>
          <w:color w:val="000000" w:themeColor="text1"/>
          <w:sz w:val="22"/>
          <w:szCs w:val="22"/>
        </w:rPr>
        <w:t xml:space="preserve"> relatie wordt beëindigd wanneer een van de partijen geen voordeel meer uit haalt</w:t>
      </w:r>
    </w:p>
    <w:p w14:paraId="7CEE126D" w14:textId="77777777" w:rsidR="00210DA7" w:rsidRPr="00442509" w:rsidRDefault="00210DA7" w:rsidP="00210DA7">
      <w:pPr>
        <w:spacing w:after="0" w:line="276" w:lineRule="auto"/>
        <w:rPr>
          <w:rFonts w:asciiTheme="minorHAnsi" w:eastAsiaTheme="minorHAnsi" w:hAnsiTheme="minorHAnsi" w:cstheme="minorHAnsi"/>
          <w:color w:val="000000" w:themeColor="text1"/>
          <w:sz w:val="22"/>
          <w:szCs w:val="22"/>
        </w:rPr>
      </w:pPr>
    </w:p>
    <w:p w14:paraId="5A8CFAB2" w14:textId="0B0A444D" w:rsidR="00901808" w:rsidRPr="00442509" w:rsidRDefault="00901808" w:rsidP="00BF21CC">
      <w:pPr>
        <w:spacing w:after="0" w:line="276" w:lineRule="auto"/>
        <w:rPr>
          <w:rFonts w:asciiTheme="minorHAnsi" w:eastAsiaTheme="minorHAnsi" w:hAnsiTheme="minorHAnsi" w:cstheme="minorHAnsi"/>
          <w:color w:val="000000" w:themeColor="text1"/>
          <w:sz w:val="22"/>
          <w:szCs w:val="22"/>
        </w:rPr>
      </w:pPr>
      <w:r w:rsidRPr="00442509">
        <w:rPr>
          <w:rFonts w:asciiTheme="minorHAnsi" w:hAnsiTheme="minorHAnsi" w:cstheme="minorHAnsi"/>
          <w:color w:val="000000" w:themeColor="text1"/>
          <w:sz w:val="22"/>
          <w:szCs w:val="22"/>
        </w:rPr>
        <w:lastRenderedPageBreak/>
        <w:t>Volgens Pulles &amp; Veldmand (201</w:t>
      </w:r>
      <w:r w:rsidR="00210DA7" w:rsidRPr="00442509">
        <w:rPr>
          <w:rFonts w:asciiTheme="minorHAnsi" w:hAnsiTheme="minorHAnsi" w:cstheme="minorHAnsi"/>
          <w:color w:val="000000" w:themeColor="text1"/>
          <w:sz w:val="22"/>
          <w:szCs w:val="22"/>
        </w:rPr>
        <w:t>2) kan een tevreden leverancier</w:t>
      </w:r>
      <w:r w:rsidRPr="00442509">
        <w:rPr>
          <w:rFonts w:asciiTheme="minorHAnsi" w:hAnsiTheme="minorHAnsi" w:cstheme="minorHAnsi"/>
          <w:color w:val="000000" w:themeColor="text1"/>
          <w:sz w:val="22"/>
          <w:szCs w:val="22"/>
        </w:rPr>
        <w:t xml:space="preserve"> de inkoper voordelen opleveren. Wederzijds vertrouwen is hierbij belangrijk, het werkt immers mee aan de ontwikkeling van de relatie en vergroot de betrokkenheid van de leveranciers. De twee partijen komen dichter bij elkaar. Volgens </w:t>
      </w:r>
      <w:proofErr w:type="spellStart"/>
      <w:r w:rsidRPr="00442509">
        <w:rPr>
          <w:rFonts w:asciiTheme="minorHAnsi" w:hAnsiTheme="minorHAnsi" w:cstheme="minorHAnsi"/>
          <w:color w:val="000000" w:themeColor="text1"/>
          <w:sz w:val="22"/>
          <w:szCs w:val="22"/>
        </w:rPr>
        <w:t>Essig</w:t>
      </w:r>
      <w:proofErr w:type="spellEnd"/>
      <w:r w:rsidRPr="00442509">
        <w:rPr>
          <w:rFonts w:asciiTheme="minorHAnsi" w:hAnsiTheme="minorHAnsi" w:cstheme="minorHAnsi"/>
          <w:color w:val="000000" w:themeColor="text1"/>
          <w:sz w:val="22"/>
          <w:szCs w:val="22"/>
        </w:rPr>
        <w:t xml:space="preserve"> en </w:t>
      </w:r>
      <w:proofErr w:type="spellStart"/>
      <w:r w:rsidRPr="00442509">
        <w:rPr>
          <w:rFonts w:asciiTheme="minorHAnsi" w:hAnsiTheme="minorHAnsi" w:cstheme="minorHAnsi"/>
          <w:color w:val="000000" w:themeColor="text1"/>
          <w:sz w:val="22"/>
          <w:szCs w:val="22"/>
        </w:rPr>
        <w:t>Amann</w:t>
      </w:r>
      <w:proofErr w:type="spellEnd"/>
      <w:r w:rsidRPr="00442509">
        <w:rPr>
          <w:rFonts w:asciiTheme="minorHAnsi" w:hAnsiTheme="minorHAnsi" w:cstheme="minorHAnsi"/>
          <w:color w:val="000000" w:themeColor="text1"/>
          <w:sz w:val="22"/>
          <w:szCs w:val="22"/>
        </w:rPr>
        <w:t xml:space="preserve"> (2009) levert een tevreden leverancier kwalitatief goede producten en diensten, wat ten goede komt aan de omzet, winstgevendheid en kostenreductie van de inkoper. Samenwerking tussen de partijen heeft als voordeel dat er sneller geïnnoveerd kan worden en transactiekosten lager zijn. Een goed samenwerkingsverband, waarbij beide partijen tevreden zijn, draagt bij aan concurrentievoordeel (</w:t>
      </w:r>
      <w:proofErr w:type="spellStart"/>
      <w:r w:rsidRPr="00442509">
        <w:rPr>
          <w:rFonts w:asciiTheme="minorHAnsi" w:hAnsiTheme="minorHAnsi" w:cstheme="minorHAnsi"/>
          <w:color w:val="000000" w:themeColor="text1"/>
          <w:sz w:val="22"/>
          <w:szCs w:val="22"/>
        </w:rPr>
        <w:t>Dyer</w:t>
      </w:r>
      <w:proofErr w:type="spellEnd"/>
      <w:r w:rsidRPr="00442509">
        <w:rPr>
          <w:rFonts w:asciiTheme="minorHAnsi" w:hAnsiTheme="minorHAnsi" w:cstheme="minorHAnsi"/>
          <w:color w:val="000000" w:themeColor="text1"/>
          <w:sz w:val="22"/>
          <w:szCs w:val="22"/>
        </w:rPr>
        <w:t xml:space="preserve"> &amp; </w:t>
      </w:r>
      <w:proofErr w:type="spellStart"/>
      <w:r w:rsidRPr="00442509">
        <w:rPr>
          <w:rFonts w:asciiTheme="minorHAnsi" w:hAnsiTheme="minorHAnsi" w:cstheme="minorHAnsi"/>
          <w:color w:val="000000" w:themeColor="text1"/>
          <w:sz w:val="22"/>
          <w:szCs w:val="22"/>
        </w:rPr>
        <w:t>Singh</w:t>
      </w:r>
      <w:proofErr w:type="spellEnd"/>
      <w:r w:rsidRPr="00442509">
        <w:rPr>
          <w:rFonts w:asciiTheme="minorHAnsi" w:hAnsiTheme="minorHAnsi" w:cstheme="minorHAnsi"/>
          <w:color w:val="000000" w:themeColor="text1"/>
          <w:sz w:val="22"/>
          <w:szCs w:val="22"/>
        </w:rPr>
        <w:t xml:space="preserve">, 1998). Het principe is dat de som der delen groter in een samenwerkingsverband groter is dan afzonderlijk. Ontevreden leverancier is minder snel geneigd om extra inspanning te leveren voor de koper. Organisaties dienen dan ook aandacht hieraan te besteden. Door frequent de leverancierstevredenheid te monitoren en te evalueren, kunnen zij adequaat hierop reageren zodat de relatie verbeterd wordt. Het meten van de tevredenheid van de leverancier is tevens een signaal dat een goede relatie gewenst is. De verwachting is dat de leverancier dit ziet als duurzame samenwerking en bereid is investeringen te doen. </w:t>
      </w:r>
      <w:r w:rsidR="00083C10" w:rsidRPr="00442509">
        <w:rPr>
          <w:rFonts w:asciiTheme="minorHAnsi" w:hAnsiTheme="minorHAnsi" w:cstheme="minorHAnsi"/>
          <w:color w:val="000000" w:themeColor="text1"/>
          <w:sz w:val="22"/>
          <w:szCs w:val="22"/>
        </w:rPr>
        <w:t>Er ontstaat</w:t>
      </w:r>
      <w:r w:rsidRPr="00442509">
        <w:rPr>
          <w:rFonts w:asciiTheme="minorHAnsi" w:hAnsiTheme="minorHAnsi" w:cstheme="minorHAnsi"/>
          <w:color w:val="000000" w:themeColor="text1"/>
          <w:sz w:val="22"/>
          <w:szCs w:val="22"/>
        </w:rPr>
        <w:t xml:space="preserve"> economische zekerheid (</w:t>
      </w:r>
      <w:proofErr w:type="spellStart"/>
      <w:r w:rsidRPr="00442509">
        <w:rPr>
          <w:rFonts w:asciiTheme="minorHAnsi" w:hAnsiTheme="minorHAnsi" w:cstheme="minorHAnsi"/>
          <w:color w:val="000000" w:themeColor="text1"/>
          <w:sz w:val="22"/>
          <w:szCs w:val="22"/>
        </w:rPr>
        <w:t>Essig</w:t>
      </w:r>
      <w:proofErr w:type="spellEnd"/>
      <w:r w:rsidRPr="00442509">
        <w:rPr>
          <w:rFonts w:asciiTheme="minorHAnsi" w:hAnsiTheme="minorHAnsi" w:cstheme="minorHAnsi"/>
          <w:color w:val="000000" w:themeColor="text1"/>
          <w:sz w:val="22"/>
          <w:szCs w:val="22"/>
        </w:rPr>
        <w:t xml:space="preserve"> &amp; </w:t>
      </w:r>
      <w:proofErr w:type="spellStart"/>
      <w:r w:rsidRPr="00442509">
        <w:rPr>
          <w:rFonts w:asciiTheme="minorHAnsi" w:hAnsiTheme="minorHAnsi" w:cstheme="minorHAnsi"/>
          <w:color w:val="000000" w:themeColor="text1"/>
          <w:sz w:val="22"/>
          <w:szCs w:val="22"/>
        </w:rPr>
        <w:t>Amann</w:t>
      </w:r>
      <w:proofErr w:type="spellEnd"/>
      <w:r w:rsidRPr="00442509">
        <w:rPr>
          <w:rFonts w:asciiTheme="minorHAnsi" w:hAnsiTheme="minorHAnsi" w:cstheme="minorHAnsi"/>
          <w:color w:val="000000" w:themeColor="text1"/>
          <w:sz w:val="22"/>
          <w:szCs w:val="22"/>
        </w:rPr>
        <w:t>, 2009).</w:t>
      </w:r>
    </w:p>
    <w:p w14:paraId="0769D4F7" w14:textId="45C1A56B" w:rsidR="00BF21CC" w:rsidRDefault="009C0AF2" w:rsidP="00BF21CC">
      <w:pPr>
        <w:pStyle w:val="NoSpacing"/>
        <w:spacing w:line="276" w:lineRule="auto"/>
      </w:pPr>
      <w:r>
        <w:tab/>
      </w:r>
      <w:r w:rsidR="00901808" w:rsidRPr="00442509">
        <w:t>De keuze tussen relatie gericht op transactie en coöperatie gaat gepaard met een dilemma: voortbouwen op bestaande relatie of gebruik maken van nieuwe mogelijkheden.</w:t>
      </w:r>
      <w:r w:rsidR="00083C10" w:rsidRPr="00442509">
        <w:t xml:space="preserve"> </w:t>
      </w:r>
      <w:r w:rsidR="00B71FEB" w:rsidRPr="00442509">
        <w:t xml:space="preserve">Morgan constateerde reeds in </w:t>
      </w:r>
      <w:r w:rsidR="00901808" w:rsidRPr="00442509">
        <w:t xml:space="preserve">1987 een algemene verschrijving binnen de </w:t>
      </w:r>
      <w:r w:rsidR="00083C10" w:rsidRPr="00442509">
        <w:t>opdrachtgeverschap</w:t>
      </w:r>
      <w:r w:rsidR="00901808" w:rsidRPr="00442509">
        <w:t xml:space="preserve"> in de publieke sector van een van afstandelijke relatie met meerdere leveranciers richting allianties met slechts één leverancier (</w:t>
      </w:r>
      <w:proofErr w:type="spellStart"/>
      <w:r w:rsidR="00901808" w:rsidRPr="00442509">
        <w:t>Gadde</w:t>
      </w:r>
      <w:proofErr w:type="spellEnd"/>
      <w:r w:rsidR="00901808" w:rsidRPr="00442509">
        <w:t xml:space="preserve"> &amp; </w:t>
      </w:r>
      <w:proofErr w:type="spellStart"/>
      <w:r w:rsidR="00901808" w:rsidRPr="00442509">
        <w:t>Hakansson</w:t>
      </w:r>
      <w:proofErr w:type="spellEnd"/>
      <w:r w:rsidR="00901808" w:rsidRPr="00442509">
        <w:t>, 1994). Deze laatste vorm impliceert een coöperatieve relatie. Formatie van duurzame en coöperatieve relatie vindt plaats met een select aantal voorkeursleveranciers (</w:t>
      </w:r>
      <w:r w:rsidR="00B71FEB" w:rsidRPr="00442509">
        <w:t>Laing &amp; Lian, 2003). Volgens Cox (</w:t>
      </w:r>
      <w:r w:rsidR="00901808" w:rsidRPr="00442509">
        <w:t xml:space="preserve">aangehaald in </w:t>
      </w:r>
      <w:proofErr w:type="spellStart"/>
      <w:r w:rsidR="00901808" w:rsidRPr="00442509">
        <w:t>Loader</w:t>
      </w:r>
      <w:proofErr w:type="spellEnd"/>
      <w:r w:rsidR="00901808" w:rsidRPr="00442509">
        <w:t xml:space="preserve">, 2009) dient de opdrachtgever en opdrachtnemer juist een hechte, collaboratieve en vertrouwde relatie met elkaar </w:t>
      </w:r>
      <w:r w:rsidR="00641B5C">
        <w:t>te onderhouden. Hiermee ontstaat</w:t>
      </w:r>
      <w:r w:rsidR="00901808" w:rsidRPr="00442509">
        <w:t xml:space="preserve"> een vorm van wederzijds afhankelijkheid. Het gezamenlijke streven van opdrachtgevers en leverancier is de sleutel in de zoektocht naar kostenbesparing (</w:t>
      </w:r>
      <w:proofErr w:type="spellStart"/>
      <w:r w:rsidR="00901808" w:rsidRPr="00442509">
        <w:t>Loader</w:t>
      </w:r>
      <w:proofErr w:type="spellEnd"/>
      <w:r w:rsidR="00901808" w:rsidRPr="00442509">
        <w:t>, 2009). Een coöperatieve relatie biedt ook voordelen aan de leverancier. Binnen de relationele denkkader van inkoop zien</w:t>
      </w:r>
      <w:r w:rsidR="00901808" w:rsidRPr="00497001">
        <w:t xml:space="preserve"> </w:t>
      </w:r>
      <w:r w:rsidR="00901808" w:rsidRPr="00442509">
        <w:t xml:space="preserve">leveranciers in dat het behouden van bestaande klanten even belangrijk is als het aantrekken van nieuwe klanten. Uit het onderzoek van </w:t>
      </w:r>
      <w:proofErr w:type="spellStart"/>
      <w:r w:rsidR="00901808" w:rsidRPr="00442509">
        <w:t>Hartley</w:t>
      </w:r>
      <w:proofErr w:type="spellEnd"/>
      <w:r w:rsidR="00901808" w:rsidRPr="00442509">
        <w:t xml:space="preserve"> en Parker (199</w:t>
      </w:r>
      <w:r w:rsidR="00083C10" w:rsidRPr="00442509">
        <w:t>7) blijkt dat</w:t>
      </w:r>
      <w:r w:rsidR="00901808" w:rsidRPr="00442509">
        <w:t xml:space="preserve"> binnen een coöperatieve relatie de leverancier</w:t>
      </w:r>
      <w:r w:rsidR="00083C10" w:rsidRPr="00442509">
        <w:t xml:space="preserve"> doorgaans</w:t>
      </w:r>
      <w:r w:rsidR="00901808" w:rsidRPr="00442509">
        <w:t xml:space="preserve"> lagere prijzen</w:t>
      </w:r>
      <w:r w:rsidR="00083C10" w:rsidRPr="00442509">
        <w:t xml:space="preserve"> hanteert. De opdrachtgever is dan</w:t>
      </w:r>
      <w:r w:rsidR="00901808" w:rsidRPr="00442509">
        <w:t xml:space="preserve"> goed </w:t>
      </w:r>
      <w:r w:rsidR="00083C10" w:rsidRPr="00442509">
        <w:t>geïnformeerd over de hoogte</w:t>
      </w:r>
      <w:r w:rsidR="00901808" w:rsidRPr="00442509">
        <w:t xml:space="preserve"> van de kostprijs</w:t>
      </w:r>
      <w:r w:rsidR="00FC7DD2" w:rsidRPr="00442509">
        <w:t>, de markt</w:t>
      </w:r>
      <w:r w:rsidR="00901808" w:rsidRPr="00442509">
        <w:t xml:space="preserve"> en de winsten van de leverancier. Deze soort kopers komen in de praktijk nauwelijks voor</w:t>
      </w:r>
      <w:r w:rsidR="00FC7DD2" w:rsidRPr="00442509">
        <w:t xml:space="preserve"> (</w:t>
      </w:r>
      <w:proofErr w:type="spellStart"/>
      <w:r w:rsidR="00FC7DD2" w:rsidRPr="00442509">
        <w:t>Hartley</w:t>
      </w:r>
      <w:proofErr w:type="spellEnd"/>
      <w:r w:rsidR="00FC7DD2" w:rsidRPr="00442509">
        <w:t xml:space="preserve"> &amp; Parker, 1997).</w:t>
      </w:r>
    </w:p>
    <w:p w14:paraId="0D5F5DA5" w14:textId="7CBC1EF8" w:rsidR="00BF21CC" w:rsidRPr="00BF21CC" w:rsidRDefault="00BF21CC" w:rsidP="00BF21CC">
      <w:pPr>
        <w:pStyle w:val="NoSpacing"/>
        <w:spacing w:line="276" w:lineRule="auto"/>
      </w:pPr>
      <w:r>
        <w:tab/>
      </w:r>
      <w:r w:rsidR="006E03D0" w:rsidRPr="00442509">
        <w:t>Binnen de publieke sector wordt relatief weinig waarde gehecht aan concurrentie tussen de verschillende leveranciers</w:t>
      </w:r>
      <w:r w:rsidR="00901808" w:rsidRPr="00442509">
        <w:t>. Laing en Lian (2003) halen het onderzoek van Jones (aangehaald in Laing en Lian, 2003) aan, waarin inkopers aangeven voorkeur te hebben voor vernieuwing van contracten in plaats van afsluiten van nieuwe contracten met</w:t>
      </w:r>
      <w:r w:rsidR="00C35C19" w:rsidRPr="00442509">
        <w:t xml:space="preserve"> andere</w:t>
      </w:r>
      <w:r w:rsidR="00901808" w:rsidRPr="00442509">
        <w:t xml:space="preserve"> leveranciers, vanwege </w:t>
      </w:r>
      <w:r w:rsidR="00580B0D" w:rsidRPr="00442509">
        <w:t>hun</w:t>
      </w:r>
      <w:r w:rsidR="00901808" w:rsidRPr="00442509">
        <w:t xml:space="preserve"> vertrouwen in efficiënt inkoop. </w:t>
      </w:r>
      <w:r w:rsidR="00580B0D" w:rsidRPr="00442509">
        <w:t>Tevens kan h</w:t>
      </w:r>
      <w:r w:rsidR="00901808" w:rsidRPr="00442509">
        <w:t>et niet willen doorlopen van het gehele, omslachtige en</w:t>
      </w:r>
      <w:r w:rsidR="00580B0D" w:rsidRPr="00442509">
        <w:t xml:space="preserve"> tijdrovende inkoopprocessen hier</w:t>
      </w:r>
      <w:r w:rsidR="00901808" w:rsidRPr="00442509">
        <w:t xml:space="preserve"> ten grondslag</w:t>
      </w:r>
      <w:r w:rsidR="00580B0D" w:rsidRPr="00442509">
        <w:t xml:space="preserve"> aan</w:t>
      </w:r>
      <w:r w:rsidR="00901808" w:rsidRPr="00442509">
        <w:t xml:space="preserve"> liggen</w:t>
      </w:r>
      <w:r w:rsidR="00B71FEB" w:rsidRPr="00442509">
        <w:t xml:space="preserve"> (Van Weele, 2008)</w:t>
      </w:r>
      <w:r w:rsidR="00901808" w:rsidRPr="00442509">
        <w:t xml:space="preserve">. </w:t>
      </w:r>
      <w:r w:rsidR="009235D9">
        <w:t xml:space="preserve">Organisatie worden beperkt in hun mogelijkheden om duurzame relaties op te bouwen met de leverancier. Dit komt volgens </w:t>
      </w:r>
      <w:proofErr w:type="spellStart"/>
      <w:r w:rsidR="009235D9">
        <w:t>Newman</w:t>
      </w:r>
      <w:proofErr w:type="spellEnd"/>
      <w:r w:rsidR="009235D9">
        <w:t xml:space="preserve"> (2003) door</w:t>
      </w:r>
      <w:r w:rsidR="009C0AF2">
        <w:t xml:space="preserve"> de</w:t>
      </w:r>
      <w:r w:rsidR="009235D9">
        <w:t xml:space="preserve"> korte duur van contracten en zeldzame verlenging van contracten.</w:t>
      </w:r>
      <w:r>
        <w:t xml:space="preserve"> </w:t>
      </w:r>
      <w:r w:rsidR="00901808" w:rsidRPr="00442509">
        <w:t xml:space="preserve">Volgens </w:t>
      </w:r>
      <w:proofErr w:type="spellStart"/>
      <w:r w:rsidR="00901808" w:rsidRPr="00442509">
        <w:t>Bhote</w:t>
      </w:r>
      <w:proofErr w:type="spellEnd"/>
      <w:r w:rsidR="00901808" w:rsidRPr="00442509">
        <w:t xml:space="preserve"> (aangehaald in </w:t>
      </w:r>
      <w:r w:rsidR="00AE1D71">
        <w:rPr>
          <w:rFonts w:cstheme="minorHAnsi"/>
          <w:color w:val="000000" w:themeColor="text1"/>
          <w:szCs w:val="22"/>
        </w:rPr>
        <w:t xml:space="preserve">Bemelmans </w:t>
      </w:r>
      <w:r w:rsidR="000B47A7">
        <w:rPr>
          <w:rFonts w:cstheme="minorHAnsi"/>
          <w:color w:val="000000" w:themeColor="text1"/>
          <w:szCs w:val="22"/>
        </w:rPr>
        <w:t>et</w:t>
      </w:r>
      <w:r w:rsidR="00AE1D71">
        <w:rPr>
          <w:rFonts w:cstheme="minorHAnsi"/>
          <w:color w:val="000000" w:themeColor="text1"/>
          <w:szCs w:val="22"/>
        </w:rPr>
        <w:t xml:space="preserve"> al. 2013</w:t>
      </w:r>
      <w:r w:rsidR="00901808" w:rsidRPr="00442509">
        <w:t xml:space="preserve">) is de samenwerking met leverancier </w:t>
      </w:r>
      <w:r w:rsidR="006544EE" w:rsidRPr="00442509">
        <w:t>het</w:t>
      </w:r>
      <w:r w:rsidR="00901808" w:rsidRPr="00442509">
        <w:t xml:space="preserve"> meest dominante criterium bij het bepalen van de inkoopvolwassenheid. Het is bepalend voor het behaalde succes van een traject. Een volwassen inkoopfunctie streeft naar een principaal-steward verhouding, gebaseerd op een coöperatieve relatie op de lange termijn. Deze relatie is gebaseerd op het streven van collectieve doelen, intrinsieke motivatie, persoonlijke betrokkenheid en vertrouwen op de lange termijn (Davis et al. 1997; Van </w:t>
      </w:r>
      <w:proofErr w:type="spellStart"/>
      <w:r w:rsidR="00901808" w:rsidRPr="00442509">
        <w:t>Slyke</w:t>
      </w:r>
      <w:proofErr w:type="spellEnd"/>
      <w:r w:rsidR="00901808" w:rsidRPr="00442509">
        <w:t xml:space="preserve">, 2006). </w:t>
      </w:r>
      <w:r w:rsidR="003F6710" w:rsidRPr="00442509">
        <w:t>De opdrachtgever houdt</w:t>
      </w:r>
      <w:r w:rsidR="00901808" w:rsidRPr="00442509">
        <w:t xml:space="preserve"> nauw contact met de opdrachtnemer en wisselt bruikbare informatie uit </w:t>
      </w:r>
      <w:r w:rsidR="003F6710" w:rsidRPr="00442509">
        <w:t>ten behoeve van</w:t>
      </w:r>
      <w:r w:rsidR="00901808" w:rsidRPr="00442509">
        <w:t xml:space="preserve"> het collectief belang (Van </w:t>
      </w:r>
      <w:proofErr w:type="spellStart"/>
      <w:r w:rsidR="00901808" w:rsidRPr="00442509">
        <w:t>Slyke</w:t>
      </w:r>
      <w:proofErr w:type="spellEnd"/>
      <w:r w:rsidR="00901808" w:rsidRPr="00442509">
        <w:t>, 2006).</w:t>
      </w:r>
      <w:r w:rsidR="00AB117F" w:rsidRPr="00442509">
        <w:t xml:space="preserve"> </w:t>
      </w:r>
      <w:r w:rsidR="00AB117F" w:rsidRPr="00442509">
        <w:rPr>
          <w:rFonts w:cs="Arial"/>
        </w:rPr>
        <w:t>De informatievoorsprong van de steward levert geen problemen op, de relatie is immers gebaseerd op wederzijdse vertrouwen.</w:t>
      </w:r>
    </w:p>
    <w:p w14:paraId="4300EF8D" w14:textId="3AEF7B90" w:rsidR="00BF21CC" w:rsidRDefault="00BF21CC" w:rsidP="00BF21CC">
      <w:pPr>
        <w:pStyle w:val="NoSpacing"/>
        <w:spacing w:line="276" w:lineRule="auto"/>
      </w:pPr>
      <w:r>
        <w:tab/>
      </w:r>
      <w:r w:rsidR="00BE3FF8" w:rsidRPr="00442509">
        <w:t xml:space="preserve">Echter zijn de risico’s </w:t>
      </w:r>
      <w:r w:rsidR="00901808" w:rsidRPr="00442509">
        <w:t>op verlies gro</w:t>
      </w:r>
      <w:r w:rsidR="009C0AF2">
        <w:t>ot</w:t>
      </w:r>
      <w:r w:rsidR="00901808" w:rsidRPr="00442509">
        <w:t xml:space="preserve"> in een principaal-st</w:t>
      </w:r>
      <w:r w:rsidR="00BE3FF8" w:rsidRPr="00442509">
        <w:t>eward verhouding</w:t>
      </w:r>
      <w:r w:rsidR="00901808" w:rsidRPr="00442509">
        <w:t>, omdat controle en monitoring tot een minimum worden beperkt (Davis et al, 1997). Dit weerhoudt risico vermijdende opdrachtgevers om voor de principaal-steward benadering te kiezen.</w:t>
      </w:r>
      <w:r w:rsidR="00BE3FF8" w:rsidRPr="00442509">
        <w:t xml:space="preserve"> Binnen de publieke sector vertonen managers relatief meer </w:t>
      </w:r>
      <w:proofErr w:type="spellStart"/>
      <w:r w:rsidR="00BE3FF8" w:rsidRPr="00442509">
        <w:t>risicovermijdend</w:t>
      </w:r>
      <w:proofErr w:type="spellEnd"/>
      <w:r w:rsidR="00BE3FF8" w:rsidRPr="00442509">
        <w:t xml:space="preserve"> gedrag</w:t>
      </w:r>
      <w:r w:rsidR="00B34791" w:rsidRPr="00442509">
        <w:t xml:space="preserve"> (</w:t>
      </w:r>
      <w:proofErr w:type="spellStart"/>
      <w:r w:rsidR="00B34791" w:rsidRPr="00442509">
        <w:t>Eisenhardt</w:t>
      </w:r>
      <w:proofErr w:type="spellEnd"/>
      <w:r w:rsidR="00B34791" w:rsidRPr="00442509">
        <w:t>, 1989)</w:t>
      </w:r>
      <w:r w:rsidR="00BE3FF8" w:rsidRPr="00442509">
        <w:t>.</w:t>
      </w:r>
      <w:r w:rsidR="00901808" w:rsidRPr="00442509">
        <w:t xml:space="preserve"> </w:t>
      </w:r>
      <w:r w:rsidR="00BE3FF8" w:rsidRPr="00442509">
        <w:t xml:space="preserve">Zij zien de opdrachtnemer eerder als een ‘agent’. </w:t>
      </w:r>
      <w:r w:rsidR="00B34791" w:rsidRPr="00442509">
        <w:t xml:space="preserve">Volgens </w:t>
      </w:r>
      <w:proofErr w:type="spellStart"/>
      <w:r w:rsidR="00B34791" w:rsidRPr="00442509">
        <w:t>Eisenhardt</w:t>
      </w:r>
      <w:proofErr w:type="spellEnd"/>
      <w:r w:rsidR="00B34791" w:rsidRPr="00442509">
        <w:t xml:space="preserve"> (1989) is de kern van de principaal agent theorie de </w:t>
      </w:r>
      <w:proofErr w:type="spellStart"/>
      <w:r w:rsidR="00B34791" w:rsidRPr="00442509">
        <w:t>tradeoff</w:t>
      </w:r>
      <w:proofErr w:type="spellEnd"/>
      <w:r w:rsidR="00B34791" w:rsidRPr="00442509">
        <w:t xml:space="preserve"> tussen de kosten voor het meten van gedrag van de agent ten opzichte van het verschuiven van de risico’s naar de agent. Het opstellen van resultaatafspraken wordt als </w:t>
      </w:r>
      <w:r w:rsidR="00B34791" w:rsidRPr="00442509">
        <w:lastRenderedPageBreak/>
        <w:t xml:space="preserve">een onnodige verschuiving van de risico’s naar de agent gezien. Volgens </w:t>
      </w:r>
      <w:proofErr w:type="spellStart"/>
      <w:r w:rsidR="00B34791" w:rsidRPr="00442509">
        <w:t>Eisenhardt</w:t>
      </w:r>
      <w:proofErr w:type="spellEnd"/>
      <w:r w:rsidR="00B34791" w:rsidRPr="00442509">
        <w:t xml:space="preserve"> (1989) is dit ongunstig vanuit de assumptie dat ook de agent risicomijdend is. In plaats hiervan kunnen de beide partijen een passend inspanningscontract opstellen. </w:t>
      </w:r>
      <w:r w:rsidR="004D6D4F" w:rsidRPr="00442509">
        <w:t>Tevens bestaat er binnen de principaalagent relatie een spanningsveld tussen de voorkeuren van de agent en de handelingen die een maximaal voordeel opleveren voor de principaal. Dit is met name aanwezig bij nut maximaliserende en opportunistische opdrachtnemers (</w:t>
      </w:r>
      <w:proofErr w:type="spellStart"/>
      <w:r w:rsidR="004D6D4F" w:rsidRPr="00442509">
        <w:t>Soudry</w:t>
      </w:r>
      <w:proofErr w:type="spellEnd"/>
      <w:r w:rsidR="004D6D4F" w:rsidRPr="00442509">
        <w:t xml:space="preserve">, 2006). </w:t>
      </w:r>
    </w:p>
    <w:p w14:paraId="681CA79A" w14:textId="499EF247" w:rsidR="00B34791" w:rsidRPr="00442509" w:rsidRDefault="00BF21CC" w:rsidP="00BF21CC">
      <w:pPr>
        <w:pStyle w:val="NoSpacing"/>
        <w:spacing w:line="276" w:lineRule="auto"/>
      </w:pPr>
      <w:r>
        <w:tab/>
      </w:r>
      <w:r w:rsidR="004D6D4F" w:rsidRPr="00442509">
        <w:t>In theorie leidt dit tot twee problemen. De opdrachtnemer als agent zal geen bovenmatige inspanningen verrichten om de doelen van de principaal te bereiken. In dit geval is er sprake van ontwijkprobleem. Daarnaast bestaat het gevaar dat de agent andere dingen doet met de gegeven beleidsvrijheid: afwijkprobleem (</w:t>
      </w:r>
      <w:proofErr w:type="spellStart"/>
      <w:r w:rsidR="004D6D4F" w:rsidRPr="00442509">
        <w:t>Eisenhardt</w:t>
      </w:r>
      <w:proofErr w:type="spellEnd"/>
      <w:r w:rsidR="004D6D4F" w:rsidRPr="00442509">
        <w:t xml:space="preserve">, 1989; </w:t>
      </w:r>
      <w:proofErr w:type="spellStart"/>
      <w:r w:rsidR="004D6D4F" w:rsidRPr="00442509">
        <w:t>Soudry</w:t>
      </w:r>
      <w:proofErr w:type="spellEnd"/>
      <w:r w:rsidR="004D6D4F" w:rsidRPr="00442509">
        <w:t>, 2006). Gebrek aan verantwoording en controlemechanismen heeft een versterkend effect hierop.</w:t>
      </w:r>
      <w:r w:rsidR="00530215" w:rsidRPr="00442509">
        <w:t xml:space="preserve"> </w:t>
      </w:r>
      <w:proofErr w:type="spellStart"/>
      <w:r w:rsidR="00B34791" w:rsidRPr="00442509">
        <w:t>Eisenhardt</w:t>
      </w:r>
      <w:proofErr w:type="spellEnd"/>
      <w:r w:rsidR="00B34791" w:rsidRPr="00442509">
        <w:t xml:space="preserve"> (2006) en </w:t>
      </w:r>
      <w:proofErr w:type="spellStart"/>
      <w:r w:rsidR="00B34791" w:rsidRPr="00442509">
        <w:t>Soudry</w:t>
      </w:r>
      <w:proofErr w:type="spellEnd"/>
      <w:r w:rsidR="00B34791" w:rsidRPr="00442509">
        <w:t xml:space="preserve"> (2006) reiken twee mogelijkheden om deze risico’s te managen. Ten eerste kunnen er resultaatafspraken worden geformuleerd, zoals financiële prikkels en contractuele voorwaarden. Hiermee worden de prikkels om enkel de eigen nut te maximaliseren onder controle gehouden. Als instrumenten worden overleg, evaluatie en monitoring/toezicht genoemd. Met dit sturingsmechanisme wordt kennis en ervaring gedeeld tussen de principaal en de agent. Ten tweede kan de principaal informatie winnen en hiermee het gedrag van de agent verifiëren. Dit biedt een antwoord aan een fundamenteel vraagstuk: de informatieasymmetrie tussen de principaal en de agent. Het verleggen van de aandacht op het versterken van kennis, zal deze kloof verminderen. </w:t>
      </w:r>
    </w:p>
    <w:p w14:paraId="79B652D1" w14:textId="2028F08A" w:rsidR="00901808" w:rsidRDefault="00901808" w:rsidP="00BF21CC">
      <w:pPr>
        <w:pStyle w:val="NoSpacing"/>
        <w:spacing w:line="276" w:lineRule="auto"/>
        <w:rPr>
          <w:rFonts w:cs="Arial"/>
        </w:rPr>
      </w:pPr>
      <w:r w:rsidRPr="00442509">
        <w:t>Principaal-ag</w:t>
      </w:r>
      <w:r w:rsidR="00BE3FF8" w:rsidRPr="00442509">
        <w:t>ent verhouding neigt</w:t>
      </w:r>
      <w:r w:rsidRPr="00442509">
        <w:t xml:space="preserve"> naar nutsmaximalisatie, controlemechanismen, extrinsieke beloningsstructuur en wantrouwen (Van </w:t>
      </w:r>
      <w:proofErr w:type="spellStart"/>
      <w:r w:rsidRPr="00442509">
        <w:t>Slyke</w:t>
      </w:r>
      <w:proofErr w:type="spellEnd"/>
      <w:r w:rsidRPr="00442509">
        <w:t>, 2006). Het gedrag is berekend, opportunistisch en gericht op het ei</w:t>
      </w:r>
      <w:r w:rsidR="003B17F9" w:rsidRPr="00442509">
        <w:t>gen belang (</w:t>
      </w:r>
      <w:proofErr w:type="spellStart"/>
      <w:r w:rsidR="003B17F9" w:rsidRPr="00442509">
        <w:t>Koppenjan</w:t>
      </w:r>
      <w:proofErr w:type="spellEnd"/>
      <w:r w:rsidR="003B17F9" w:rsidRPr="00442509">
        <w:t>, 2012).</w:t>
      </w:r>
      <w:r w:rsidR="006E03D0" w:rsidRPr="00442509">
        <w:t xml:space="preserve"> </w:t>
      </w:r>
      <w:r w:rsidR="00AB117F" w:rsidRPr="00442509">
        <w:rPr>
          <w:rFonts w:cs="Arial"/>
        </w:rPr>
        <w:t>De principaal is niet in staat om vooraf te calculeren of de agent aan de</w:t>
      </w:r>
      <w:r w:rsidR="00AB117F">
        <w:rPr>
          <w:rFonts w:cs="Arial"/>
        </w:rPr>
        <w:t xml:space="preserve"> </w:t>
      </w:r>
      <w:r w:rsidR="00AB117F" w:rsidRPr="00442509">
        <w:rPr>
          <w:rFonts w:cs="Arial"/>
        </w:rPr>
        <w:t xml:space="preserve">eisen zal voldoen. Dit probleem speelt met name op wanneer het om specialistische kennis gaat. De agent bezit deze kennis en expertise en wil de maximale prijs voor ontvangen, terwijl de principaal zo weinig mogelijk voor wil betalen. De informatieasymmetrie is in het voordeel van de agent (Van </w:t>
      </w:r>
      <w:proofErr w:type="spellStart"/>
      <w:r w:rsidR="00AB117F" w:rsidRPr="00442509">
        <w:rPr>
          <w:rFonts w:cs="Arial"/>
        </w:rPr>
        <w:t>Slyke</w:t>
      </w:r>
      <w:proofErr w:type="spellEnd"/>
      <w:r w:rsidR="00AB117F" w:rsidRPr="00442509">
        <w:rPr>
          <w:rFonts w:cs="Arial"/>
        </w:rPr>
        <w:t xml:space="preserve">, 2006; </w:t>
      </w:r>
      <w:proofErr w:type="spellStart"/>
      <w:r w:rsidR="00AB117F" w:rsidRPr="00442509">
        <w:rPr>
          <w:rFonts w:cs="Arial"/>
        </w:rPr>
        <w:t>Watermann</w:t>
      </w:r>
      <w:proofErr w:type="spellEnd"/>
      <w:r w:rsidR="00AB117F" w:rsidRPr="00442509">
        <w:rPr>
          <w:rFonts w:cs="Arial"/>
        </w:rPr>
        <w:t xml:space="preserve"> &amp; Meier, 1998).</w:t>
      </w:r>
      <w:r w:rsidR="005A38AE">
        <w:rPr>
          <w:rFonts w:cs="Arial"/>
        </w:rPr>
        <w:t xml:space="preserve"> De psychologische en situationele verschillen tussen de twee benaderingen worden in figuur 5 uiteengez</w:t>
      </w:r>
      <w:r w:rsidR="000B47A7">
        <w:rPr>
          <w:rFonts w:cs="Arial"/>
        </w:rPr>
        <w:t>et</w:t>
      </w:r>
      <w:r w:rsidR="005A38AE">
        <w:rPr>
          <w:rFonts w:cs="Arial"/>
        </w:rPr>
        <w:t xml:space="preserve"> </w:t>
      </w:r>
    </w:p>
    <w:p w14:paraId="25F8DD2E" w14:textId="77777777" w:rsidR="00424E68" w:rsidRPr="00442509" w:rsidRDefault="00424E68" w:rsidP="00BF21CC">
      <w:pPr>
        <w:pStyle w:val="NoSpacing"/>
        <w:spacing w:line="276" w:lineRule="auto"/>
      </w:pPr>
    </w:p>
    <w:tbl>
      <w:tblPr>
        <w:tblStyle w:val="GridTable1Light"/>
        <w:tblW w:w="0" w:type="auto"/>
        <w:tblLook w:val="04A0" w:firstRow="1" w:lastRow="0" w:firstColumn="1" w:lastColumn="0" w:noHBand="0" w:noVBand="1"/>
      </w:tblPr>
      <w:tblGrid>
        <w:gridCol w:w="2267"/>
        <w:gridCol w:w="4109"/>
        <w:gridCol w:w="4080"/>
      </w:tblGrid>
      <w:tr w:rsidR="00424E68" w:rsidRPr="000470E5" w14:paraId="5BFDEF94" w14:textId="77777777" w:rsidTr="0049135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7" w:type="dxa"/>
          </w:tcPr>
          <w:p w14:paraId="16BF7178" w14:textId="77777777" w:rsidR="00424E68" w:rsidRPr="00424E68" w:rsidRDefault="00424E68" w:rsidP="00E537BB">
            <w:pPr>
              <w:pStyle w:val="NoSpacing"/>
              <w:rPr>
                <w:rFonts w:cstheme="minorHAnsi"/>
                <w:sz w:val="20"/>
                <w:szCs w:val="22"/>
              </w:rPr>
            </w:pPr>
          </w:p>
        </w:tc>
        <w:tc>
          <w:tcPr>
            <w:tcW w:w="4109" w:type="dxa"/>
          </w:tcPr>
          <w:p w14:paraId="4970B374" w14:textId="77777777" w:rsidR="00424E68" w:rsidRPr="00424E68" w:rsidRDefault="00424E68" w:rsidP="00E537BB">
            <w:pPr>
              <w:pStyle w:val="NoSpacing"/>
              <w:jc w:val="center"/>
              <w:cnfStyle w:val="100000000000" w:firstRow="1" w:lastRow="0" w:firstColumn="0" w:lastColumn="0" w:oddVBand="0" w:evenVBand="0" w:oddHBand="0" w:evenHBand="0" w:firstRowFirstColumn="0" w:firstRowLastColumn="0" w:lastRowFirstColumn="0" w:lastRowLastColumn="0"/>
              <w:rPr>
                <w:rFonts w:cstheme="minorHAnsi"/>
                <w:sz w:val="20"/>
                <w:szCs w:val="22"/>
              </w:rPr>
            </w:pPr>
            <w:r w:rsidRPr="00424E68">
              <w:rPr>
                <w:rFonts w:cstheme="minorHAnsi"/>
                <w:sz w:val="20"/>
                <w:szCs w:val="22"/>
              </w:rPr>
              <w:t xml:space="preserve">Agency </w:t>
            </w:r>
            <w:proofErr w:type="spellStart"/>
            <w:r w:rsidRPr="00424E68">
              <w:rPr>
                <w:rFonts w:cstheme="minorHAnsi"/>
                <w:sz w:val="20"/>
                <w:szCs w:val="22"/>
              </w:rPr>
              <w:t>theory</w:t>
            </w:r>
            <w:proofErr w:type="spellEnd"/>
          </w:p>
        </w:tc>
        <w:tc>
          <w:tcPr>
            <w:tcW w:w="4080" w:type="dxa"/>
          </w:tcPr>
          <w:p w14:paraId="03A13F16" w14:textId="77777777" w:rsidR="00424E68" w:rsidRPr="00424E68" w:rsidRDefault="00424E68" w:rsidP="00E537BB">
            <w:pPr>
              <w:pStyle w:val="NoSpacing"/>
              <w:jc w:val="center"/>
              <w:cnfStyle w:val="100000000000" w:firstRow="1" w:lastRow="0" w:firstColumn="0" w:lastColumn="0" w:oddVBand="0" w:evenVBand="0" w:oddHBand="0" w:evenHBand="0" w:firstRowFirstColumn="0" w:firstRowLastColumn="0" w:lastRowFirstColumn="0" w:lastRowLastColumn="0"/>
              <w:rPr>
                <w:rFonts w:cstheme="minorHAnsi"/>
                <w:sz w:val="20"/>
                <w:szCs w:val="22"/>
              </w:rPr>
            </w:pPr>
            <w:proofErr w:type="spellStart"/>
            <w:r w:rsidRPr="00424E68">
              <w:rPr>
                <w:rFonts w:cstheme="minorHAnsi"/>
                <w:sz w:val="20"/>
                <w:szCs w:val="22"/>
              </w:rPr>
              <w:t>Stewardship</w:t>
            </w:r>
            <w:proofErr w:type="spellEnd"/>
            <w:r w:rsidRPr="00424E68">
              <w:rPr>
                <w:rFonts w:cstheme="minorHAnsi"/>
                <w:sz w:val="20"/>
                <w:szCs w:val="22"/>
              </w:rPr>
              <w:t xml:space="preserve"> </w:t>
            </w:r>
            <w:proofErr w:type="spellStart"/>
            <w:r w:rsidRPr="00424E68">
              <w:rPr>
                <w:rFonts w:cstheme="minorHAnsi"/>
                <w:sz w:val="20"/>
                <w:szCs w:val="22"/>
              </w:rPr>
              <w:t>theory</w:t>
            </w:r>
            <w:proofErr w:type="spellEnd"/>
          </w:p>
        </w:tc>
      </w:tr>
      <w:tr w:rsidR="00424E68" w:rsidRPr="000470E5" w14:paraId="33ABB43E" w14:textId="77777777" w:rsidTr="0049135E">
        <w:tc>
          <w:tcPr>
            <w:cnfStyle w:val="001000000000" w:firstRow="0" w:lastRow="0" w:firstColumn="1" w:lastColumn="0" w:oddVBand="0" w:evenVBand="0" w:oddHBand="0" w:evenHBand="0" w:firstRowFirstColumn="0" w:firstRowLastColumn="0" w:lastRowFirstColumn="0" w:lastRowLastColumn="0"/>
            <w:tcW w:w="2267" w:type="dxa"/>
            <w:tcBorders>
              <w:right w:val="single" w:sz="4" w:space="0" w:color="A5A5A5" w:themeColor="accent3"/>
            </w:tcBorders>
          </w:tcPr>
          <w:p w14:paraId="37DCF0A2" w14:textId="77777777" w:rsidR="00424E68" w:rsidRPr="00424E68" w:rsidRDefault="00424E68" w:rsidP="00E537BB">
            <w:pPr>
              <w:pStyle w:val="NoSpacing"/>
              <w:rPr>
                <w:rFonts w:cstheme="minorHAnsi"/>
                <w:sz w:val="20"/>
                <w:szCs w:val="22"/>
              </w:rPr>
            </w:pPr>
            <w:r w:rsidRPr="00424E68">
              <w:rPr>
                <w:rFonts w:cstheme="minorHAnsi"/>
                <w:sz w:val="20"/>
                <w:szCs w:val="22"/>
              </w:rPr>
              <w:t>menselijk gedrag</w:t>
            </w:r>
          </w:p>
        </w:tc>
        <w:tc>
          <w:tcPr>
            <w:tcW w:w="4109" w:type="dxa"/>
            <w:tcBorders>
              <w:left w:val="single" w:sz="4" w:space="0" w:color="A5A5A5" w:themeColor="accent3"/>
            </w:tcBorders>
          </w:tcPr>
          <w:p w14:paraId="320857F6" w14:textId="77777777" w:rsidR="00424E68" w:rsidRPr="00424E68" w:rsidRDefault="00424E68" w:rsidP="00E537BB">
            <w:pPr>
              <w:pStyle w:val="NoSpacing"/>
              <w:cnfStyle w:val="000000000000" w:firstRow="0" w:lastRow="0" w:firstColumn="0" w:lastColumn="0" w:oddVBand="0" w:evenVBand="0" w:oddHBand="0" w:evenHBand="0" w:firstRowFirstColumn="0" w:firstRowLastColumn="0" w:lastRowFirstColumn="0" w:lastRowLastColumn="0"/>
              <w:rPr>
                <w:rFonts w:cstheme="minorHAnsi"/>
                <w:sz w:val="20"/>
                <w:szCs w:val="22"/>
              </w:rPr>
            </w:pPr>
            <w:proofErr w:type="spellStart"/>
            <w:r w:rsidRPr="00424E68">
              <w:rPr>
                <w:rFonts w:cstheme="minorHAnsi"/>
                <w:sz w:val="20"/>
              </w:rPr>
              <w:t>economicus</w:t>
            </w:r>
            <w:proofErr w:type="spellEnd"/>
            <w:r w:rsidRPr="00424E68">
              <w:rPr>
                <w:rFonts w:cstheme="minorHAnsi"/>
                <w:sz w:val="20"/>
              </w:rPr>
              <w:t xml:space="preserve">, zelfverrijking </w:t>
            </w:r>
          </w:p>
        </w:tc>
        <w:tc>
          <w:tcPr>
            <w:tcW w:w="4080" w:type="dxa"/>
          </w:tcPr>
          <w:p w14:paraId="05233B6F" w14:textId="77777777" w:rsidR="00424E68" w:rsidRPr="00424E68" w:rsidRDefault="00424E68" w:rsidP="00E537BB">
            <w:pPr>
              <w:pStyle w:val="NoSpacing"/>
              <w:cnfStyle w:val="000000000000" w:firstRow="0" w:lastRow="0" w:firstColumn="0" w:lastColumn="0" w:oddVBand="0" w:evenVBand="0" w:oddHBand="0" w:evenHBand="0" w:firstRowFirstColumn="0" w:firstRowLastColumn="0" w:lastRowFirstColumn="0" w:lastRowLastColumn="0"/>
              <w:rPr>
                <w:rFonts w:cstheme="minorHAnsi"/>
                <w:sz w:val="20"/>
                <w:szCs w:val="22"/>
              </w:rPr>
            </w:pPr>
            <w:r w:rsidRPr="00424E68">
              <w:rPr>
                <w:rFonts w:cstheme="minorHAnsi"/>
                <w:sz w:val="20"/>
              </w:rPr>
              <w:t>zelfontplooiing, dienen van het collectief</w:t>
            </w:r>
          </w:p>
        </w:tc>
      </w:tr>
      <w:tr w:rsidR="0049135E" w:rsidRPr="000470E5" w14:paraId="5B2700FE" w14:textId="68F779F2" w:rsidTr="0049135E">
        <w:tc>
          <w:tcPr>
            <w:cnfStyle w:val="001000000000" w:firstRow="0" w:lastRow="0" w:firstColumn="1" w:lastColumn="0" w:oddVBand="0" w:evenVBand="0" w:oddHBand="0" w:evenHBand="0" w:firstRowFirstColumn="0" w:firstRowLastColumn="0" w:lastRowFirstColumn="0" w:lastRowLastColumn="0"/>
            <w:tcW w:w="2267" w:type="dxa"/>
            <w:tcBorders>
              <w:right w:val="single" w:sz="4" w:space="0" w:color="A5A5A5" w:themeColor="accent3"/>
            </w:tcBorders>
          </w:tcPr>
          <w:p w14:paraId="5D2E7AB9" w14:textId="79702D00" w:rsidR="0049135E" w:rsidRPr="00424E68" w:rsidRDefault="0049135E" w:rsidP="0049135E">
            <w:pPr>
              <w:pStyle w:val="NoSpacing"/>
              <w:rPr>
                <w:rFonts w:cstheme="minorHAnsi"/>
                <w:sz w:val="20"/>
                <w:szCs w:val="22"/>
              </w:rPr>
            </w:pPr>
          </w:p>
        </w:tc>
        <w:tc>
          <w:tcPr>
            <w:tcW w:w="8189" w:type="dxa"/>
            <w:gridSpan w:val="2"/>
            <w:tcBorders>
              <w:left w:val="single" w:sz="4" w:space="0" w:color="A5A5A5" w:themeColor="accent3"/>
              <w:right w:val="single" w:sz="4" w:space="0" w:color="auto"/>
            </w:tcBorders>
          </w:tcPr>
          <w:p w14:paraId="790E29C1" w14:textId="5F7B578D" w:rsidR="0049135E" w:rsidRPr="0049135E" w:rsidRDefault="0049135E" w:rsidP="0049135E">
            <w:pPr>
              <w:pStyle w:val="NoSpacing"/>
              <w:jc w:val="center"/>
              <w:cnfStyle w:val="000000000000" w:firstRow="0" w:lastRow="0" w:firstColumn="0" w:lastColumn="0" w:oddVBand="0" w:evenVBand="0" w:oddHBand="0" w:evenHBand="0" w:firstRowFirstColumn="0" w:firstRowLastColumn="0" w:lastRowFirstColumn="0" w:lastRowLastColumn="0"/>
              <w:rPr>
                <w:rFonts w:cstheme="minorHAnsi"/>
                <w:b/>
                <w:bCs/>
                <w:sz w:val="20"/>
                <w:szCs w:val="22"/>
              </w:rPr>
            </w:pPr>
            <w:r w:rsidRPr="0049135E">
              <w:rPr>
                <w:rFonts w:cstheme="minorHAnsi"/>
                <w:b/>
                <w:sz w:val="20"/>
                <w:szCs w:val="22"/>
              </w:rPr>
              <w:t>Psychologische mechanismen</w:t>
            </w:r>
          </w:p>
        </w:tc>
      </w:tr>
      <w:tr w:rsidR="00424E68" w:rsidRPr="000470E5" w14:paraId="21170523" w14:textId="77777777" w:rsidTr="0049135E">
        <w:tc>
          <w:tcPr>
            <w:cnfStyle w:val="001000000000" w:firstRow="0" w:lastRow="0" w:firstColumn="1" w:lastColumn="0" w:oddVBand="0" w:evenVBand="0" w:oddHBand="0" w:evenHBand="0" w:firstRowFirstColumn="0" w:firstRowLastColumn="0" w:lastRowFirstColumn="0" w:lastRowLastColumn="0"/>
            <w:tcW w:w="2267" w:type="dxa"/>
            <w:tcBorders>
              <w:right w:val="single" w:sz="4" w:space="0" w:color="A5A5A5" w:themeColor="accent3"/>
            </w:tcBorders>
          </w:tcPr>
          <w:p w14:paraId="025DFECC" w14:textId="77777777" w:rsidR="00424E68" w:rsidRPr="00424E68" w:rsidRDefault="00424E68" w:rsidP="00E537BB">
            <w:pPr>
              <w:pStyle w:val="NoSpacing"/>
              <w:rPr>
                <w:rFonts w:cstheme="minorHAnsi"/>
                <w:sz w:val="20"/>
                <w:szCs w:val="22"/>
              </w:rPr>
            </w:pPr>
            <w:r w:rsidRPr="00424E68">
              <w:rPr>
                <w:rFonts w:cstheme="minorHAnsi"/>
                <w:sz w:val="20"/>
                <w:szCs w:val="22"/>
              </w:rPr>
              <w:t>motivatie</w:t>
            </w:r>
          </w:p>
        </w:tc>
        <w:tc>
          <w:tcPr>
            <w:tcW w:w="4109" w:type="dxa"/>
            <w:tcBorders>
              <w:left w:val="single" w:sz="4" w:space="0" w:color="A5A5A5" w:themeColor="accent3"/>
            </w:tcBorders>
          </w:tcPr>
          <w:p w14:paraId="6B048883" w14:textId="77777777" w:rsidR="00424E68" w:rsidRPr="00424E68" w:rsidRDefault="00424E68" w:rsidP="00E537BB">
            <w:pPr>
              <w:pStyle w:val="NoSpacing"/>
              <w:cnfStyle w:val="000000000000" w:firstRow="0" w:lastRow="0" w:firstColumn="0" w:lastColumn="0" w:oddVBand="0" w:evenVBand="0" w:oddHBand="0" w:evenHBand="0" w:firstRowFirstColumn="0" w:firstRowLastColumn="0" w:lastRowFirstColumn="0" w:lastRowLastColumn="0"/>
              <w:rPr>
                <w:rFonts w:cstheme="minorHAnsi"/>
                <w:sz w:val="20"/>
                <w:szCs w:val="22"/>
              </w:rPr>
            </w:pPr>
            <w:r w:rsidRPr="00424E68">
              <w:rPr>
                <w:rFonts w:cstheme="minorHAnsi"/>
                <w:sz w:val="20"/>
              </w:rPr>
              <w:t>lagere orde behoeften (economisch). Extrinsiek</w:t>
            </w:r>
          </w:p>
        </w:tc>
        <w:tc>
          <w:tcPr>
            <w:tcW w:w="4080" w:type="dxa"/>
          </w:tcPr>
          <w:p w14:paraId="27F5F078" w14:textId="77777777" w:rsidR="00424E68" w:rsidRPr="00424E68" w:rsidRDefault="00424E68" w:rsidP="00E537BB">
            <w:pPr>
              <w:pStyle w:val="NoSpacing"/>
              <w:cnfStyle w:val="000000000000" w:firstRow="0" w:lastRow="0" w:firstColumn="0" w:lastColumn="0" w:oddVBand="0" w:evenVBand="0" w:oddHBand="0" w:evenHBand="0" w:firstRowFirstColumn="0" w:firstRowLastColumn="0" w:lastRowFirstColumn="0" w:lastRowLastColumn="0"/>
              <w:rPr>
                <w:rFonts w:cstheme="minorHAnsi"/>
                <w:sz w:val="20"/>
                <w:szCs w:val="22"/>
              </w:rPr>
            </w:pPr>
            <w:r w:rsidRPr="00424E68">
              <w:rPr>
                <w:rFonts w:cstheme="minorHAnsi"/>
                <w:sz w:val="20"/>
              </w:rPr>
              <w:t xml:space="preserve">hogere orde behoeften (groei, zelfontplooiing). Intrinsiek </w:t>
            </w:r>
          </w:p>
        </w:tc>
      </w:tr>
      <w:tr w:rsidR="00424E68" w:rsidRPr="000470E5" w14:paraId="1A2C09D8" w14:textId="77777777" w:rsidTr="0049135E">
        <w:tc>
          <w:tcPr>
            <w:cnfStyle w:val="001000000000" w:firstRow="0" w:lastRow="0" w:firstColumn="1" w:lastColumn="0" w:oddVBand="0" w:evenVBand="0" w:oddHBand="0" w:evenHBand="0" w:firstRowFirstColumn="0" w:firstRowLastColumn="0" w:lastRowFirstColumn="0" w:lastRowLastColumn="0"/>
            <w:tcW w:w="2267" w:type="dxa"/>
          </w:tcPr>
          <w:p w14:paraId="0B2CC584" w14:textId="77777777" w:rsidR="00424E68" w:rsidRPr="00424E68" w:rsidRDefault="00424E68" w:rsidP="00E537BB">
            <w:pPr>
              <w:pStyle w:val="NoSpacing"/>
              <w:rPr>
                <w:rFonts w:cstheme="minorHAnsi"/>
                <w:sz w:val="20"/>
                <w:szCs w:val="22"/>
              </w:rPr>
            </w:pPr>
            <w:r w:rsidRPr="00424E68">
              <w:rPr>
                <w:rFonts w:cstheme="minorHAnsi"/>
                <w:sz w:val="20"/>
                <w:szCs w:val="22"/>
              </w:rPr>
              <w:t xml:space="preserve">identificatie </w:t>
            </w:r>
          </w:p>
        </w:tc>
        <w:tc>
          <w:tcPr>
            <w:tcW w:w="4109" w:type="dxa"/>
          </w:tcPr>
          <w:p w14:paraId="4FA21C76" w14:textId="77777777" w:rsidR="00424E68" w:rsidRPr="00424E68" w:rsidRDefault="00424E68" w:rsidP="00E537BB">
            <w:pPr>
              <w:pStyle w:val="NoSpacing"/>
              <w:cnfStyle w:val="000000000000" w:firstRow="0" w:lastRow="0" w:firstColumn="0" w:lastColumn="0" w:oddVBand="0" w:evenVBand="0" w:oddHBand="0" w:evenHBand="0" w:firstRowFirstColumn="0" w:firstRowLastColumn="0" w:lastRowFirstColumn="0" w:lastRowLastColumn="0"/>
              <w:rPr>
                <w:rFonts w:cstheme="minorHAnsi"/>
                <w:sz w:val="20"/>
                <w:szCs w:val="22"/>
              </w:rPr>
            </w:pPr>
            <w:r w:rsidRPr="00424E68">
              <w:rPr>
                <w:rFonts w:cstheme="minorHAnsi"/>
                <w:sz w:val="20"/>
              </w:rPr>
              <w:t xml:space="preserve">lage waarde commitment </w:t>
            </w:r>
          </w:p>
        </w:tc>
        <w:tc>
          <w:tcPr>
            <w:tcW w:w="4080" w:type="dxa"/>
          </w:tcPr>
          <w:p w14:paraId="192ACDF6" w14:textId="77777777" w:rsidR="00424E68" w:rsidRPr="00424E68" w:rsidRDefault="00424E68" w:rsidP="00E537BB">
            <w:pPr>
              <w:pStyle w:val="NoSpacing"/>
              <w:cnfStyle w:val="000000000000" w:firstRow="0" w:lastRow="0" w:firstColumn="0" w:lastColumn="0" w:oddVBand="0" w:evenVBand="0" w:oddHBand="0" w:evenHBand="0" w:firstRowFirstColumn="0" w:firstRowLastColumn="0" w:lastRowFirstColumn="0" w:lastRowLastColumn="0"/>
              <w:rPr>
                <w:rFonts w:cstheme="minorHAnsi"/>
                <w:sz w:val="20"/>
                <w:szCs w:val="22"/>
              </w:rPr>
            </w:pPr>
            <w:r w:rsidRPr="00424E68">
              <w:rPr>
                <w:rFonts w:cstheme="minorHAnsi"/>
                <w:sz w:val="20"/>
              </w:rPr>
              <w:t>hoge waarde commitment</w:t>
            </w:r>
          </w:p>
        </w:tc>
      </w:tr>
      <w:tr w:rsidR="00424E68" w:rsidRPr="000470E5" w14:paraId="1D3E400B" w14:textId="77777777" w:rsidTr="0049135E">
        <w:tc>
          <w:tcPr>
            <w:cnfStyle w:val="001000000000" w:firstRow="0" w:lastRow="0" w:firstColumn="1" w:lastColumn="0" w:oddVBand="0" w:evenVBand="0" w:oddHBand="0" w:evenHBand="0" w:firstRowFirstColumn="0" w:firstRowLastColumn="0" w:lastRowFirstColumn="0" w:lastRowLastColumn="0"/>
            <w:tcW w:w="2267" w:type="dxa"/>
          </w:tcPr>
          <w:p w14:paraId="26827524" w14:textId="77777777" w:rsidR="00424E68" w:rsidRPr="00424E68" w:rsidRDefault="00424E68" w:rsidP="00E537BB">
            <w:pPr>
              <w:pStyle w:val="NoSpacing"/>
              <w:rPr>
                <w:rFonts w:cstheme="minorHAnsi"/>
                <w:sz w:val="20"/>
                <w:szCs w:val="22"/>
              </w:rPr>
            </w:pPr>
            <w:r w:rsidRPr="00424E68">
              <w:rPr>
                <w:rFonts w:cstheme="minorHAnsi"/>
                <w:sz w:val="20"/>
                <w:szCs w:val="22"/>
              </w:rPr>
              <w:t>macht</w:t>
            </w:r>
          </w:p>
        </w:tc>
        <w:tc>
          <w:tcPr>
            <w:tcW w:w="4109" w:type="dxa"/>
          </w:tcPr>
          <w:p w14:paraId="75D4BF77" w14:textId="77777777" w:rsidR="00424E68" w:rsidRPr="00424E68" w:rsidRDefault="00424E68" w:rsidP="00E537BB">
            <w:pPr>
              <w:pStyle w:val="NoSpacing"/>
              <w:cnfStyle w:val="000000000000" w:firstRow="0" w:lastRow="0" w:firstColumn="0" w:lastColumn="0" w:oddVBand="0" w:evenVBand="0" w:oddHBand="0" w:evenHBand="0" w:firstRowFirstColumn="0" w:firstRowLastColumn="0" w:lastRowFirstColumn="0" w:lastRowLastColumn="0"/>
              <w:rPr>
                <w:rFonts w:cstheme="minorHAnsi"/>
                <w:sz w:val="20"/>
                <w:szCs w:val="22"/>
              </w:rPr>
            </w:pPr>
            <w:r w:rsidRPr="00424E68">
              <w:rPr>
                <w:rFonts w:cstheme="minorHAnsi"/>
                <w:sz w:val="20"/>
              </w:rPr>
              <w:t>institutioneel (legitiem, dwingend, beloning)</w:t>
            </w:r>
          </w:p>
        </w:tc>
        <w:tc>
          <w:tcPr>
            <w:tcW w:w="4080" w:type="dxa"/>
          </w:tcPr>
          <w:p w14:paraId="7DC22CD1" w14:textId="77777777" w:rsidR="00424E68" w:rsidRPr="00424E68" w:rsidRDefault="00424E68" w:rsidP="00E537BB">
            <w:pPr>
              <w:pStyle w:val="NoSpacing"/>
              <w:cnfStyle w:val="000000000000" w:firstRow="0" w:lastRow="0" w:firstColumn="0" w:lastColumn="0" w:oddVBand="0" w:evenVBand="0" w:oddHBand="0" w:evenHBand="0" w:firstRowFirstColumn="0" w:firstRowLastColumn="0" w:lastRowFirstColumn="0" w:lastRowLastColumn="0"/>
              <w:rPr>
                <w:rFonts w:cstheme="minorHAnsi"/>
                <w:sz w:val="20"/>
                <w:szCs w:val="22"/>
              </w:rPr>
            </w:pPr>
            <w:r w:rsidRPr="00424E68">
              <w:rPr>
                <w:rFonts w:cstheme="minorHAnsi"/>
                <w:sz w:val="20"/>
              </w:rPr>
              <w:t>persoonlijk (expert, voorbeeldfunctie)</w:t>
            </w:r>
          </w:p>
        </w:tc>
      </w:tr>
      <w:tr w:rsidR="0049135E" w:rsidRPr="000470E5" w14:paraId="3F5A5E36" w14:textId="5A5EC760" w:rsidTr="0049135E">
        <w:trPr>
          <w:trHeight w:val="166"/>
        </w:trPr>
        <w:tc>
          <w:tcPr>
            <w:cnfStyle w:val="001000000000" w:firstRow="0" w:lastRow="0" w:firstColumn="1" w:lastColumn="0" w:oddVBand="0" w:evenVBand="0" w:oddHBand="0" w:evenHBand="0" w:firstRowFirstColumn="0" w:firstRowLastColumn="0" w:lastRowFirstColumn="0" w:lastRowLastColumn="0"/>
            <w:tcW w:w="2267" w:type="dxa"/>
            <w:tcBorders>
              <w:bottom w:val="single" w:sz="4" w:space="0" w:color="999999" w:themeColor="text1" w:themeTint="66"/>
              <w:right w:val="single" w:sz="4" w:space="0" w:color="A5A5A5" w:themeColor="accent3"/>
            </w:tcBorders>
          </w:tcPr>
          <w:p w14:paraId="50F17E2B" w14:textId="0B33CC97" w:rsidR="0049135E" w:rsidRPr="00424E68" w:rsidRDefault="0049135E" w:rsidP="0049135E">
            <w:pPr>
              <w:pStyle w:val="NoSpacing"/>
              <w:jc w:val="center"/>
              <w:rPr>
                <w:rFonts w:cstheme="minorHAnsi"/>
                <w:b w:val="0"/>
                <w:bCs w:val="0"/>
                <w:sz w:val="20"/>
                <w:szCs w:val="22"/>
              </w:rPr>
            </w:pPr>
          </w:p>
        </w:tc>
        <w:tc>
          <w:tcPr>
            <w:tcW w:w="8189" w:type="dxa"/>
            <w:gridSpan w:val="2"/>
            <w:tcBorders>
              <w:left w:val="single" w:sz="4" w:space="0" w:color="A5A5A5" w:themeColor="accent3"/>
              <w:bottom w:val="single" w:sz="4" w:space="0" w:color="999999" w:themeColor="text1" w:themeTint="66"/>
            </w:tcBorders>
          </w:tcPr>
          <w:p w14:paraId="01139C06" w14:textId="2A6F4EEE" w:rsidR="0049135E" w:rsidRPr="00424E68" w:rsidRDefault="0049135E" w:rsidP="0049135E">
            <w:pPr>
              <w:pStyle w:val="NoSpacing"/>
              <w:jc w:val="center"/>
              <w:cnfStyle w:val="000000000000" w:firstRow="0" w:lastRow="0" w:firstColumn="0" w:lastColumn="0" w:oddVBand="0" w:evenVBand="0" w:oddHBand="0" w:evenHBand="0" w:firstRowFirstColumn="0" w:firstRowLastColumn="0" w:lastRowFirstColumn="0" w:lastRowLastColumn="0"/>
              <w:rPr>
                <w:rFonts w:cstheme="minorHAnsi"/>
                <w:sz w:val="20"/>
                <w:szCs w:val="22"/>
              </w:rPr>
            </w:pPr>
            <w:r w:rsidRPr="0049135E">
              <w:rPr>
                <w:rFonts w:cstheme="minorHAnsi"/>
                <w:b/>
                <w:sz w:val="20"/>
                <w:szCs w:val="22"/>
              </w:rPr>
              <w:t>Situationele mechanismen</w:t>
            </w:r>
          </w:p>
        </w:tc>
      </w:tr>
      <w:tr w:rsidR="00424E68" w:rsidRPr="000470E5" w14:paraId="04423000" w14:textId="77777777" w:rsidTr="0049135E">
        <w:tc>
          <w:tcPr>
            <w:cnfStyle w:val="001000000000" w:firstRow="0" w:lastRow="0" w:firstColumn="1" w:lastColumn="0" w:oddVBand="0" w:evenVBand="0" w:oddHBand="0" w:evenHBand="0" w:firstRowFirstColumn="0" w:firstRowLastColumn="0" w:lastRowFirstColumn="0" w:lastRowLastColumn="0"/>
            <w:tcW w:w="2267" w:type="dxa"/>
            <w:tcBorders>
              <w:right w:val="single" w:sz="4" w:space="0" w:color="A5A5A5" w:themeColor="accent3"/>
            </w:tcBorders>
          </w:tcPr>
          <w:p w14:paraId="64ED0E4B" w14:textId="764AC0FA" w:rsidR="00424E68" w:rsidRPr="00424E68" w:rsidRDefault="0049135E" w:rsidP="00E537BB">
            <w:pPr>
              <w:pStyle w:val="NoSpacing"/>
              <w:rPr>
                <w:rFonts w:cstheme="minorHAnsi"/>
                <w:sz w:val="20"/>
                <w:szCs w:val="22"/>
              </w:rPr>
            </w:pPr>
            <w:r w:rsidRPr="00424E68">
              <w:rPr>
                <w:rFonts w:cstheme="minorHAnsi"/>
                <w:sz w:val="20"/>
                <w:szCs w:val="22"/>
              </w:rPr>
              <w:t>managementfilosofie</w:t>
            </w:r>
            <w:r w:rsidR="00424E68" w:rsidRPr="00424E68">
              <w:rPr>
                <w:rFonts w:cstheme="minorHAnsi"/>
                <w:sz w:val="20"/>
                <w:szCs w:val="22"/>
              </w:rPr>
              <w:t xml:space="preserve"> </w:t>
            </w:r>
          </w:p>
        </w:tc>
        <w:tc>
          <w:tcPr>
            <w:tcW w:w="4109" w:type="dxa"/>
            <w:tcBorders>
              <w:left w:val="single" w:sz="4" w:space="0" w:color="A5A5A5" w:themeColor="accent3"/>
            </w:tcBorders>
          </w:tcPr>
          <w:p w14:paraId="754A3FBD" w14:textId="77777777" w:rsidR="00424E68" w:rsidRPr="00424E68" w:rsidRDefault="00424E68" w:rsidP="00E537BB">
            <w:pPr>
              <w:pStyle w:val="NoSpacing"/>
              <w:cnfStyle w:val="000000000000" w:firstRow="0" w:lastRow="0" w:firstColumn="0" w:lastColumn="0" w:oddVBand="0" w:evenVBand="0" w:oddHBand="0" w:evenHBand="0" w:firstRowFirstColumn="0" w:firstRowLastColumn="0" w:lastRowFirstColumn="0" w:lastRowLastColumn="0"/>
              <w:rPr>
                <w:rFonts w:cstheme="minorHAnsi"/>
                <w:sz w:val="20"/>
                <w:szCs w:val="22"/>
              </w:rPr>
            </w:pPr>
            <w:r w:rsidRPr="00424E68">
              <w:rPr>
                <w:rFonts w:cstheme="minorHAnsi"/>
                <w:sz w:val="20"/>
              </w:rPr>
              <w:t>controle georiënteerd</w:t>
            </w:r>
          </w:p>
        </w:tc>
        <w:tc>
          <w:tcPr>
            <w:tcW w:w="4080" w:type="dxa"/>
          </w:tcPr>
          <w:p w14:paraId="3C7C3676" w14:textId="77777777" w:rsidR="00424E68" w:rsidRPr="00424E68" w:rsidRDefault="00424E68" w:rsidP="00E537BB">
            <w:pPr>
              <w:pStyle w:val="NoSpacing"/>
              <w:cnfStyle w:val="000000000000" w:firstRow="0" w:lastRow="0" w:firstColumn="0" w:lastColumn="0" w:oddVBand="0" w:evenVBand="0" w:oddHBand="0" w:evenHBand="0" w:firstRowFirstColumn="0" w:firstRowLastColumn="0" w:lastRowFirstColumn="0" w:lastRowLastColumn="0"/>
              <w:rPr>
                <w:rFonts w:cstheme="minorHAnsi"/>
                <w:sz w:val="20"/>
                <w:szCs w:val="22"/>
              </w:rPr>
            </w:pPr>
            <w:r w:rsidRPr="00424E68">
              <w:rPr>
                <w:rFonts w:cstheme="minorHAnsi"/>
                <w:sz w:val="20"/>
              </w:rPr>
              <w:t xml:space="preserve">betrokkenheid </w:t>
            </w:r>
          </w:p>
        </w:tc>
      </w:tr>
      <w:tr w:rsidR="00424E68" w:rsidRPr="000470E5" w14:paraId="16F3ED19" w14:textId="77777777" w:rsidTr="0049135E">
        <w:tc>
          <w:tcPr>
            <w:cnfStyle w:val="001000000000" w:firstRow="0" w:lastRow="0" w:firstColumn="1" w:lastColumn="0" w:oddVBand="0" w:evenVBand="0" w:oddHBand="0" w:evenHBand="0" w:firstRowFirstColumn="0" w:firstRowLastColumn="0" w:lastRowFirstColumn="0" w:lastRowLastColumn="0"/>
            <w:tcW w:w="2267" w:type="dxa"/>
          </w:tcPr>
          <w:p w14:paraId="7A382F63" w14:textId="77777777" w:rsidR="00424E68" w:rsidRPr="00424E68" w:rsidRDefault="00424E68" w:rsidP="00E537BB">
            <w:pPr>
              <w:pStyle w:val="NoSpacing"/>
              <w:rPr>
                <w:rFonts w:cstheme="minorHAnsi"/>
                <w:sz w:val="20"/>
                <w:szCs w:val="22"/>
              </w:rPr>
            </w:pPr>
            <w:r w:rsidRPr="00424E68">
              <w:rPr>
                <w:rFonts w:cstheme="minorHAnsi"/>
                <w:sz w:val="20"/>
                <w:szCs w:val="22"/>
              </w:rPr>
              <w:t>risico perceptie</w:t>
            </w:r>
          </w:p>
        </w:tc>
        <w:tc>
          <w:tcPr>
            <w:tcW w:w="4109" w:type="dxa"/>
          </w:tcPr>
          <w:p w14:paraId="587EDC6E" w14:textId="3A306575" w:rsidR="00424E68" w:rsidRPr="00424E68" w:rsidRDefault="00255C0F" w:rsidP="00E537BB">
            <w:pPr>
              <w:pStyle w:val="NoSpacing"/>
              <w:cnfStyle w:val="000000000000" w:firstRow="0" w:lastRow="0" w:firstColumn="0" w:lastColumn="0" w:oddVBand="0" w:evenVBand="0" w:oddHBand="0" w:evenHBand="0" w:firstRowFirstColumn="0" w:firstRowLastColumn="0" w:lastRowFirstColumn="0" w:lastRowLastColumn="0"/>
              <w:rPr>
                <w:rFonts w:cstheme="minorHAnsi"/>
                <w:sz w:val="20"/>
                <w:szCs w:val="22"/>
              </w:rPr>
            </w:pPr>
            <w:r w:rsidRPr="00424E68">
              <w:rPr>
                <w:rFonts w:cstheme="minorHAnsi"/>
                <w:sz w:val="20"/>
              </w:rPr>
              <w:t>controlemechanismen</w:t>
            </w:r>
          </w:p>
        </w:tc>
        <w:tc>
          <w:tcPr>
            <w:tcW w:w="4080" w:type="dxa"/>
          </w:tcPr>
          <w:p w14:paraId="15DB3E5B" w14:textId="77777777" w:rsidR="00424E68" w:rsidRPr="00424E68" w:rsidRDefault="00424E68" w:rsidP="00E537BB">
            <w:pPr>
              <w:pStyle w:val="NoSpacing"/>
              <w:cnfStyle w:val="000000000000" w:firstRow="0" w:lastRow="0" w:firstColumn="0" w:lastColumn="0" w:oddVBand="0" w:evenVBand="0" w:oddHBand="0" w:evenHBand="0" w:firstRowFirstColumn="0" w:firstRowLastColumn="0" w:lastRowFirstColumn="0" w:lastRowLastColumn="0"/>
              <w:rPr>
                <w:rFonts w:cstheme="minorHAnsi"/>
                <w:sz w:val="20"/>
                <w:szCs w:val="22"/>
              </w:rPr>
            </w:pPr>
            <w:r w:rsidRPr="00424E68">
              <w:rPr>
                <w:rFonts w:cstheme="minorHAnsi"/>
                <w:sz w:val="20"/>
              </w:rPr>
              <w:t xml:space="preserve">vertrouwen </w:t>
            </w:r>
          </w:p>
        </w:tc>
      </w:tr>
      <w:tr w:rsidR="00424E68" w:rsidRPr="000470E5" w14:paraId="61A06617" w14:textId="77777777" w:rsidTr="0049135E">
        <w:tc>
          <w:tcPr>
            <w:cnfStyle w:val="001000000000" w:firstRow="0" w:lastRow="0" w:firstColumn="1" w:lastColumn="0" w:oddVBand="0" w:evenVBand="0" w:oddHBand="0" w:evenHBand="0" w:firstRowFirstColumn="0" w:firstRowLastColumn="0" w:lastRowFirstColumn="0" w:lastRowLastColumn="0"/>
            <w:tcW w:w="2267" w:type="dxa"/>
          </w:tcPr>
          <w:p w14:paraId="26DB88DD" w14:textId="77777777" w:rsidR="00424E68" w:rsidRPr="00424E68" w:rsidRDefault="00424E68" w:rsidP="00E537BB">
            <w:pPr>
              <w:pStyle w:val="NoSpacing"/>
              <w:rPr>
                <w:rFonts w:cstheme="minorHAnsi"/>
                <w:sz w:val="20"/>
                <w:szCs w:val="22"/>
              </w:rPr>
            </w:pPr>
            <w:r w:rsidRPr="00424E68">
              <w:rPr>
                <w:rFonts w:cstheme="minorHAnsi"/>
                <w:sz w:val="20"/>
                <w:szCs w:val="22"/>
              </w:rPr>
              <w:t>tijdsbestek</w:t>
            </w:r>
          </w:p>
        </w:tc>
        <w:tc>
          <w:tcPr>
            <w:tcW w:w="4109" w:type="dxa"/>
          </w:tcPr>
          <w:p w14:paraId="4F1E4347" w14:textId="77777777" w:rsidR="00424E68" w:rsidRPr="00424E68" w:rsidRDefault="00424E68" w:rsidP="00E537BB">
            <w:pPr>
              <w:pStyle w:val="NoSpacing"/>
              <w:cnfStyle w:val="000000000000" w:firstRow="0" w:lastRow="0" w:firstColumn="0" w:lastColumn="0" w:oddVBand="0" w:evenVBand="0" w:oddHBand="0" w:evenHBand="0" w:firstRowFirstColumn="0" w:firstRowLastColumn="0" w:lastRowFirstColumn="0" w:lastRowLastColumn="0"/>
              <w:rPr>
                <w:rFonts w:cstheme="minorHAnsi"/>
                <w:sz w:val="20"/>
                <w:szCs w:val="22"/>
              </w:rPr>
            </w:pPr>
            <w:r w:rsidRPr="00424E68">
              <w:rPr>
                <w:rFonts w:cstheme="minorHAnsi"/>
                <w:sz w:val="20"/>
              </w:rPr>
              <w:t>korte termijn</w:t>
            </w:r>
          </w:p>
        </w:tc>
        <w:tc>
          <w:tcPr>
            <w:tcW w:w="4080" w:type="dxa"/>
          </w:tcPr>
          <w:p w14:paraId="5707CF16" w14:textId="77777777" w:rsidR="00424E68" w:rsidRPr="00424E68" w:rsidRDefault="00424E68" w:rsidP="00E537BB">
            <w:pPr>
              <w:pStyle w:val="NoSpacing"/>
              <w:cnfStyle w:val="000000000000" w:firstRow="0" w:lastRow="0" w:firstColumn="0" w:lastColumn="0" w:oddVBand="0" w:evenVBand="0" w:oddHBand="0" w:evenHBand="0" w:firstRowFirstColumn="0" w:firstRowLastColumn="0" w:lastRowFirstColumn="0" w:lastRowLastColumn="0"/>
              <w:rPr>
                <w:rFonts w:cstheme="minorHAnsi"/>
                <w:sz w:val="20"/>
                <w:szCs w:val="22"/>
              </w:rPr>
            </w:pPr>
            <w:r w:rsidRPr="00424E68">
              <w:rPr>
                <w:rFonts w:cstheme="minorHAnsi"/>
                <w:sz w:val="20"/>
              </w:rPr>
              <w:t>lange termijn</w:t>
            </w:r>
          </w:p>
        </w:tc>
      </w:tr>
      <w:tr w:rsidR="00424E68" w:rsidRPr="000470E5" w14:paraId="6A4F6FE7" w14:textId="77777777" w:rsidTr="0049135E">
        <w:tc>
          <w:tcPr>
            <w:cnfStyle w:val="001000000000" w:firstRow="0" w:lastRow="0" w:firstColumn="1" w:lastColumn="0" w:oddVBand="0" w:evenVBand="0" w:oddHBand="0" w:evenHBand="0" w:firstRowFirstColumn="0" w:firstRowLastColumn="0" w:lastRowFirstColumn="0" w:lastRowLastColumn="0"/>
            <w:tcW w:w="2267" w:type="dxa"/>
          </w:tcPr>
          <w:p w14:paraId="61797E29" w14:textId="77777777" w:rsidR="00424E68" w:rsidRPr="00424E68" w:rsidRDefault="00424E68" w:rsidP="00E537BB">
            <w:pPr>
              <w:pStyle w:val="NoSpacing"/>
              <w:rPr>
                <w:rFonts w:cstheme="minorHAnsi"/>
                <w:sz w:val="20"/>
                <w:szCs w:val="22"/>
              </w:rPr>
            </w:pPr>
            <w:r w:rsidRPr="00424E68">
              <w:rPr>
                <w:rFonts w:cstheme="minorHAnsi"/>
                <w:sz w:val="20"/>
                <w:szCs w:val="22"/>
              </w:rPr>
              <w:t>doelen</w:t>
            </w:r>
          </w:p>
        </w:tc>
        <w:tc>
          <w:tcPr>
            <w:tcW w:w="4109" w:type="dxa"/>
          </w:tcPr>
          <w:p w14:paraId="0CE9C3C3" w14:textId="77777777" w:rsidR="00424E68" w:rsidRPr="00424E68" w:rsidRDefault="00424E68" w:rsidP="00E537BB">
            <w:pPr>
              <w:pStyle w:val="NoSpacing"/>
              <w:cnfStyle w:val="000000000000" w:firstRow="0" w:lastRow="0" w:firstColumn="0" w:lastColumn="0" w:oddVBand="0" w:evenVBand="0" w:oddHBand="0" w:evenHBand="0" w:firstRowFirstColumn="0" w:firstRowLastColumn="0" w:lastRowFirstColumn="0" w:lastRowLastColumn="0"/>
              <w:rPr>
                <w:rFonts w:cstheme="minorHAnsi"/>
                <w:sz w:val="20"/>
                <w:szCs w:val="22"/>
              </w:rPr>
            </w:pPr>
            <w:r w:rsidRPr="00424E68">
              <w:rPr>
                <w:rFonts w:cstheme="minorHAnsi"/>
                <w:sz w:val="20"/>
              </w:rPr>
              <w:t xml:space="preserve">kostenbeheersing </w:t>
            </w:r>
          </w:p>
        </w:tc>
        <w:tc>
          <w:tcPr>
            <w:tcW w:w="4080" w:type="dxa"/>
          </w:tcPr>
          <w:p w14:paraId="7F07D3A5" w14:textId="77777777" w:rsidR="00424E68" w:rsidRPr="00424E68" w:rsidRDefault="00424E68" w:rsidP="00E537BB">
            <w:pPr>
              <w:pStyle w:val="NoSpacing"/>
              <w:cnfStyle w:val="000000000000" w:firstRow="0" w:lastRow="0" w:firstColumn="0" w:lastColumn="0" w:oddVBand="0" w:evenVBand="0" w:oddHBand="0" w:evenHBand="0" w:firstRowFirstColumn="0" w:firstRowLastColumn="0" w:lastRowFirstColumn="0" w:lastRowLastColumn="0"/>
              <w:rPr>
                <w:rFonts w:cstheme="minorHAnsi"/>
                <w:sz w:val="20"/>
                <w:szCs w:val="22"/>
              </w:rPr>
            </w:pPr>
            <w:r w:rsidRPr="00424E68">
              <w:rPr>
                <w:rFonts w:cstheme="minorHAnsi"/>
                <w:sz w:val="20"/>
              </w:rPr>
              <w:t>prestatieverbetering</w:t>
            </w:r>
          </w:p>
        </w:tc>
      </w:tr>
      <w:tr w:rsidR="00424E68" w:rsidRPr="000470E5" w14:paraId="241E3CAD" w14:textId="77777777" w:rsidTr="0049135E">
        <w:tc>
          <w:tcPr>
            <w:cnfStyle w:val="001000000000" w:firstRow="0" w:lastRow="0" w:firstColumn="1" w:lastColumn="0" w:oddVBand="0" w:evenVBand="0" w:oddHBand="0" w:evenHBand="0" w:firstRowFirstColumn="0" w:firstRowLastColumn="0" w:lastRowFirstColumn="0" w:lastRowLastColumn="0"/>
            <w:tcW w:w="2267" w:type="dxa"/>
          </w:tcPr>
          <w:p w14:paraId="0484E0A4" w14:textId="77777777" w:rsidR="00424E68" w:rsidRPr="00424E68" w:rsidRDefault="00424E68" w:rsidP="00E537BB">
            <w:pPr>
              <w:pStyle w:val="NoSpacing"/>
              <w:rPr>
                <w:rFonts w:cstheme="minorHAnsi"/>
                <w:sz w:val="20"/>
                <w:szCs w:val="22"/>
              </w:rPr>
            </w:pPr>
            <w:r w:rsidRPr="00424E68">
              <w:rPr>
                <w:rFonts w:cstheme="minorHAnsi"/>
                <w:sz w:val="20"/>
                <w:szCs w:val="22"/>
              </w:rPr>
              <w:t>culturele verschillen</w:t>
            </w:r>
          </w:p>
        </w:tc>
        <w:tc>
          <w:tcPr>
            <w:tcW w:w="4109" w:type="dxa"/>
          </w:tcPr>
          <w:p w14:paraId="78AAA062" w14:textId="77777777" w:rsidR="00424E68" w:rsidRPr="00424E68" w:rsidRDefault="00424E68" w:rsidP="00E537BB">
            <w:pPr>
              <w:pStyle w:val="NoSpacing"/>
              <w:cnfStyle w:val="000000000000" w:firstRow="0" w:lastRow="0" w:firstColumn="0" w:lastColumn="0" w:oddVBand="0" w:evenVBand="0" w:oddHBand="0" w:evenHBand="0" w:firstRowFirstColumn="0" w:firstRowLastColumn="0" w:lastRowFirstColumn="0" w:lastRowLastColumn="0"/>
              <w:rPr>
                <w:rFonts w:cstheme="minorHAnsi"/>
                <w:sz w:val="20"/>
                <w:szCs w:val="22"/>
              </w:rPr>
            </w:pPr>
            <w:r w:rsidRPr="00424E68">
              <w:rPr>
                <w:rFonts w:cstheme="minorHAnsi"/>
                <w:sz w:val="20"/>
              </w:rPr>
              <w:t xml:space="preserve">individualisme, hogere machtsafstand </w:t>
            </w:r>
          </w:p>
        </w:tc>
        <w:tc>
          <w:tcPr>
            <w:tcW w:w="4080" w:type="dxa"/>
          </w:tcPr>
          <w:p w14:paraId="44D7C145" w14:textId="77777777" w:rsidR="00424E68" w:rsidRPr="00424E68" w:rsidRDefault="00424E68" w:rsidP="00E537BB">
            <w:pPr>
              <w:pStyle w:val="NoSpacing"/>
              <w:cnfStyle w:val="000000000000" w:firstRow="0" w:lastRow="0" w:firstColumn="0" w:lastColumn="0" w:oddVBand="0" w:evenVBand="0" w:oddHBand="0" w:evenHBand="0" w:firstRowFirstColumn="0" w:firstRowLastColumn="0" w:lastRowFirstColumn="0" w:lastRowLastColumn="0"/>
              <w:rPr>
                <w:rFonts w:cstheme="minorHAnsi"/>
                <w:sz w:val="20"/>
                <w:szCs w:val="22"/>
              </w:rPr>
            </w:pPr>
            <w:r w:rsidRPr="00424E68">
              <w:rPr>
                <w:rFonts w:cstheme="minorHAnsi"/>
                <w:sz w:val="20"/>
              </w:rPr>
              <w:t>collectivisme, lagere machtsafstand</w:t>
            </w:r>
          </w:p>
        </w:tc>
      </w:tr>
    </w:tbl>
    <w:p w14:paraId="0D0ED24A" w14:textId="30EC18E4" w:rsidR="00901808" w:rsidRPr="00BF21CC" w:rsidRDefault="00901808" w:rsidP="00D10775">
      <w:pPr>
        <w:pStyle w:val="Caption"/>
        <w:rPr>
          <w:rFonts w:eastAsiaTheme="minorHAnsi"/>
        </w:rPr>
      </w:pPr>
      <w:bookmarkStart w:id="76" w:name="_Hlk484360125"/>
      <w:r w:rsidRPr="00BF21CC">
        <w:rPr>
          <w:rFonts w:eastAsiaTheme="minorHAnsi"/>
        </w:rPr>
        <w:t xml:space="preserve">Figuur </w:t>
      </w:r>
      <w:r w:rsidR="0052756E">
        <w:rPr>
          <w:rFonts w:eastAsiaTheme="minorHAnsi"/>
        </w:rPr>
        <w:t>5</w:t>
      </w:r>
      <w:r w:rsidRPr="00BF21CC">
        <w:rPr>
          <w:rFonts w:eastAsiaTheme="minorHAnsi"/>
        </w:rPr>
        <w:t>: Verschil P-A en P-S</w:t>
      </w:r>
      <w:r w:rsidR="00D10775">
        <w:rPr>
          <w:rFonts w:eastAsiaTheme="minorHAnsi"/>
        </w:rPr>
        <w:t>.</w:t>
      </w:r>
      <w:r w:rsidRPr="00BF21CC">
        <w:rPr>
          <w:rFonts w:eastAsiaTheme="minorHAnsi"/>
        </w:rPr>
        <w:t xml:space="preserve"> Bron: Davis </w:t>
      </w:r>
      <w:r w:rsidR="000B47A7">
        <w:rPr>
          <w:rFonts w:eastAsiaTheme="minorHAnsi"/>
        </w:rPr>
        <w:t>et</w:t>
      </w:r>
      <w:r w:rsidRPr="00BF21CC">
        <w:rPr>
          <w:rFonts w:eastAsiaTheme="minorHAnsi"/>
        </w:rPr>
        <w:t xml:space="preserve"> </w:t>
      </w:r>
      <w:r w:rsidR="000B47A7">
        <w:rPr>
          <w:rFonts w:eastAsiaTheme="minorHAnsi"/>
        </w:rPr>
        <w:t>al.</w:t>
      </w:r>
      <w:r w:rsidRPr="00BF21CC">
        <w:rPr>
          <w:rFonts w:eastAsiaTheme="minorHAnsi"/>
        </w:rPr>
        <w:t xml:space="preserve"> 1997</w:t>
      </w:r>
    </w:p>
    <w:bookmarkEnd w:id="76"/>
    <w:p w14:paraId="0CA623CC" w14:textId="77777777" w:rsidR="00901808" w:rsidRPr="00DD1CF6" w:rsidRDefault="00901808" w:rsidP="00901808">
      <w:pPr>
        <w:spacing w:after="0" w:line="276" w:lineRule="auto"/>
        <w:rPr>
          <w:rFonts w:asciiTheme="minorHAnsi" w:eastAsiaTheme="minorHAnsi" w:hAnsiTheme="minorHAnsi" w:cs="Arial"/>
          <w:sz w:val="22"/>
          <w:szCs w:val="22"/>
        </w:rPr>
      </w:pPr>
    </w:p>
    <w:p w14:paraId="066807A9" w14:textId="00AB7C81" w:rsidR="00FC7DD2" w:rsidRPr="00442509" w:rsidRDefault="00FC7DD2" w:rsidP="00901808">
      <w:pPr>
        <w:spacing w:after="0" w:line="276" w:lineRule="auto"/>
        <w:rPr>
          <w:rFonts w:asciiTheme="minorHAnsi" w:eastAsiaTheme="minorHAnsi" w:hAnsiTheme="minorHAnsi" w:cs="Arial"/>
          <w:color w:val="000000" w:themeColor="text1"/>
          <w:sz w:val="22"/>
          <w:szCs w:val="22"/>
        </w:rPr>
      </w:pPr>
      <w:r w:rsidRPr="00442509">
        <w:rPr>
          <w:rFonts w:asciiTheme="minorHAnsi" w:eastAsiaTheme="minorHAnsi" w:hAnsiTheme="minorHAnsi" w:cs="Arial"/>
          <w:color w:val="000000" w:themeColor="text1"/>
          <w:sz w:val="22"/>
          <w:szCs w:val="22"/>
        </w:rPr>
        <w:t xml:space="preserve">De keuze voor </w:t>
      </w:r>
      <w:r w:rsidR="007D729B" w:rsidRPr="00442509">
        <w:rPr>
          <w:rFonts w:asciiTheme="minorHAnsi" w:eastAsiaTheme="minorHAnsi" w:hAnsiTheme="minorHAnsi" w:cs="Arial"/>
          <w:color w:val="000000" w:themeColor="text1"/>
          <w:sz w:val="22"/>
          <w:szCs w:val="22"/>
        </w:rPr>
        <w:t>principaal</w:t>
      </w:r>
      <w:r w:rsidRPr="00442509">
        <w:rPr>
          <w:rFonts w:asciiTheme="minorHAnsi" w:eastAsiaTheme="minorHAnsi" w:hAnsiTheme="minorHAnsi" w:cs="Arial"/>
          <w:color w:val="000000" w:themeColor="text1"/>
          <w:sz w:val="22"/>
          <w:szCs w:val="22"/>
        </w:rPr>
        <w:t xml:space="preserve">-agent of </w:t>
      </w:r>
      <w:r w:rsidR="007D729B" w:rsidRPr="00442509">
        <w:rPr>
          <w:rFonts w:asciiTheme="minorHAnsi" w:eastAsiaTheme="minorHAnsi" w:hAnsiTheme="minorHAnsi" w:cs="Arial"/>
          <w:color w:val="000000" w:themeColor="text1"/>
          <w:sz w:val="22"/>
          <w:szCs w:val="22"/>
        </w:rPr>
        <w:t>principaal</w:t>
      </w:r>
      <w:r w:rsidRPr="00442509">
        <w:rPr>
          <w:rFonts w:asciiTheme="minorHAnsi" w:eastAsiaTheme="minorHAnsi" w:hAnsiTheme="minorHAnsi" w:cs="Arial"/>
          <w:color w:val="000000" w:themeColor="text1"/>
          <w:sz w:val="22"/>
          <w:szCs w:val="22"/>
        </w:rPr>
        <w:t xml:space="preserve">-steward als relatie is voornamelijk afhankelijk van wel of niet overeenkomen van de doelen en van de hoeveelheid informatie die de partijen hebben (Davis </w:t>
      </w:r>
      <w:r w:rsidR="000B47A7">
        <w:rPr>
          <w:rFonts w:asciiTheme="minorHAnsi" w:eastAsiaTheme="minorHAnsi" w:hAnsiTheme="minorHAnsi" w:cs="Arial"/>
          <w:color w:val="000000" w:themeColor="text1"/>
          <w:sz w:val="22"/>
          <w:szCs w:val="22"/>
        </w:rPr>
        <w:t>et</w:t>
      </w:r>
      <w:r w:rsidRPr="00442509">
        <w:rPr>
          <w:rFonts w:asciiTheme="minorHAnsi" w:eastAsiaTheme="minorHAnsi" w:hAnsiTheme="minorHAnsi" w:cs="Arial"/>
          <w:color w:val="000000" w:themeColor="text1"/>
          <w:sz w:val="22"/>
          <w:szCs w:val="22"/>
        </w:rPr>
        <w:t xml:space="preserve"> </w:t>
      </w:r>
      <w:r w:rsidR="000B47A7">
        <w:rPr>
          <w:rFonts w:asciiTheme="minorHAnsi" w:eastAsiaTheme="minorHAnsi" w:hAnsiTheme="minorHAnsi" w:cs="Arial"/>
          <w:color w:val="000000" w:themeColor="text1"/>
          <w:sz w:val="22"/>
          <w:szCs w:val="22"/>
        </w:rPr>
        <w:t>al.</w:t>
      </w:r>
      <w:r w:rsidRPr="00442509">
        <w:rPr>
          <w:rFonts w:asciiTheme="minorHAnsi" w:eastAsiaTheme="minorHAnsi" w:hAnsiTheme="minorHAnsi" w:cs="Arial"/>
          <w:color w:val="000000" w:themeColor="text1"/>
          <w:sz w:val="22"/>
          <w:szCs w:val="22"/>
        </w:rPr>
        <w:t xml:space="preserve"> 1997). </w:t>
      </w:r>
    </w:p>
    <w:p w14:paraId="3A58E9C3" w14:textId="33F0F4BB" w:rsidR="00DB7AA1" w:rsidRDefault="00901808" w:rsidP="005D2CE8">
      <w:pPr>
        <w:spacing w:after="0" w:line="276" w:lineRule="auto"/>
        <w:ind w:firstLine="708"/>
        <w:rPr>
          <w:rFonts w:asciiTheme="minorHAnsi" w:eastAsiaTheme="minorHAnsi" w:hAnsiTheme="minorHAnsi" w:cs="Arial"/>
          <w:color w:val="000000" w:themeColor="text1"/>
          <w:sz w:val="22"/>
          <w:szCs w:val="22"/>
        </w:rPr>
      </w:pPr>
      <w:r w:rsidRPr="00442509">
        <w:rPr>
          <w:rFonts w:asciiTheme="minorHAnsi" w:eastAsiaTheme="minorHAnsi" w:hAnsiTheme="minorHAnsi" w:cs="Arial"/>
          <w:color w:val="000000" w:themeColor="text1"/>
          <w:sz w:val="22"/>
          <w:szCs w:val="22"/>
        </w:rPr>
        <w:t xml:space="preserve">Ook </w:t>
      </w:r>
      <w:proofErr w:type="spellStart"/>
      <w:r w:rsidRPr="00442509">
        <w:rPr>
          <w:rFonts w:asciiTheme="minorHAnsi" w:eastAsiaTheme="minorHAnsi" w:hAnsiTheme="minorHAnsi" w:cs="Arial"/>
          <w:color w:val="000000" w:themeColor="text1"/>
          <w:sz w:val="22"/>
          <w:szCs w:val="22"/>
        </w:rPr>
        <w:t>Har</w:t>
      </w:r>
      <w:r w:rsidR="007D729B" w:rsidRPr="00442509">
        <w:rPr>
          <w:rFonts w:asciiTheme="minorHAnsi" w:eastAsiaTheme="minorHAnsi" w:hAnsiTheme="minorHAnsi" w:cs="Arial"/>
          <w:color w:val="000000" w:themeColor="text1"/>
          <w:sz w:val="22"/>
          <w:szCs w:val="22"/>
        </w:rPr>
        <w:t>tley</w:t>
      </w:r>
      <w:proofErr w:type="spellEnd"/>
      <w:r w:rsidR="007D729B" w:rsidRPr="00442509">
        <w:rPr>
          <w:rFonts w:asciiTheme="minorHAnsi" w:eastAsiaTheme="minorHAnsi" w:hAnsiTheme="minorHAnsi" w:cs="Arial"/>
          <w:color w:val="000000" w:themeColor="text1"/>
          <w:sz w:val="22"/>
          <w:szCs w:val="22"/>
        </w:rPr>
        <w:t xml:space="preserve"> en Parker (1997) maken deze</w:t>
      </w:r>
      <w:r w:rsidRPr="00442509">
        <w:rPr>
          <w:rFonts w:asciiTheme="minorHAnsi" w:eastAsiaTheme="minorHAnsi" w:hAnsiTheme="minorHAnsi" w:cs="Arial"/>
          <w:color w:val="000000" w:themeColor="text1"/>
          <w:sz w:val="22"/>
          <w:szCs w:val="22"/>
        </w:rPr>
        <w:t xml:space="preserve"> tweedeling in de relatie tussen de koper en de leverancier. Zij beschrijven twee brede vormen van inkooprelaties: </w:t>
      </w:r>
      <w:r w:rsidRPr="00442509">
        <w:rPr>
          <w:rFonts w:asciiTheme="minorHAnsi" w:eastAsiaTheme="minorHAnsi" w:hAnsiTheme="minorHAnsi" w:cs="Arial"/>
          <w:i/>
          <w:color w:val="000000" w:themeColor="text1"/>
          <w:sz w:val="22"/>
          <w:szCs w:val="22"/>
        </w:rPr>
        <w:t>partnerschap</w:t>
      </w:r>
      <w:r w:rsidRPr="00442509">
        <w:rPr>
          <w:rFonts w:asciiTheme="minorHAnsi" w:eastAsiaTheme="minorHAnsi" w:hAnsiTheme="minorHAnsi" w:cs="Arial"/>
          <w:color w:val="000000" w:themeColor="text1"/>
          <w:sz w:val="22"/>
          <w:szCs w:val="22"/>
        </w:rPr>
        <w:t xml:space="preserve"> en </w:t>
      </w:r>
      <w:r w:rsidRPr="00442509">
        <w:rPr>
          <w:rFonts w:asciiTheme="minorHAnsi" w:eastAsiaTheme="minorHAnsi" w:hAnsiTheme="minorHAnsi" w:cs="Arial"/>
          <w:i/>
          <w:color w:val="000000" w:themeColor="text1"/>
          <w:sz w:val="22"/>
          <w:szCs w:val="22"/>
        </w:rPr>
        <w:t>competitie</w:t>
      </w:r>
      <w:r w:rsidRPr="00442509">
        <w:rPr>
          <w:rFonts w:asciiTheme="minorHAnsi" w:eastAsiaTheme="minorHAnsi" w:hAnsiTheme="minorHAnsi" w:cs="Arial"/>
          <w:color w:val="000000" w:themeColor="text1"/>
          <w:sz w:val="22"/>
          <w:szCs w:val="22"/>
        </w:rPr>
        <w:t xml:space="preserve">. Zij zien partnerschap als de superieure vorm, aangezien het leidt tot langdurige samenwerking dat gebaseerd is op vertrouwen tussen de koper en verkoper. Competitie daarentegen, is een (opzettelijk) gekozen negatieve term wat duidt op het verouderde paradigma van voortdurende competitie. </w:t>
      </w:r>
      <w:r w:rsidR="005D2CE8">
        <w:rPr>
          <w:rFonts w:asciiTheme="minorHAnsi" w:eastAsiaTheme="minorHAnsi" w:hAnsiTheme="minorHAnsi" w:cs="Arial"/>
          <w:color w:val="000000" w:themeColor="text1"/>
          <w:sz w:val="22"/>
          <w:szCs w:val="22"/>
        </w:rPr>
        <w:t>E</w:t>
      </w:r>
      <w:r w:rsidRPr="00442509">
        <w:rPr>
          <w:rFonts w:asciiTheme="minorHAnsi" w:eastAsiaTheme="minorHAnsi" w:hAnsiTheme="minorHAnsi" w:cs="Arial"/>
          <w:color w:val="000000" w:themeColor="text1"/>
          <w:sz w:val="22"/>
          <w:szCs w:val="22"/>
        </w:rPr>
        <w:t>mpirisch onderzoek naar opdrachtgeverschap he</w:t>
      </w:r>
      <w:r w:rsidR="005D2CE8">
        <w:rPr>
          <w:rFonts w:asciiTheme="minorHAnsi" w:eastAsiaTheme="minorHAnsi" w:hAnsiTheme="minorHAnsi" w:cs="Arial"/>
          <w:color w:val="000000" w:themeColor="text1"/>
          <w:sz w:val="22"/>
          <w:szCs w:val="22"/>
        </w:rPr>
        <w:t>eft</w:t>
      </w:r>
      <w:r w:rsidRPr="00442509">
        <w:rPr>
          <w:rFonts w:asciiTheme="minorHAnsi" w:eastAsiaTheme="minorHAnsi" w:hAnsiTheme="minorHAnsi" w:cs="Arial"/>
          <w:color w:val="000000" w:themeColor="text1"/>
          <w:sz w:val="22"/>
          <w:szCs w:val="22"/>
        </w:rPr>
        <w:t xml:space="preserve"> bewezen dat partnerschap nog niet zoveel is uitgespreid als initieel </w:t>
      </w:r>
      <w:r w:rsidRPr="00D12C93">
        <w:rPr>
          <w:rFonts w:asciiTheme="minorHAnsi" w:eastAsiaTheme="minorHAnsi" w:hAnsiTheme="minorHAnsi" w:cs="Arial"/>
          <w:color w:val="000000" w:themeColor="text1"/>
          <w:sz w:val="22"/>
          <w:szCs w:val="22"/>
        </w:rPr>
        <w:t>werd aangenomen, terwijl de voordelen wel bekend zijn.</w:t>
      </w:r>
      <w:r w:rsidR="009D19B3" w:rsidRPr="00D12C93">
        <w:rPr>
          <w:rFonts w:asciiTheme="minorHAnsi" w:eastAsiaTheme="minorHAnsi" w:hAnsiTheme="minorHAnsi" w:cs="Arial"/>
          <w:color w:val="000000" w:themeColor="text1"/>
          <w:sz w:val="22"/>
          <w:szCs w:val="22"/>
        </w:rPr>
        <w:t xml:space="preserve"> De vergelijking op basis van (</w:t>
      </w:r>
      <w:proofErr w:type="spellStart"/>
      <w:r w:rsidR="009D19B3" w:rsidRPr="00D12C93">
        <w:rPr>
          <w:rFonts w:asciiTheme="minorHAnsi" w:eastAsiaTheme="minorHAnsi" w:hAnsiTheme="minorHAnsi" w:cs="Arial"/>
          <w:color w:val="000000" w:themeColor="text1"/>
          <w:sz w:val="22"/>
          <w:szCs w:val="22"/>
        </w:rPr>
        <w:t>Hartley</w:t>
      </w:r>
      <w:proofErr w:type="spellEnd"/>
      <w:r w:rsidR="009D19B3" w:rsidRPr="00D12C93">
        <w:rPr>
          <w:rFonts w:asciiTheme="minorHAnsi" w:eastAsiaTheme="minorHAnsi" w:hAnsiTheme="minorHAnsi" w:cs="Arial"/>
          <w:color w:val="000000" w:themeColor="text1"/>
          <w:sz w:val="22"/>
          <w:szCs w:val="22"/>
        </w:rPr>
        <w:t xml:space="preserve"> &amp; Parker, 1997)</w:t>
      </w:r>
      <w:r w:rsidR="005D2CE8" w:rsidRPr="00D12C93">
        <w:rPr>
          <w:rFonts w:asciiTheme="minorHAnsi" w:eastAsiaTheme="minorHAnsi" w:hAnsiTheme="minorHAnsi" w:cs="Arial"/>
          <w:color w:val="000000" w:themeColor="text1"/>
          <w:sz w:val="22"/>
          <w:szCs w:val="22"/>
        </w:rPr>
        <w:t xml:space="preserve"> worden in </w:t>
      </w:r>
      <w:r w:rsidR="00964D64" w:rsidRPr="00D12C93">
        <w:rPr>
          <w:rFonts w:asciiTheme="minorHAnsi" w:eastAsiaTheme="minorHAnsi" w:hAnsiTheme="minorHAnsi" w:cs="Arial"/>
          <w:color w:val="000000" w:themeColor="text1"/>
          <w:sz w:val="22"/>
          <w:szCs w:val="22"/>
        </w:rPr>
        <w:t>tabel</w:t>
      </w:r>
      <w:r w:rsidR="005D2CE8" w:rsidRPr="00D12C93">
        <w:rPr>
          <w:rFonts w:asciiTheme="minorHAnsi" w:eastAsiaTheme="minorHAnsi" w:hAnsiTheme="minorHAnsi" w:cs="Arial"/>
          <w:color w:val="000000" w:themeColor="text1"/>
          <w:sz w:val="22"/>
          <w:szCs w:val="22"/>
        </w:rPr>
        <w:t xml:space="preserve"> </w:t>
      </w:r>
      <w:r w:rsidR="005A38AE">
        <w:rPr>
          <w:rFonts w:asciiTheme="minorHAnsi" w:eastAsiaTheme="minorHAnsi" w:hAnsiTheme="minorHAnsi" w:cs="Arial"/>
          <w:color w:val="000000" w:themeColor="text1"/>
          <w:sz w:val="22"/>
          <w:szCs w:val="22"/>
        </w:rPr>
        <w:t>4</w:t>
      </w:r>
      <w:r w:rsidR="005D2CE8" w:rsidRPr="00D12C93">
        <w:rPr>
          <w:rFonts w:asciiTheme="minorHAnsi" w:eastAsiaTheme="minorHAnsi" w:hAnsiTheme="minorHAnsi" w:cs="Arial"/>
          <w:color w:val="000000" w:themeColor="text1"/>
          <w:sz w:val="22"/>
          <w:szCs w:val="22"/>
        </w:rPr>
        <w:t xml:space="preserve"> weergegeven</w:t>
      </w:r>
      <w:r w:rsidR="005D2CE8">
        <w:rPr>
          <w:rFonts w:asciiTheme="minorHAnsi" w:eastAsiaTheme="minorHAnsi" w:hAnsiTheme="minorHAnsi" w:cs="Arial"/>
          <w:color w:val="000000" w:themeColor="text1"/>
          <w:sz w:val="22"/>
          <w:szCs w:val="22"/>
        </w:rPr>
        <w:t xml:space="preserve">. </w:t>
      </w:r>
      <w:r w:rsidRPr="00442509">
        <w:rPr>
          <w:rFonts w:asciiTheme="minorHAnsi" w:eastAsiaTheme="minorHAnsi" w:hAnsiTheme="minorHAnsi" w:cs="Arial"/>
          <w:color w:val="000000" w:themeColor="text1"/>
          <w:sz w:val="22"/>
          <w:szCs w:val="22"/>
        </w:rPr>
        <w:t xml:space="preserve"> </w:t>
      </w:r>
    </w:p>
    <w:p w14:paraId="3CD1A33C" w14:textId="77777777" w:rsidR="00DB7AA1" w:rsidRDefault="00DB7AA1">
      <w:pPr>
        <w:kinsoku/>
        <w:autoSpaceDE/>
        <w:autoSpaceDN/>
        <w:adjustRightInd/>
        <w:spacing w:after="160" w:line="259" w:lineRule="auto"/>
        <w:rPr>
          <w:rFonts w:asciiTheme="minorHAnsi" w:eastAsiaTheme="minorHAnsi" w:hAnsiTheme="minorHAnsi" w:cs="Arial"/>
          <w:color w:val="000000" w:themeColor="text1"/>
          <w:sz w:val="22"/>
          <w:szCs w:val="22"/>
        </w:rPr>
      </w:pPr>
      <w:r>
        <w:rPr>
          <w:rFonts w:asciiTheme="minorHAnsi" w:eastAsiaTheme="minorHAnsi" w:hAnsiTheme="minorHAnsi" w:cs="Arial"/>
          <w:color w:val="000000" w:themeColor="text1"/>
          <w:sz w:val="22"/>
          <w:szCs w:val="22"/>
        </w:rPr>
        <w:br w:type="page"/>
      </w:r>
    </w:p>
    <w:p w14:paraId="7B0E4226" w14:textId="77777777" w:rsidR="009D19B3" w:rsidRDefault="009D19B3" w:rsidP="00901808">
      <w:pPr>
        <w:spacing w:after="0" w:line="276" w:lineRule="auto"/>
        <w:rPr>
          <w:rFonts w:asciiTheme="minorHAnsi" w:eastAsiaTheme="minorHAnsi" w:hAnsiTheme="minorHAnsi" w:cs="Arial"/>
          <w:color w:val="000000" w:themeColor="text1"/>
          <w:sz w:val="22"/>
          <w:szCs w:val="22"/>
        </w:rPr>
      </w:pPr>
    </w:p>
    <w:tbl>
      <w:tblPr>
        <w:tblStyle w:val="GridTable1Light"/>
        <w:tblW w:w="10592" w:type="dxa"/>
        <w:tblLook w:val="04A0" w:firstRow="1" w:lastRow="0" w:firstColumn="1" w:lastColumn="0" w:noHBand="0" w:noVBand="1"/>
      </w:tblPr>
      <w:tblGrid>
        <w:gridCol w:w="5296"/>
        <w:gridCol w:w="5296"/>
      </w:tblGrid>
      <w:tr w:rsidR="009D19B3" w14:paraId="45A1352D" w14:textId="77777777" w:rsidTr="00964D64">
        <w:trPr>
          <w:cnfStyle w:val="100000000000" w:firstRow="1" w:lastRow="0" w:firstColumn="0" w:lastColumn="0" w:oddVBand="0" w:evenVBand="0" w:oddHBand="0" w:evenHBand="0" w:firstRowFirstColumn="0" w:firstRowLastColumn="0" w:lastRowFirstColumn="0" w:lastRowLastColumn="0"/>
          <w:trHeight w:val="277"/>
        </w:trPr>
        <w:tc>
          <w:tcPr>
            <w:cnfStyle w:val="001000000000" w:firstRow="0" w:lastRow="0" w:firstColumn="1" w:lastColumn="0" w:oddVBand="0" w:evenVBand="0" w:oddHBand="0" w:evenHBand="0" w:firstRowFirstColumn="0" w:firstRowLastColumn="0" w:lastRowFirstColumn="0" w:lastRowLastColumn="0"/>
            <w:tcW w:w="5296" w:type="dxa"/>
          </w:tcPr>
          <w:p w14:paraId="6389D252" w14:textId="77777777" w:rsidR="009D19B3" w:rsidRPr="00530215" w:rsidRDefault="009D19B3" w:rsidP="00530215">
            <w:pPr>
              <w:pStyle w:val="NoSpacing"/>
              <w:jc w:val="center"/>
              <w:rPr>
                <w:sz w:val="20"/>
                <w:szCs w:val="20"/>
              </w:rPr>
            </w:pPr>
            <w:r w:rsidRPr="00530215">
              <w:rPr>
                <w:sz w:val="20"/>
                <w:szCs w:val="20"/>
              </w:rPr>
              <w:t>Partnerschap</w:t>
            </w:r>
          </w:p>
        </w:tc>
        <w:tc>
          <w:tcPr>
            <w:tcW w:w="5296" w:type="dxa"/>
          </w:tcPr>
          <w:p w14:paraId="39567A5E" w14:textId="77777777" w:rsidR="009D19B3" w:rsidRPr="00530215" w:rsidRDefault="009D19B3" w:rsidP="00530215">
            <w:pPr>
              <w:pStyle w:val="NoSpacing"/>
              <w:jc w:val="center"/>
              <w:cnfStyle w:val="100000000000" w:firstRow="1" w:lastRow="0" w:firstColumn="0" w:lastColumn="0" w:oddVBand="0" w:evenVBand="0" w:oddHBand="0" w:evenHBand="0" w:firstRowFirstColumn="0" w:firstRowLastColumn="0" w:lastRowFirstColumn="0" w:lastRowLastColumn="0"/>
              <w:rPr>
                <w:sz w:val="20"/>
                <w:szCs w:val="20"/>
              </w:rPr>
            </w:pPr>
            <w:r w:rsidRPr="00530215">
              <w:rPr>
                <w:sz w:val="20"/>
                <w:szCs w:val="20"/>
              </w:rPr>
              <w:t>Competitie</w:t>
            </w:r>
          </w:p>
        </w:tc>
      </w:tr>
      <w:tr w:rsidR="009D19B3" w14:paraId="42AF66A2" w14:textId="77777777" w:rsidTr="00964D64">
        <w:trPr>
          <w:trHeight w:val="40"/>
        </w:trPr>
        <w:tc>
          <w:tcPr>
            <w:cnfStyle w:val="001000000000" w:firstRow="0" w:lastRow="0" w:firstColumn="1" w:lastColumn="0" w:oddVBand="0" w:evenVBand="0" w:oddHBand="0" w:evenHBand="0" w:firstRowFirstColumn="0" w:firstRowLastColumn="0" w:lastRowFirstColumn="0" w:lastRowLastColumn="0"/>
            <w:tcW w:w="5296" w:type="dxa"/>
          </w:tcPr>
          <w:p w14:paraId="5481CEB2" w14:textId="77777777" w:rsidR="009D19B3" w:rsidRPr="00530215" w:rsidRDefault="009D19B3" w:rsidP="00117B11">
            <w:pPr>
              <w:spacing w:after="0" w:line="240" w:lineRule="auto"/>
              <w:rPr>
                <w:rFonts w:asciiTheme="minorHAnsi" w:hAnsiTheme="minorHAnsi" w:cstheme="minorHAnsi"/>
                <w:b w:val="0"/>
                <w:szCs w:val="20"/>
              </w:rPr>
            </w:pPr>
            <w:r w:rsidRPr="00530215">
              <w:rPr>
                <w:rFonts w:asciiTheme="minorHAnsi" w:hAnsiTheme="minorHAnsi" w:cstheme="minorHAnsi"/>
                <w:b w:val="0"/>
                <w:szCs w:val="20"/>
              </w:rPr>
              <w:t>▪</w:t>
            </w:r>
            <w:r w:rsidRPr="00530215">
              <w:rPr>
                <w:rFonts w:asciiTheme="minorHAnsi" w:hAnsiTheme="minorHAnsi" w:cstheme="minorHAnsi"/>
                <w:b w:val="0"/>
                <w:szCs w:val="20"/>
              </w:rPr>
              <w:tab/>
              <w:t>Het vermijdt niet-noodzakelijke kosten van overmatige aanbestedingen en vaak voorkomende conflicten</w:t>
            </w:r>
          </w:p>
          <w:p w14:paraId="12E36A38" w14:textId="77777777" w:rsidR="009D19B3" w:rsidRPr="00530215" w:rsidRDefault="009D19B3" w:rsidP="00117B11">
            <w:pPr>
              <w:spacing w:after="0" w:line="240" w:lineRule="auto"/>
              <w:rPr>
                <w:rFonts w:asciiTheme="minorHAnsi" w:hAnsiTheme="minorHAnsi" w:cstheme="minorHAnsi"/>
                <w:b w:val="0"/>
                <w:szCs w:val="20"/>
              </w:rPr>
            </w:pPr>
            <w:r w:rsidRPr="00530215">
              <w:rPr>
                <w:rFonts w:asciiTheme="minorHAnsi" w:hAnsiTheme="minorHAnsi" w:cstheme="minorHAnsi"/>
                <w:b w:val="0"/>
                <w:szCs w:val="20"/>
              </w:rPr>
              <w:t>▪</w:t>
            </w:r>
            <w:r w:rsidRPr="00530215">
              <w:rPr>
                <w:rFonts w:asciiTheme="minorHAnsi" w:hAnsiTheme="minorHAnsi" w:cstheme="minorHAnsi"/>
                <w:b w:val="0"/>
                <w:szCs w:val="20"/>
              </w:rPr>
              <w:tab/>
              <w:t xml:space="preserve">Minder leveranciers, maar wel met een sterkere toewijding. </w:t>
            </w:r>
          </w:p>
          <w:p w14:paraId="396E9ADF" w14:textId="77777777" w:rsidR="009D19B3" w:rsidRPr="00530215" w:rsidRDefault="009D19B3" w:rsidP="00117B11">
            <w:pPr>
              <w:spacing w:after="0" w:line="240" w:lineRule="auto"/>
              <w:rPr>
                <w:rFonts w:asciiTheme="minorHAnsi" w:hAnsiTheme="minorHAnsi" w:cstheme="minorHAnsi"/>
                <w:b w:val="0"/>
                <w:szCs w:val="20"/>
              </w:rPr>
            </w:pPr>
            <w:r w:rsidRPr="00530215">
              <w:rPr>
                <w:rFonts w:asciiTheme="minorHAnsi" w:hAnsiTheme="minorHAnsi" w:cstheme="minorHAnsi"/>
                <w:b w:val="0"/>
                <w:szCs w:val="20"/>
              </w:rPr>
              <w:t>▪</w:t>
            </w:r>
            <w:r w:rsidRPr="00530215">
              <w:rPr>
                <w:rFonts w:asciiTheme="minorHAnsi" w:hAnsiTheme="minorHAnsi" w:cstheme="minorHAnsi"/>
                <w:b w:val="0"/>
                <w:szCs w:val="20"/>
              </w:rPr>
              <w:tab/>
              <w:t>Langdurige contracten zorgen voor stabiliteit en zekerheid</w:t>
            </w:r>
          </w:p>
          <w:p w14:paraId="63381D26" w14:textId="77777777" w:rsidR="009D19B3" w:rsidRPr="00530215" w:rsidRDefault="009D19B3" w:rsidP="00117B11">
            <w:pPr>
              <w:spacing w:after="0" w:line="240" w:lineRule="auto"/>
              <w:rPr>
                <w:rFonts w:asciiTheme="minorHAnsi" w:hAnsiTheme="minorHAnsi" w:cstheme="minorHAnsi"/>
                <w:b w:val="0"/>
                <w:szCs w:val="20"/>
              </w:rPr>
            </w:pPr>
            <w:r w:rsidRPr="00530215">
              <w:rPr>
                <w:rFonts w:asciiTheme="minorHAnsi" w:hAnsiTheme="minorHAnsi" w:cstheme="minorHAnsi"/>
                <w:b w:val="0"/>
                <w:szCs w:val="20"/>
              </w:rPr>
              <w:t>▪</w:t>
            </w:r>
            <w:r w:rsidRPr="00530215">
              <w:rPr>
                <w:rFonts w:asciiTheme="minorHAnsi" w:hAnsiTheme="minorHAnsi" w:cstheme="minorHAnsi"/>
                <w:b w:val="0"/>
                <w:szCs w:val="20"/>
              </w:rPr>
              <w:tab/>
              <w:t>Gecoördineerde strategieën tussen kopers en leveranciers</w:t>
            </w:r>
          </w:p>
          <w:p w14:paraId="7AC32739" w14:textId="77777777" w:rsidR="009D19B3" w:rsidRPr="00530215" w:rsidRDefault="009D19B3" w:rsidP="00117B11">
            <w:pPr>
              <w:spacing w:after="0" w:line="240" w:lineRule="auto"/>
              <w:rPr>
                <w:rFonts w:asciiTheme="minorHAnsi" w:hAnsiTheme="minorHAnsi" w:cstheme="minorHAnsi"/>
                <w:b w:val="0"/>
                <w:szCs w:val="20"/>
              </w:rPr>
            </w:pPr>
            <w:r w:rsidRPr="00530215">
              <w:rPr>
                <w:rFonts w:asciiTheme="minorHAnsi" w:hAnsiTheme="minorHAnsi" w:cstheme="minorHAnsi"/>
                <w:b w:val="0"/>
                <w:szCs w:val="20"/>
              </w:rPr>
              <w:t>▪</w:t>
            </w:r>
            <w:r w:rsidRPr="00530215">
              <w:rPr>
                <w:rFonts w:asciiTheme="minorHAnsi" w:hAnsiTheme="minorHAnsi" w:cstheme="minorHAnsi"/>
                <w:b w:val="0"/>
                <w:szCs w:val="20"/>
              </w:rPr>
              <w:tab/>
              <w:t>De risico’s en beloningen zijn gedeeld</w:t>
            </w:r>
          </w:p>
          <w:p w14:paraId="2BC4AF8B" w14:textId="77777777" w:rsidR="009D19B3" w:rsidRPr="00530215" w:rsidRDefault="009D19B3" w:rsidP="00117B11">
            <w:pPr>
              <w:spacing w:after="0" w:line="240" w:lineRule="auto"/>
              <w:rPr>
                <w:rFonts w:asciiTheme="minorHAnsi" w:hAnsiTheme="minorHAnsi" w:cstheme="minorHAnsi"/>
                <w:b w:val="0"/>
                <w:szCs w:val="20"/>
              </w:rPr>
            </w:pPr>
            <w:r w:rsidRPr="00530215">
              <w:rPr>
                <w:rFonts w:asciiTheme="minorHAnsi" w:hAnsiTheme="minorHAnsi" w:cstheme="minorHAnsi"/>
                <w:b w:val="0"/>
                <w:szCs w:val="20"/>
              </w:rPr>
              <w:t>▪</w:t>
            </w:r>
            <w:r w:rsidRPr="00530215">
              <w:rPr>
                <w:rFonts w:asciiTheme="minorHAnsi" w:hAnsiTheme="minorHAnsi" w:cstheme="minorHAnsi"/>
                <w:b w:val="0"/>
                <w:szCs w:val="20"/>
              </w:rPr>
              <w:tab/>
              <w:t xml:space="preserve">Relaties gebaseerd op vertrouwen </w:t>
            </w:r>
          </w:p>
          <w:p w14:paraId="338F2876" w14:textId="77777777" w:rsidR="009D19B3" w:rsidRPr="00530215" w:rsidRDefault="009D19B3" w:rsidP="00117B11">
            <w:pPr>
              <w:rPr>
                <w:rFonts w:asciiTheme="minorHAnsi" w:hAnsiTheme="minorHAnsi" w:cstheme="minorHAnsi"/>
                <w:szCs w:val="20"/>
              </w:rPr>
            </w:pPr>
            <w:r w:rsidRPr="00530215">
              <w:rPr>
                <w:rFonts w:asciiTheme="minorHAnsi" w:hAnsiTheme="minorHAnsi" w:cstheme="minorHAnsi"/>
                <w:b w:val="0"/>
                <w:szCs w:val="20"/>
              </w:rPr>
              <w:t>▪</w:t>
            </w:r>
            <w:r w:rsidRPr="00530215">
              <w:rPr>
                <w:rFonts w:asciiTheme="minorHAnsi" w:hAnsiTheme="minorHAnsi" w:cstheme="minorHAnsi"/>
                <w:b w:val="0"/>
                <w:szCs w:val="20"/>
              </w:rPr>
              <w:tab/>
              <w:t>Het leidt tot wederzijds voordeel (en win-win   situaties)</w:t>
            </w:r>
          </w:p>
        </w:tc>
        <w:tc>
          <w:tcPr>
            <w:tcW w:w="5296" w:type="dxa"/>
          </w:tcPr>
          <w:p w14:paraId="160FFCDA" w14:textId="77777777" w:rsidR="009D19B3" w:rsidRPr="00530215" w:rsidRDefault="009D19B3" w:rsidP="00117B11">
            <w:pPr>
              <w:spacing w:after="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0"/>
              </w:rPr>
            </w:pPr>
            <w:r w:rsidRPr="00530215">
              <w:rPr>
                <w:rFonts w:asciiTheme="minorHAnsi" w:hAnsiTheme="minorHAnsi" w:cstheme="minorHAnsi"/>
                <w:szCs w:val="20"/>
              </w:rPr>
              <w:t>▪</w:t>
            </w:r>
            <w:r w:rsidRPr="00530215">
              <w:rPr>
                <w:rFonts w:asciiTheme="minorHAnsi" w:hAnsiTheme="minorHAnsi" w:cstheme="minorHAnsi"/>
                <w:szCs w:val="20"/>
              </w:rPr>
              <w:tab/>
              <w:t>Relaties gebaseerd op het ‘</w:t>
            </w:r>
            <w:proofErr w:type="spellStart"/>
            <w:r w:rsidRPr="00530215">
              <w:rPr>
                <w:rFonts w:asciiTheme="minorHAnsi" w:hAnsiTheme="minorHAnsi" w:cstheme="minorHAnsi"/>
                <w:szCs w:val="20"/>
              </w:rPr>
              <w:t>arm’s</w:t>
            </w:r>
            <w:proofErr w:type="spellEnd"/>
            <w:r w:rsidRPr="00530215">
              <w:rPr>
                <w:rFonts w:asciiTheme="minorHAnsi" w:hAnsiTheme="minorHAnsi" w:cstheme="minorHAnsi"/>
                <w:szCs w:val="20"/>
              </w:rPr>
              <w:t xml:space="preserve"> </w:t>
            </w:r>
            <w:proofErr w:type="spellStart"/>
            <w:r w:rsidRPr="00530215">
              <w:rPr>
                <w:rFonts w:asciiTheme="minorHAnsi" w:hAnsiTheme="minorHAnsi" w:cstheme="minorHAnsi"/>
                <w:szCs w:val="20"/>
              </w:rPr>
              <w:t>length</w:t>
            </w:r>
            <w:proofErr w:type="spellEnd"/>
            <w:r w:rsidRPr="00530215">
              <w:rPr>
                <w:rFonts w:asciiTheme="minorHAnsi" w:hAnsiTheme="minorHAnsi" w:cstheme="minorHAnsi"/>
                <w:szCs w:val="20"/>
              </w:rPr>
              <w:t xml:space="preserve">’ beginsel: de transactiekosten dienen tegen zakelijke prijzen worden verantwoord.  </w:t>
            </w:r>
          </w:p>
          <w:p w14:paraId="7E6403B2" w14:textId="62F012D3" w:rsidR="009D19B3" w:rsidRPr="00530215" w:rsidRDefault="00FF613F" w:rsidP="00117B11">
            <w:pPr>
              <w:spacing w:after="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0"/>
              </w:rPr>
            </w:pPr>
            <w:r>
              <w:rPr>
                <w:rFonts w:asciiTheme="minorHAnsi" w:hAnsiTheme="minorHAnsi" w:cstheme="minorHAnsi"/>
                <w:szCs w:val="20"/>
              </w:rPr>
              <w:t>▪</w:t>
            </w:r>
            <w:r>
              <w:rPr>
                <w:rFonts w:asciiTheme="minorHAnsi" w:hAnsiTheme="minorHAnsi" w:cstheme="minorHAnsi"/>
                <w:szCs w:val="20"/>
              </w:rPr>
              <w:tab/>
              <w:t>O</w:t>
            </w:r>
            <w:r w:rsidR="009D19B3" w:rsidRPr="00530215">
              <w:rPr>
                <w:rFonts w:asciiTheme="minorHAnsi" w:hAnsiTheme="minorHAnsi" w:cstheme="minorHAnsi"/>
                <w:szCs w:val="20"/>
              </w:rPr>
              <w:t>vermatige aanbestedingen, wat risicovol en duur is</w:t>
            </w:r>
          </w:p>
          <w:p w14:paraId="5DEEAEF6" w14:textId="0ECFE921" w:rsidR="009D19B3" w:rsidRPr="00530215" w:rsidRDefault="00FF613F" w:rsidP="00117B11">
            <w:pPr>
              <w:spacing w:after="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0"/>
              </w:rPr>
            </w:pPr>
            <w:r>
              <w:rPr>
                <w:rFonts w:asciiTheme="minorHAnsi" w:hAnsiTheme="minorHAnsi" w:cstheme="minorHAnsi"/>
                <w:szCs w:val="20"/>
              </w:rPr>
              <w:t>▪</w:t>
            </w:r>
            <w:r>
              <w:rPr>
                <w:rFonts w:asciiTheme="minorHAnsi" w:hAnsiTheme="minorHAnsi" w:cstheme="minorHAnsi"/>
                <w:szCs w:val="20"/>
              </w:rPr>
              <w:tab/>
              <w:t>A</w:t>
            </w:r>
            <w:r w:rsidR="009D19B3" w:rsidRPr="00530215">
              <w:rPr>
                <w:rFonts w:asciiTheme="minorHAnsi" w:hAnsiTheme="minorHAnsi" w:cstheme="minorHAnsi"/>
                <w:szCs w:val="20"/>
              </w:rPr>
              <w:t>fhankelijkheid van de prijs</w:t>
            </w:r>
          </w:p>
          <w:p w14:paraId="28BAF167" w14:textId="511EF1EE" w:rsidR="009D19B3" w:rsidRPr="00530215" w:rsidRDefault="00FF613F" w:rsidP="00117B11">
            <w:pPr>
              <w:spacing w:after="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0"/>
              </w:rPr>
            </w:pPr>
            <w:r>
              <w:rPr>
                <w:rFonts w:asciiTheme="minorHAnsi" w:hAnsiTheme="minorHAnsi" w:cstheme="minorHAnsi"/>
                <w:szCs w:val="20"/>
              </w:rPr>
              <w:t>▪</w:t>
            </w:r>
            <w:r>
              <w:rPr>
                <w:rFonts w:asciiTheme="minorHAnsi" w:hAnsiTheme="minorHAnsi" w:cstheme="minorHAnsi"/>
                <w:szCs w:val="20"/>
              </w:rPr>
              <w:tab/>
              <w:t>M</w:t>
            </w:r>
            <w:r w:rsidR="009D19B3" w:rsidRPr="00530215">
              <w:rPr>
                <w:rFonts w:asciiTheme="minorHAnsi" w:hAnsiTheme="minorHAnsi" w:cstheme="minorHAnsi"/>
                <w:szCs w:val="20"/>
              </w:rPr>
              <w:t>eervoudig inkoop</w:t>
            </w:r>
          </w:p>
          <w:p w14:paraId="26CBD4AF" w14:textId="331F036B" w:rsidR="009D19B3" w:rsidRPr="00530215" w:rsidRDefault="00FF613F" w:rsidP="00117B11">
            <w:pPr>
              <w:spacing w:after="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0"/>
              </w:rPr>
            </w:pPr>
            <w:r>
              <w:rPr>
                <w:rFonts w:asciiTheme="minorHAnsi" w:hAnsiTheme="minorHAnsi" w:cstheme="minorHAnsi"/>
                <w:szCs w:val="20"/>
              </w:rPr>
              <w:t>▪</w:t>
            </w:r>
            <w:r>
              <w:rPr>
                <w:rFonts w:asciiTheme="minorHAnsi" w:hAnsiTheme="minorHAnsi" w:cstheme="minorHAnsi"/>
                <w:szCs w:val="20"/>
              </w:rPr>
              <w:tab/>
              <w:t>H</w:t>
            </w:r>
            <w:r w:rsidR="009D19B3" w:rsidRPr="00530215">
              <w:rPr>
                <w:rFonts w:asciiTheme="minorHAnsi" w:hAnsiTheme="minorHAnsi" w:cstheme="minorHAnsi"/>
                <w:szCs w:val="20"/>
              </w:rPr>
              <w:t>et ontbreken van vertrouwen</w:t>
            </w:r>
          </w:p>
          <w:p w14:paraId="74AB165D" w14:textId="6F46761D" w:rsidR="009D19B3" w:rsidRPr="00530215" w:rsidRDefault="00FF613F" w:rsidP="00117B11">
            <w:pPr>
              <w:spacing w:after="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0"/>
              </w:rPr>
            </w:pPr>
            <w:r>
              <w:rPr>
                <w:rFonts w:asciiTheme="minorHAnsi" w:hAnsiTheme="minorHAnsi" w:cstheme="minorHAnsi"/>
                <w:szCs w:val="20"/>
              </w:rPr>
              <w:t>▪</w:t>
            </w:r>
            <w:r>
              <w:rPr>
                <w:rFonts w:asciiTheme="minorHAnsi" w:hAnsiTheme="minorHAnsi" w:cstheme="minorHAnsi"/>
                <w:szCs w:val="20"/>
              </w:rPr>
              <w:tab/>
              <w:t>T</w:t>
            </w:r>
            <w:r w:rsidR="009D19B3" w:rsidRPr="00530215">
              <w:rPr>
                <w:rFonts w:asciiTheme="minorHAnsi" w:hAnsiTheme="minorHAnsi" w:cstheme="minorHAnsi"/>
                <w:szCs w:val="20"/>
              </w:rPr>
              <w:t>erughoudendheid om informatie en kennis te delen</w:t>
            </w:r>
          </w:p>
          <w:p w14:paraId="6285D0FD" w14:textId="77777777" w:rsidR="009D19B3" w:rsidRPr="00530215" w:rsidRDefault="009D19B3" w:rsidP="00117B11">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Cs w:val="20"/>
              </w:rPr>
            </w:pPr>
            <w:r w:rsidRPr="00530215">
              <w:rPr>
                <w:rFonts w:asciiTheme="minorHAnsi" w:hAnsiTheme="minorHAnsi" w:cstheme="minorHAnsi"/>
                <w:szCs w:val="20"/>
              </w:rPr>
              <w:t>▪</w:t>
            </w:r>
            <w:r w:rsidRPr="00530215">
              <w:rPr>
                <w:rFonts w:asciiTheme="minorHAnsi" w:hAnsiTheme="minorHAnsi" w:cstheme="minorHAnsi"/>
                <w:szCs w:val="20"/>
              </w:rPr>
              <w:tab/>
              <w:t>Competitieve houding (‘win-</w:t>
            </w:r>
            <w:proofErr w:type="spellStart"/>
            <w:r w:rsidRPr="00530215">
              <w:rPr>
                <w:rFonts w:asciiTheme="minorHAnsi" w:hAnsiTheme="minorHAnsi" w:cstheme="minorHAnsi"/>
                <w:szCs w:val="20"/>
              </w:rPr>
              <w:t>lose</w:t>
            </w:r>
            <w:proofErr w:type="spellEnd"/>
            <w:r w:rsidRPr="00530215">
              <w:rPr>
                <w:rFonts w:asciiTheme="minorHAnsi" w:hAnsiTheme="minorHAnsi" w:cstheme="minorHAnsi"/>
                <w:szCs w:val="20"/>
              </w:rPr>
              <w:t>’ situaties)</w:t>
            </w:r>
          </w:p>
        </w:tc>
      </w:tr>
    </w:tbl>
    <w:p w14:paraId="6173C4A8" w14:textId="408B4A75" w:rsidR="00960C15" w:rsidRPr="00BF21CC" w:rsidRDefault="00964D64" w:rsidP="00D10775">
      <w:pPr>
        <w:pStyle w:val="Caption"/>
        <w:rPr>
          <w:rFonts w:eastAsiaTheme="minorHAnsi"/>
        </w:rPr>
      </w:pPr>
      <w:r>
        <w:rPr>
          <w:rFonts w:eastAsiaTheme="minorHAnsi"/>
        </w:rPr>
        <w:t>Tabel</w:t>
      </w:r>
      <w:r w:rsidR="00960C15" w:rsidRPr="00BF21CC">
        <w:rPr>
          <w:rFonts w:eastAsiaTheme="minorHAnsi"/>
        </w:rPr>
        <w:t xml:space="preserve"> </w:t>
      </w:r>
      <w:r w:rsidR="005A38AE">
        <w:rPr>
          <w:rFonts w:eastAsiaTheme="minorHAnsi"/>
        </w:rPr>
        <w:t>4</w:t>
      </w:r>
      <w:r w:rsidR="00960C15" w:rsidRPr="00BF21CC">
        <w:rPr>
          <w:rFonts w:eastAsiaTheme="minorHAnsi"/>
        </w:rPr>
        <w:t xml:space="preserve">: </w:t>
      </w:r>
      <w:r w:rsidR="00960C15">
        <w:rPr>
          <w:rFonts w:eastAsiaTheme="minorHAnsi"/>
        </w:rPr>
        <w:t xml:space="preserve">Verschil tussen partnerschap en </w:t>
      </w:r>
      <w:r>
        <w:rPr>
          <w:rFonts w:eastAsiaTheme="minorHAnsi"/>
        </w:rPr>
        <w:t>competitie</w:t>
      </w:r>
      <w:r w:rsidR="00960C15">
        <w:rPr>
          <w:rFonts w:eastAsiaTheme="minorHAnsi"/>
        </w:rPr>
        <w:t xml:space="preserve">. Ontleend aan </w:t>
      </w:r>
      <w:proofErr w:type="spellStart"/>
      <w:r w:rsidR="00960C15">
        <w:rPr>
          <w:rFonts w:eastAsiaTheme="minorHAnsi"/>
        </w:rPr>
        <w:t>Hartley</w:t>
      </w:r>
      <w:proofErr w:type="spellEnd"/>
      <w:r w:rsidR="00960C15">
        <w:rPr>
          <w:rFonts w:eastAsiaTheme="minorHAnsi"/>
        </w:rPr>
        <w:t xml:space="preserve"> &amp; Par</w:t>
      </w:r>
      <w:r>
        <w:rPr>
          <w:rFonts w:eastAsiaTheme="minorHAnsi"/>
        </w:rPr>
        <w:t>ker, 1997).</w:t>
      </w:r>
    </w:p>
    <w:p w14:paraId="739054E1" w14:textId="3A765DD0" w:rsidR="00964D64" w:rsidRDefault="00901808" w:rsidP="00901808">
      <w:pPr>
        <w:spacing w:after="0" w:line="276" w:lineRule="auto"/>
        <w:rPr>
          <w:rFonts w:asciiTheme="minorHAnsi" w:eastAsiaTheme="minorHAnsi" w:hAnsiTheme="minorHAnsi" w:cs="Arial"/>
          <w:color w:val="000000" w:themeColor="text1"/>
          <w:sz w:val="22"/>
          <w:szCs w:val="22"/>
        </w:rPr>
      </w:pPr>
      <w:r w:rsidRPr="00442509">
        <w:rPr>
          <w:rFonts w:asciiTheme="minorHAnsi" w:eastAsiaTheme="minorHAnsi" w:hAnsiTheme="minorHAnsi" w:cs="Arial"/>
          <w:color w:val="000000" w:themeColor="text1"/>
          <w:sz w:val="22"/>
          <w:szCs w:val="22"/>
        </w:rPr>
        <w:t>Ter nuancering</w:t>
      </w:r>
      <w:r w:rsidR="009905D5" w:rsidRPr="00442509">
        <w:rPr>
          <w:rFonts w:asciiTheme="minorHAnsi" w:eastAsiaTheme="minorHAnsi" w:hAnsiTheme="minorHAnsi" w:cs="Arial"/>
          <w:color w:val="000000" w:themeColor="text1"/>
          <w:sz w:val="22"/>
          <w:szCs w:val="22"/>
        </w:rPr>
        <w:t xml:space="preserve"> van de verschillen tussen </w:t>
      </w:r>
      <w:r w:rsidR="003E2701" w:rsidRPr="00442509">
        <w:rPr>
          <w:rFonts w:asciiTheme="minorHAnsi" w:eastAsiaTheme="minorHAnsi" w:hAnsiTheme="minorHAnsi" w:cs="Arial"/>
          <w:color w:val="000000" w:themeColor="text1"/>
          <w:sz w:val="22"/>
          <w:szCs w:val="22"/>
        </w:rPr>
        <w:t>de twee principes</w:t>
      </w:r>
      <w:r w:rsidRPr="00442509">
        <w:rPr>
          <w:rFonts w:asciiTheme="minorHAnsi" w:eastAsiaTheme="minorHAnsi" w:hAnsiTheme="minorHAnsi" w:cs="Arial"/>
          <w:color w:val="000000" w:themeColor="text1"/>
          <w:sz w:val="22"/>
          <w:szCs w:val="22"/>
        </w:rPr>
        <w:t xml:space="preserve"> halen </w:t>
      </w:r>
      <w:proofErr w:type="spellStart"/>
      <w:r w:rsidRPr="00442509">
        <w:rPr>
          <w:rFonts w:asciiTheme="minorHAnsi" w:eastAsiaTheme="minorHAnsi" w:hAnsiTheme="minorHAnsi" w:cs="Arial"/>
          <w:color w:val="000000" w:themeColor="text1"/>
          <w:sz w:val="22"/>
          <w:szCs w:val="22"/>
        </w:rPr>
        <w:t>Hartley</w:t>
      </w:r>
      <w:proofErr w:type="spellEnd"/>
      <w:r w:rsidRPr="00442509">
        <w:rPr>
          <w:rFonts w:asciiTheme="minorHAnsi" w:eastAsiaTheme="minorHAnsi" w:hAnsiTheme="minorHAnsi" w:cs="Arial"/>
          <w:color w:val="000000" w:themeColor="text1"/>
          <w:sz w:val="22"/>
          <w:szCs w:val="22"/>
        </w:rPr>
        <w:t xml:space="preserve"> en Parker (1997) </w:t>
      </w:r>
      <w:r w:rsidR="003E2701" w:rsidRPr="00442509">
        <w:rPr>
          <w:rFonts w:asciiTheme="minorHAnsi" w:eastAsiaTheme="minorHAnsi" w:hAnsiTheme="minorHAnsi" w:cs="Arial"/>
          <w:color w:val="000000" w:themeColor="text1"/>
          <w:sz w:val="22"/>
          <w:szCs w:val="22"/>
        </w:rPr>
        <w:t xml:space="preserve">het werk van </w:t>
      </w:r>
      <w:r w:rsidRPr="00442509">
        <w:rPr>
          <w:rFonts w:asciiTheme="minorHAnsi" w:eastAsiaTheme="minorHAnsi" w:hAnsiTheme="minorHAnsi" w:cs="Arial"/>
          <w:color w:val="000000" w:themeColor="text1"/>
          <w:sz w:val="22"/>
          <w:szCs w:val="22"/>
        </w:rPr>
        <w:t xml:space="preserve">Cox aan. Volgens Cox (aangehaald in </w:t>
      </w:r>
      <w:proofErr w:type="spellStart"/>
      <w:r w:rsidRPr="00442509">
        <w:rPr>
          <w:rFonts w:asciiTheme="minorHAnsi" w:eastAsiaTheme="minorHAnsi" w:hAnsiTheme="minorHAnsi" w:cs="Arial"/>
          <w:color w:val="000000" w:themeColor="text1"/>
          <w:sz w:val="22"/>
          <w:szCs w:val="22"/>
        </w:rPr>
        <w:t>Hartley</w:t>
      </w:r>
      <w:proofErr w:type="spellEnd"/>
      <w:r w:rsidRPr="00442509">
        <w:rPr>
          <w:rFonts w:asciiTheme="minorHAnsi" w:eastAsiaTheme="minorHAnsi" w:hAnsiTheme="minorHAnsi" w:cs="Arial"/>
          <w:color w:val="000000" w:themeColor="text1"/>
          <w:sz w:val="22"/>
          <w:szCs w:val="22"/>
        </w:rPr>
        <w:t xml:space="preserve"> &amp; Parker, 1997) is het een </w:t>
      </w:r>
      <w:r w:rsidR="001D110E">
        <w:rPr>
          <w:rFonts w:asciiTheme="minorHAnsi" w:eastAsiaTheme="minorHAnsi" w:hAnsiTheme="minorHAnsi" w:cs="Arial"/>
          <w:color w:val="000000" w:themeColor="text1"/>
          <w:sz w:val="22"/>
          <w:szCs w:val="22"/>
        </w:rPr>
        <w:t xml:space="preserve">groot </w:t>
      </w:r>
      <w:r w:rsidRPr="00442509">
        <w:rPr>
          <w:rFonts w:asciiTheme="minorHAnsi" w:eastAsiaTheme="minorHAnsi" w:hAnsiTheme="minorHAnsi" w:cs="Arial"/>
          <w:color w:val="000000" w:themeColor="text1"/>
          <w:sz w:val="22"/>
          <w:szCs w:val="22"/>
        </w:rPr>
        <w:t xml:space="preserve">misverstand om aan te nemen dat een van de twee benaderingen superieur is. Volgens </w:t>
      </w:r>
      <w:proofErr w:type="spellStart"/>
      <w:r w:rsidRPr="00442509">
        <w:rPr>
          <w:rFonts w:asciiTheme="minorHAnsi" w:eastAsiaTheme="minorHAnsi" w:hAnsiTheme="minorHAnsi" w:cs="Arial"/>
          <w:color w:val="000000" w:themeColor="text1"/>
          <w:sz w:val="22"/>
          <w:szCs w:val="22"/>
        </w:rPr>
        <w:t>Hartley</w:t>
      </w:r>
      <w:proofErr w:type="spellEnd"/>
      <w:r w:rsidRPr="00442509">
        <w:rPr>
          <w:rFonts w:asciiTheme="minorHAnsi" w:eastAsiaTheme="minorHAnsi" w:hAnsiTheme="minorHAnsi" w:cs="Arial"/>
          <w:color w:val="000000" w:themeColor="text1"/>
          <w:sz w:val="22"/>
          <w:szCs w:val="22"/>
        </w:rPr>
        <w:t xml:space="preserve"> en Parker (1997) is het een ongeloofwaardig idee dat competitie een ‘win-</w:t>
      </w:r>
      <w:proofErr w:type="spellStart"/>
      <w:r w:rsidRPr="00442509">
        <w:rPr>
          <w:rFonts w:asciiTheme="minorHAnsi" w:eastAsiaTheme="minorHAnsi" w:hAnsiTheme="minorHAnsi" w:cs="Arial"/>
          <w:color w:val="000000" w:themeColor="text1"/>
          <w:sz w:val="22"/>
          <w:szCs w:val="22"/>
        </w:rPr>
        <w:t>lose</w:t>
      </w:r>
      <w:proofErr w:type="spellEnd"/>
      <w:r w:rsidRPr="00442509">
        <w:rPr>
          <w:rFonts w:asciiTheme="minorHAnsi" w:eastAsiaTheme="minorHAnsi" w:hAnsiTheme="minorHAnsi" w:cs="Arial"/>
          <w:color w:val="000000" w:themeColor="text1"/>
          <w:sz w:val="22"/>
          <w:szCs w:val="22"/>
        </w:rPr>
        <w:t>’ situatie creëert, terwijl partnerschap juist</w:t>
      </w:r>
      <w:r w:rsidR="009C0AF2">
        <w:rPr>
          <w:rFonts w:asciiTheme="minorHAnsi" w:eastAsiaTheme="minorHAnsi" w:hAnsiTheme="minorHAnsi" w:cs="Arial"/>
          <w:color w:val="000000" w:themeColor="text1"/>
          <w:sz w:val="22"/>
          <w:szCs w:val="22"/>
        </w:rPr>
        <w:t xml:space="preserve"> tot</w:t>
      </w:r>
      <w:r w:rsidRPr="00442509">
        <w:rPr>
          <w:rFonts w:asciiTheme="minorHAnsi" w:eastAsiaTheme="minorHAnsi" w:hAnsiTheme="minorHAnsi" w:cs="Arial"/>
          <w:color w:val="000000" w:themeColor="text1"/>
          <w:sz w:val="22"/>
          <w:szCs w:val="22"/>
        </w:rPr>
        <w:t xml:space="preserve"> een ‘win-win’ situatie</w:t>
      </w:r>
      <w:r w:rsidR="009C0AF2">
        <w:rPr>
          <w:rFonts w:asciiTheme="minorHAnsi" w:eastAsiaTheme="minorHAnsi" w:hAnsiTheme="minorHAnsi" w:cs="Arial"/>
          <w:color w:val="000000" w:themeColor="text1"/>
          <w:sz w:val="22"/>
          <w:szCs w:val="22"/>
        </w:rPr>
        <w:t xml:space="preserve"> leidt</w:t>
      </w:r>
      <w:r w:rsidRPr="00442509">
        <w:rPr>
          <w:rFonts w:asciiTheme="minorHAnsi" w:eastAsiaTheme="minorHAnsi" w:hAnsiTheme="minorHAnsi" w:cs="Arial"/>
          <w:color w:val="000000" w:themeColor="text1"/>
          <w:sz w:val="22"/>
          <w:szCs w:val="22"/>
        </w:rPr>
        <w:t xml:space="preserve">. Organisaties dienen juist aandacht schenken aan voordelen van </w:t>
      </w:r>
      <w:r w:rsidRPr="00442509">
        <w:rPr>
          <w:rFonts w:asciiTheme="minorHAnsi" w:eastAsiaTheme="minorHAnsi" w:hAnsiTheme="minorHAnsi" w:cs="Arial"/>
          <w:i/>
          <w:color w:val="000000" w:themeColor="text1"/>
          <w:sz w:val="22"/>
          <w:szCs w:val="22"/>
        </w:rPr>
        <w:t xml:space="preserve">zowel de competitieve als de collaboratieve relatie </w:t>
      </w:r>
      <w:r w:rsidRPr="00442509">
        <w:rPr>
          <w:rFonts w:asciiTheme="minorHAnsi" w:eastAsiaTheme="minorHAnsi" w:hAnsiTheme="minorHAnsi" w:cs="Arial"/>
          <w:color w:val="000000" w:themeColor="text1"/>
          <w:sz w:val="22"/>
          <w:szCs w:val="22"/>
        </w:rPr>
        <w:t>met de leverancier</w:t>
      </w:r>
      <w:r w:rsidR="00530215" w:rsidRPr="00442509">
        <w:rPr>
          <w:rFonts w:asciiTheme="minorHAnsi" w:eastAsiaTheme="minorHAnsi" w:hAnsiTheme="minorHAnsi" w:cs="Arial"/>
          <w:color w:val="000000" w:themeColor="text1"/>
          <w:sz w:val="22"/>
          <w:szCs w:val="22"/>
        </w:rPr>
        <w:t xml:space="preserve"> (</w:t>
      </w:r>
      <w:proofErr w:type="spellStart"/>
      <w:r w:rsidR="00530215" w:rsidRPr="00442509">
        <w:rPr>
          <w:rFonts w:asciiTheme="minorHAnsi" w:eastAsiaTheme="minorHAnsi" w:hAnsiTheme="minorHAnsi" w:cs="Arial"/>
          <w:color w:val="000000" w:themeColor="text1"/>
          <w:sz w:val="22"/>
          <w:szCs w:val="22"/>
        </w:rPr>
        <w:t>Hartley</w:t>
      </w:r>
      <w:proofErr w:type="spellEnd"/>
      <w:r w:rsidR="00530215" w:rsidRPr="00442509">
        <w:rPr>
          <w:rFonts w:asciiTheme="minorHAnsi" w:eastAsiaTheme="minorHAnsi" w:hAnsiTheme="minorHAnsi" w:cs="Arial"/>
          <w:color w:val="000000" w:themeColor="text1"/>
          <w:sz w:val="22"/>
          <w:szCs w:val="22"/>
        </w:rPr>
        <w:t xml:space="preserve"> en Parker, 1997)</w:t>
      </w:r>
      <w:r w:rsidRPr="00442509">
        <w:rPr>
          <w:rFonts w:asciiTheme="minorHAnsi" w:eastAsiaTheme="minorHAnsi" w:hAnsiTheme="minorHAnsi" w:cs="Arial"/>
          <w:color w:val="000000" w:themeColor="text1"/>
          <w:sz w:val="22"/>
          <w:szCs w:val="22"/>
        </w:rPr>
        <w:t xml:space="preserve">. Strategisch moeten zij langs beide dimensies opereren. </w:t>
      </w:r>
      <w:r w:rsidR="006458B5">
        <w:rPr>
          <w:rFonts w:asciiTheme="minorHAnsi" w:eastAsiaTheme="minorHAnsi" w:hAnsiTheme="minorHAnsi" w:cs="Arial"/>
          <w:color w:val="000000" w:themeColor="text1"/>
          <w:sz w:val="22"/>
          <w:szCs w:val="22"/>
        </w:rPr>
        <w:t xml:space="preserve">In tabel </w:t>
      </w:r>
      <w:r w:rsidR="005A38AE">
        <w:rPr>
          <w:rFonts w:asciiTheme="minorHAnsi" w:eastAsiaTheme="minorHAnsi" w:hAnsiTheme="minorHAnsi" w:cs="Arial"/>
          <w:color w:val="000000" w:themeColor="text1"/>
          <w:sz w:val="22"/>
          <w:szCs w:val="22"/>
        </w:rPr>
        <w:t>5</w:t>
      </w:r>
      <w:r w:rsidR="006458B5">
        <w:rPr>
          <w:rFonts w:asciiTheme="minorHAnsi" w:eastAsiaTheme="minorHAnsi" w:hAnsiTheme="minorHAnsi" w:cs="Arial"/>
          <w:color w:val="000000" w:themeColor="text1"/>
          <w:sz w:val="22"/>
          <w:szCs w:val="22"/>
        </w:rPr>
        <w:t xml:space="preserve"> worden de indicatoren per soort relatie opgesomd. Deze indicatoren (zie kolom 2 van tabel </w:t>
      </w:r>
      <w:r w:rsidR="009C0AF2">
        <w:rPr>
          <w:rFonts w:asciiTheme="minorHAnsi" w:eastAsiaTheme="minorHAnsi" w:hAnsiTheme="minorHAnsi" w:cs="Arial"/>
          <w:color w:val="000000" w:themeColor="text1"/>
          <w:sz w:val="22"/>
          <w:szCs w:val="22"/>
        </w:rPr>
        <w:t>5</w:t>
      </w:r>
      <w:r w:rsidR="006458B5">
        <w:rPr>
          <w:rFonts w:asciiTheme="minorHAnsi" w:eastAsiaTheme="minorHAnsi" w:hAnsiTheme="minorHAnsi" w:cs="Arial"/>
          <w:color w:val="000000" w:themeColor="text1"/>
          <w:sz w:val="22"/>
          <w:szCs w:val="22"/>
        </w:rPr>
        <w:t>) worden in dit onderzoek gebruik</w:t>
      </w:r>
      <w:r w:rsidR="00D35A65">
        <w:rPr>
          <w:rFonts w:asciiTheme="minorHAnsi" w:eastAsiaTheme="minorHAnsi" w:hAnsiTheme="minorHAnsi" w:cs="Arial"/>
          <w:color w:val="000000" w:themeColor="text1"/>
          <w:sz w:val="22"/>
          <w:szCs w:val="22"/>
        </w:rPr>
        <w:t xml:space="preserve">t om de relatie tussen de onderwijsinstelling en de leverancier te kenmerken. </w:t>
      </w:r>
    </w:p>
    <w:p w14:paraId="5DCBD56B" w14:textId="77777777" w:rsidR="00D35A65" w:rsidRDefault="00D35A65" w:rsidP="00901808">
      <w:pPr>
        <w:spacing w:after="0" w:line="276" w:lineRule="auto"/>
        <w:rPr>
          <w:rFonts w:asciiTheme="minorHAnsi" w:eastAsiaTheme="minorHAnsi" w:hAnsiTheme="minorHAnsi" w:cs="Arial"/>
          <w:sz w:val="22"/>
          <w:szCs w:val="22"/>
        </w:rPr>
      </w:pPr>
    </w:p>
    <w:tbl>
      <w:tblPr>
        <w:tblStyle w:val="GridTable1Light"/>
        <w:tblW w:w="10060" w:type="dxa"/>
        <w:tblLook w:val="04A0" w:firstRow="1" w:lastRow="0" w:firstColumn="1" w:lastColumn="0" w:noHBand="0" w:noVBand="1"/>
      </w:tblPr>
      <w:tblGrid>
        <w:gridCol w:w="1758"/>
        <w:gridCol w:w="4616"/>
        <w:gridCol w:w="3686"/>
      </w:tblGrid>
      <w:tr w:rsidR="00F13D31" w:rsidRPr="00EA130B" w14:paraId="016A28C4" w14:textId="77777777" w:rsidTr="008F3B7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58" w:type="dxa"/>
          </w:tcPr>
          <w:p w14:paraId="3E53D8D7" w14:textId="77777777" w:rsidR="00F13D31" w:rsidRPr="00915D63" w:rsidRDefault="00F13D31" w:rsidP="00530215">
            <w:pPr>
              <w:pStyle w:val="NoSpacing"/>
              <w:jc w:val="center"/>
              <w:rPr>
                <w:rFonts w:cstheme="minorHAnsi"/>
                <w:b w:val="0"/>
                <w:sz w:val="20"/>
                <w:szCs w:val="20"/>
              </w:rPr>
            </w:pPr>
            <w:r>
              <w:rPr>
                <w:rFonts w:cstheme="minorHAnsi"/>
                <w:sz w:val="20"/>
                <w:szCs w:val="20"/>
              </w:rPr>
              <w:t>soort relatie</w:t>
            </w:r>
          </w:p>
        </w:tc>
        <w:tc>
          <w:tcPr>
            <w:tcW w:w="4616" w:type="dxa"/>
          </w:tcPr>
          <w:p w14:paraId="31B292F0" w14:textId="6F8F72A5" w:rsidR="00F13D31" w:rsidRPr="00915D63" w:rsidRDefault="00FF613F" w:rsidP="00530215">
            <w:pPr>
              <w:pStyle w:val="NoSpacing"/>
              <w:jc w:val="center"/>
              <w:cnfStyle w:val="100000000000" w:firstRow="1" w:lastRow="0" w:firstColumn="0" w:lastColumn="0" w:oddVBand="0" w:evenVBand="0" w:oddHBand="0" w:evenHBand="0" w:firstRowFirstColumn="0" w:firstRowLastColumn="0" w:lastRowFirstColumn="0" w:lastRowLastColumn="0"/>
              <w:rPr>
                <w:rFonts w:cstheme="minorHAnsi"/>
                <w:b w:val="0"/>
                <w:sz w:val="20"/>
                <w:szCs w:val="20"/>
              </w:rPr>
            </w:pPr>
            <w:r w:rsidRPr="00915D63">
              <w:rPr>
                <w:rFonts w:cstheme="minorHAnsi"/>
                <w:sz w:val="20"/>
                <w:szCs w:val="20"/>
              </w:rPr>
              <w:t>I</w:t>
            </w:r>
            <w:r w:rsidR="00F13D31" w:rsidRPr="00915D63">
              <w:rPr>
                <w:rFonts w:cstheme="minorHAnsi"/>
                <w:sz w:val="20"/>
                <w:szCs w:val="20"/>
              </w:rPr>
              <w:t>ndicatoren</w:t>
            </w:r>
          </w:p>
        </w:tc>
        <w:tc>
          <w:tcPr>
            <w:tcW w:w="3686" w:type="dxa"/>
          </w:tcPr>
          <w:p w14:paraId="2ABBCB12" w14:textId="77777777" w:rsidR="00F13D31" w:rsidRPr="00915D63" w:rsidRDefault="00F13D31" w:rsidP="00530215">
            <w:pPr>
              <w:pStyle w:val="NoSpacing"/>
              <w:jc w:val="center"/>
              <w:cnfStyle w:val="100000000000" w:firstRow="1" w:lastRow="0" w:firstColumn="0" w:lastColumn="0" w:oddVBand="0" w:evenVBand="0" w:oddHBand="0" w:evenHBand="0" w:firstRowFirstColumn="0" w:firstRowLastColumn="0" w:lastRowFirstColumn="0" w:lastRowLastColumn="0"/>
              <w:rPr>
                <w:rFonts w:cstheme="minorHAnsi"/>
                <w:b w:val="0"/>
                <w:sz w:val="20"/>
                <w:szCs w:val="20"/>
              </w:rPr>
            </w:pPr>
            <w:r w:rsidRPr="00915D63">
              <w:rPr>
                <w:rFonts w:cstheme="minorHAnsi"/>
                <w:sz w:val="20"/>
                <w:szCs w:val="20"/>
              </w:rPr>
              <w:t>relatie</w:t>
            </w:r>
          </w:p>
        </w:tc>
      </w:tr>
      <w:tr w:rsidR="00F13D31" w14:paraId="3213271D" w14:textId="77777777" w:rsidTr="008F3B71">
        <w:tc>
          <w:tcPr>
            <w:cnfStyle w:val="001000000000" w:firstRow="0" w:lastRow="0" w:firstColumn="1" w:lastColumn="0" w:oddVBand="0" w:evenVBand="0" w:oddHBand="0" w:evenHBand="0" w:firstRowFirstColumn="0" w:firstRowLastColumn="0" w:lastRowFirstColumn="0" w:lastRowLastColumn="0"/>
            <w:tcW w:w="1758" w:type="dxa"/>
          </w:tcPr>
          <w:p w14:paraId="60AA95A8" w14:textId="77777777" w:rsidR="00F13D31" w:rsidRDefault="00F13D31" w:rsidP="00DB5F95">
            <w:pPr>
              <w:pStyle w:val="NoSpacing"/>
            </w:pPr>
            <w:r>
              <w:rPr>
                <w:rFonts w:cstheme="minorHAnsi"/>
                <w:sz w:val="20"/>
                <w:szCs w:val="20"/>
              </w:rPr>
              <w:t>coöperatief</w:t>
            </w:r>
            <w:r>
              <w:t xml:space="preserve"> </w:t>
            </w:r>
          </w:p>
          <w:p w14:paraId="0B3C3F8D" w14:textId="77777777" w:rsidR="00F13D31" w:rsidRDefault="00F13D31" w:rsidP="00DB5F95">
            <w:pPr>
              <w:pStyle w:val="NoSpacing"/>
            </w:pPr>
          </w:p>
          <w:p w14:paraId="215ECA48" w14:textId="7C335D58" w:rsidR="00F13D31" w:rsidRPr="00915D63" w:rsidRDefault="00C70134" w:rsidP="00DB5F95">
            <w:pPr>
              <w:pStyle w:val="NoSpacing"/>
              <w:rPr>
                <w:rFonts w:cstheme="minorHAnsi"/>
                <w:sz w:val="20"/>
                <w:szCs w:val="20"/>
              </w:rPr>
            </w:pPr>
            <w:r>
              <w:rPr>
                <w:rFonts w:cstheme="minorHAnsi"/>
                <w:sz w:val="20"/>
                <w:szCs w:val="20"/>
              </w:rPr>
              <w:t>strategische alliantie</w:t>
            </w:r>
          </w:p>
        </w:tc>
        <w:tc>
          <w:tcPr>
            <w:tcW w:w="4616" w:type="dxa"/>
          </w:tcPr>
          <w:p w14:paraId="4C82FFA0" w14:textId="227A5963" w:rsidR="00F13D31" w:rsidRPr="00915D63" w:rsidRDefault="00065442" w:rsidP="00530215">
            <w:pPr>
              <w:pStyle w:val="NoSpacing"/>
              <w:numPr>
                <w:ilvl w:val="0"/>
                <w:numId w:val="24"/>
              </w:numPr>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 xml:space="preserve">hoge </w:t>
            </w:r>
            <w:r w:rsidR="00F13D31" w:rsidRPr="00915D63">
              <w:rPr>
                <w:rFonts w:cstheme="minorHAnsi"/>
                <w:sz w:val="20"/>
                <w:szCs w:val="20"/>
              </w:rPr>
              <w:t xml:space="preserve">volwassenheidsniveau </w:t>
            </w:r>
          </w:p>
          <w:p w14:paraId="5895844D" w14:textId="6FED10B0" w:rsidR="00F13D31" w:rsidRPr="00915D63" w:rsidRDefault="00F13D31" w:rsidP="00530215">
            <w:pPr>
              <w:pStyle w:val="NoSpacing"/>
              <w:numPr>
                <w:ilvl w:val="0"/>
                <w:numId w:val="24"/>
              </w:numP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915D63">
              <w:rPr>
                <w:rFonts w:cstheme="minorHAnsi"/>
                <w:sz w:val="20"/>
                <w:szCs w:val="20"/>
              </w:rPr>
              <w:t>wederzijdse afhankelijkheid</w:t>
            </w:r>
          </w:p>
          <w:p w14:paraId="7B015C61" w14:textId="71C4E007" w:rsidR="00F13D31" w:rsidRPr="00915D63" w:rsidRDefault="00F13D31" w:rsidP="00530215">
            <w:pPr>
              <w:pStyle w:val="NoSpacing"/>
              <w:numPr>
                <w:ilvl w:val="0"/>
                <w:numId w:val="24"/>
              </w:numP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915D63">
              <w:rPr>
                <w:rFonts w:cstheme="minorHAnsi"/>
                <w:sz w:val="20"/>
                <w:szCs w:val="20"/>
              </w:rPr>
              <w:t>lange termijn focus</w:t>
            </w:r>
          </w:p>
          <w:p w14:paraId="7E41F058" w14:textId="262E2AD5" w:rsidR="00F13D31" w:rsidRPr="00915D63" w:rsidRDefault="00F13D31" w:rsidP="00530215">
            <w:pPr>
              <w:pStyle w:val="NoSpacing"/>
              <w:numPr>
                <w:ilvl w:val="0"/>
                <w:numId w:val="24"/>
              </w:numP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915D63">
              <w:rPr>
                <w:rFonts w:cstheme="minorHAnsi"/>
                <w:sz w:val="20"/>
                <w:szCs w:val="20"/>
              </w:rPr>
              <w:t>weinig controle en monitoring</w:t>
            </w:r>
          </w:p>
          <w:p w14:paraId="42AE4A98" w14:textId="23064D83" w:rsidR="00F13D31" w:rsidRPr="00915D63" w:rsidRDefault="00F13D31" w:rsidP="00530215">
            <w:pPr>
              <w:pStyle w:val="NoSpacing"/>
              <w:numPr>
                <w:ilvl w:val="0"/>
                <w:numId w:val="24"/>
              </w:numP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915D63">
              <w:rPr>
                <w:rFonts w:cstheme="minorHAnsi"/>
                <w:sz w:val="20"/>
                <w:szCs w:val="20"/>
              </w:rPr>
              <w:t>weinig leveranciers</w:t>
            </w:r>
          </w:p>
          <w:p w14:paraId="33706EFA" w14:textId="3ABD20AC" w:rsidR="00F13D31" w:rsidRPr="00915D63" w:rsidRDefault="00F13D31" w:rsidP="00530215">
            <w:pPr>
              <w:pStyle w:val="NoSpacing"/>
              <w:numPr>
                <w:ilvl w:val="0"/>
                <w:numId w:val="24"/>
              </w:numP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915D63">
              <w:rPr>
                <w:rFonts w:cstheme="minorHAnsi"/>
                <w:sz w:val="20"/>
                <w:szCs w:val="20"/>
              </w:rPr>
              <w:t>delen van risico’s en beloningen</w:t>
            </w:r>
          </w:p>
          <w:p w14:paraId="7B5E4AC7" w14:textId="7E09BB0B" w:rsidR="00F13D31" w:rsidRPr="00915D63" w:rsidRDefault="00F13D31" w:rsidP="00530215">
            <w:pPr>
              <w:pStyle w:val="NoSpacing"/>
              <w:numPr>
                <w:ilvl w:val="0"/>
                <w:numId w:val="24"/>
              </w:numP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915D63">
              <w:rPr>
                <w:rFonts w:cstheme="minorHAnsi"/>
                <w:sz w:val="20"/>
                <w:szCs w:val="20"/>
              </w:rPr>
              <w:t xml:space="preserve">coördinatie van strategie </w:t>
            </w:r>
          </w:p>
          <w:p w14:paraId="6B67ABF3" w14:textId="33C430F4" w:rsidR="00F13D31" w:rsidRDefault="00F13D31" w:rsidP="00530215">
            <w:pPr>
              <w:pStyle w:val="NoSpacing"/>
              <w:numPr>
                <w:ilvl w:val="0"/>
                <w:numId w:val="24"/>
              </w:numP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915D63">
              <w:rPr>
                <w:rFonts w:cstheme="minorHAnsi"/>
                <w:sz w:val="20"/>
                <w:szCs w:val="20"/>
              </w:rPr>
              <w:t>betrokkenheid en vertrouwen</w:t>
            </w:r>
          </w:p>
          <w:p w14:paraId="033C8CA1" w14:textId="11EA2D5B" w:rsidR="00F13D31" w:rsidRDefault="00F13D31" w:rsidP="00530215">
            <w:pPr>
              <w:pStyle w:val="NoSpacing"/>
              <w:numPr>
                <w:ilvl w:val="0"/>
                <w:numId w:val="24"/>
              </w:numPr>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tevreden leveranciers</w:t>
            </w:r>
          </w:p>
          <w:p w14:paraId="6E473506" w14:textId="77777777" w:rsidR="00F13D31" w:rsidRDefault="00F13D31" w:rsidP="00530215">
            <w:pPr>
              <w:pStyle w:val="NoSpacing"/>
              <w:numPr>
                <w:ilvl w:val="0"/>
                <w:numId w:val="24"/>
              </w:numPr>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groepsbelang</w:t>
            </w:r>
          </w:p>
          <w:p w14:paraId="44EBC000" w14:textId="0149C938" w:rsidR="00065442" w:rsidRPr="00915D63" w:rsidRDefault="00065442" w:rsidP="00530215">
            <w:pPr>
              <w:pStyle w:val="NoSpacing"/>
              <w:numPr>
                <w:ilvl w:val="0"/>
                <w:numId w:val="24"/>
              </w:numPr>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 xml:space="preserve">beëindiging van samenwerking als </w:t>
            </w:r>
            <w:proofErr w:type="gramStart"/>
            <w:r>
              <w:rPr>
                <w:rFonts w:cstheme="minorHAnsi"/>
                <w:sz w:val="20"/>
                <w:szCs w:val="20"/>
              </w:rPr>
              <w:t>één</w:t>
            </w:r>
            <w:proofErr w:type="gramEnd"/>
            <w:r>
              <w:rPr>
                <w:rFonts w:cstheme="minorHAnsi"/>
                <w:sz w:val="20"/>
                <w:szCs w:val="20"/>
              </w:rPr>
              <w:t xml:space="preserve"> van de partijen geen voordeel meer uit haalt</w:t>
            </w:r>
          </w:p>
        </w:tc>
        <w:tc>
          <w:tcPr>
            <w:tcW w:w="3686" w:type="dxa"/>
          </w:tcPr>
          <w:p w14:paraId="23318CBB" w14:textId="5E60BF43" w:rsidR="00F13D31" w:rsidRPr="00915D63" w:rsidRDefault="00530215" w:rsidP="00DB5F95">
            <w:pPr>
              <w:pStyle w:val="NoSpacing"/>
              <w:cnfStyle w:val="000000000000" w:firstRow="0" w:lastRow="0" w:firstColumn="0" w:lastColumn="0" w:oddVBand="0" w:evenVBand="0" w:oddHBand="0" w:evenHBand="0" w:firstRowFirstColumn="0" w:firstRowLastColumn="0" w:lastRowFirstColumn="0" w:lastRowLastColumn="0"/>
              <w:rPr>
                <w:rFonts w:cstheme="minorHAnsi"/>
                <w:sz w:val="20"/>
                <w:szCs w:val="20"/>
              </w:rPr>
            </w:pPr>
            <w:proofErr w:type="spellStart"/>
            <w:r>
              <w:rPr>
                <w:rFonts w:cstheme="minorHAnsi"/>
                <w:sz w:val="20"/>
                <w:szCs w:val="20"/>
              </w:rPr>
              <w:t>Principal</w:t>
            </w:r>
            <w:proofErr w:type="spellEnd"/>
            <w:r>
              <w:rPr>
                <w:rFonts w:cstheme="minorHAnsi"/>
                <w:sz w:val="20"/>
                <w:szCs w:val="20"/>
              </w:rPr>
              <w:t>-steward</w:t>
            </w:r>
          </w:p>
          <w:p w14:paraId="3EF0AC6A" w14:textId="02271FAA" w:rsidR="00F13D31" w:rsidRPr="00915D63" w:rsidRDefault="00530215" w:rsidP="00DB5F95">
            <w:pPr>
              <w:pStyle w:val="NoSpacing"/>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P</w:t>
            </w:r>
            <w:r w:rsidR="00F13D31" w:rsidRPr="00915D63">
              <w:rPr>
                <w:rFonts w:cstheme="minorHAnsi"/>
                <w:sz w:val="20"/>
                <w:szCs w:val="20"/>
              </w:rPr>
              <w:t>artnerschap</w:t>
            </w:r>
          </w:p>
        </w:tc>
      </w:tr>
      <w:tr w:rsidR="00F13D31" w14:paraId="702F87A3" w14:textId="77777777" w:rsidTr="008F3B71">
        <w:tc>
          <w:tcPr>
            <w:cnfStyle w:val="001000000000" w:firstRow="0" w:lastRow="0" w:firstColumn="1" w:lastColumn="0" w:oddVBand="0" w:evenVBand="0" w:oddHBand="0" w:evenHBand="0" w:firstRowFirstColumn="0" w:firstRowLastColumn="0" w:lastRowFirstColumn="0" w:lastRowLastColumn="0"/>
            <w:tcW w:w="1758" w:type="dxa"/>
          </w:tcPr>
          <w:p w14:paraId="23D05DC0" w14:textId="77777777" w:rsidR="00F13D31" w:rsidRDefault="00F13D31" w:rsidP="00DB5F95">
            <w:pPr>
              <w:pStyle w:val="NoSpacing"/>
              <w:rPr>
                <w:rFonts w:cstheme="minorHAnsi"/>
                <w:sz w:val="20"/>
                <w:szCs w:val="20"/>
              </w:rPr>
            </w:pPr>
            <w:r>
              <w:rPr>
                <w:rFonts w:cstheme="minorHAnsi"/>
                <w:sz w:val="20"/>
                <w:szCs w:val="20"/>
              </w:rPr>
              <w:t>transactioneel</w:t>
            </w:r>
            <w:r w:rsidRPr="00915D63">
              <w:rPr>
                <w:rFonts w:cstheme="minorHAnsi"/>
                <w:sz w:val="20"/>
                <w:szCs w:val="20"/>
              </w:rPr>
              <w:t xml:space="preserve"> </w:t>
            </w:r>
          </w:p>
          <w:p w14:paraId="0BA95CE7" w14:textId="77777777" w:rsidR="00F13D31" w:rsidRDefault="00F13D31" w:rsidP="00DB5F95">
            <w:pPr>
              <w:pStyle w:val="NoSpacing"/>
              <w:rPr>
                <w:rFonts w:cstheme="minorHAnsi"/>
                <w:sz w:val="20"/>
                <w:szCs w:val="20"/>
              </w:rPr>
            </w:pPr>
          </w:p>
          <w:p w14:paraId="7B5DCEB3" w14:textId="77777777" w:rsidR="00F13D31" w:rsidRPr="00915D63" w:rsidRDefault="00F13D31" w:rsidP="00DB5F95">
            <w:pPr>
              <w:pStyle w:val="NoSpacing"/>
              <w:rPr>
                <w:rFonts w:cstheme="minorHAnsi"/>
                <w:sz w:val="20"/>
                <w:szCs w:val="20"/>
              </w:rPr>
            </w:pPr>
            <w:r w:rsidRPr="00915D63">
              <w:rPr>
                <w:rFonts w:cstheme="minorHAnsi"/>
                <w:sz w:val="20"/>
                <w:szCs w:val="20"/>
              </w:rPr>
              <w:t>contradictoire competitie</w:t>
            </w:r>
          </w:p>
        </w:tc>
        <w:tc>
          <w:tcPr>
            <w:tcW w:w="4616" w:type="dxa"/>
          </w:tcPr>
          <w:p w14:paraId="58CF9F7D" w14:textId="67F8B1AF" w:rsidR="00F13D31" w:rsidRPr="00915D63" w:rsidRDefault="00F13D31" w:rsidP="00530215">
            <w:pPr>
              <w:pStyle w:val="NoSpacing"/>
              <w:numPr>
                <w:ilvl w:val="0"/>
                <w:numId w:val="25"/>
              </w:numP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915D63">
              <w:rPr>
                <w:rFonts w:cstheme="minorHAnsi"/>
                <w:sz w:val="20"/>
                <w:szCs w:val="20"/>
              </w:rPr>
              <w:t>veiligheid en risico vermijdende opdrachtgevers</w:t>
            </w:r>
          </w:p>
          <w:p w14:paraId="30265EFE" w14:textId="763F3DD4" w:rsidR="00F13D31" w:rsidRPr="00915D63" w:rsidRDefault="00F13D31" w:rsidP="00530215">
            <w:pPr>
              <w:pStyle w:val="NoSpacing"/>
              <w:numPr>
                <w:ilvl w:val="0"/>
                <w:numId w:val="25"/>
              </w:numP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915D63">
              <w:rPr>
                <w:rFonts w:cstheme="minorHAnsi"/>
                <w:sz w:val="20"/>
                <w:szCs w:val="20"/>
              </w:rPr>
              <w:t>streven naar kostenreductie</w:t>
            </w:r>
          </w:p>
          <w:p w14:paraId="4B171548" w14:textId="7CB77225" w:rsidR="00F13D31" w:rsidRPr="00915D63" w:rsidRDefault="00F13D31" w:rsidP="00530215">
            <w:pPr>
              <w:pStyle w:val="NoSpacing"/>
              <w:numPr>
                <w:ilvl w:val="0"/>
                <w:numId w:val="25"/>
              </w:numP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915D63">
              <w:rPr>
                <w:rFonts w:cstheme="minorHAnsi"/>
                <w:sz w:val="20"/>
                <w:szCs w:val="20"/>
              </w:rPr>
              <w:t>concurrentie tussen leveranciers</w:t>
            </w:r>
          </w:p>
          <w:p w14:paraId="4F985148" w14:textId="627CC951" w:rsidR="00F13D31" w:rsidRPr="00915D63" w:rsidRDefault="00F13D31" w:rsidP="00530215">
            <w:pPr>
              <w:pStyle w:val="NoSpacing"/>
              <w:numPr>
                <w:ilvl w:val="0"/>
                <w:numId w:val="25"/>
              </w:numP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915D63">
              <w:rPr>
                <w:rFonts w:cstheme="minorHAnsi"/>
                <w:sz w:val="20"/>
                <w:szCs w:val="20"/>
              </w:rPr>
              <w:t>prijs is leidend</w:t>
            </w:r>
          </w:p>
          <w:p w14:paraId="2173271A" w14:textId="5506F63D" w:rsidR="00F13D31" w:rsidRPr="00915D63" w:rsidRDefault="00F13D31" w:rsidP="00530215">
            <w:pPr>
              <w:pStyle w:val="NoSpacing"/>
              <w:numPr>
                <w:ilvl w:val="0"/>
                <w:numId w:val="25"/>
              </w:numP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915D63">
              <w:rPr>
                <w:rFonts w:cstheme="minorHAnsi"/>
                <w:sz w:val="20"/>
                <w:szCs w:val="20"/>
              </w:rPr>
              <w:t>terughoudendheid om informatie te delen</w:t>
            </w:r>
          </w:p>
          <w:p w14:paraId="59AFD228" w14:textId="1AFD858F" w:rsidR="00F13D31" w:rsidRDefault="00F13D31" w:rsidP="00530215">
            <w:pPr>
              <w:pStyle w:val="NoSpacing"/>
              <w:numPr>
                <w:ilvl w:val="0"/>
                <w:numId w:val="25"/>
              </w:numPr>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915D63">
              <w:rPr>
                <w:rFonts w:cstheme="minorHAnsi"/>
                <w:sz w:val="20"/>
                <w:szCs w:val="20"/>
              </w:rPr>
              <w:t>competitieve houding</w:t>
            </w:r>
          </w:p>
          <w:p w14:paraId="491E2DD6" w14:textId="726D7BC8" w:rsidR="00F13D31" w:rsidRDefault="00F13D31" w:rsidP="00530215">
            <w:pPr>
              <w:pStyle w:val="NoSpacing"/>
              <w:numPr>
                <w:ilvl w:val="0"/>
                <w:numId w:val="25"/>
              </w:numPr>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geen monitoring van leveranciers</w:t>
            </w:r>
          </w:p>
          <w:p w14:paraId="25D13466" w14:textId="7090A48B" w:rsidR="00F13D31" w:rsidRDefault="00F13D31" w:rsidP="00530215">
            <w:pPr>
              <w:pStyle w:val="NoSpacing"/>
              <w:numPr>
                <w:ilvl w:val="0"/>
                <w:numId w:val="25"/>
              </w:numPr>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opportunistische leverancier</w:t>
            </w:r>
          </w:p>
          <w:p w14:paraId="65D3F5BC" w14:textId="23476ECE" w:rsidR="00F13D31" w:rsidRPr="00915D63" w:rsidRDefault="00F13D31" w:rsidP="00530215">
            <w:pPr>
              <w:pStyle w:val="NoSpacing"/>
              <w:numPr>
                <w:ilvl w:val="0"/>
                <w:numId w:val="25"/>
              </w:numPr>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eigen belang</w:t>
            </w:r>
          </w:p>
        </w:tc>
        <w:tc>
          <w:tcPr>
            <w:tcW w:w="3686" w:type="dxa"/>
          </w:tcPr>
          <w:p w14:paraId="0F870E7B" w14:textId="3EBEC287" w:rsidR="00F13D31" w:rsidRPr="00915D63" w:rsidRDefault="00530215" w:rsidP="00DB5F95">
            <w:pPr>
              <w:pStyle w:val="NoSpacing"/>
              <w:cnfStyle w:val="000000000000" w:firstRow="0" w:lastRow="0" w:firstColumn="0" w:lastColumn="0" w:oddVBand="0" w:evenVBand="0" w:oddHBand="0" w:evenHBand="0" w:firstRowFirstColumn="0" w:firstRowLastColumn="0" w:lastRowFirstColumn="0" w:lastRowLastColumn="0"/>
              <w:rPr>
                <w:rFonts w:cstheme="minorHAnsi"/>
                <w:sz w:val="20"/>
                <w:szCs w:val="20"/>
              </w:rPr>
            </w:pPr>
            <w:proofErr w:type="spellStart"/>
            <w:r>
              <w:rPr>
                <w:rFonts w:cstheme="minorHAnsi"/>
                <w:sz w:val="20"/>
                <w:szCs w:val="20"/>
              </w:rPr>
              <w:t>P</w:t>
            </w:r>
            <w:r w:rsidR="00F13D31" w:rsidRPr="00915D63">
              <w:rPr>
                <w:rFonts w:cstheme="minorHAnsi"/>
                <w:sz w:val="20"/>
                <w:szCs w:val="20"/>
              </w:rPr>
              <w:t>rincipal</w:t>
            </w:r>
            <w:proofErr w:type="spellEnd"/>
            <w:r w:rsidR="00F13D31" w:rsidRPr="00915D63">
              <w:rPr>
                <w:rFonts w:cstheme="minorHAnsi"/>
                <w:sz w:val="20"/>
                <w:szCs w:val="20"/>
              </w:rPr>
              <w:t>-agent</w:t>
            </w:r>
          </w:p>
          <w:p w14:paraId="4B434EB6" w14:textId="77777777" w:rsidR="00F13D31" w:rsidRPr="00915D63" w:rsidRDefault="00F13D31" w:rsidP="00DB5F95">
            <w:pPr>
              <w:pStyle w:val="NoSpacing"/>
              <w:cnfStyle w:val="000000000000" w:firstRow="0" w:lastRow="0" w:firstColumn="0" w:lastColumn="0" w:oddVBand="0" w:evenVBand="0" w:oddHBand="0" w:evenHBand="0" w:firstRowFirstColumn="0" w:firstRowLastColumn="0" w:lastRowFirstColumn="0" w:lastRowLastColumn="0"/>
              <w:rPr>
                <w:rFonts w:cstheme="minorHAnsi"/>
                <w:sz w:val="20"/>
                <w:szCs w:val="20"/>
              </w:rPr>
            </w:pPr>
          </w:p>
        </w:tc>
      </w:tr>
    </w:tbl>
    <w:p w14:paraId="659A5D42" w14:textId="3662301F" w:rsidR="00901808" w:rsidRPr="00D10775" w:rsidRDefault="00901808" w:rsidP="00D10775">
      <w:pPr>
        <w:pStyle w:val="Caption"/>
        <w:rPr>
          <w:rFonts w:eastAsiaTheme="minorHAnsi"/>
        </w:rPr>
      </w:pPr>
      <w:r w:rsidRPr="00D10775">
        <w:t xml:space="preserve">Tabel </w:t>
      </w:r>
      <w:r w:rsidR="005A38AE">
        <w:t>5</w:t>
      </w:r>
      <w:r w:rsidRPr="00D10775">
        <w:t xml:space="preserve">: Schematische uiteenzetting van de twee soorten relaties binnen de opdrachtgeverschap.  </w:t>
      </w:r>
    </w:p>
    <w:p w14:paraId="6DF8A3A9" w14:textId="77777777" w:rsidR="00901808" w:rsidRDefault="00901808" w:rsidP="00901808">
      <w:pPr>
        <w:spacing w:after="0" w:line="276" w:lineRule="auto"/>
        <w:rPr>
          <w:rFonts w:asciiTheme="minorHAnsi" w:eastAsiaTheme="minorHAnsi" w:hAnsiTheme="minorHAnsi" w:cs="Arial"/>
          <w:b/>
          <w:color w:val="000000" w:themeColor="text1"/>
          <w:sz w:val="24"/>
          <w:szCs w:val="22"/>
        </w:rPr>
      </w:pPr>
    </w:p>
    <w:p w14:paraId="153EA0AF" w14:textId="77777777" w:rsidR="000E3FEC" w:rsidRDefault="000E3FEC">
      <w:pPr>
        <w:kinsoku/>
        <w:autoSpaceDE/>
        <w:autoSpaceDN/>
        <w:adjustRightInd/>
        <w:spacing w:after="160" w:line="259" w:lineRule="auto"/>
        <w:rPr>
          <w:rFonts w:asciiTheme="minorHAnsi" w:eastAsiaTheme="minorHAnsi" w:hAnsiTheme="minorHAnsi"/>
          <w:b/>
          <w:color w:val="1F3864" w:themeColor="accent1" w:themeShade="80"/>
          <w:sz w:val="24"/>
        </w:rPr>
      </w:pPr>
      <w:r>
        <w:rPr>
          <w:color w:val="1F3864" w:themeColor="accent1" w:themeShade="80"/>
        </w:rPr>
        <w:br w:type="page"/>
      </w:r>
    </w:p>
    <w:p w14:paraId="2C52F3F4" w14:textId="03708322" w:rsidR="00901808" w:rsidRPr="003B56D6" w:rsidRDefault="00901808" w:rsidP="00197AB4">
      <w:pPr>
        <w:pStyle w:val="Heading2"/>
        <w:rPr>
          <w:color w:val="1F3864" w:themeColor="accent1" w:themeShade="80"/>
          <w:sz w:val="22"/>
        </w:rPr>
      </w:pPr>
      <w:bookmarkStart w:id="77" w:name="_Toc517455462"/>
      <w:r w:rsidRPr="003B56D6">
        <w:rPr>
          <w:color w:val="1F3864" w:themeColor="accent1" w:themeShade="80"/>
        </w:rPr>
        <w:lastRenderedPageBreak/>
        <w:t>Antwoord op de afhankelijkheid</w:t>
      </w:r>
      <w:r w:rsidR="00CE73A2" w:rsidRPr="003B56D6">
        <w:rPr>
          <w:color w:val="1F3864" w:themeColor="accent1" w:themeShade="80"/>
        </w:rPr>
        <w:t xml:space="preserve"> (3</w:t>
      </w:r>
      <w:r w:rsidR="00F42582" w:rsidRPr="003B56D6">
        <w:rPr>
          <w:color w:val="1F3864" w:themeColor="accent1" w:themeShade="80"/>
        </w:rPr>
        <w:t>)</w:t>
      </w:r>
      <w:r w:rsidRPr="003B56D6">
        <w:rPr>
          <w:color w:val="1F3864" w:themeColor="accent1" w:themeShade="80"/>
        </w:rPr>
        <w:t>: gezamenlijk inkopen</w:t>
      </w:r>
      <w:bookmarkEnd w:id="77"/>
    </w:p>
    <w:p w14:paraId="5FFD889E" w14:textId="11F1B294" w:rsidR="00F6703F" w:rsidRPr="00442509" w:rsidRDefault="002C2A5E" w:rsidP="00F16AE3">
      <w:pPr>
        <w:pStyle w:val="NoSpacing"/>
        <w:spacing w:line="276" w:lineRule="auto"/>
        <w:rPr>
          <w:color w:val="000000" w:themeColor="text1"/>
        </w:rPr>
      </w:pPr>
      <w:r>
        <w:rPr>
          <w:color w:val="000000" w:themeColor="text1"/>
        </w:rPr>
        <w:t>Gezamenlijk inkoop is de derde antwoord op de ontstane kennisasymmetrie.</w:t>
      </w:r>
      <w:r w:rsidR="00901808" w:rsidRPr="00442509">
        <w:rPr>
          <w:color w:val="000000" w:themeColor="text1"/>
        </w:rPr>
        <w:t xml:space="preserve"> </w:t>
      </w:r>
      <w:r>
        <w:rPr>
          <w:color w:val="000000" w:themeColor="text1"/>
        </w:rPr>
        <w:t>O</w:t>
      </w:r>
      <w:r w:rsidR="00615C2F" w:rsidRPr="00442509">
        <w:rPr>
          <w:color w:val="000000" w:themeColor="text1"/>
        </w:rPr>
        <w:t>rganisaties</w:t>
      </w:r>
      <w:r>
        <w:rPr>
          <w:color w:val="000000" w:themeColor="text1"/>
        </w:rPr>
        <w:t xml:space="preserve"> kunnen</w:t>
      </w:r>
      <w:r w:rsidR="00901808" w:rsidRPr="00442509">
        <w:rPr>
          <w:color w:val="000000" w:themeColor="text1"/>
        </w:rPr>
        <w:t xml:space="preserve"> hun positie versterken door samen te werken</w:t>
      </w:r>
      <w:r w:rsidR="00615C2F" w:rsidRPr="00442509">
        <w:rPr>
          <w:color w:val="000000" w:themeColor="text1"/>
        </w:rPr>
        <w:t xml:space="preserve"> en krachten te bundelen</w:t>
      </w:r>
      <w:r w:rsidR="00F42582" w:rsidRPr="00442509">
        <w:rPr>
          <w:color w:val="000000" w:themeColor="text1"/>
        </w:rPr>
        <w:t xml:space="preserve"> </w:t>
      </w:r>
      <w:bookmarkStart w:id="78" w:name="_Hlk511232455"/>
      <w:r w:rsidR="00F42582" w:rsidRPr="00442509">
        <w:rPr>
          <w:color w:val="000000" w:themeColor="text1"/>
        </w:rPr>
        <w:t>(Harrison, 2001; Gibbs, 1998)</w:t>
      </w:r>
      <w:bookmarkEnd w:id="78"/>
      <w:r w:rsidR="00901808" w:rsidRPr="00442509">
        <w:rPr>
          <w:color w:val="000000" w:themeColor="text1"/>
        </w:rPr>
        <w:t xml:space="preserve">. </w:t>
      </w:r>
      <w:r w:rsidR="00615C2F" w:rsidRPr="00442509">
        <w:rPr>
          <w:color w:val="000000" w:themeColor="text1"/>
        </w:rPr>
        <w:t xml:space="preserve">Kleine </w:t>
      </w:r>
      <w:r>
        <w:rPr>
          <w:color w:val="000000" w:themeColor="text1"/>
        </w:rPr>
        <w:t>en</w:t>
      </w:r>
      <w:r w:rsidR="00615C2F" w:rsidRPr="00442509">
        <w:rPr>
          <w:color w:val="000000" w:themeColor="text1"/>
        </w:rPr>
        <w:t xml:space="preserve"> middelgrote organisaties zijn individueel </w:t>
      </w:r>
      <w:r w:rsidR="00901808" w:rsidRPr="00442509">
        <w:rPr>
          <w:color w:val="000000" w:themeColor="text1"/>
        </w:rPr>
        <w:t xml:space="preserve">veelal te klein om echt inzicht te hebben in de mogelijkheden van de markt en in de eigen wensen. </w:t>
      </w:r>
      <w:r w:rsidR="00F6703F" w:rsidRPr="00442509">
        <w:rPr>
          <w:color w:val="000000" w:themeColor="text1"/>
        </w:rPr>
        <w:t>Voortgezet onderwijsinstellingen</w:t>
      </w:r>
      <w:r w:rsidR="003B17F9" w:rsidRPr="00442509">
        <w:rPr>
          <w:color w:val="000000" w:themeColor="text1"/>
        </w:rPr>
        <w:t xml:space="preserve"> kopen in op een krappe en ongedifferentieerde markt waarin slechts enkele grote leveranciers van </w:t>
      </w:r>
      <w:r w:rsidR="00F6703F" w:rsidRPr="00442509">
        <w:rPr>
          <w:color w:val="000000" w:themeColor="text1"/>
        </w:rPr>
        <w:t>(</w:t>
      </w:r>
      <w:r w:rsidR="003B17F9" w:rsidRPr="00442509">
        <w:rPr>
          <w:color w:val="000000" w:themeColor="text1"/>
        </w:rPr>
        <w:t>digitale</w:t>
      </w:r>
      <w:r w:rsidR="00F6703F" w:rsidRPr="00442509">
        <w:rPr>
          <w:color w:val="000000" w:themeColor="text1"/>
        </w:rPr>
        <w:t>)</w:t>
      </w:r>
      <w:r w:rsidR="003B17F9" w:rsidRPr="00442509">
        <w:rPr>
          <w:color w:val="000000" w:themeColor="text1"/>
        </w:rPr>
        <w:t xml:space="preserve"> leermiddelen actief zijn die </w:t>
      </w:r>
      <w:r w:rsidR="00F6703F" w:rsidRPr="00442509">
        <w:rPr>
          <w:color w:val="000000" w:themeColor="text1"/>
        </w:rPr>
        <w:t>tevens</w:t>
      </w:r>
      <w:r w:rsidR="003B17F9" w:rsidRPr="00442509">
        <w:rPr>
          <w:color w:val="000000" w:themeColor="text1"/>
        </w:rPr>
        <w:t xml:space="preserve"> aanbodgericht werken</w:t>
      </w:r>
      <w:r w:rsidR="00F42582" w:rsidRPr="00442509">
        <w:rPr>
          <w:color w:val="000000" w:themeColor="text1"/>
        </w:rPr>
        <w:t xml:space="preserve"> </w:t>
      </w:r>
      <w:r w:rsidR="003B17F9" w:rsidRPr="00442509">
        <w:rPr>
          <w:color w:val="000000" w:themeColor="text1"/>
        </w:rPr>
        <w:t xml:space="preserve">(Van Aken, 2007). </w:t>
      </w:r>
      <w:r>
        <w:rPr>
          <w:color w:val="000000" w:themeColor="text1"/>
        </w:rPr>
        <w:t>Hierin de</w:t>
      </w:r>
      <w:r w:rsidR="00F6703F" w:rsidRPr="00442509">
        <w:rPr>
          <w:color w:val="000000" w:themeColor="text1"/>
        </w:rPr>
        <w:t xml:space="preserve"> onderhandelingsmacht onevenredig</w:t>
      </w:r>
      <w:r>
        <w:rPr>
          <w:color w:val="000000" w:themeColor="text1"/>
        </w:rPr>
        <w:t xml:space="preserve"> verdeeld.</w:t>
      </w:r>
      <w:r w:rsidR="00F6703F" w:rsidRPr="00442509">
        <w:rPr>
          <w:color w:val="000000" w:themeColor="text1"/>
        </w:rPr>
        <w:t xml:space="preserve"> </w:t>
      </w:r>
    </w:p>
    <w:p w14:paraId="14213149" w14:textId="69F9D97D" w:rsidR="0074074D" w:rsidRPr="00442509" w:rsidRDefault="0052705E" w:rsidP="0052705E">
      <w:pPr>
        <w:pStyle w:val="NoSpacing"/>
        <w:spacing w:line="276" w:lineRule="auto"/>
        <w:ind w:firstLine="708"/>
        <w:rPr>
          <w:color w:val="000000" w:themeColor="text1"/>
        </w:rPr>
      </w:pPr>
      <w:r w:rsidRPr="00442509">
        <w:rPr>
          <w:color w:val="000000" w:themeColor="text1"/>
        </w:rPr>
        <w:t xml:space="preserve">Bundeling van krachten biedt oplossing. </w:t>
      </w:r>
      <w:r w:rsidR="00615C2F" w:rsidRPr="00442509">
        <w:rPr>
          <w:color w:val="000000" w:themeColor="text1"/>
        </w:rPr>
        <w:t>In</w:t>
      </w:r>
      <w:r w:rsidR="00901808" w:rsidRPr="00442509">
        <w:rPr>
          <w:color w:val="000000" w:themeColor="text1"/>
        </w:rPr>
        <w:t xml:space="preserve"> samen</w:t>
      </w:r>
      <w:r w:rsidR="00615C2F" w:rsidRPr="00442509">
        <w:rPr>
          <w:color w:val="000000" w:themeColor="text1"/>
        </w:rPr>
        <w:t xml:space="preserve">werkingsverbanden en via gemeenschappen kan er </w:t>
      </w:r>
      <w:r w:rsidR="00901808" w:rsidRPr="00442509">
        <w:rPr>
          <w:color w:val="000000" w:themeColor="text1"/>
        </w:rPr>
        <w:t xml:space="preserve">collectief worden ingekocht. </w:t>
      </w:r>
      <w:bookmarkStart w:id="79" w:name="_Hlk511232510"/>
      <w:r w:rsidR="00901808" w:rsidRPr="00442509">
        <w:rPr>
          <w:color w:val="000000" w:themeColor="text1"/>
        </w:rPr>
        <w:t xml:space="preserve">Volgens Harrison (2001) </w:t>
      </w:r>
      <w:r w:rsidR="00D62E1F" w:rsidRPr="00442509">
        <w:rPr>
          <w:color w:val="000000" w:themeColor="text1"/>
        </w:rPr>
        <w:t xml:space="preserve">en </w:t>
      </w:r>
      <w:proofErr w:type="spellStart"/>
      <w:r w:rsidR="00D62E1F" w:rsidRPr="00442509">
        <w:rPr>
          <w:color w:val="000000" w:themeColor="text1"/>
        </w:rPr>
        <w:t>Boyne</w:t>
      </w:r>
      <w:proofErr w:type="spellEnd"/>
      <w:r w:rsidR="00D62E1F" w:rsidRPr="00442509">
        <w:rPr>
          <w:color w:val="000000" w:themeColor="text1"/>
        </w:rPr>
        <w:t xml:space="preserve"> (1995) </w:t>
      </w:r>
      <w:r w:rsidR="00901808" w:rsidRPr="00442509">
        <w:rPr>
          <w:color w:val="000000" w:themeColor="text1"/>
        </w:rPr>
        <w:t>kan bij een centraal gecoördineerde inkoop een groter inkoopkracht worden bereikt. De ond</w:t>
      </w:r>
      <w:r w:rsidR="00615C2F" w:rsidRPr="00442509">
        <w:rPr>
          <w:color w:val="000000" w:themeColor="text1"/>
        </w:rPr>
        <w:t xml:space="preserve">erhandelingspositie </w:t>
      </w:r>
      <w:r w:rsidR="00901808" w:rsidRPr="00442509">
        <w:rPr>
          <w:color w:val="000000" w:themeColor="text1"/>
        </w:rPr>
        <w:t>wordt aanzienlijk versterkt</w:t>
      </w:r>
      <w:r w:rsidRPr="00442509">
        <w:rPr>
          <w:color w:val="000000" w:themeColor="text1"/>
        </w:rPr>
        <w:t>,</w:t>
      </w:r>
      <w:r w:rsidR="00901808" w:rsidRPr="00442509">
        <w:rPr>
          <w:color w:val="000000" w:themeColor="text1"/>
        </w:rPr>
        <w:t xml:space="preserve"> waardoor er betere condities kunnen worden gecreëerd ten opzichte van </w:t>
      </w:r>
      <w:r w:rsidR="00615C2F" w:rsidRPr="00442509">
        <w:rPr>
          <w:color w:val="000000" w:themeColor="text1"/>
        </w:rPr>
        <w:t>de markt</w:t>
      </w:r>
      <w:r w:rsidR="00901808" w:rsidRPr="00442509">
        <w:rPr>
          <w:color w:val="000000" w:themeColor="text1"/>
        </w:rPr>
        <w:t xml:space="preserve"> (Harrison, 2001).</w:t>
      </w:r>
      <w:bookmarkEnd w:id="79"/>
      <w:r w:rsidR="00901808" w:rsidRPr="00442509">
        <w:rPr>
          <w:color w:val="000000" w:themeColor="text1"/>
        </w:rPr>
        <w:t xml:space="preserve"> Organisaties werken samen met het doel voordelen te behalen</w:t>
      </w:r>
      <w:r w:rsidR="00615C2F" w:rsidRPr="00442509">
        <w:rPr>
          <w:color w:val="000000" w:themeColor="text1"/>
        </w:rPr>
        <w:t xml:space="preserve"> binnen synergiën</w:t>
      </w:r>
      <w:r w:rsidR="00901808" w:rsidRPr="00442509">
        <w:rPr>
          <w:color w:val="000000" w:themeColor="text1"/>
        </w:rPr>
        <w:t xml:space="preserve"> (AT. </w:t>
      </w:r>
      <w:r w:rsidR="00901808" w:rsidRPr="00442509">
        <w:rPr>
          <w:color w:val="000000" w:themeColor="text1"/>
          <w:lang w:val="en-US"/>
        </w:rPr>
        <w:t>Kearn</w:t>
      </w:r>
      <w:r w:rsidRPr="00442509">
        <w:rPr>
          <w:color w:val="000000" w:themeColor="text1"/>
          <w:lang w:val="en-US"/>
        </w:rPr>
        <w:t xml:space="preserve">ey, </w:t>
      </w:r>
      <w:proofErr w:type="spellStart"/>
      <w:r w:rsidRPr="00442509">
        <w:rPr>
          <w:color w:val="000000" w:themeColor="text1"/>
          <w:lang w:val="en-US"/>
        </w:rPr>
        <w:t>aangehaald</w:t>
      </w:r>
      <w:proofErr w:type="spellEnd"/>
      <w:r w:rsidRPr="00442509">
        <w:rPr>
          <w:color w:val="000000" w:themeColor="text1"/>
          <w:lang w:val="en-US"/>
        </w:rPr>
        <w:t xml:space="preserve"> in Gibbs, 1998). </w:t>
      </w:r>
      <w:proofErr w:type="spellStart"/>
      <w:r w:rsidR="00901808" w:rsidRPr="00442509">
        <w:rPr>
          <w:color w:val="000000" w:themeColor="text1"/>
          <w:lang w:val="en-US"/>
        </w:rPr>
        <w:t>Rozemeijer</w:t>
      </w:r>
      <w:proofErr w:type="spellEnd"/>
      <w:r w:rsidR="00901808" w:rsidRPr="00442509">
        <w:rPr>
          <w:color w:val="000000" w:themeColor="text1"/>
          <w:lang w:val="en-US"/>
        </w:rPr>
        <w:t xml:space="preserve"> (</w:t>
      </w:r>
      <w:r w:rsidRPr="00442509">
        <w:rPr>
          <w:color w:val="000000" w:themeColor="text1"/>
          <w:lang w:val="en-US"/>
        </w:rPr>
        <w:t xml:space="preserve">2000) </w:t>
      </w:r>
      <w:proofErr w:type="spellStart"/>
      <w:r w:rsidRPr="00442509">
        <w:rPr>
          <w:color w:val="000000" w:themeColor="text1"/>
          <w:lang w:val="en-US"/>
        </w:rPr>
        <w:t>beschrijft</w:t>
      </w:r>
      <w:proofErr w:type="spellEnd"/>
      <w:r w:rsidRPr="00442509">
        <w:rPr>
          <w:color w:val="000000" w:themeColor="text1"/>
          <w:lang w:val="en-US"/>
        </w:rPr>
        <w:t xml:space="preserve"> </w:t>
      </w:r>
      <w:proofErr w:type="spellStart"/>
      <w:r w:rsidRPr="00442509">
        <w:rPr>
          <w:color w:val="000000" w:themeColor="text1"/>
          <w:lang w:val="en-US"/>
        </w:rPr>
        <w:t>deze</w:t>
      </w:r>
      <w:proofErr w:type="spellEnd"/>
      <w:r w:rsidRPr="00442509">
        <w:rPr>
          <w:color w:val="000000" w:themeColor="text1"/>
          <w:lang w:val="en-US"/>
        </w:rPr>
        <w:t xml:space="preserve"> </w:t>
      </w:r>
      <w:proofErr w:type="spellStart"/>
      <w:r w:rsidRPr="00442509">
        <w:rPr>
          <w:color w:val="000000" w:themeColor="text1"/>
          <w:lang w:val="en-US"/>
        </w:rPr>
        <w:t>synergiën</w:t>
      </w:r>
      <w:proofErr w:type="spellEnd"/>
      <w:r w:rsidR="00901808" w:rsidRPr="00442509">
        <w:rPr>
          <w:color w:val="000000" w:themeColor="text1"/>
          <w:lang w:val="en-US"/>
        </w:rPr>
        <w:t xml:space="preserve"> </w:t>
      </w:r>
      <w:proofErr w:type="spellStart"/>
      <w:r w:rsidR="007204EB" w:rsidRPr="00442509">
        <w:rPr>
          <w:color w:val="000000" w:themeColor="text1"/>
          <w:lang w:val="en-US"/>
        </w:rPr>
        <w:t>als</w:t>
      </w:r>
      <w:proofErr w:type="spellEnd"/>
      <w:r w:rsidR="00901808" w:rsidRPr="00442509">
        <w:rPr>
          <w:color w:val="000000" w:themeColor="text1"/>
          <w:lang w:val="en-US"/>
        </w:rPr>
        <w:t xml:space="preserve"> “</w:t>
      </w:r>
      <w:r w:rsidR="00901808" w:rsidRPr="00442509">
        <w:rPr>
          <w:i/>
          <w:iCs/>
          <w:color w:val="000000" w:themeColor="text1"/>
          <w:lang w:val="en-US"/>
        </w:rPr>
        <w:t xml:space="preserve">the </w:t>
      </w:r>
      <w:r w:rsidR="00901808" w:rsidRPr="00442509">
        <w:rPr>
          <w:color w:val="000000" w:themeColor="text1"/>
          <w:lang w:val="en-US"/>
        </w:rPr>
        <w:t>v</w:t>
      </w:r>
      <w:r w:rsidR="00901808" w:rsidRPr="00442509">
        <w:rPr>
          <w:i/>
          <w:iCs/>
          <w:color w:val="000000" w:themeColor="text1"/>
          <w:lang w:val="en-US"/>
        </w:rPr>
        <w:t>alue that is added when two or more business units (or purchasing departments) join their forces (e.g. combined buying) and</w:t>
      </w:r>
      <w:r w:rsidR="00901808" w:rsidRPr="00442509">
        <w:rPr>
          <w:color w:val="000000" w:themeColor="text1"/>
          <w:lang w:val="en-US"/>
        </w:rPr>
        <w:t>/</w:t>
      </w:r>
      <w:r w:rsidR="00901808" w:rsidRPr="00442509">
        <w:rPr>
          <w:i/>
          <w:iCs/>
          <w:color w:val="000000" w:themeColor="text1"/>
          <w:lang w:val="en-US"/>
        </w:rPr>
        <w:t>or share resources, information, and</w:t>
      </w:r>
      <w:r w:rsidR="00901808" w:rsidRPr="00442509">
        <w:rPr>
          <w:color w:val="000000" w:themeColor="text1"/>
          <w:lang w:val="en-US"/>
        </w:rPr>
        <w:t>/</w:t>
      </w:r>
      <w:r w:rsidR="00901808" w:rsidRPr="00442509">
        <w:rPr>
          <w:i/>
          <w:iCs/>
          <w:color w:val="000000" w:themeColor="text1"/>
          <w:lang w:val="en-US"/>
        </w:rPr>
        <w:t>or knowledge in the area of purchasing</w:t>
      </w:r>
      <w:r w:rsidR="00901808" w:rsidRPr="00442509">
        <w:rPr>
          <w:color w:val="000000" w:themeColor="text1"/>
          <w:lang w:val="en-US"/>
        </w:rPr>
        <w:t xml:space="preserve">” (p.7). </w:t>
      </w:r>
      <w:r w:rsidR="00901808" w:rsidRPr="00442509">
        <w:rPr>
          <w:color w:val="000000" w:themeColor="text1"/>
        </w:rPr>
        <w:t>Het aangaan van synergiën ter wille van inkoop is met name zichtbaar binnen de technologie branche (</w:t>
      </w:r>
      <w:r w:rsidR="007204EB" w:rsidRPr="00442509">
        <w:rPr>
          <w:color w:val="000000" w:themeColor="text1"/>
        </w:rPr>
        <w:t>Kog</w:t>
      </w:r>
      <w:r w:rsidR="00901808" w:rsidRPr="00442509">
        <w:rPr>
          <w:color w:val="000000" w:themeColor="text1"/>
        </w:rPr>
        <w:t>, 1993). ICT leent zich namelijk goed v</w:t>
      </w:r>
      <w:r w:rsidR="0074074D" w:rsidRPr="00442509">
        <w:rPr>
          <w:color w:val="000000" w:themeColor="text1"/>
        </w:rPr>
        <w:t>oor gestandaardiseerd</w:t>
      </w:r>
      <w:r w:rsidR="009C0AF2">
        <w:rPr>
          <w:color w:val="000000" w:themeColor="text1"/>
        </w:rPr>
        <w:t>e</w:t>
      </w:r>
      <w:r w:rsidR="0074074D" w:rsidRPr="00442509">
        <w:rPr>
          <w:color w:val="000000" w:themeColor="text1"/>
        </w:rPr>
        <w:t xml:space="preserve"> inkoop. Op organisatorisch niveau heeft synergie betrekking op het principe dat twee of meer delen meer waarde kunnen creëren dan de delen afzonderlijk. </w:t>
      </w:r>
      <w:proofErr w:type="spellStart"/>
      <w:r w:rsidR="0074074D" w:rsidRPr="00442509">
        <w:rPr>
          <w:color w:val="000000" w:themeColor="text1"/>
        </w:rPr>
        <w:t>Rozemeijer</w:t>
      </w:r>
      <w:proofErr w:type="spellEnd"/>
      <w:r w:rsidR="0074074D" w:rsidRPr="00442509">
        <w:rPr>
          <w:color w:val="000000" w:themeColor="text1"/>
        </w:rPr>
        <w:t xml:space="preserve"> (2000) geeft een overzicht van de principes van een synergie</w:t>
      </w:r>
      <w:r w:rsidR="00D43714" w:rsidRPr="00442509">
        <w:rPr>
          <w:color w:val="000000" w:themeColor="text1"/>
        </w:rPr>
        <w:t xml:space="preserve"> voor inkoop</w:t>
      </w:r>
      <w:r w:rsidR="0074074D" w:rsidRPr="00442509">
        <w:rPr>
          <w:color w:val="000000" w:themeColor="text1"/>
        </w:rPr>
        <w:t>:</w:t>
      </w:r>
    </w:p>
    <w:p w14:paraId="586C8107" w14:textId="6C52199E" w:rsidR="0074074D" w:rsidRPr="00442509" w:rsidRDefault="00D43714" w:rsidP="00F16AE3">
      <w:pPr>
        <w:pStyle w:val="NoSpacing"/>
        <w:spacing w:line="276" w:lineRule="auto"/>
        <w:rPr>
          <w:color w:val="000000" w:themeColor="text1"/>
        </w:rPr>
      </w:pPr>
      <w:r w:rsidRPr="00442509">
        <w:rPr>
          <w:color w:val="000000" w:themeColor="text1"/>
        </w:rPr>
        <w:t>▪</w:t>
      </w:r>
      <w:r w:rsidR="0074074D" w:rsidRPr="00442509">
        <w:rPr>
          <w:color w:val="000000" w:themeColor="text1"/>
        </w:rPr>
        <w:t xml:space="preserve"> </w:t>
      </w:r>
      <w:r w:rsidR="0074074D" w:rsidRPr="00442509">
        <w:rPr>
          <w:i/>
          <w:color w:val="000000" w:themeColor="text1"/>
        </w:rPr>
        <w:t>Samengevoegde</w:t>
      </w:r>
      <w:r w:rsidR="0074074D" w:rsidRPr="00442509">
        <w:rPr>
          <w:color w:val="000000" w:themeColor="text1"/>
        </w:rPr>
        <w:t xml:space="preserve"> </w:t>
      </w:r>
      <w:r w:rsidR="0074074D" w:rsidRPr="00442509">
        <w:rPr>
          <w:i/>
          <w:color w:val="000000" w:themeColor="text1"/>
        </w:rPr>
        <w:t>onderhandelingsruimte</w:t>
      </w:r>
      <w:r w:rsidR="0074074D" w:rsidRPr="00442509">
        <w:rPr>
          <w:color w:val="000000" w:themeColor="text1"/>
        </w:rPr>
        <w:t xml:space="preserve">. Door het combineren van inkoop verkrijgen de verschillende organisaties en afdelingen meer macht ten opzichte van de leverancier. Hiermee kunnen zij zowel de kosten reduceren als de kwaliteit van goederen en diensten bevorderen. </w:t>
      </w:r>
    </w:p>
    <w:p w14:paraId="559EDCA2" w14:textId="5D01991D" w:rsidR="0074074D" w:rsidRPr="00442509" w:rsidRDefault="00D43714" w:rsidP="00F16AE3">
      <w:pPr>
        <w:pStyle w:val="NoSpacing"/>
        <w:spacing w:line="276" w:lineRule="auto"/>
        <w:rPr>
          <w:color w:val="000000" w:themeColor="text1"/>
        </w:rPr>
      </w:pPr>
      <w:r w:rsidRPr="00442509">
        <w:rPr>
          <w:color w:val="000000" w:themeColor="text1"/>
        </w:rPr>
        <w:t>▪</w:t>
      </w:r>
      <w:r w:rsidR="0074074D" w:rsidRPr="00442509">
        <w:rPr>
          <w:color w:val="000000" w:themeColor="text1"/>
        </w:rPr>
        <w:t xml:space="preserve"> </w:t>
      </w:r>
      <w:r w:rsidR="0074074D" w:rsidRPr="00442509">
        <w:rPr>
          <w:i/>
          <w:color w:val="000000" w:themeColor="text1"/>
        </w:rPr>
        <w:t>Gedeelde</w:t>
      </w:r>
      <w:r w:rsidR="0074074D" w:rsidRPr="00442509">
        <w:rPr>
          <w:color w:val="000000" w:themeColor="text1"/>
        </w:rPr>
        <w:t xml:space="preserve"> </w:t>
      </w:r>
      <w:r w:rsidR="0074074D" w:rsidRPr="00442509">
        <w:rPr>
          <w:i/>
          <w:color w:val="000000" w:themeColor="text1"/>
        </w:rPr>
        <w:t>immateriële</w:t>
      </w:r>
      <w:r w:rsidR="0074074D" w:rsidRPr="00442509">
        <w:rPr>
          <w:color w:val="000000" w:themeColor="text1"/>
        </w:rPr>
        <w:t xml:space="preserve"> </w:t>
      </w:r>
      <w:r w:rsidR="0074074D" w:rsidRPr="00442509">
        <w:rPr>
          <w:i/>
          <w:color w:val="000000" w:themeColor="text1"/>
        </w:rPr>
        <w:t>middelen</w:t>
      </w:r>
      <w:r w:rsidR="0074074D" w:rsidRPr="00442509">
        <w:rPr>
          <w:color w:val="000000" w:themeColor="text1"/>
        </w:rPr>
        <w:t xml:space="preserve">. Dit betreft voornamelijk kennis- en informatiedeling. De veronderstelling dat veel organisaties waarde hechten aan het uitwisselen van best </w:t>
      </w:r>
      <w:proofErr w:type="spellStart"/>
      <w:r w:rsidR="0074074D" w:rsidRPr="00442509">
        <w:rPr>
          <w:color w:val="000000" w:themeColor="text1"/>
        </w:rPr>
        <w:t>practices</w:t>
      </w:r>
      <w:proofErr w:type="spellEnd"/>
      <w:r w:rsidR="0074074D" w:rsidRPr="00442509">
        <w:rPr>
          <w:color w:val="000000" w:themeColor="text1"/>
        </w:rPr>
        <w:t xml:space="preserve"> en kennis over de kerncompetenties, reflecteert op het belang van kennisdeling. </w:t>
      </w:r>
    </w:p>
    <w:p w14:paraId="4A830CB1" w14:textId="788EC32C" w:rsidR="0074074D" w:rsidRPr="00442509" w:rsidRDefault="00D43714" w:rsidP="00F16AE3">
      <w:pPr>
        <w:pStyle w:val="NoSpacing"/>
        <w:spacing w:line="276" w:lineRule="auto"/>
        <w:rPr>
          <w:color w:val="000000" w:themeColor="text1"/>
        </w:rPr>
      </w:pPr>
      <w:r w:rsidRPr="00442509">
        <w:rPr>
          <w:color w:val="000000" w:themeColor="text1"/>
        </w:rPr>
        <w:t>▪</w:t>
      </w:r>
      <w:r w:rsidR="0074074D" w:rsidRPr="00442509">
        <w:rPr>
          <w:color w:val="000000" w:themeColor="text1"/>
        </w:rPr>
        <w:t xml:space="preserve"> </w:t>
      </w:r>
      <w:r w:rsidR="0074074D" w:rsidRPr="00442509">
        <w:rPr>
          <w:i/>
          <w:color w:val="000000" w:themeColor="text1"/>
        </w:rPr>
        <w:t>Gedeelde</w:t>
      </w:r>
      <w:r w:rsidR="0074074D" w:rsidRPr="00442509">
        <w:rPr>
          <w:color w:val="000000" w:themeColor="text1"/>
        </w:rPr>
        <w:t xml:space="preserve"> </w:t>
      </w:r>
      <w:r w:rsidR="0074074D" w:rsidRPr="00442509">
        <w:rPr>
          <w:i/>
          <w:color w:val="000000" w:themeColor="text1"/>
        </w:rPr>
        <w:t>materiele</w:t>
      </w:r>
      <w:r w:rsidR="0074074D" w:rsidRPr="00442509">
        <w:rPr>
          <w:color w:val="000000" w:themeColor="text1"/>
        </w:rPr>
        <w:t xml:space="preserve"> </w:t>
      </w:r>
      <w:r w:rsidR="0074074D" w:rsidRPr="00442509">
        <w:rPr>
          <w:i/>
          <w:color w:val="000000" w:themeColor="text1"/>
        </w:rPr>
        <w:t>middelen</w:t>
      </w:r>
      <w:r w:rsidR="0074074D" w:rsidRPr="00442509">
        <w:rPr>
          <w:color w:val="000000" w:themeColor="text1"/>
        </w:rPr>
        <w:t>. Organisaties kunnen schaalvoordelen (‘</w:t>
      </w:r>
      <w:proofErr w:type="spellStart"/>
      <w:r w:rsidR="0074074D" w:rsidRPr="00442509">
        <w:rPr>
          <w:color w:val="000000" w:themeColor="text1"/>
        </w:rPr>
        <w:t>economies</w:t>
      </w:r>
      <w:proofErr w:type="spellEnd"/>
      <w:r w:rsidR="0074074D" w:rsidRPr="00442509">
        <w:rPr>
          <w:color w:val="000000" w:themeColor="text1"/>
        </w:rPr>
        <w:t xml:space="preserve"> of </w:t>
      </w:r>
      <w:proofErr w:type="spellStart"/>
      <w:r w:rsidR="0074074D" w:rsidRPr="00442509">
        <w:rPr>
          <w:color w:val="000000" w:themeColor="text1"/>
        </w:rPr>
        <w:t>scale</w:t>
      </w:r>
      <w:proofErr w:type="spellEnd"/>
      <w:r w:rsidR="0074074D" w:rsidRPr="00442509">
        <w:rPr>
          <w:color w:val="000000" w:themeColor="text1"/>
        </w:rPr>
        <w:t xml:space="preserve">’) behalen en voorkomen dat er dubbele inspanning geleverd wordt.  Door het aan elkaar verbinden van inkoopspecialisten, inkoopinformatie, communicatiesystemen, fysieke (werk)plekken en andere faciliteiten, zijn de taken en verantwoordelijkheden duidelijk belegd.  </w:t>
      </w:r>
    </w:p>
    <w:p w14:paraId="34062922" w14:textId="0E4E5619" w:rsidR="00F42582" w:rsidRPr="00442509" w:rsidRDefault="00D43714" w:rsidP="00F42582">
      <w:pPr>
        <w:pStyle w:val="NoSpacing"/>
        <w:spacing w:line="276" w:lineRule="auto"/>
        <w:rPr>
          <w:color w:val="000000" w:themeColor="text1"/>
        </w:rPr>
      </w:pPr>
      <w:r w:rsidRPr="00442509">
        <w:rPr>
          <w:color w:val="000000" w:themeColor="text1"/>
        </w:rPr>
        <w:t xml:space="preserve">▪ </w:t>
      </w:r>
      <w:r w:rsidR="0074074D" w:rsidRPr="00442509">
        <w:rPr>
          <w:i/>
          <w:color w:val="000000" w:themeColor="text1"/>
        </w:rPr>
        <w:t>Verticale</w:t>
      </w:r>
      <w:r w:rsidR="0074074D" w:rsidRPr="00442509">
        <w:rPr>
          <w:color w:val="000000" w:themeColor="text1"/>
        </w:rPr>
        <w:t xml:space="preserve"> </w:t>
      </w:r>
      <w:r w:rsidR="0074074D" w:rsidRPr="00442509">
        <w:rPr>
          <w:i/>
          <w:color w:val="000000" w:themeColor="text1"/>
        </w:rPr>
        <w:t>integratie</w:t>
      </w:r>
      <w:r w:rsidR="0074074D" w:rsidRPr="00442509">
        <w:rPr>
          <w:color w:val="000000" w:themeColor="text1"/>
        </w:rPr>
        <w:t xml:space="preserve">. Producten en diensten doorlopen een geheel van waardenketen alvorens ze bij de klant terecht komen. Dit kost tijd en brengt kosten met zich mee. Door toe te werken naar een hechtere verticale integratie tussen de leverancier en de inkooporganisatie, </w:t>
      </w:r>
      <w:r w:rsidR="009C0AF2">
        <w:rPr>
          <w:color w:val="000000" w:themeColor="text1"/>
        </w:rPr>
        <w:t xml:space="preserve">daalt de kostprijs per product. </w:t>
      </w:r>
    </w:p>
    <w:p w14:paraId="2407E539" w14:textId="01DC9778" w:rsidR="00901808" w:rsidRPr="00442509" w:rsidRDefault="00901808" w:rsidP="00D43714">
      <w:pPr>
        <w:pStyle w:val="NoSpacing"/>
        <w:spacing w:line="276" w:lineRule="auto"/>
        <w:ind w:firstLine="708"/>
        <w:rPr>
          <w:color w:val="000000" w:themeColor="text1"/>
        </w:rPr>
      </w:pPr>
      <w:r w:rsidRPr="00442509">
        <w:rPr>
          <w:color w:val="000000" w:themeColor="text1"/>
        </w:rPr>
        <w:t xml:space="preserve">Gezamenlijk </w:t>
      </w:r>
      <w:r w:rsidR="00231675" w:rsidRPr="00442509">
        <w:rPr>
          <w:color w:val="000000" w:themeColor="text1"/>
        </w:rPr>
        <w:t>inkoop</w:t>
      </w:r>
      <w:r w:rsidRPr="00442509">
        <w:rPr>
          <w:color w:val="000000" w:themeColor="text1"/>
        </w:rPr>
        <w:t xml:space="preserve"> kan in theorie leiden tot reductie van de transactiekosten en versterking van de onderhandelingspositie. </w:t>
      </w:r>
      <w:r w:rsidR="009B6523" w:rsidRPr="00442509">
        <w:rPr>
          <w:color w:val="000000" w:themeColor="text1"/>
        </w:rPr>
        <w:t>Het standaardiseren van inkoopassortiment én het instellen van een gecoördineerd inkoopfunctie leidt tot ‘</w:t>
      </w:r>
      <w:proofErr w:type="spellStart"/>
      <w:r w:rsidR="009B6523" w:rsidRPr="00442509">
        <w:rPr>
          <w:i/>
          <w:color w:val="000000" w:themeColor="text1"/>
        </w:rPr>
        <w:t>economies</w:t>
      </w:r>
      <w:proofErr w:type="spellEnd"/>
      <w:r w:rsidR="009B6523" w:rsidRPr="00442509">
        <w:rPr>
          <w:i/>
          <w:color w:val="000000" w:themeColor="text1"/>
        </w:rPr>
        <w:t xml:space="preserve"> of </w:t>
      </w:r>
      <w:proofErr w:type="spellStart"/>
      <w:r w:rsidR="009B6523" w:rsidRPr="00442509">
        <w:rPr>
          <w:i/>
          <w:color w:val="000000" w:themeColor="text1"/>
        </w:rPr>
        <w:t>scale</w:t>
      </w:r>
      <w:proofErr w:type="spellEnd"/>
      <w:r w:rsidR="009B6523" w:rsidRPr="00442509">
        <w:rPr>
          <w:color w:val="000000" w:themeColor="text1"/>
        </w:rPr>
        <w:t xml:space="preserve">’, ofwel schaalvoordelen (Harrison, 2001; Contractor &amp; </w:t>
      </w:r>
      <w:proofErr w:type="spellStart"/>
      <w:r w:rsidR="009B6523" w:rsidRPr="00442509">
        <w:rPr>
          <w:color w:val="000000" w:themeColor="text1"/>
        </w:rPr>
        <w:t>Lorange</w:t>
      </w:r>
      <w:proofErr w:type="spellEnd"/>
      <w:r w:rsidR="009B6523" w:rsidRPr="00442509">
        <w:rPr>
          <w:color w:val="000000" w:themeColor="text1"/>
        </w:rPr>
        <w:t xml:space="preserve">, 1988). </w:t>
      </w:r>
      <w:r w:rsidRPr="00442509">
        <w:rPr>
          <w:color w:val="000000" w:themeColor="text1"/>
        </w:rPr>
        <w:t xml:space="preserve">De opdrachtgever is dan in staat om een lager prijs per product te bedwingen. </w:t>
      </w:r>
      <w:r w:rsidR="009B6523" w:rsidRPr="00442509">
        <w:rPr>
          <w:color w:val="000000" w:themeColor="text1"/>
        </w:rPr>
        <w:t xml:space="preserve">Er wordt immers meer en frequenter afgenomen. </w:t>
      </w:r>
      <w:r w:rsidRPr="00442509">
        <w:rPr>
          <w:color w:val="000000" w:themeColor="text1"/>
        </w:rPr>
        <w:t>De afspraken met d</w:t>
      </w:r>
      <w:r w:rsidR="00231675" w:rsidRPr="00442509">
        <w:rPr>
          <w:color w:val="000000" w:themeColor="text1"/>
        </w:rPr>
        <w:t>e leverancier gelden dan voor alle individuele afnemers</w:t>
      </w:r>
      <w:r w:rsidRPr="00442509">
        <w:rPr>
          <w:color w:val="000000" w:themeColor="text1"/>
        </w:rPr>
        <w:t xml:space="preserve">. </w:t>
      </w:r>
      <w:r w:rsidR="00B80F8A" w:rsidRPr="00442509">
        <w:rPr>
          <w:color w:val="000000" w:themeColor="text1"/>
        </w:rPr>
        <w:t>Op deze manier worden de zorgen uit handen genomen</w:t>
      </w:r>
      <w:r w:rsidRPr="00442509">
        <w:rPr>
          <w:color w:val="000000" w:themeColor="text1"/>
        </w:rPr>
        <w:t xml:space="preserve">. Centralisatie van het inkoopproces, door bundeling van de inkoopactiviteit, leidt ook tot efficiëntie in het proces. Een efficiënter proces draagt bij aan afname van transactiekosten (Zhang, </w:t>
      </w:r>
      <w:proofErr w:type="spellStart"/>
      <w:r w:rsidRPr="00442509">
        <w:rPr>
          <w:color w:val="000000" w:themeColor="text1"/>
        </w:rPr>
        <w:t>Huang</w:t>
      </w:r>
      <w:proofErr w:type="spellEnd"/>
      <w:r w:rsidRPr="00442509">
        <w:rPr>
          <w:color w:val="000000" w:themeColor="text1"/>
        </w:rPr>
        <w:t xml:space="preserve">, </w:t>
      </w:r>
      <w:proofErr w:type="spellStart"/>
      <w:r w:rsidRPr="00442509">
        <w:rPr>
          <w:color w:val="000000" w:themeColor="text1"/>
        </w:rPr>
        <w:t>Qu</w:t>
      </w:r>
      <w:proofErr w:type="spellEnd"/>
      <w:r w:rsidRPr="00442509">
        <w:rPr>
          <w:color w:val="000000" w:themeColor="text1"/>
        </w:rPr>
        <w:t>, &amp; Li, 2013).</w:t>
      </w:r>
      <w:r w:rsidR="00D43714" w:rsidRPr="00442509">
        <w:rPr>
          <w:color w:val="000000" w:themeColor="text1"/>
        </w:rPr>
        <w:t xml:space="preserve"> </w:t>
      </w:r>
      <w:r w:rsidRPr="00442509">
        <w:rPr>
          <w:color w:val="000000" w:themeColor="text1"/>
        </w:rPr>
        <w:t xml:space="preserve">Er is sprake van centraal inkoop wanneer één afdeling verantwoordelijk is voor het gehele inkoopproces binnen de organisatie (Ter Wiel </w:t>
      </w:r>
      <w:r w:rsidR="000B47A7">
        <w:rPr>
          <w:color w:val="000000" w:themeColor="text1"/>
        </w:rPr>
        <w:t>et</w:t>
      </w:r>
      <w:r w:rsidRPr="00442509">
        <w:rPr>
          <w:color w:val="000000" w:themeColor="text1"/>
        </w:rPr>
        <w:t xml:space="preserve"> </w:t>
      </w:r>
      <w:r w:rsidR="000B47A7">
        <w:rPr>
          <w:color w:val="000000" w:themeColor="text1"/>
        </w:rPr>
        <w:t>al.</w:t>
      </w:r>
      <w:r w:rsidRPr="00442509">
        <w:rPr>
          <w:color w:val="000000" w:themeColor="text1"/>
        </w:rPr>
        <w:t xml:space="preserve"> 2004). Er bestaat ruimte om significante (kosten)voordelen te behalen door inkoopactiviteiten te standaardiseren, aantal gecontracteerde leveranciers te reduceren en alle dubbele activiteiten samen te voegen. Door het bundelen van inkoopvolumes ontstaan er schaalvoordelen en wordt de onderhandelingskracht </w:t>
      </w:r>
      <w:r w:rsidR="00231675" w:rsidRPr="00442509">
        <w:rPr>
          <w:color w:val="000000" w:themeColor="text1"/>
        </w:rPr>
        <w:t xml:space="preserve">ten opzichte van de markt </w:t>
      </w:r>
      <w:r w:rsidRPr="00442509">
        <w:rPr>
          <w:color w:val="000000" w:themeColor="text1"/>
        </w:rPr>
        <w:t xml:space="preserve">vergroot. Immers, hoe meer een organisatie inkoopt hoe aantrekkelijker het wordt voor de leverancier (Gelderman en </w:t>
      </w:r>
      <w:proofErr w:type="spellStart"/>
      <w:r w:rsidRPr="00442509">
        <w:rPr>
          <w:color w:val="000000" w:themeColor="text1"/>
        </w:rPr>
        <w:t>Albronda</w:t>
      </w:r>
      <w:proofErr w:type="spellEnd"/>
      <w:r w:rsidRPr="00442509">
        <w:rPr>
          <w:color w:val="000000" w:themeColor="text1"/>
        </w:rPr>
        <w:t xml:space="preserve">, 1999). Hiernaast kunnen organisaties </w:t>
      </w:r>
      <w:r w:rsidR="00231675" w:rsidRPr="00442509">
        <w:rPr>
          <w:color w:val="000000" w:themeColor="text1"/>
        </w:rPr>
        <w:t xml:space="preserve">bij een gestandaardiseerde inkoop </w:t>
      </w:r>
      <w:r w:rsidRPr="00442509">
        <w:rPr>
          <w:color w:val="000000" w:themeColor="text1"/>
        </w:rPr>
        <w:t>gemakkelijker kennis en expertise met elkaar delen en de inkoopactiviteiten met elkaar coördineren en op elkaar afstemmen</w:t>
      </w:r>
      <w:r w:rsidR="00D62E1F" w:rsidRPr="00442509">
        <w:rPr>
          <w:color w:val="000000" w:themeColor="text1"/>
        </w:rPr>
        <w:t xml:space="preserve"> (Contractor &amp; Lorrange, 1988).</w:t>
      </w:r>
      <w:r w:rsidR="00231675" w:rsidRPr="00442509">
        <w:rPr>
          <w:color w:val="000000" w:themeColor="text1"/>
        </w:rPr>
        <w:t xml:space="preserve"> </w:t>
      </w:r>
      <w:r w:rsidR="00D43714" w:rsidRPr="00442509">
        <w:rPr>
          <w:color w:val="000000" w:themeColor="text1"/>
        </w:rPr>
        <w:t xml:space="preserve">Dit biedt een antwoord op de geconstateerde kennisasymmetrie tussen de opdrachtgever en </w:t>
      </w:r>
      <w:r w:rsidR="009C0AF2">
        <w:rPr>
          <w:color w:val="000000" w:themeColor="text1"/>
        </w:rPr>
        <w:t xml:space="preserve">de </w:t>
      </w:r>
      <w:r w:rsidR="00D43714" w:rsidRPr="00442509">
        <w:rPr>
          <w:color w:val="000000" w:themeColor="text1"/>
        </w:rPr>
        <w:t>opdrachtnemer</w:t>
      </w:r>
      <w:r w:rsidR="00231675" w:rsidRPr="00442509">
        <w:rPr>
          <w:color w:val="000000" w:themeColor="text1"/>
        </w:rPr>
        <w:t xml:space="preserve">. </w:t>
      </w:r>
      <w:r w:rsidR="0074074D" w:rsidRPr="00442509">
        <w:rPr>
          <w:color w:val="000000" w:themeColor="text1"/>
        </w:rPr>
        <w:t xml:space="preserve">Wel is er hierbij behoefte aan een coördinator die zich bezighoudt met de centrale aansturing: identificeren, plannen en faciliteren van de vraag van de </w:t>
      </w:r>
      <w:r w:rsidR="0074074D" w:rsidRPr="00442509">
        <w:rPr>
          <w:color w:val="000000" w:themeColor="text1"/>
        </w:rPr>
        <w:lastRenderedPageBreak/>
        <w:t>afzonderlijke instellingen (</w:t>
      </w:r>
      <w:proofErr w:type="spellStart"/>
      <w:r w:rsidR="0074074D" w:rsidRPr="00442509">
        <w:rPr>
          <w:color w:val="000000" w:themeColor="text1"/>
        </w:rPr>
        <w:t>Wenger</w:t>
      </w:r>
      <w:proofErr w:type="spellEnd"/>
      <w:r w:rsidR="0074074D" w:rsidRPr="00442509">
        <w:rPr>
          <w:color w:val="000000" w:themeColor="text1"/>
        </w:rPr>
        <w:t xml:space="preserve"> </w:t>
      </w:r>
      <w:r w:rsidR="000B47A7">
        <w:rPr>
          <w:color w:val="000000" w:themeColor="text1"/>
        </w:rPr>
        <w:t>et</w:t>
      </w:r>
      <w:r w:rsidR="0074074D" w:rsidRPr="00442509">
        <w:rPr>
          <w:color w:val="000000" w:themeColor="text1"/>
        </w:rPr>
        <w:t xml:space="preserve"> </w:t>
      </w:r>
      <w:r w:rsidR="000B47A7">
        <w:rPr>
          <w:color w:val="000000" w:themeColor="text1"/>
        </w:rPr>
        <w:t>al.</w:t>
      </w:r>
      <w:r w:rsidR="0074074D" w:rsidRPr="00442509">
        <w:rPr>
          <w:color w:val="000000" w:themeColor="text1"/>
        </w:rPr>
        <w:t xml:space="preserve"> 2002). Deze functie speelt een belangrijke rol als het gaat om kennisdeling tussen de instellingen die gezamenlijk hun inkoopfunctie hebben ingericht (Rosenberg, 2001).</w:t>
      </w:r>
    </w:p>
    <w:p w14:paraId="4FC2E2AA" w14:textId="70C8BECA" w:rsidR="00901808" w:rsidRPr="00442509" w:rsidRDefault="00901808" w:rsidP="00EA2C84">
      <w:pPr>
        <w:pStyle w:val="NoSpacing"/>
        <w:spacing w:line="276" w:lineRule="auto"/>
        <w:ind w:firstLine="708"/>
        <w:rPr>
          <w:color w:val="000000" w:themeColor="text1"/>
        </w:rPr>
      </w:pPr>
      <w:r w:rsidRPr="00442509">
        <w:rPr>
          <w:color w:val="000000" w:themeColor="text1"/>
        </w:rPr>
        <w:t>Centraal inkoop brengt echter ook nadelen met zich mee. Beperkte flexibiliteit,</w:t>
      </w:r>
      <w:r w:rsidR="002C2A5E">
        <w:rPr>
          <w:color w:val="000000" w:themeColor="text1"/>
        </w:rPr>
        <w:t xml:space="preserve"> verlies van bevoegdheden,</w:t>
      </w:r>
      <w:r w:rsidRPr="00442509">
        <w:rPr>
          <w:color w:val="000000" w:themeColor="text1"/>
        </w:rPr>
        <w:t xml:space="preserve"> verlengde reactietijd en gebrek aan draagvlak vormen een belemmering voor organisatie</w:t>
      </w:r>
      <w:r w:rsidR="002C2A5E">
        <w:rPr>
          <w:color w:val="000000" w:themeColor="text1"/>
        </w:rPr>
        <w:t>s</w:t>
      </w:r>
      <w:r w:rsidRPr="00442509">
        <w:rPr>
          <w:color w:val="000000" w:themeColor="text1"/>
        </w:rPr>
        <w:t xml:space="preserve"> (Gelderman en </w:t>
      </w:r>
      <w:proofErr w:type="spellStart"/>
      <w:r w:rsidRPr="00442509">
        <w:rPr>
          <w:color w:val="000000" w:themeColor="text1"/>
        </w:rPr>
        <w:t>Albronda</w:t>
      </w:r>
      <w:proofErr w:type="spellEnd"/>
      <w:r w:rsidRPr="00442509">
        <w:rPr>
          <w:color w:val="000000" w:themeColor="text1"/>
        </w:rPr>
        <w:t>, 1999). Na het bereiken van een bepaald optimum wordt het gezamenlijk inkopen onrendabel. De deelkosten per product stijgen dan (</w:t>
      </w:r>
      <w:proofErr w:type="spellStart"/>
      <w:r w:rsidRPr="00442509">
        <w:rPr>
          <w:color w:val="000000" w:themeColor="text1"/>
        </w:rPr>
        <w:t>Boyne</w:t>
      </w:r>
      <w:proofErr w:type="spellEnd"/>
      <w:r w:rsidRPr="00442509">
        <w:rPr>
          <w:color w:val="000000" w:themeColor="text1"/>
        </w:rPr>
        <w:t xml:space="preserve">, 1996). Doorgaans hebben organisaties hierbij met twee ontwikkelingen te maken: (1) </w:t>
      </w:r>
      <w:r w:rsidRPr="00442509">
        <w:rPr>
          <w:i/>
          <w:color w:val="000000" w:themeColor="text1"/>
        </w:rPr>
        <w:t>wet van afnemende opbrengsten</w:t>
      </w:r>
      <w:r w:rsidRPr="00442509">
        <w:rPr>
          <w:color w:val="000000" w:themeColor="text1"/>
        </w:rPr>
        <w:t xml:space="preserve"> en (2) </w:t>
      </w:r>
      <w:r w:rsidRPr="00442509">
        <w:rPr>
          <w:i/>
          <w:color w:val="000000" w:themeColor="text1"/>
        </w:rPr>
        <w:t>toenemende bureaucratische congestie</w:t>
      </w:r>
      <w:r w:rsidRPr="00442509">
        <w:rPr>
          <w:color w:val="000000" w:themeColor="text1"/>
        </w:rPr>
        <w:t xml:space="preserve"> (</w:t>
      </w:r>
      <w:proofErr w:type="spellStart"/>
      <w:r w:rsidRPr="00442509">
        <w:rPr>
          <w:color w:val="000000" w:themeColor="text1"/>
        </w:rPr>
        <w:t>Boyne</w:t>
      </w:r>
      <w:proofErr w:type="spellEnd"/>
      <w:r w:rsidRPr="00442509">
        <w:rPr>
          <w:color w:val="000000" w:themeColor="text1"/>
        </w:rPr>
        <w:t xml:space="preserve">, 1996). Extra opbrengsten per product dalen bij stijgende kosten van communicatie en kosten van coördinatie van activiteiten. </w:t>
      </w:r>
      <w:proofErr w:type="spellStart"/>
      <w:r w:rsidRPr="00442509">
        <w:rPr>
          <w:color w:val="000000" w:themeColor="text1"/>
        </w:rPr>
        <w:t>Brun</w:t>
      </w:r>
      <w:proofErr w:type="spellEnd"/>
      <w:r w:rsidRPr="00442509">
        <w:rPr>
          <w:color w:val="000000" w:themeColor="text1"/>
        </w:rPr>
        <w:t xml:space="preserve"> </w:t>
      </w:r>
      <w:r w:rsidR="000B47A7">
        <w:rPr>
          <w:color w:val="000000" w:themeColor="text1"/>
        </w:rPr>
        <w:t>et</w:t>
      </w:r>
      <w:r w:rsidRPr="00442509">
        <w:rPr>
          <w:color w:val="000000" w:themeColor="text1"/>
        </w:rPr>
        <w:t xml:space="preserve"> al. (2013) benadrukken een ander organisatorisch dilemma bij samenwerking en gezamenlijk inkoop. Er dient rekening worden gehouden met de ‘</w:t>
      </w:r>
      <w:r w:rsidRPr="00442509">
        <w:rPr>
          <w:i/>
          <w:color w:val="000000" w:themeColor="text1"/>
        </w:rPr>
        <w:t>span of control</w:t>
      </w:r>
      <w:r w:rsidRPr="00442509">
        <w:rPr>
          <w:color w:val="000000" w:themeColor="text1"/>
        </w:rPr>
        <w:t>’, wat vrij vertaald de spanwijdte aangeeft. Span of control refereert naar de mate waarin de inkoopafdeling formeel verantwoordelijk is voor inkoopactiviteiten en de functies die hieronder vallen. Dit betreft het zelfstandig uitvoeren van taken zonder deze verantwoordelijkheid met andere afdelingen te delen. In het geval van inkoop is de inkoopafdeling verantwoordelijk voor de specificaties van de vraag en/of het kiezen van de leverancier (</w:t>
      </w:r>
      <w:proofErr w:type="spellStart"/>
      <w:r w:rsidRPr="00442509">
        <w:rPr>
          <w:color w:val="000000" w:themeColor="text1"/>
        </w:rPr>
        <w:t>Brun</w:t>
      </w:r>
      <w:proofErr w:type="spellEnd"/>
      <w:r w:rsidRPr="00442509">
        <w:rPr>
          <w:color w:val="000000" w:themeColor="text1"/>
        </w:rPr>
        <w:t xml:space="preserve"> et </w:t>
      </w:r>
      <w:r w:rsidR="000B47A7">
        <w:rPr>
          <w:color w:val="000000" w:themeColor="text1"/>
        </w:rPr>
        <w:t>al.</w:t>
      </w:r>
      <w:r w:rsidRPr="00442509">
        <w:rPr>
          <w:color w:val="000000" w:themeColor="text1"/>
        </w:rPr>
        <w:t xml:space="preserve"> 2013). Stijging van de verantwoordelijkheden en taken brengen extra kosten met zich mee, zoals hiervoor genoemd.  </w:t>
      </w:r>
    </w:p>
    <w:p w14:paraId="470B9A95" w14:textId="25936B80" w:rsidR="000F0474" w:rsidRPr="00442509" w:rsidRDefault="00901808" w:rsidP="00F16AE3">
      <w:pPr>
        <w:pStyle w:val="NoSpacing"/>
        <w:spacing w:line="276" w:lineRule="auto"/>
        <w:ind w:firstLine="708"/>
        <w:rPr>
          <w:color w:val="000000" w:themeColor="text1"/>
        </w:rPr>
      </w:pPr>
      <w:r w:rsidRPr="00442509">
        <w:rPr>
          <w:color w:val="000000" w:themeColor="text1"/>
        </w:rPr>
        <w:t>Naast de</w:t>
      </w:r>
      <w:r w:rsidR="001850E2" w:rsidRPr="00442509">
        <w:rPr>
          <w:color w:val="000000" w:themeColor="text1"/>
        </w:rPr>
        <w:t>ze</w:t>
      </w:r>
      <w:r w:rsidRPr="00442509">
        <w:rPr>
          <w:color w:val="000000" w:themeColor="text1"/>
        </w:rPr>
        <w:t xml:space="preserve"> kosten-baten afweging speelt het behoud van autonomie een rol. </w:t>
      </w:r>
      <w:r w:rsidR="00A82CF9" w:rsidRPr="00442509">
        <w:rPr>
          <w:color w:val="000000" w:themeColor="text1"/>
        </w:rPr>
        <w:t>Autonomie omvat alles wat ervoor zorgt dat de eigen identiteit behouden blijft (</w:t>
      </w:r>
      <w:proofErr w:type="spellStart"/>
      <w:r w:rsidR="00A82CF9" w:rsidRPr="00442509">
        <w:rPr>
          <w:color w:val="000000" w:themeColor="text1"/>
        </w:rPr>
        <w:t>Correia</w:t>
      </w:r>
      <w:proofErr w:type="spellEnd"/>
      <w:r w:rsidR="00A82CF9" w:rsidRPr="00442509">
        <w:rPr>
          <w:color w:val="000000" w:themeColor="text1"/>
        </w:rPr>
        <w:t xml:space="preserve">, 2000). </w:t>
      </w:r>
      <w:r w:rsidR="00F16AE3" w:rsidRPr="00442509">
        <w:rPr>
          <w:color w:val="000000" w:themeColor="text1"/>
        </w:rPr>
        <w:t xml:space="preserve">Het blijft een uitdaging om enerzijds synergievoordelen te </w:t>
      </w:r>
      <w:r w:rsidR="001850E2" w:rsidRPr="00442509">
        <w:rPr>
          <w:color w:val="000000" w:themeColor="text1"/>
        </w:rPr>
        <w:t>creëren en anderzijds zelfstandig</w:t>
      </w:r>
      <w:r w:rsidR="00F16AE3" w:rsidRPr="00442509">
        <w:rPr>
          <w:color w:val="000000" w:themeColor="text1"/>
        </w:rPr>
        <w:t xml:space="preserve"> en autonoom blijven (</w:t>
      </w:r>
      <w:proofErr w:type="spellStart"/>
      <w:r w:rsidR="00F16AE3" w:rsidRPr="00442509">
        <w:rPr>
          <w:color w:val="000000" w:themeColor="text1"/>
        </w:rPr>
        <w:t>Goold</w:t>
      </w:r>
      <w:proofErr w:type="spellEnd"/>
      <w:r w:rsidR="00F16AE3" w:rsidRPr="00442509">
        <w:rPr>
          <w:color w:val="000000" w:themeColor="text1"/>
        </w:rPr>
        <w:t xml:space="preserve"> &amp; Campbell, aangehaald in </w:t>
      </w:r>
      <w:proofErr w:type="spellStart"/>
      <w:r w:rsidR="00F16AE3" w:rsidRPr="00442509">
        <w:rPr>
          <w:color w:val="000000" w:themeColor="text1"/>
        </w:rPr>
        <w:t>Rozemeijer</w:t>
      </w:r>
      <w:proofErr w:type="spellEnd"/>
      <w:r w:rsidR="00F16AE3" w:rsidRPr="00442509">
        <w:rPr>
          <w:color w:val="000000" w:themeColor="text1"/>
        </w:rPr>
        <w:t xml:space="preserve">, 2000). </w:t>
      </w:r>
      <w:r w:rsidRPr="00442509">
        <w:rPr>
          <w:color w:val="000000" w:themeColor="text1"/>
        </w:rPr>
        <w:t>Binnen een gezamenlijk i</w:t>
      </w:r>
      <w:r w:rsidR="00F16AE3" w:rsidRPr="00442509">
        <w:rPr>
          <w:color w:val="000000" w:themeColor="text1"/>
        </w:rPr>
        <w:t>nkooptraject zijn de deelnemers</w:t>
      </w:r>
      <w:r w:rsidRPr="00442509">
        <w:rPr>
          <w:color w:val="000000" w:themeColor="text1"/>
        </w:rPr>
        <w:t xml:space="preserve"> in sterke mate van e</w:t>
      </w:r>
      <w:r w:rsidR="001850E2" w:rsidRPr="00442509">
        <w:rPr>
          <w:color w:val="000000" w:themeColor="text1"/>
        </w:rPr>
        <w:t>lkaar afhankelijkheid. Ook</w:t>
      </w:r>
      <w:r w:rsidRPr="00442509">
        <w:rPr>
          <w:color w:val="000000" w:themeColor="text1"/>
        </w:rPr>
        <w:t xml:space="preserve"> hebben zij in beperkte mate invloed op de beslissingen die in het inkooptraject worden genomen (Van Weele, 2008). Schaalvoordelen kunnen immers gerealiseerd worden bij </w:t>
      </w:r>
      <w:r w:rsidR="009C0AF2">
        <w:rPr>
          <w:color w:val="000000" w:themeColor="text1"/>
        </w:rPr>
        <w:t>centrale en gezamenlijke</w:t>
      </w:r>
      <w:r w:rsidRPr="00442509">
        <w:rPr>
          <w:color w:val="000000" w:themeColor="text1"/>
        </w:rPr>
        <w:t xml:space="preserve"> inkoop waarin meerdere partijen deelnemen. In dat geval is er sprake van een centraal gereguleerd inkoopfunctie, waarin de leden medezeggenschap bezitten (Van Weele, 2008; </w:t>
      </w:r>
      <w:proofErr w:type="spellStart"/>
      <w:r w:rsidRPr="00442509">
        <w:rPr>
          <w:color w:val="000000" w:themeColor="text1"/>
        </w:rPr>
        <w:t>Kraljic</w:t>
      </w:r>
      <w:proofErr w:type="spellEnd"/>
      <w:r w:rsidRPr="00442509">
        <w:rPr>
          <w:color w:val="000000" w:themeColor="text1"/>
        </w:rPr>
        <w:t>, 1983).</w:t>
      </w:r>
      <w:r w:rsidR="001808D9">
        <w:rPr>
          <w:color w:val="000000" w:themeColor="text1"/>
        </w:rPr>
        <w:t xml:space="preserve"> </w:t>
      </w:r>
      <w:r w:rsidRPr="00442509">
        <w:rPr>
          <w:color w:val="000000" w:themeColor="text1"/>
        </w:rPr>
        <w:t xml:space="preserve">Volgens </w:t>
      </w:r>
      <w:proofErr w:type="spellStart"/>
      <w:r w:rsidRPr="00442509">
        <w:rPr>
          <w:color w:val="000000" w:themeColor="text1"/>
        </w:rPr>
        <w:t>Monczka</w:t>
      </w:r>
      <w:proofErr w:type="spellEnd"/>
      <w:r w:rsidRPr="00442509">
        <w:rPr>
          <w:color w:val="000000" w:themeColor="text1"/>
        </w:rPr>
        <w:t xml:space="preserve"> </w:t>
      </w:r>
      <w:r w:rsidR="000B47A7">
        <w:rPr>
          <w:color w:val="000000" w:themeColor="text1"/>
        </w:rPr>
        <w:t>et</w:t>
      </w:r>
      <w:r w:rsidRPr="00442509">
        <w:rPr>
          <w:color w:val="000000" w:themeColor="text1"/>
        </w:rPr>
        <w:t xml:space="preserve"> al. (2005) leidt </w:t>
      </w:r>
      <w:r w:rsidR="002C2A5E">
        <w:rPr>
          <w:color w:val="000000" w:themeColor="text1"/>
        </w:rPr>
        <w:t>centr</w:t>
      </w:r>
      <w:r w:rsidR="009C0AF2">
        <w:rPr>
          <w:color w:val="000000" w:themeColor="text1"/>
        </w:rPr>
        <w:t>alisatie van</w:t>
      </w:r>
      <w:r w:rsidR="002C2A5E">
        <w:rPr>
          <w:color w:val="000000" w:themeColor="text1"/>
        </w:rPr>
        <w:t xml:space="preserve"> inkoop</w:t>
      </w:r>
      <w:r w:rsidR="001808D9">
        <w:rPr>
          <w:color w:val="000000" w:themeColor="text1"/>
        </w:rPr>
        <w:t xml:space="preserve"> daarnaast </w:t>
      </w:r>
      <w:r w:rsidRPr="00442509">
        <w:rPr>
          <w:color w:val="000000" w:themeColor="text1"/>
        </w:rPr>
        <w:t xml:space="preserve">tot </w:t>
      </w:r>
      <w:r w:rsidR="001808D9">
        <w:rPr>
          <w:color w:val="000000" w:themeColor="text1"/>
        </w:rPr>
        <w:t>af</w:t>
      </w:r>
      <w:r w:rsidRPr="00442509">
        <w:rPr>
          <w:color w:val="000000" w:themeColor="text1"/>
        </w:rPr>
        <w:t xml:space="preserve">name van flexibiliteit, snelheid en toegankelijkheid van de uitvoering en tot </w:t>
      </w:r>
      <w:r w:rsidR="001808D9">
        <w:rPr>
          <w:color w:val="000000" w:themeColor="text1"/>
        </w:rPr>
        <w:t>minder</w:t>
      </w:r>
      <w:r w:rsidRPr="00442509">
        <w:rPr>
          <w:color w:val="000000" w:themeColor="text1"/>
        </w:rPr>
        <w:t xml:space="preserve"> betrokkenheid van de medewerkers. Zoals eerder benoemd brengt het ook als </w:t>
      </w:r>
      <w:r w:rsidR="001808D9">
        <w:rPr>
          <w:color w:val="000000" w:themeColor="text1"/>
        </w:rPr>
        <w:t>voordeel</w:t>
      </w:r>
      <w:r w:rsidRPr="00442509">
        <w:rPr>
          <w:color w:val="000000" w:themeColor="text1"/>
        </w:rPr>
        <w:t xml:space="preserve"> met zich mee dat schaalvoordelen en specialisatiemogelijkheden </w:t>
      </w:r>
      <w:r w:rsidR="001808D9">
        <w:rPr>
          <w:color w:val="000000" w:themeColor="text1"/>
        </w:rPr>
        <w:t>toenemen</w:t>
      </w:r>
      <w:r w:rsidRPr="00442509">
        <w:rPr>
          <w:color w:val="000000" w:themeColor="text1"/>
        </w:rPr>
        <w:t xml:space="preserve"> (Gelderman &amp; </w:t>
      </w:r>
      <w:proofErr w:type="spellStart"/>
      <w:r w:rsidRPr="00442509">
        <w:rPr>
          <w:color w:val="000000" w:themeColor="text1"/>
        </w:rPr>
        <w:t>Albronda</w:t>
      </w:r>
      <w:proofErr w:type="spellEnd"/>
      <w:r w:rsidRPr="00442509">
        <w:rPr>
          <w:color w:val="000000" w:themeColor="text1"/>
        </w:rPr>
        <w:t>, 1999). Er bestaan echter ook een tussenvorm voor deze twee benaderingen</w:t>
      </w:r>
      <w:bookmarkStart w:id="80" w:name="_Hlk511233182"/>
      <w:r w:rsidR="00D055B0" w:rsidRPr="00442509">
        <w:rPr>
          <w:color w:val="000000" w:themeColor="text1"/>
        </w:rPr>
        <w:t>, namelijk</w:t>
      </w:r>
      <w:r w:rsidRPr="00442509">
        <w:rPr>
          <w:color w:val="000000" w:themeColor="text1"/>
        </w:rPr>
        <w:t xml:space="preserve"> gecoördineerd</w:t>
      </w:r>
      <w:r w:rsidR="00D055B0" w:rsidRPr="00442509">
        <w:rPr>
          <w:color w:val="000000" w:themeColor="text1"/>
        </w:rPr>
        <w:t>e</w:t>
      </w:r>
      <w:r w:rsidRPr="00442509">
        <w:rPr>
          <w:color w:val="000000" w:themeColor="text1"/>
        </w:rPr>
        <w:t xml:space="preserve"> inkoop. </w:t>
      </w:r>
      <w:bookmarkEnd w:id="80"/>
      <w:r w:rsidRPr="00442509">
        <w:rPr>
          <w:color w:val="000000" w:themeColor="text1"/>
        </w:rPr>
        <w:t>Scholen kopen zelfstandig en op</w:t>
      </w:r>
      <w:r w:rsidR="009C0AF2">
        <w:rPr>
          <w:color w:val="000000" w:themeColor="text1"/>
        </w:rPr>
        <w:t xml:space="preserve"> een</w:t>
      </w:r>
      <w:r w:rsidRPr="00442509">
        <w:rPr>
          <w:color w:val="000000" w:themeColor="text1"/>
        </w:rPr>
        <w:t xml:space="preserve"> kleiner schaal in, maar coördineren inkooptransacties met elkaar binnen </w:t>
      </w:r>
      <w:r w:rsidR="009C0AF2">
        <w:rPr>
          <w:color w:val="000000" w:themeColor="text1"/>
        </w:rPr>
        <w:t>de</w:t>
      </w:r>
      <w:r w:rsidRPr="00442509">
        <w:rPr>
          <w:color w:val="000000" w:themeColor="text1"/>
        </w:rPr>
        <w:t xml:space="preserve"> scholengemeenschap </w:t>
      </w:r>
      <w:bookmarkStart w:id="81" w:name="_Hlk511233213"/>
      <w:r w:rsidRPr="00442509">
        <w:rPr>
          <w:color w:val="000000" w:themeColor="text1"/>
        </w:rPr>
        <w:t xml:space="preserve">(Ter Wiel </w:t>
      </w:r>
      <w:r w:rsidR="000B47A7">
        <w:rPr>
          <w:color w:val="000000" w:themeColor="text1"/>
        </w:rPr>
        <w:t>et</w:t>
      </w:r>
      <w:r w:rsidRPr="00442509">
        <w:rPr>
          <w:color w:val="000000" w:themeColor="text1"/>
        </w:rPr>
        <w:t xml:space="preserve"> </w:t>
      </w:r>
      <w:r w:rsidR="000B47A7">
        <w:rPr>
          <w:color w:val="000000" w:themeColor="text1"/>
        </w:rPr>
        <w:t>al.</w:t>
      </w:r>
      <w:r w:rsidRPr="00442509">
        <w:rPr>
          <w:color w:val="000000" w:themeColor="text1"/>
        </w:rPr>
        <w:t xml:space="preserve"> 2004).</w:t>
      </w:r>
      <w:bookmarkEnd w:id="81"/>
      <w:r w:rsidRPr="00442509">
        <w:rPr>
          <w:color w:val="000000" w:themeColor="text1"/>
        </w:rPr>
        <w:t xml:space="preserve"> Het inkoopproces wordt aangestuurd door inkoopteams, bestaande uit medewerkers uit de verschillende scholen.</w:t>
      </w:r>
      <w:r w:rsidR="001D110E">
        <w:rPr>
          <w:color w:val="000000" w:themeColor="text1"/>
        </w:rPr>
        <w:t xml:space="preserve"> In Tabel </w:t>
      </w:r>
      <w:r w:rsidR="005A38AE">
        <w:rPr>
          <w:color w:val="000000" w:themeColor="text1"/>
        </w:rPr>
        <w:t xml:space="preserve">6 geeft een uiteenzetting van de verschillen in voordelen tussen het individueel en gezamenlijk inkopen. </w:t>
      </w:r>
    </w:p>
    <w:p w14:paraId="7ECCC7BB" w14:textId="547FF515" w:rsidR="000F0474" w:rsidRDefault="000F0474" w:rsidP="00F16AE3">
      <w:pPr>
        <w:kinsoku/>
        <w:autoSpaceDE/>
        <w:autoSpaceDN/>
        <w:adjustRightInd/>
        <w:spacing w:after="160" w:line="276" w:lineRule="auto"/>
        <w:rPr>
          <w:rFonts w:asciiTheme="minorHAnsi" w:eastAsiaTheme="minorHAnsi" w:hAnsiTheme="minorHAnsi"/>
          <w:color w:val="000000" w:themeColor="text1"/>
          <w:sz w:val="22"/>
        </w:rPr>
      </w:pPr>
    </w:p>
    <w:tbl>
      <w:tblPr>
        <w:tblStyle w:val="GridTable1Light"/>
        <w:tblW w:w="10627" w:type="dxa"/>
        <w:tblLook w:val="04A0" w:firstRow="1" w:lastRow="0" w:firstColumn="1" w:lastColumn="0" w:noHBand="0" w:noVBand="1"/>
      </w:tblPr>
      <w:tblGrid>
        <w:gridCol w:w="5665"/>
        <w:gridCol w:w="4962"/>
      </w:tblGrid>
      <w:tr w:rsidR="000F0474" w:rsidRPr="000F0474" w14:paraId="0C649DB9" w14:textId="77777777" w:rsidTr="00180BE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65" w:type="dxa"/>
          </w:tcPr>
          <w:p w14:paraId="68D6011D" w14:textId="77777777" w:rsidR="000F0474" w:rsidRPr="00D65824" w:rsidRDefault="000F0474" w:rsidP="000F0474">
            <w:pPr>
              <w:spacing w:after="0" w:line="240" w:lineRule="auto"/>
              <w:rPr>
                <w:rFonts w:ascii="Calibri" w:eastAsia="Calibri" w:hAnsi="Calibri"/>
                <w:b w:val="0"/>
              </w:rPr>
            </w:pPr>
            <w:bookmarkStart w:id="82" w:name="_Hlk487398793"/>
            <w:r w:rsidRPr="00D65824">
              <w:rPr>
                <w:rFonts w:ascii="Calibri" w:eastAsia="Calibri" w:hAnsi="Calibri"/>
              </w:rPr>
              <w:t>Gezamenlijk inkopen</w:t>
            </w:r>
          </w:p>
        </w:tc>
        <w:tc>
          <w:tcPr>
            <w:tcW w:w="4962" w:type="dxa"/>
          </w:tcPr>
          <w:p w14:paraId="74F59511" w14:textId="77777777" w:rsidR="000F0474" w:rsidRPr="00D65824" w:rsidRDefault="000F0474" w:rsidP="000F0474">
            <w:pPr>
              <w:spacing w:after="0" w:line="240" w:lineRule="auto"/>
              <w:cnfStyle w:val="100000000000" w:firstRow="1" w:lastRow="0" w:firstColumn="0" w:lastColumn="0" w:oddVBand="0" w:evenVBand="0" w:oddHBand="0" w:evenHBand="0" w:firstRowFirstColumn="0" w:firstRowLastColumn="0" w:lastRowFirstColumn="0" w:lastRowLastColumn="0"/>
              <w:rPr>
                <w:rFonts w:ascii="Calibri" w:eastAsia="Calibri" w:hAnsi="Calibri"/>
                <w:b w:val="0"/>
              </w:rPr>
            </w:pPr>
            <w:r w:rsidRPr="00D65824">
              <w:rPr>
                <w:rFonts w:ascii="Calibri" w:eastAsia="Calibri" w:hAnsi="Calibri"/>
              </w:rPr>
              <w:t>Individueel inkopen</w:t>
            </w:r>
          </w:p>
        </w:tc>
      </w:tr>
      <w:tr w:rsidR="000F0474" w:rsidRPr="000F0474" w14:paraId="59CABFE6" w14:textId="77777777" w:rsidTr="00180BE3">
        <w:tc>
          <w:tcPr>
            <w:cnfStyle w:val="001000000000" w:firstRow="0" w:lastRow="0" w:firstColumn="1" w:lastColumn="0" w:oddVBand="0" w:evenVBand="0" w:oddHBand="0" w:evenHBand="0" w:firstRowFirstColumn="0" w:firstRowLastColumn="0" w:lastRowFirstColumn="0" w:lastRowLastColumn="0"/>
            <w:tcW w:w="5665" w:type="dxa"/>
          </w:tcPr>
          <w:p w14:paraId="0B036F18" w14:textId="77777777" w:rsidR="000F0474" w:rsidRPr="00D65824" w:rsidRDefault="000F0474" w:rsidP="000F0474">
            <w:pPr>
              <w:spacing w:after="0" w:line="240" w:lineRule="auto"/>
              <w:rPr>
                <w:rFonts w:ascii="Calibri" w:eastAsia="Calibri" w:hAnsi="Calibri"/>
                <w:b w:val="0"/>
              </w:rPr>
            </w:pPr>
            <w:r w:rsidRPr="00D65824">
              <w:rPr>
                <w:rFonts w:ascii="Calibri" w:eastAsia="Calibri" w:hAnsi="Calibri"/>
                <w:b w:val="0"/>
              </w:rPr>
              <w:t>coördinatie en afstemming van inkoopactiviteiten</w:t>
            </w:r>
          </w:p>
        </w:tc>
        <w:tc>
          <w:tcPr>
            <w:tcW w:w="4962" w:type="dxa"/>
          </w:tcPr>
          <w:p w14:paraId="1DC997A1" w14:textId="77777777" w:rsidR="000F0474" w:rsidRPr="00D65824" w:rsidRDefault="000F0474" w:rsidP="000F0474">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rPr>
            </w:pPr>
            <w:r w:rsidRPr="00D65824">
              <w:rPr>
                <w:rFonts w:ascii="Calibri" w:eastAsia="Calibri" w:hAnsi="Calibri"/>
                <w:color w:val="000000"/>
              </w:rPr>
              <w:t>flexibiliteit, snelheid en toegankelijkheid in de uitvoering</w:t>
            </w:r>
          </w:p>
        </w:tc>
      </w:tr>
      <w:tr w:rsidR="000F0474" w:rsidRPr="000F0474" w14:paraId="22C76C40" w14:textId="77777777" w:rsidTr="00180BE3">
        <w:tc>
          <w:tcPr>
            <w:cnfStyle w:val="001000000000" w:firstRow="0" w:lastRow="0" w:firstColumn="1" w:lastColumn="0" w:oddVBand="0" w:evenVBand="0" w:oddHBand="0" w:evenHBand="0" w:firstRowFirstColumn="0" w:firstRowLastColumn="0" w:lastRowFirstColumn="0" w:lastRowLastColumn="0"/>
            <w:tcW w:w="5665" w:type="dxa"/>
          </w:tcPr>
          <w:p w14:paraId="5230AE2D" w14:textId="77777777" w:rsidR="000F0474" w:rsidRPr="00D65824" w:rsidRDefault="000F0474" w:rsidP="000F0474">
            <w:pPr>
              <w:spacing w:after="0" w:line="240" w:lineRule="auto"/>
              <w:rPr>
                <w:rFonts w:ascii="Calibri" w:eastAsia="Calibri" w:hAnsi="Calibri"/>
                <w:b w:val="0"/>
              </w:rPr>
            </w:pPr>
            <w:r w:rsidRPr="00D65824">
              <w:rPr>
                <w:rFonts w:ascii="Calibri" w:eastAsia="Calibri" w:hAnsi="Calibri" w:cs="Arial"/>
                <w:b w:val="0"/>
              </w:rPr>
              <w:t xml:space="preserve">versterken </w:t>
            </w:r>
            <w:r w:rsidRPr="00D65824">
              <w:rPr>
                <w:rFonts w:ascii="Calibri" w:eastAsia="Calibri" w:hAnsi="Calibri"/>
                <w:b w:val="0"/>
              </w:rPr>
              <w:t>onderhandelingspositie en slagkracht van de inkoper</w:t>
            </w:r>
          </w:p>
        </w:tc>
        <w:tc>
          <w:tcPr>
            <w:tcW w:w="4962" w:type="dxa"/>
          </w:tcPr>
          <w:p w14:paraId="3096C319" w14:textId="77777777" w:rsidR="000F0474" w:rsidRPr="00D65824" w:rsidRDefault="000F0474" w:rsidP="000F0474">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rPr>
            </w:pPr>
            <w:r w:rsidRPr="00D65824">
              <w:rPr>
                <w:rFonts w:ascii="Calibri" w:eastAsia="Calibri" w:hAnsi="Calibri"/>
              </w:rPr>
              <w:t>behoud autonomie</w:t>
            </w:r>
          </w:p>
        </w:tc>
      </w:tr>
      <w:tr w:rsidR="000F0474" w:rsidRPr="000F0474" w14:paraId="016B7147" w14:textId="77777777" w:rsidTr="00180BE3">
        <w:tc>
          <w:tcPr>
            <w:cnfStyle w:val="001000000000" w:firstRow="0" w:lastRow="0" w:firstColumn="1" w:lastColumn="0" w:oddVBand="0" w:evenVBand="0" w:oddHBand="0" w:evenHBand="0" w:firstRowFirstColumn="0" w:firstRowLastColumn="0" w:lastRowFirstColumn="0" w:lastRowLastColumn="0"/>
            <w:tcW w:w="5665" w:type="dxa"/>
          </w:tcPr>
          <w:p w14:paraId="5790A8BE" w14:textId="77777777" w:rsidR="000F0474" w:rsidRPr="00D65824" w:rsidRDefault="000F0474" w:rsidP="000F0474">
            <w:pPr>
              <w:spacing w:after="0" w:line="240" w:lineRule="auto"/>
              <w:rPr>
                <w:rFonts w:ascii="Calibri" w:eastAsia="Calibri" w:hAnsi="Calibri"/>
                <w:b w:val="0"/>
              </w:rPr>
            </w:pPr>
            <w:r w:rsidRPr="00D65824">
              <w:rPr>
                <w:rFonts w:ascii="Calibri" w:eastAsia="Calibri" w:hAnsi="Calibri"/>
                <w:b w:val="0"/>
              </w:rPr>
              <w:t>focus op kostenreductie per eenheidproduct</w:t>
            </w:r>
          </w:p>
        </w:tc>
        <w:tc>
          <w:tcPr>
            <w:tcW w:w="4962" w:type="dxa"/>
          </w:tcPr>
          <w:p w14:paraId="63A66487" w14:textId="77777777" w:rsidR="000F0474" w:rsidRPr="00D65824" w:rsidRDefault="000F0474" w:rsidP="000F0474">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rPr>
            </w:pPr>
            <w:r w:rsidRPr="00D65824">
              <w:rPr>
                <w:rFonts w:ascii="Calibri" w:eastAsia="Calibri" w:hAnsi="Calibri"/>
              </w:rPr>
              <w:t>beperkte ‘span of control’</w:t>
            </w:r>
          </w:p>
        </w:tc>
      </w:tr>
      <w:tr w:rsidR="000F0474" w:rsidRPr="000F0474" w14:paraId="42DFFA3A" w14:textId="77777777" w:rsidTr="00180BE3">
        <w:tc>
          <w:tcPr>
            <w:cnfStyle w:val="001000000000" w:firstRow="0" w:lastRow="0" w:firstColumn="1" w:lastColumn="0" w:oddVBand="0" w:evenVBand="0" w:oddHBand="0" w:evenHBand="0" w:firstRowFirstColumn="0" w:firstRowLastColumn="0" w:lastRowFirstColumn="0" w:lastRowLastColumn="0"/>
            <w:tcW w:w="5665" w:type="dxa"/>
          </w:tcPr>
          <w:p w14:paraId="11E5694B" w14:textId="77777777" w:rsidR="000F0474" w:rsidRPr="00D65824" w:rsidRDefault="000F0474" w:rsidP="000F0474">
            <w:pPr>
              <w:spacing w:after="0" w:line="240" w:lineRule="auto"/>
              <w:rPr>
                <w:rFonts w:ascii="Calibri" w:eastAsia="Calibri" w:hAnsi="Calibri"/>
                <w:b w:val="0"/>
              </w:rPr>
            </w:pPr>
            <w:r w:rsidRPr="00D65824">
              <w:rPr>
                <w:rFonts w:ascii="Calibri" w:eastAsia="Calibri" w:hAnsi="Calibri" w:cs="Arial"/>
                <w:b w:val="0"/>
              </w:rPr>
              <w:t xml:space="preserve">aanwezigheid van </w:t>
            </w:r>
            <w:r w:rsidRPr="00D65824">
              <w:rPr>
                <w:rFonts w:ascii="Calibri" w:eastAsia="Calibri" w:hAnsi="Calibri"/>
                <w:b w:val="0"/>
              </w:rPr>
              <w:t>centrale coördinator</w:t>
            </w:r>
          </w:p>
        </w:tc>
        <w:tc>
          <w:tcPr>
            <w:tcW w:w="4962" w:type="dxa"/>
          </w:tcPr>
          <w:p w14:paraId="29051414" w14:textId="77777777" w:rsidR="000F0474" w:rsidRPr="00D65824" w:rsidRDefault="000F0474" w:rsidP="000F0474">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rPr>
            </w:pPr>
          </w:p>
        </w:tc>
      </w:tr>
      <w:tr w:rsidR="000F0474" w:rsidRPr="000F0474" w14:paraId="3D497EAD" w14:textId="77777777" w:rsidTr="00180BE3">
        <w:tc>
          <w:tcPr>
            <w:cnfStyle w:val="001000000000" w:firstRow="0" w:lastRow="0" w:firstColumn="1" w:lastColumn="0" w:oddVBand="0" w:evenVBand="0" w:oddHBand="0" w:evenHBand="0" w:firstRowFirstColumn="0" w:firstRowLastColumn="0" w:lastRowFirstColumn="0" w:lastRowLastColumn="0"/>
            <w:tcW w:w="5665" w:type="dxa"/>
          </w:tcPr>
          <w:p w14:paraId="258F52AF" w14:textId="77777777" w:rsidR="000F0474" w:rsidRPr="00D65824" w:rsidRDefault="000F0474" w:rsidP="000F0474">
            <w:pPr>
              <w:spacing w:after="0" w:line="240" w:lineRule="auto"/>
              <w:rPr>
                <w:rFonts w:ascii="Calibri" w:eastAsia="Calibri" w:hAnsi="Calibri"/>
                <w:b w:val="0"/>
              </w:rPr>
            </w:pPr>
            <w:r w:rsidRPr="00D65824">
              <w:rPr>
                <w:rFonts w:ascii="Calibri" w:eastAsia="Calibri" w:hAnsi="Calibri"/>
                <w:b w:val="0"/>
              </w:rPr>
              <w:t xml:space="preserve">lagere transactiekosten; </w:t>
            </w:r>
            <w:r w:rsidRPr="00D65824">
              <w:rPr>
                <w:rFonts w:ascii="Calibri" w:eastAsia="Calibri" w:hAnsi="Calibri"/>
                <w:b w:val="0"/>
                <w:color w:val="000000"/>
              </w:rPr>
              <w:t>door inkoopactiviteiten te standaardiseren, aantal leveranciers te reduceren en alles dubbele activiteiten samen te voegen.</w:t>
            </w:r>
          </w:p>
        </w:tc>
        <w:tc>
          <w:tcPr>
            <w:tcW w:w="4962" w:type="dxa"/>
          </w:tcPr>
          <w:p w14:paraId="0663CA03" w14:textId="77777777" w:rsidR="000F0474" w:rsidRPr="00D65824" w:rsidRDefault="000F0474" w:rsidP="000F0474">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rPr>
            </w:pPr>
          </w:p>
        </w:tc>
      </w:tr>
      <w:tr w:rsidR="000F0474" w:rsidRPr="000F0474" w14:paraId="2377D3AB" w14:textId="77777777" w:rsidTr="00180BE3">
        <w:tc>
          <w:tcPr>
            <w:cnfStyle w:val="001000000000" w:firstRow="0" w:lastRow="0" w:firstColumn="1" w:lastColumn="0" w:oddVBand="0" w:evenVBand="0" w:oddHBand="0" w:evenHBand="0" w:firstRowFirstColumn="0" w:firstRowLastColumn="0" w:lastRowFirstColumn="0" w:lastRowLastColumn="0"/>
            <w:tcW w:w="5665" w:type="dxa"/>
          </w:tcPr>
          <w:p w14:paraId="478D856B" w14:textId="77777777" w:rsidR="000F0474" w:rsidRPr="00D65824" w:rsidRDefault="000F0474" w:rsidP="000F0474">
            <w:pPr>
              <w:spacing w:after="0" w:line="240" w:lineRule="auto"/>
              <w:rPr>
                <w:rFonts w:ascii="Calibri" w:eastAsia="Calibri" w:hAnsi="Calibri"/>
                <w:b w:val="0"/>
              </w:rPr>
            </w:pPr>
            <w:r w:rsidRPr="00D65824">
              <w:rPr>
                <w:rFonts w:ascii="Calibri" w:eastAsia="Calibri" w:hAnsi="Calibri"/>
                <w:b w:val="0"/>
              </w:rPr>
              <w:t>Gedeelde (</w:t>
            </w:r>
            <w:proofErr w:type="spellStart"/>
            <w:r w:rsidRPr="00D65824">
              <w:rPr>
                <w:rFonts w:ascii="Calibri" w:eastAsia="Calibri" w:hAnsi="Calibri"/>
                <w:b w:val="0"/>
              </w:rPr>
              <w:t>im</w:t>
            </w:r>
            <w:proofErr w:type="spellEnd"/>
            <w:r w:rsidRPr="00D65824">
              <w:rPr>
                <w:rFonts w:ascii="Calibri" w:eastAsia="Calibri" w:hAnsi="Calibri"/>
                <w:b w:val="0"/>
              </w:rPr>
              <w:t>)materiële middelen</w:t>
            </w:r>
          </w:p>
        </w:tc>
        <w:tc>
          <w:tcPr>
            <w:tcW w:w="4962" w:type="dxa"/>
          </w:tcPr>
          <w:p w14:paraId="1B443A28" w14:textId="77777777" w:rsidR="000F0474" w:rsidRPr="00D65824" w:rsidRDefault="000F0474" w:rsidP="000F0474">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rPr>
            </w:pPr>
          </w:p>
        </w:tc>
      </w:tr>
      <w:tr w:rsidR="000F0474" w:rsidRPr="000F0474" w14:paraId="6F991A04" w14:textId="77777777" w:rsidTr="00180BE3">
        <w:tc>
          <w:tcPr>
            <w:cnfStyle w:val="001000000000" w:firstRow="0" w:lastRow="0" w:firstColumn="1" w:lastColumn="0" w:oddVBand="0" w:evenVBand="0" w:oddHBand="0" w:evenHBand="0" w:firstRowFirstColumn="0" w:firstRowLastColumn="0" w:lastRowFirstColumn="0" w:lastRowLastColumn="0"/>
            <w:tcW w:w="5665" w:type="dxa"/>
          </w:tcPr>
          <w:p w14:paraId="4700175F" w14:textId="60EC1695" w:rsidR="000F0474" w:rsidRPr="00D65824" w:rsidRDefault="007204EB" w:rsidP="000F0474">
            <w:pPr>
              <w:spacing w:after="0" w:line="240" w:lineRule="auto"/>
              <w:rPr>
                <w:rFonts w:ascii="Calibri" w:eastAsia="Calibri" w:hAnsi="Calibri"/>
                <w:b w:val="0"/>
              </w:rPr>
            </w:pPr>
            <w:r w:rsidRPr="00065442">
              <w:rPr>
                <w:rFonts w:ascii="Calibri" w:eastAsia="Calibri" w:hAnsi="Calibri"/>
              </w:rPr>
              <w:t>nadeel</w:t>
            </w:r>
            <w:r w:rsidR="000F0474" w:rsidRPr="00D65824">
              <w:rPr>
                <w:rFonts w:ascii="Calibri" w:eastAsia="Calibri" w:hAnsi="Calibri"/>
                <w:b w:val="0"/>
              </w:rPr>
              <w:t>: wet van afnemende opbrengsten, toenemende bureaucratische congestie en span of control</w:t>
            </w:r>
          </w:p>
        </w:tc>
        <w:tc>
          <w:tcPr>
            <w:tcW w:w="4962" w:type="dxa"/>
          </w:tcPr>
          <w:p w14:paraId="698D5F97" w14:textId="77777777" w:rsidR="000F0474" w:rsidRPr="00D65824" w:rsidRDefault="000F0474" w:rsidP="000F0474">
            <w:pPr>
              <w:spacing w:after="0" w:line="240" w:lineRule="auto"/>
              <w:cnfStyle w:val="000000000000" w:firstRow="0" w:lastRow="0" w:firstColumn="0" w:lastColumn="0" w:oddVBand="0" w:evenVBand="0" w:oddHBand="0" w:evenHBand="0" w:firstRowFirstColumn="0" w:firstRowLastColumn="0" w:lastRowFirstColumn="0" w:lastRowLastColumn="0"/>
              <w:rPr>
                <w:rFonts w:ascii="Calibri" w:eastAsia="Calibri" w:hAnsi="Calibri"/>
              </w:rPr>
            </w:pPr>
            <w:r w:rsidRPr="00065442">
              <w:rPr>
                <w:rFonts w:ascii="Calibri" w:eastAsia="Calibri" w:hAnsi="Calibri"/>
                <w:b/>
              </w:rPr>
              <w:t>nadeel</w:t>
            </w:r>
            <w:r w:rsidRPr="00D65824">
              <w:rPr>
                <w:rFonts w:ascii="Calibri" w:eastAsia="Calibri" w:hAnsi="Calibri"/>
              </w:rPr>
              <w:t xml:space="preserve">: sterke afhankelijkheid door zwakke onderhandelingspositie </w:t>
            </w:r>
          </w:p>
        </w:tc>
      </w:tr>
    </w:tbl>
    <w:bookmarkEnd w:id="82"/>
    <w:p w14:paraId="201B369D" w14:textId="774C1FE1" w:rsidR="00901808" w:rsidRPr="00EC4879" w:rsidRDefault="00901808" w:rsidP="00EC4879">
      <w:pPr>
        <w:pStyle w:val="Caption"/>
        <w:rPr>
          <w:rFonts w:eastAsiaTheme="minorHAnsi"/>
        </w:rPr>
      </w:pPr>
      <w:r w:rsidRPr="00EC4879">
        <w:t xml:space="preserve">Tabel </w:t>
      </w:r>
      <w:r w:rsidR="005A38AE">
        <w:t>6</w:t>
      </w:r>
      <w:r w:rsidRPr="00EC4879">
        <w:t>: Schematische uiteenzetting van de verschillen tussen individueel en gezamenlijk inkopen</w:t>
      </w:r>
    </w:p>
    <w:p w14:paraId="53E45986" w14:textId="77777777" w:rsidR="00B25E88" w:rsidRDefault="00B25E88" w:rsidP="00901808">
      <w:pPr>
        <w:kinsoku/>
        <w:autoSpaceDE/>
        <w:autoSpaceDN/>
        <w:adjustRightInd/>
        <w:spacing w:after="200" w:line="360" w:lineRule="auto"/>
        <w:rPr>
          <w:rFonts w:asciiTheme="minorHAnsi" w:eastAsiaTheme="minorHAnsi" w:hAnsiTheme="minorHAnsi" w:cs="Arial"/>
          <w:b/>
          <w:sz w:val="24"/>
          <w:szCs w:val="22"/>
        </w:rPr>
      </w:pPr>
      <w:bookmarkStart w:id="83" w:name="_Hlk484126762"/>
      <w:bookmarkStart w:id="84" w:name="_Hlk484213208"/>
    </w:p>
    <w:p w14:paraId="00E85B32" w14:textId="77777777" w:rsidR="006018E4" w:rsidRDefault="006018E4">
      <w:pPr>
        <w:kinsoku/>
        <w:autoSpaceDE/>
        <w:autoSpaceDN/>
        <w:adjustRightInd/>
        <w:spacing w:after="160" w:line="259" w:lineRule="auto"/>
        <w:rPr>
          <w:rFonts w:asciiTheme="minorHAnsi" w:eastAsiaTheme="minorHAnsi" w:hAnsiTheme="minorHAnsi"/>
          <w:b/>
          <w:color w:val="1F3864" w:themeColor="accent1" w:themeShade="80"/>
          <w:sz w:val="24"/>
        </w:rPr>
      </w:pPr>
      <w:r>
        <w:rPr>
          <w:color w:val="1F3864" w:themeColor="accent1" w:themeShade="80"/>
        </w:rPr>
        <w:br w:type="page"/>
      </w:r>
    </w:p>
    <w:p w14:paraId="1DEAA7B2" w14:textId="129889BA" w:rsidR="00901808" w:rsidRPr="003B56D6" w:rsidRDefault="00901808" w:rsidP="00387531">
      <w:pPr>
        <w:pStyle w:val="Heading2"/>
        <w:rPr>
          <w:color w:val="1F3864" w:themeColor="accent1" w:themeShade="80"/>
        </w:rPr>
      </w:pPr>
      <w:bookmarkStart w:id="85" w:name="_Toc517455463"/>
      <w:r w:rsidRPr="003B56D6">
        <w:rPr>
          <w:color w:val="1F3864" w:themeColor="accent1" w:themeShade="80"/>
        </w:rPr>
        <w:lastRenderedPageBreak/>
        <w:t>Het conceptueel model</w:t>
      </w:r>
      <w:bookmarkEnd w:id="85"/>
    </w:p>
    <w:p w14:paraId="4B4E9A4F" w14:textId="76622396" w:rsidR="00162364" w:rsidRDefault="00162364" w:rsidP="00162364">
      <w:pPr>
        <w:pStyle w:val="NoSpacing"/>
      </w:pPr>
      <w:r>
        <w:t>Het conceptueel model</w:t>
      </w:r>
      <w:r w:rsidRPr="00162364">
        <w:t xml:space="preserve"> </w:t>
      </w:r>
      <w:r w:rsidR="0077563C">
        <w:t xml:space="preserve">geeft </w:t>
      </w:r>
      <w:r w:rsidRPr="00162364">
        <w:t>schematisch</w:t>
      </w:r>
      <w:r w:rsidR="0077563C">
        <w:t xml:space="preserve"> </w:t>
      </w:r>
      <w:r w:rsidRPr="00162364">
        <w:t xml:space="preserve">het doel van het onderzoek </w:t>
      </w:r>
      <w:r w:rsidR="0077563C">
        <w:t xml:space="preserve">weer </w:t>
      </w:r>
      <w:r w:rsidRPr="00162364">
        <w:t xml:space="preserve">en de globale stappen die </w:t>
      </w:r>
      <w:r w:rsidR="0077563C">
        <w:t>genomen</w:t>
      </w:r>
      <w:r w:rsidRPr="00162364">
        <w:t xml:space="preserve"> moeten worden om </w:t>
      </w:r>
      <w:r w:rsidR="0077563C">
        <w:t>het</w:t>
      </w:r>
      <w:r w:rsidRPr="00162364">
        <w:t xml:space="preserve"> doel te bereiken (Verschuren &amp; </w:t>
      </w:r>
      <w:proofErr w:type="spellStart"/>
      <w:r w:rsidRPr="00162364">
        <w:t>Doorewaard</w:t>
      </w:r>
      <w:proofErr w:type="spellEnd"/>
      <w:r w:rsidRPr="00162364">
        <w:t>, 2003).</w:t>
      </w:r>
    </w:p>
    <w:p w14:paraId="7C3AB3F3" w14:textId="77777777" w:rsidR="00162364" w:rsidRPr="00162364" w:rsidRDefault="00162364" w:rsidP="00162364">
      <w:pPr>
        <w:pStyle w:val="NoSpacing"/>
      </w:pPr>
    </w:p>
    <w:p w14:paraId="0DA04F47" w14:textId="58CC749F" w:rsidR="008970F6" w:rsidRDefault="008970F6" w:rsidP="00901808">
      <w:pPr>
        <w:kinsoku/>
        <w:autoSpaceDE/>
        <w:autoSpaceDN/>
        <w:adjustRightInd/>
        <w:spacing w:after="200" w:line="360" w:lineRule="auto"/>
        <w:rPr>
          <w:rFonts w:asciiTheme="minorHAnsi" w:eastAsiaTheme="minorHAnsi" w:hAnsiTheme="minorHAnsi" w:cs="Arial"/>
          <w:b/>
          <w:sz w:val="28"/>
          <w:szCs w:val="22"/>
        </w:rPr>
      </w:pPr>
      <w:r w:rsidRPr="008970F6">
        <w:rPr>
          <w:rFonts w:eastAsiaTheme="minorHAnsi"/>
          <w:noProof/>
          <w:lang w:eastAsia="nl-NL"/>
        </w:rPr>
        <w:drawing>
          <wp:inline distT="0" distB="0" distL="0" distR="0" wp14:anchorId="1E931F2C" wp14:editId="2BC66C3D">
            <wp:extent cx="6968837" cy="2603647"/>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6984164" cy="2609373"/>
                    </a:xfrm>
                    <a:prstGeom prst="rect">
                      <a:avLst/>
                    </a:prstGeom>
                    <a:noFill/>
                    <a:ln>
                      <a:noFill/>
                    </a:ln>
                  </pic:spPr>
                </pic:pic>
              </a:graphicData>
            </a:graphic>
          </wp:inline>
        </w:drawing>
      </w:r>
    </w:p>
    <w:p w14:paraId="25D7625A" w14:textId="24778A40" w:rsidR="00901808" w:rsidRPr="003B56D6" w:rsidRDefault="00901808" w:rsidP="00387531">
      <w:pPr>
        <w:pStyle w:val="Heading2"/>
        <w:rPr>
          <w:color w:val="1F3864" w:themeColor="accent1" w:themeShade="80"/>
          <w:sz w:val="32"/>
        </w:rPr>
      </w:pPr>
      <w:bookmarkStart w:id="86" w:name="_Toc517455464"/>
      <w:bookmarkStart w:id="87" w:name="_Hlk484682654"/>
      <w:bookmarkEnd w:id="83"/>
      <w:bookmarkEnd w:id="84"/>
      <w:r w:rsidRPr="003B56D6">
        <w:rPr>
          <w:color w:val="1F3864" w:themeColor="accent1" w:themeShade="80"/>
        </w:rPr>
        <w:t>Operationalisatie</w:t>
      </w:r>
      <w:bookmarkEnd w:id="86"/>
      <w:r w:rsidRPr="003B56D6">
        <w:rPr>
          <w:color w:val="1F3864" w:themeColor="accent1" w:themeShade="80"/>
        </w:rPr>
        <w:t xml:space="preserve"> </w:t>
      </w:r>
      <w:bookmarkEnd w:id="87"/>
    </w:p>
    <w:p w14:paraId="52E4EBBD" w14:textId="24139D43" w:rsidR="00901808" w:rsidRPr="00442509" w:rsidRDefault="00901808" w:rsidP="00901808">
      <w:pPr>
        <w:pStyle w:val="NoSpacing"/>
        <w:spacing w:line="276" w:lineRule="auto"/>
      </w:pPr>
      <w:r w:rsidRPr="00442509">
        <w:t xml:space="preserve">In </w:t>
      </w:r>
      <w:r w:rsidR="00295A1B" w:rsidRPr="00442509">
        <w:t>het</w:t>
      </w:r>
      <w:r w:rsidRPr="00442509">
        <w:t xml:space="preserve"> voorgaande hoofdstuk zijn de theoretische concepten en assumpties uiteengez</w:t>
      </w:r>
      <w:r w:rsidR="000B47A7">
        <w:t>et</w:t>
      </w:r>
      <w:r w:rsidR="0028634C">
        <w:t>.</w:t>
      </w:r>
      <w:r w:rsidRPr="00442509">
        <w:t xml:space="preserve"> Er is getracht om factoren die invloed hebben op </w:t>
      </w:r>
      <w:r w:rsidR="006A33A2">
        <w:t xml:space="preserve">de </w:t>
      </w:r>
      <w:r w:rsidRPr="00442509">
        <w:t>efficiëntie van</w:t>
      </w:r>
      <w:r w:rsidR="006A33A2">
        <w:t xml:space="preserve"> </w:t>
      </w:r>
      <w:r w:rsidRPr="00442509">
        <w:t>inkoop op een zo helder mogelijk</w:t>
      </w:r>
      <w:r w:rsidR="0028634C">
        <w:t>e</w:t>
      </w:r>
      <w:r w:rsidRPr="00442509">
        <w:t xml:space="preserve"> manier vanuit de theorie te beschrijven. De samenhang in deze theoretische concepten is geïllustreerd middels het conceptueel </w:t>
      </w:r>
      <w:r w:rsidR="00295A1B" w:rsidRPr="00442509">
        <w:t xml:space="preserve">model. </w:t>
      </w:r>
    </w:p>
    <w:p w14:paraId="02C71471" w14:textId="29B86B2A" w:rsidR="00901808" w:rsidRPr="00442509" w:rsidRDefault="006A33A2" w:rsidP="00901808">
      <w:pPr>
        <w:pStyle w:val="NoSpacing"/>
        <w:spacing w:line="276" w:lineRule="auto"/>
      </w:pPr>
      <w:r>
        <w:tab/>
      </w:r>
      <w:r w:rsidR="00901808" w:rsidRPr="00442509">
        <w:t>Om de theoretische veronderstellingen te kunnen toetsen aan de empirie, is operationalisatie noodzakelijk. Operationalisatie dient als basis voor de kwalitatieve onderzoeksdesign. Operationalisatie is een begrip definiëren na</w:t>
      </w:r>
      <w:r w:rsidR="00FA2781" w:rsidRPr="00442509">
        <w:t xml:space="preserve">ar direct meetbare indicatoren </w:t>
      </w:r>
      <w:r w:rsidR="00901808" w:rsidRPr="00442509">
        <w:t>(</w:t>
      </w:r>
      <w:proofErr w:type="spellStart"/>
      <w:r w:rsidR="00901808" w:rsidRPr="00442509">
        <w:t>Korzilius</w:t>
      </w:r>
      <w:proofErr w:type="spellEnd"/>
      <w:r w:rsidR="00901808" w:rsidRPr="00442509">
        <w:t>, 2000). Definiëren is het aangeven van de betekenis van een begrip door een korte, bondige en ondubbelzinnige omschrijving (Van Thiel, 20</w:t>
      </w:r>
      <w:r w:rsidR="00B82A28">
        <w:t>15</w:t>
      </w:r>
      <w:r w:rsidR="00901808" w:rsidRPr="00442509">
        <w:t xml:space="preserve">). Dit proces </w:t>
      </w:r>
      <w:r>
        <w:t>wordt</w:t>
      </w:r>
      <w:r w:rsidR="00901808" w:rsidRPr="00442509">
        <w:t xml:space="preserve"> </w:t>
      </w:r>
      <w:r w:rsidR="00901808" w:rsidRPr="0052756E">
        <w:t>weergegeven</w:t>
      </w:r>
      <w:r w:rsidRPr="0052756E">
        <w:t xml:space="preserve"> in figuur </w:t>
      </w:r>
      <w:r w:rsidR="0052756E" w:rsidRPr="0052756E">
        <w:t>6</w:t>
      </w:r>
      <w:r w:rsidRPr="0052756E">
        <w:t>.</w:t>
      </w:r>
    </w:p>
    <w:p w14:paraId="2A67E94D" w14:textId="77777777" w:rsidR="00901808" w:rsidRDefault="00901808" w:rsidP="00901808">
      <w:pPr>
        <w:pStyle w:val="NoSpacing"/>
      </w:pPr>
    </w:p>
    <w:p w14:paraId="6F6DF5EE" w14:textId="77777777" w:rsidR="00901808" w:rsidRPr="00FF1807" w:rsidRDefault="00901808" w:rsidP="00901808">
      <w:pPr>
        <w:pStyle w:val="NoSpacing"/>
        <w:spacing w:line="360" w:lineRule="auto"/>
      </w:pPr>
      <w:r w:rsidRPr="00FF1807">
        <w:rPr>
          <w:noProof/>
          <w:lang w:eastAsia="nl-NL"/>
        </w:rPr>
        <mc:AlternateContent>
          <mc:Choice Requires="wps">
            <w:drawing>
              <wp:anchor distT="0" distB="0" distL="114300" distR="114300" simplePos="0" relativeHeight="251667456" behindDoc="0" locked="0" layoutInCell="1" allowOverlap="1" wp14:anchorId="2E093E8B" wp14:editId="4BB883F4">
                <wp:simplePos x="0" y="0"/>
                <wp:positionH relativeFrom="margin">
                  <wp:posOffset>25400</wp:posOffset>
                </wp:positionH>
                <wp:positionV relativeFrom="paragraph">
                  <wp:posOffset>71755</wp:posOffset>
                </wp:positionV>
                <wp:extent cx="1266825" cy="680085"/>
                <wp:effectExtent l="0" t="0" r="28575" b="24765"/>
                <wp:wrapNone/>
                <wp:docPr id="13" name="Rectangle 2"/>
                <wp:cNvGraphicFramePr/>
                <a:graphic xmlns:a="http://schemas.openxmlformats.org/drawingml/2006/main">
                  <a:graphicData uri="http://schemas.microsoft.com/office/word/2010/wordprocessingShape">
                    <wps:wsp>
                      <wps:cNvSpPr/>
                      <wps:spPr>
                        <a:xfrm>
                          <a:off x="0" y="0"/>
                          <a:ext cx="1266825" cy="680085"/>
                        </a:xfrm>
                        <a:prstGeom prst="roundRect">
                          <a:avLst/>
                        </a:prstGeom>
                        <a:solidFill>
                          <a:schemeClr val="accent2">
                            <a:lumMod val="40000"/>
                            <a:lumOff val="60000"/>
                          </a:schemeClr>
                        </a:solidFill>
                      </wps:spPr>
                      <wps:style>
                        <a:lnRef idx="1">
                          <a:schemeClr val="dk1"/>
                        </a:lnRef>
                        <a:fillRef idx="2">
                          <a:schemeClr val="dk1"/>
                        </a:fillRef>
                        <a:effectRef idx="1">
                          <a:schemeClr val="dk1"/>
                        </a:effectRef>
                        <a:fontRef idx="minor">
                          <a:schemeClr val="dk1"/>
                        </a:fontRef>
                      </wps:style>
                      <wps:txbx>
                        <w:txbxContent>
                          <w:p w14:paraId="0FDE547F" w14:textId="77777777" w:rsidR="003040E4" w:rsidRPr="00FF1807" w:rsidRDefault="003040E4" w:rsidP="00901808">
                            <w:pPr>
                              <w:pStyle w:val="NoSpacing"/>
                              <w:jc w:val="center"/>
                            </w:pPr>
                            <w:r w:rsidRPr="00FF1807">
                              <w:t>Begrip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E093E8B" id="_x0000_s1033" style="position:absolute;margin-left:2pt;margin-top:5.65pt;width:99.75pt;height:53.55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" fillcolor="#f7caac [1301]" strokecolor="black [3200]" strokeweight=".5pt">
                <v:stroke joinstyle="miter"/>
                <v:textbox>
                  <w:txbxContent>
                    <w:p w14:paraId="0FDE547F" w14:textId="77777777" w:rsidR="003040E4" w:rsidRPr="00FF1807" w:rsidRDefault="003040E4" w:rsidP="00901808">
                      <w:pPr>
                        <w:pStyle w:val="NoSpacing"/>
                        <w:jc w:val="center"/>
                      </w:pPr>
                      <w:r w:rsidRPr="00FF1807">
                        <w:t>Begrip</w:t>
                      </w:r>
                    </w:p>
                  </w:txbxContent>
                </v:textbox>
                <w10:wrap anchorx="margin"/>
              </v:roundrect>
            </w:pict>
          </mc:Fallback>
        </mc:AlternateContent>
      </w:r>
      <w:r w:rsidRPr="00FF1807">
        <w:rPr>
          <w:noProof/>
          <w:lang w:eastAsia="nl-NL"/>
        </w:rPr>
        <mc:AlternateContent>
          <mc:Choice Requires="wps">
            <w:drawing>
              <wp:anchor distT="0" distB="0" distL="114300" distR="114300" simplePos="0" relativeHeight="251668480" behindDoc="0" locked="0" layoutInCell="1" allowOverlap="1" wp14:anchorId="30B8B2D6" wp14:editId="04779ABB">
                <wp:simplePos x="0" y="0"/>
                <wp:positionH relativeFrom="margin">
                  <wp:posOffset>1971040</wp:posOffset>
                </wp:positionH>
                <wp:positionV relativeFrom="paragraph">
                  <wp:posOffset>60960</wp:posOffset>
                </wp:positionV>
                <wp:extent cx="1266825" cy="690880"/>
                <wp:effectExtent l="0" t="0" r="28575" b="13970"/>
                <wp:wrapNone/>
                <wp:docPr id="30" name="Rectangle 3"/>
                <wp:cNvGraphicFramePr/>
                <a:graphic xmlns:a="http://schemas.openxmlformats.org/drawingml/2006/main">
                  <a:graphicData uri="http://schemas.microsoft.com/office/word/2010/wordprocessingShape">
                    <wps:wsp>
                      <wps:cNvSpPr/>
                      <wps:spPr>
                        <a:xfrm>
                          <a:off x="0" y="0"/>
                          <a:ext cx="1266825" cy="690880"/>
                        </a:xfrm>
                        <a:prstGeom prst="roundRect">
                          <a:avLst/>
                        </a:prstGeom>
                        <a:solidFill>
                          <a:schemeClr val="accent2">
                            <a:lumMod val="40000"/>
                            <a:lumOff val="60000"/>
                          </a:schemeClr>
                        </a:solidFill>
                      </wps:spPr>
                      <wps:style>
                        <a:lnRef idx="1">
                          <a:schemeClr val="dk1"/>
                        </a:lnRef>
                        <a:fillRef idx="2">
                          <a:schemeClr val="dk1"/>
                        </a:fillRef>
                        <a:effectRef idx="1">
                          <a:schemeClr val="dk1"/>
                        </a:effectRef>
                        <a:fontRef idx="minor">
                          <a:schemeClr val="dk1"/>
                        </a:fontRef>
                      </wps:style>
                      <wps:txbx>
                        <w:txbxContent>
                          <w:p w14:paraId="746B1464" w14:textId="77777777" w:rsidR="003040E4" w:rsidRPr="00FF1807" w:rsidRDefault="003040E4" w:rsidP="00901808">
                            <w:pPr>
                              <w:pStyle w:val="NoSpacing"/>
                              <w:jc w:val="center"/>
                            </w:pPr>
                            <w:r w:rsidRPr="00FF1807">
                              <w:t>Cognitieve begripsinhoud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0B8B2D6" id="_x0000_s1034" style="position:absolute;margin-left:155.2pt;margin-top:4.8pt;width:99.75pt;height:54.4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" fillcolor="#f7caac [1301]" strokecolor="black [3200]" strokeweight=".5pt">
                <v:stroke joinstyle="miter"/>
                <v:textbox>
                  <w:txbxContent>
                    <w:p w14:paraId="746B1464" w14:textId="77777777" w:rsidR="003040E4" w:rsidRPr="00FF1807" w:rsidRDefault="003040E4" w:rsidP="00901808">
                      <w:pPr>
                        <w:pStyle w:val="NoSpacing"/>
                        <w:jc w:val="center"/>
                      </w:pPr>
                      <w:r w:rsidRPr="00FF1807">
                        <w:t>Cognitieve begripsinhoud</w:t>
                      </w:r>
                    </w:p>
                  </w:txbxContent>
                </v:textbox>
                <w10:wrap anchorx="margin"/>
              </v:roundrect>
            </w:pict>
          </mc:Fallback>
        </mc:AlternateContent>
      </w:r>
      <w:r w:rsidRPr="00FF1807">
        <w:rPr>
          <w:noProof/>
          <w:lang w:eastAsia="nl-NL"/>
        </w:rPr>
        <mc:AlternateContent>
          <mc:Choice Requires="wps">
            <w:drawing>
              <wp:anchor distT="0" distB="0" distL="114300" distR="114300" simplePos="0" relativeHeight="251670528" behindDoc="0" locked="0" layoutInCell="1" allowOverlap="1" wp14:anchorId="0F6B2AD0" wp14:editId="7BBA43BA">
                <wp:simplePos x="0" y="0"/>
                <wp:positionH relativeFrom="margin">
                  <wp:posOffset>3938595</wp:posOffset>
                </wp:positionH>
                <wp:positionV relativeFrom="paragraph">
                  <wp:posOffset>61565</wp:posOffset>
                </wp:positionV>
                <wp:extent cx="1431985" cy="691117"/>
                <wp:effectExtent l="0" t="0" r="15875" b="13970"/>
                <wp:wrapNone/>
                <wp:docPr id="4" name="Rectangle 4"/>
                <wp:cNvGraphicFramePr/>
                <a:graphic xmlns:a="http://schemas.openxmlformats.org/drawingml/2006/main">
                  <a:graphicData uri="http://schemas.microsoft.com/office/word/2010/wordprocessingShape">
                    <wps:wsp>
                      <wps:cNvSpPr/>
                      <wps:spPr>
                        <a:xfrm>
                          <a:off x="0" y="0"/>
                          <a:ext cx="1431985" cy="691117"/>
                        </a:xfrm>
                        <a:prstGeom prst="roundRect">
                          <a:avLst/>
                        </a:prstGeom>
                        <a:solidFill>
                          <a:schemeClr val="accent2">
                            <a:lumMod val="40000"/>
                            <a:lumOff val="60000"/>
                          </a:schemeClr>
                        </a:solidFill>
                      </wps:spPr>
                      <wps:style>
                        <a:lnRef idx="1">
                          <a:schemeClr val="dk1"/>
                        </a:lnRef>
                        <a:fillRef idx="2">
                          <a:schemeClr val="dk1"/>
                        </a:fillRef>
                        <a:effectRef idx="1">
                          <a:schemeClr val="dk1"/>
                        </a:effectRef>
                        <a:fontRef idx="minor">
                          <a:schemeClr val="dk1"/>
                        </a:fontRef>
                      </wps:style>
                      <wps:txbx>
                        <w:txbxContent>
                          <w:p w14:paraId="79B35F61" w14:textId="77777777" w:rsidR="003040E4" w:rsidRPr="00FF1807" w:rsidRDefault="003040E4" w:rsidP="00901808">
                            <w:pPr>
                              <w:pStyle w:val="NoSpacing"/>
                              <w:jc w:val="center"/>
                            </w:pPr>
                            <w:r w:rsidRPr="00FF1807">
                              <w:t>Waarneembaar verschijnsel: indicator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F6B2AD0" id="Rectangle 4" o:spid="_x0000_s1035" style="position:absolute;margin-left:310.15pt;margin-top:4.85pt;width:112.75pt;height:54.4pt;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" fillcolor="#f7caac [1301]" strokecolor="black [3200]" strokeweight=".5pt">
                <v:stroke joinstyle="miter"/>
                <v:textbox>
                  <w:txbxContent>
                    <w:p w14:paraId="79B35F61" w14:textId="77777777" w:rsidR="003040E4" w:rsidRPr="00FF1807" w:rsidRDefault="003040E4" w:rsidP="00901808">
                      <w:pPr>
                        <w:pStyle w:val="NoSpacing"/>
                        <w:jc w:val="center"/>
                      </w:pPr>
                      <w:r w:rsidRPr="00FF1807">
                        <w:t>Waarneembaar verschijnsel: indicator</w:t>
                      </w:r>
                    </w:p>
                  </w:txbxContent>
                </v:textbox>
                <w10:wrap anchorx="margin"/>
              </v:roundrect>
            </w:pict>
          </mc:Fallback>
        </mc:AlternateContent>
      </w:r>
    </w:p>
    <w:p w14:paraId="68809CD3" w14:textId="77777777" w:rsidR="00901808" w:rsidRPr="00FF1807" w:rsidRDefault="00901808" w:rsidP="00901808">
      <w:pPr>
        <w:pStyle w:val="NoSpacing"/>
        <w:spacing w:line="360" w:lineRule="auto"/>
      </w:pPr>
      <w:r w:rsidRPr="00FF1807">
        <w:rPr>
          <w:noProof/>
          <w:lang w:eastAsia="nl-NL"/>
        </w:rPr>
        <mc:AlternateContent>
          <mc:Choice Requires="wps">
            <w:drawing>
              <wp:anchor distT="0" distB="0" distL="114300" distR="114300" simplePos="0" relativeHeight="251674624" behindDoc="0" locked="0" layoutInCell="1" allowOverlap="1" wp14:anchorId="0E12D93A" wp14:editId="04244BE8">
                <wp:simplePos x="0" y="0"/>
                <wp:positionH relativeFrom="column">
                  <wp:posOffset>1609725</wp:posOffset>
                </wp:positionH>
                <wp:positionV relativeFrom="paragraph">
                  <wp:posOffset>210820</wp:posOffset>
                </wp:positionV>
                <wp:extent cx="0" cy="676275"/>
                <wp:effectExtent l="76200" t="38100" r="57150" b="9525"/>
                <wp:wrapNone/>
                <wp:docPr id="299" name="Straight Arrow Connector 10"/>
                <wp:cNvGraphicFramePr/>
                <a:graphic xmlns:a="http://schemas.openxmlformats.org/drawingml/2006/main">
                  <a:graphicData uri="http://schemas.microsoft.com/office/word/2010/wordprocessingShape">
                    <wps:wsp>
                      <wps:cNvCnPr/>
                      <wps:spPr>
                        <a:xfrm flipV="1">
                          <a:off x="0" y="0"/>
                          <a:ext cx="0" cy="6762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5DC005BB" id="Straight Arrow Connector 10" o:spid="_x0000_s1026" type="#_x0000_t32" style="position:absolute;margin-left:126.75pt;margin-top:16.6pt;width:0;height:53.25pt;flip:y;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" strokecolor="black [3200]" strokeweight=".5pt">
                <v:stroke endarrow="block" joinstyle="miter"/>
              </v:shape>
            </w:pict>
          </mc:Fallback>
        </mc:AlternateContent>
      </w:r>
      <w:r w:rsidRPr="00FF1807">
        <w:rPr>
          <w:noProof/>
          <w:lang w:eastAsia="nl-NL"/>
        </w:rPr>
        <mc:AlternateContent>
          <mc:Choice Requires="wps">
            <w:drawing>
              <wp:anchor distT="0" distB="0" distL="114300" distR="114300" simplePos="0" relativeHeight="251673600" behindDoc="0" locked="0" layoutInCell="1" allowOverlap="1" wp14:anchorId="7F80C1D8" wp14:editId="09996F03">
                <wp:simplePos x="0" y="0"/>
                <wp:positionH relativeFrom="column">
                  <wp:posOffset>3257550</wp:posOffset>
                </wp:positionH>
                <wp:positionV relativeFrom="paragraph">
                  <wp:posOffset>163195</wp:posOffset>
                </wp:positionV>
                <wp:extent cx="628650" cy="0"/>
                <wp:effectExtent l="0" t="76200" r="19050" b="95250"/>
                <wp:wrapNone/>
                <wp:docPr id="300" name="Straight Arrow Connector 9"/>
                <wp:cNvGraphicFramePr/>
                <a:graphic xmlns:a="http://schemas.openxmlformats.org/drawingml/2006/main">
                  <a:graphicData uri="http://schemas.microsoft.com/office/word/2010/wordprocessingShape">
                    <wps:wsp>
                      <wps:cNvCnPr/>
                      <wps:spPr>
                        <a:xfrm>
                          <a:off x="0" y="0"/>
                          <a:ext cx="628650" cy="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5979DE84" id="Straight Arrow Connector 9" o:spid="_x0000_s1026" type="#_x0000_t32" style="position:absolute;margin-left:256.5pt;margin-top:12.85pt;width:49.5pt;height:0;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" strokecolor="black [3200]" strokeweight="1.5pt">
                <v:stroke endarrow="block" joinstyle="miter"/>
              </v:shape>
            </w:pict>
          </mc:Fallback>
        </mc:AlternateContent>
      </w:r>
      <w:r w:rsidRPr="00FF1807">
        <w:rPr>
          <w:noProof/>
          <w:lang w:eastAsia="nl-NL"/>
        </w:rPr>
        <mc:AlternateContent>
          <mc:Choice Requires="wps">
            <w:drawing>
              <wp:anchor distT="0" distB="0" distL="114300" distR="114300" simplePos="0" relativeHeight="251675648" behindDoc="0" locked="0" layoutInCell="1" allowOverlap="1" wp14:anchorId="5E447D29" wp14:editId="04827B25">
                <wp:simplePos x="0" y="0"/>
                <wp:positionH relativeFrom="column">
                  <wp:posOffset>3562350</wp:posOffset>
                </wp:positionH>
                <wp:positionV relativeFrom="paragraph">
                  <wp:posOffset>201295</wp:posOffset>
                </wp:positionV>
                <wp:extent cx="9525" cy="676275"/>
                <wp:effectExtent l="76200" t="38100" r="66675" b="28575"/>
                <wp:wrapNone/>
                <wp:docPr id="301" name="Straight Arrow Connector 11"/>
                <wp:cNvGraphicFramePr/>
                <a:graphic xmlns:a="http://schemas.openxmlformats.org/drawingml/2006/main">
                  <a:graphicData uri="http://schemas.microsoft.com/office/word/2010/wordprocessingShape">
                    <wps:wsp>
                      <wps:cNvCnPr/>
                      <wps:spPr>
                        <a:xfrm flipH="1" flipV="1">
                          <a:off x="0" y="0"/>
                          <a:ext cx="9525" cy="6762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DCC7024" id="Straight Arrow Connector 11" o:spid="_x0000_s1026" type="#_x0000_t32" style="position:absolute;margin-left:280.5pt;margin-top:15.85pt;width:.75pt;height:53.25pt;flip:x y;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" strokecolor="black [3200]" strokeweight=".5pt">
                <v:stroke endarrow="block" joinstyle="miter"/>
              </v:shape>
            </w:pict>
          </mc:Fallback>
        </mc:AlternateContent>
      </w:r>
      <w:r w:rsidRPr="00FF1807">
        <w:rPr>
          <w:noProof/>
          <w:lang w:eastAsia="nl-NL"/>
        </w:rPr>
        <mc:AlternateContent>
          <mc:Choice Requires="wps">
            <w:drawing>
              <wp:anchor distT="0" distB="0" distL="114300" distR="114300" simplePos="0" relativeHeight="251676672" behindDoc="0" locked="0" layoutInCell="1" allowOverlap="1" wp14:anchorId="1CBAE77A" wp14:editId="494EED2A">
                <wp:simplePos x="0" y="0"/>
                <wp:positionH relativeFrom="column">
                  <wp:posOffset>1304925</wp:posOffset>
                </wp:positionH>
                <wp:positionV relativeFrom="paragraph">
                  <wp:posOffset>165100</wp:posOffset>
                </wp:positionV>
                <wp:extent cx="628650" cy="0"/>
                <wp:effectExtent l="0" t="76200" r="19050" b="95250"/>
                <wp:wrapNone/>
                <wp:docPr id="302" name="Straight Arrow Connector 12"/>
                <wp:cNvGraphicFramePr/>
                <a:graphic xmlns:a="http://schemas.openxmlformats.org/drawingml/2006/main">
                  <a:graphicData uri="http://schemas.microsoft.com/office/word/2010/wordprocessingShape">
                    <wps:wsp>
                      <wps:cNvCnPr/>
                      <wps:spPr>
                        <a:xfrm>
                          <a:off x="0" y="0"/>
                          <a:ext cx="628650" cy="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522C58CF" id="Straight Arrow Connector 12" o:spid="_x0000_s1026" type="#_x0000_t32" style="position:absolute;margin-left:102.75pt;margin-top:13pt;width:49.5pt;height:0;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" strokecolor="black [3200]" strokeweight="1.5pt">
                <v:stroke endarrow="block" joinstyle="miter"/>
              </v:shape>
            </w:pict>
          </mc:Fallback>
        </mc:AlternateContent>
      </w:r>
    </w:p>
    <w:p w14:paraId="290D441D" w14:textId="77777777" w:rsidR="00901808" w:rsidRPr="00FF1807" w:rsidRDefault="00901808" w:rsidP="00901808">
      <w:pPr>
        <w:pStyle w:val="NoSpacing"/>
        <w:spacing w:line="360" w:lineRule="auto"/>
        <w:rPr>
          <w:highlight w:val="green"/>
        </w:rPr>
      </w:pPr>
    </w:p>
    <w:p w14:paraId="7CFAD0DE" w14:textId="77777777" w:rsidR="00901808" w:rsidRPr="00FF1807" w:rsidRDefault="00901808" w:rsidP="00901808">
      <w:pPr>
        <w:pStyle w:val="NoSpacing"/>
        <w:spacing w:line="360" w:lineRule="auto"/>
        <w:rPr>
          <w:highlight w:val="green"/>
        </w:rPr>
      </w:pPr>
    </w:p>
    <w:p w14:paraId="3D2BC7AA" w14:textId="77777777" w:rsidR="00901808" w:rsidRPr="00FF1807" w:rsidRDefault="00901808" w:rsidP="00901808">
      <w:pPr>
        <w:pStyle w:val="NoSpacing"/>
        <w:spacing w:line="360" w:lineRule="auto"/>
        <w:rPr>
          <w:highlight w:val="green"/>
        </w:rPr>
      </w:pPr>
    </w:p>
    <w:p w14:paraId="539797B4" w14:textId="77777777" w:rsidR="00901808" w:rsidRPr="00FF1807" w:rsidRDefault="00901808" w:rsidP="00901808">
      <w:pPr>
        <w:pStyle w:val="NoSpacing"/>
        <w:spacing w:line="360" w:lineRule="auto"/>
        <w:rPr>
          <w:highlight w:val="green"/>
        </w:rPr>
      </w:pPr>
      <w:r w:rsidRPr="00FF1807">
        <w:rPr>
          <w:noProof/>
          <w:lang w:eastAsia="nl-NL"/>
        </w:rPr>
        <mc:AlternateContent>
          <mc:Choice Requires="wps">
            <w:drawing>
              <wp:anchor distT="0" distB="0" distL="114300" distR="114300" simplePos="0" relativeHeight="251672576" behindDoc="0" locked="0" layoutInCell="1" allowOverlap="1" wp14:anchorId="73ED46C9" wp14:editId="70C187C0">
                <wp:simplePos x="0" y="0"/>
                <wp:positionH relativeFrom="column">
                  <wp:posOffset>2949575</wp:posOffset>
                </wp:positionH>
                <wp:positionV relativeFrom="paragraph">
                  <wp:posOffset>-5715</wp:posOffset>
                </wp:positionV>
                <wp:extent cx="1276350" cy="495935"/>
                <wp:effectExtent l="0" t="0" r="19050" b="18415"/>
                <wp:wrapNone/>
                <wp:docPr id="303" name="Rectangle 6"/>
                <wp:cNvGraphicFramePr/>
                <a:graphic xmlns:a="http://schemas.openxmlformats.org/drawingml/2006/main">
                  <a:graphicData uri="http://schemas.microsoft.com/office/word/2010/wordprocessingShape">
                    <wps:wsp>
                      <wps:cNvSpPr/>
                      <wps:spPr>
                        <a:xfrm>
                          <a:off x="0" y="0"/>
                          <a:ext cx="1276350" cy="495935"/>
                        </a:xfrm>
                        <a:prstGeom prst="rect">
                          <a:avLst/>
                        </a:prstGeom>
                      </wps:spPr>
                      <wps:style>
                        <a:lnRef idx="2">
                          <a:schemeClr val="dk1"/>
                        </a:lnRef>
                        <a:fillRef idx="1">
                          <a:schemeClr val="lt1"/>
                        </a:fillRef>
                        <a:effectRef idx="0">
                          <a:schemeClr val="dk1"/>
                        </a:effectRef>
                        <a:fontRef idx="minor">
                          <a:schemeClr val="dk1"/>
                        </a:fontRef>
                      </wps:style>
                      <wps:txbx>
                        <w:txbxContent>
                          <w:p w14:paraId="65E602CD" w14:textId="77777777" w:rsidR="003040E4" w:rsidRPr="00FF1807" w:rsidRDefault="003040E4" w:rsidP="00901808">
                            <w:pPr>
                              <w:jc w:val="center"/>
                              <w:rPr>
                                <w:rFonts w:asciiTheme="minorHAnsi" w:hAnsiTheme="minorHAnsi"/>
                                <w:sz w:val="22"/>
                              </w:rPr>
                            </w:pPr>
                            <w:r w:rsidRPr="00FF1807">
                              <w:rPr>
                                <w:rFonts w:asciiTheme="minorHAnsi" w:hAnsiTheme="minorHAnsi"/>
                                <w:sz w:val="22"/>
                              </w:rPr>
                              <w:t>Operationele definitie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3ED46C9" id="Rectangle 6" o:spid="_x0000_s1036" style="position:absolute;margin-left:232.25pt;margin-top:-.45pt;width:100.5pt;height:39.05pt;z-index:251672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" fillcolor="white [3201]" strokecolor="black [3200]" strokeweight="1pt">
                <v:textbox>
                  <w:txbxContent>
                    <w:p w14:paraId="65E602CD" w14:textId="77777777" w:rsidR="003040E4" w:rsidRPr="00FF1807" w:rsidRDefault="003040E4" w:rsidP="00901808">
                      <w:pPr>
                        <w:jc w:val="center"/>
                        <w:rPr>
                          <w:rFonts w:asciiTheme="minorHAnsi" w:hAnsiTheme="minorHAnsi"/>
                          <w:sz w:val="22"/>
                        </w:rPr>
                      </w:pPr>
                      <w:r w:rsidRPr="00FF1807">
                        <w:rPr>
                          <w:rFonts w:asciiTheme="minorHAnsi" w:hAnsiTheme="minorHAnsi"/>
                          <w:sz w:val="22"/>
                        </w:rPr>
                        <w:t>Operationele definitie</w:t>
                      </w:r>
                    </w:p>
                  </w:txbxContent>
                </v:textbox>
              </v:rect>
            </w:pict>
          </mc:Fallback>
        </mc:AlternateContent>
      </w:r>
      <w:r w:rsidRPr="00FF1807">
        <w:rPr>
          <w:noProof/>
          <w:lang w:eastAsia="nl-NL"/>
        </w:rPr>
        <mc:AlternateContent>
          <mc:Choice Requires="wps">
            <w:drawing>
              <wp:anchor distT="0" distB="0" distL="114300" distR="114300" simplePos="0" relativeHeight="251671552" behindDoc="0" locked="0" layoutInCell="1" allowOverlap="1" wp14:anchorId="4B81BEF8" wp14:editId="4B88116D">
                <wp:simplePos x="0" y="0"/>
                <wp:positionH relativeFrom="column">
                  <wp:posOffset>953770</wp:posOffset>
                </wp:positionH>
                <wp:positionV relativeFrom="paragraph">
                  <wp:posOffset>6188</wp:posOffset>
                </wp:positionV>
                <wp:extent cx="1276350" cy="485775"/>
                <wp:effectExtent l="0" t="0" r="19050" b="28575"/>
                <wp:wrapNone/>
                <wp:docPr id="304" name="Rectangle 5"/>
                <wp:cNvGraphicFramePr/>
                <a:graphic xmlns:a="http://schemas.openxmlformats.org/drawingml/2006/main">
                  <a:graphicData uri="http://schemas.microsoft.com/office/word/2010/wordprocessingShape">
                    <wps:wsp>
                      <wps:cNvSpPr/>
                      <wps:spPr>
                        <a:xfrm>
                          <a:off x="0" y="0"/>
                          <a:ext cx="1276350" cy="485775"/>
                        </a:xfrm>
                        <a:prstGeom prst="rect">
                          <a:avLst/>
                        </a:prstGeom>
                      </wps:spPr>
                      <wps:style>
                        <a:lnRef idx="2">
                          <a:schemeClr val="dk1"/>
                        </a:lnRef>
                        <a:fillRef idx="1">
                          <a:schemeClr val="lt1"/>
                        </a:fillRef>
                        <a:effectRef idx="0">
                          <a:schemeClr val="dk1"/>
                        </a:effectRef>
                        <a:fontRef idx="minor">
                          <a:schemeClr val="dk1"/>
                        </a:fontRef>
                      </wps:style>
                      <wps:txbx>
                        <w:txbxContent>
                          <w:p w14:paraId="40E3E826" w14:textId="77777777" w:rsidR="003040E4" w:rsidRPr="00FF1807" w:rsidRDefault="003040E4" w:rsidP="00901808">
                            <w:pPr>
                              <w:jc w:val="center"/>
                              <w:rPr>
                                <w:rFonts w:asciiTheme="minorHAnsi" w:hAnsiTheme="minorHAnsi"/>
                                <w:sz w:val="22"/>
                              </w:rPr>
                            </w:pPr>
                            <w:r w:rsidRPr="00FF1807">
                              <w:rPr>
                                <w:rFonts w:asciiTheme="minorHAnsi" w:hAnsiTheme="minorHAnsi"/>
                                <w:sz w:val="22"/>
                              </w:rPr>
                              <w:t>Begripsdefinitie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B81BEF8" id="Rectangle 5" o:spid="_x0000_s1037" style="position:absolute;margin-left:75.1pt;margin-top:.5pt;width:100.5pt;height:38.25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" fillcolor="white [3201]" strokecolor="black [3200]" strokeweight="1pt">
                <v:textbox>
                  <w:txbxContent>
                    <w:p w14:paraId="40E3E826" w14:textId="77777777" w:rsidR="003040E4" w:rsidRPr="00FF1807" w:rsidRDefault="003040E4" w:rsidP="00901808">
                      <w:pPr>
                        <w:jc w:val="center"/>
                        <w:rPr>
                          <w:rFonts w:asciiTheme="minorHAnsi" w:hAnsiTheme="minorHAnsi"/>
                          <w:sz w:val="22"/>
                        </w:rPr>
                      </w:pPr>
                      <w:r w:rsidRPr="00FF1807">
                        <w:rPr>
                          <w:rFonts w:asciiTheme="minorHAnsi" w:hAnsiTheme="minorHAnsi"/>
                          <w:sz w:val="22"/>
                        </w:rPr>
                        <w:t>Begripsdefinitie</w:t>
                      </w:r>
                    </w:p>
                  </w:txbxContent>
                </v:textbox>
              </v:rect>
            </w:pict>
          </mc:Fallback>
        </mc:AlternateContent>
      </w:r>
    </w:p>
    <w:p w14:paraId="79A3B126" w14:textId="77777777" w:rsidR="00901808" w:rsidRDefault="00901808" w:rsidP="00901808">
      <w:pPr>
        <w:pStyle w:val="NoSpacing"/>
        <w:spacing w:line="360" w:lineRule="auto"/>
        <w:rPr>
          <w:highlight w:val="green"/>
        </w:rPr>
      </w:pPr>
    </w:p>
    <w:p w14:paraId="20B90A03" w14:textId="4C270A4B" w:rsidR="00901808" w:rsidRPr="000B60A3" w:rsidRDefault="00901808" w:rsidP="000B60A3">
      <w:pPr>
        <w:pStyle w:val="Caption"/>
        <w:rPr>
          <w:rFonts w:eastAsiaTheme="minorHAnsi"/>
        </w:rPr>
      </w:pPr>
      <w:bookmarkStart w:id="88" w:name="_Hlk484360189"/>
      <w:r w:rsidRPr="000B60A3">
        <w:t>Figuur</w:t>
      </w:r>
      <w:r w:rsidR="006A33A2" w:rsidRPr="000B60A3">
        <w:t xml:space="preserve"> </w:t>
      </w:r>
      <w:r w:rsidR="0052756E">
        <w:t>6</w:t>
      </w:r>
      <w:r w:rsidRPr="000B60A3">
        <w:t xml:space="preserve">: Proces van operationalisatie. Bron: </w:t>
      </w:r>
      <w:proofErr w:type="spellStart"/>
      <w:r w:rsidRPr="000B60A3">
        <w:t>Korzilius</w:t>
      </w:r>
      <w:proofErr w:type="spellEnd"/>
      <w:r w:rsidRPr="000B60A3">
        <w:t>, 2000 p.56-56</w:t>
      </w:r>
    </w:p>
    <w:bookmarkEnd w:id="88"/>
    <w:p w14:paraId="75C1D287" w14:textId="77777777" w:rsidR="00901808" w:rsidRDefault="00901808" w:rsidP="00901808">
      <w:pPr>
        <w:pStyle w:val="NoSpacing"/>
      </w:pPr>
    </w:p>
    <w:p w14:paraId="5F8A382D" w14:textId="22F3E71A" w:rsidR="006B7F05" w:rsidRPr="00442509" w:rsidRDefault="00901808" w:rsidP="00295A1B">
      <w:pPr>
        <w:pStyle w:val="NoSpacing"/>
        <w:spacing w:line="276" w:lineRule="auto"/>
      </w:pPr>
      <w:r w:rsidRPr="00442509">
        <w:t xml:space="preserve">In dit onderzoek wordt gebruik gemaakt van de </w:t>
      </w:r>
      <w:r w:rsidR="00E74A35" w:rsidRPr="00442509">
        <w:t xml:space="preserve">operationalisatie stappen </w:t>
      </w:r>
      <w:r w:rsidRPr="00442509">
        <w:t xml:space="preserve">van </w:t>
      </w:r>
      <w:proofErr w:type="spellStart"/>
      <w:r w:rsidRPr="00442509">
        <w:t>Van</w:t>
      </w:r>
      <w:proofErr w:type="spellEnd"/>
      <w:r w:rsidRPr="00442509">
        <w:t xml:space="preserve"> Thiel (20</w:t>
      </w:r>
      <w:r w:rsidR="00B82A28">
        <w:t>15</w:t>
      </w:r>
      <w:r w:rsidRPr="00442509">
        <w:t>). Stap één betreft het toekennen van een definitie aan de theoretische constructen. In stap twee moet worden bepaald in welke vormen het theoretisch begrip zich uit. Het gaat om de bepaling van de cognitieve begripsinhoud. Deze uitingsvormen worden variabelen genoemd. Dit is noodzakelijk omdat een theoretisch construct niet op zichzelf waarneembaar is. Stap drie betreft het toekennen van waarden op basis waarvan het construct onderzocht kan worden. Dit zijn de indicatoren.</w:t>
      </w:r>
      <w:r w:rsidR="007827E0" w:rsidRPr="00442509">
        <w:t xml:space="preserve"> </w:t>
      </w:r>
      <w:r w:rsidR="00AC34CB" w:rsidRPr="00442509">
        <w:t xml:space="preserve">Op de volgende pagina wordt het </w:t>
      </w:r>
      <w:r w:rsidR="00E74A35" w:rsidRPr="00442509">
        <w:t xml:space="preserve">operationalisatietabel </w:t>
      </w:r>
      <w:r w:rsidR="00572EDC" w:rsidRPr="00442509">
        <w:t xml:space="preserve">van dit onderzoek weergegeven. </w:t>
      </w:r>
      <w:r w:rsidR="006A33A2">
        <w:t>De onafhankelijke</w:t>
      </w:r>
      <w:r w:rsidR="00572EDC" w:rsidRPr="00442509">
        <w:t xml:space="preserve"> </w:t>
      </w:r>
      <w:r w:rsidR="006A33A2">
        <w:t>variabelen</w:t>
      </w:r>
      <w:r w:rsidR="00572EDC" w:rsidRPr="00442509">
        <w:t xml:space="preserve"> worden per fase uiteengezet en van indicatoren voorzien. Deze indicatoren zijn belang voor het genereren van data.</w:t>
      </w:r>
    </w:p>
    <w:p w14:paraId="2724A0EE" w14:textId="77777777" w:rsidR="00BB6790" w:rsidRDefault="00BB6790">
      <w:pPr>
        <w:kinsoku/>
        <w:autoSpaceDE/>
        <w:autoSpaceDN/>
        <w:adjustRightInd/>
        <w:spacing w:after="160" w:line="259" w:lineRule="auto"/>
        <w:sectPr w:rsidR="00BB6790" w:rsidSect="00531A97">
          <w:pgSz w:w="11906" w:h="16838" w:code="9"/>
          <w:pgMar w:top="720" w:right="720" w:bottom="720" w:left="720" w:header="709" w:footer="454" w:gutter="0"/>
          <w:cols w:space="708"/>
          <w:titlePg/>
          <w:docGrid w:linePitch="360"/>
        </w:sectPr>
      </w:pPr>
    </w:p>
    <w:tbl>
      <w:tblPr>
        <w:tblStyle w:val="GridTable1Light"/>
        <w:tblW w:w="15446" w:type="dxa"/>
        <w:tblLook w:val="04A0" w:firstRow="1" w:lastRow="0" w:firstColumn="1" w:lastColumn="0" w:noHBand="0" w:noVBand="1"/>
      </w:tblPr>
      <w:tblGrid>
        <w:gridCol w:w="1971"/>
        <w:gridCol w:w="4120"/>
        <w:gridCol w:w="9355"/>
      </w:tblGrid>
      <w:tr w:rsidR="006B7F05" w:rsidRPr="006B7F05" w14:paraId="4960128E" w14:textId="77777777" w:rsidTr="00260AE6">
        <w:trPr>
          <w:cnfStyle w:val="100000000000" w:firstRow="1" w:lastRow="0" w:firstColumn="0" w:lastColumn="0" w:oddVBand="0" w:evenVBand="0" w:oddHBand="0" w:evenHBand="0" w:firstRowFirstColumn="0" w:firstRowLastColumn="0" w:lastRowFirstColumn="0" w:lastRowLastColumn="0"/>
          <w:trHeight w:val="309"/>
        </w:trPr>
        <w:tc>
          <w:tcPr>
            <w:cnfStyle w:val="001000000000" w:firstRow="0" w:lastRow="0" w:firstColumn="1" w:lastColumn="0" w:oddVBand="0" w:evenVBand="0" w:oddHBand="0" w:evenHBand="0" w:firstRowFirstColumn="0" w:firstRowLastColumn="0" w:lastRowFirstColumn="0" w:lastRowLastColumn="0"/>
            <w:tcW w:w="1971" w:type="dxa"/>
            <w:vMerge w:val="restart"/>
            <w:shd w:val="clear" w:color="auto" w:fill="FBE4D5" w:themeFill="accent2" w:themeFillTint="33"/>
            <w:hideMark/>
          </w:tcPr>
          <w:p w14:paraId="4AC0E03E" w14:textId="519D9F09" w:rsidR="006B7F05" w:rsidRPr="006B7F05" w:rsidRDefault="006B7F05" w:rsidP="00573D95">
            <w:pPr>
              <w:pStyle w:val="NoSpacing"/>
              <w:spacing w:line="276" w:lineRule="auto"/>
              <w:rPr>
                <w:i/>
                <w:iCs/>
              </w:rPr>
            </w:pPr>
            <w:r w:rsidRPr="006B7F05">
              <w:rPr>
                <w:i/>
                <w:iCs/>
              </w:rPr>
              <w:lastRenderedPageBreak/>
              <w:t>(onafhankelijke) Variabelen</w:t>
            </w:r>
          </w:p>
        </w:tc>
        <w:tc>
          <w:tcPr>
            <w:tcW w:w="4120" w:type="dxa"/>
            <w:vMerge w:val="restart"/>
            <w:shd w:val="clear" w:color="auto" w:fill="FBE4D5" w:themeFill="accent2" w:themeFillTint="33"/>
            <w:hideMark/>
          </w:tcPr>
          <w:p w14:paraId="6467924C" w14:textId="77777777" w:rsidR="006B7F05" w:rsidRPr="006B7F05" w:rsidRDefault="006B7F05" w:rsidP="00573D95">
            <w:pPr>
              <w:pStyle w:val="NoSpacing"/>
              <w:spacing w:line="276" w:lineRule="auto"/>
              <w:cnfStyle w:val="100000000000" w:firstRow="1" w:lastRow="0" w:firstColumn="0" w:lastColumn="0" w:oddVBand="0" w:evenVBand="0" w:oddHBand="0" w:evenHBand="0" w:firstRowFirstColumn="0" w:firstRowLastColumn="0" w:lastRowFirstColumn="0" w:lastRowLastColumn="0"/>
              <w:rPr>
                <w:i/>
                <w:iCs/>
              </w:rPr>
            </w:pPr>
            <w:r w:rsidRPr="006B7F05">
              <w:rPr>
                <w:i/>
                <w:iCs/>
              </w:rPr>
              <w:t xml:space="preserve">Beschrijving/definitie </w:t>
            </w:r>
          </w:p>
        </w:tc>
        <w:tc>
          <w:tcPr>
            <w:tcW w:w="9355" w:type="dxa"/>
            <w:vMerge w:val="restart"/>
            <w:shd w:val="clear" w:color="auto" w:fill="FBE4D5" w:themeFill="accent2" w:themeFillTint="33"/>
            <w:hideMark/>
          </w:tcPr>
          <w:p w14:paraId="74645D66" w14:textId="77777777" w:rsidR="006B7F05" w:rsidRPr="006B7F05" w:rsidRDefault="006B7F05" w:rsidP="00573D95">
            <w:pPr>
              <w:pStyle w:val="NoSpacing"/>
              <w:spacing w:line="276" w:lineRule="auto"/>
              <w:cnfStyle w:val="100000000000" w:firstRow="1" w:lastRow="0" w:firstColumn="0" w:lastColumn="0" w:oddVBand="0" w:evenVBand="0" w:oddHBand="0" w:evenHBand="0" w:firstRowFirstColumn="0" w:firstRowLastColumn="0" w:lastRowFirstColumn="0" w:lastRowLastColumn="0"/>
              <w:rPr>
                <w:i/>
                <w:iCs/>
              </w:rPr>
            </w:pPr>
            <w:r w:rsidRPr="006B7F05">
              <w:rPr>
                <w:i/>
                <w:iCs/>
              </w:rPr>
              <w:t>Indicatoren</w:t>
            </w:r>
          </w:p>
        </w:tc>
      </w:tr>
      <w:tr w:rsidR="006B7F05" w:rsidRPr="006B7F05" w14:paraId="662B7242" w14:textId="77777777" w:rsidTr="00260AE6">
        <w:trPr>
          <w:trHeight w:val="450"/>
        </w:trPr>
        <w:tc>
          <w:tcPr>
            <w:cnfStyle w:val="001000000000" w:firstRow="0" w:lastRow="0" w:firstColumn="1" w:lastColumn="0" w:oddVBand="0" w:evenVBand="0" w:oddHBand="0" w:evenHBand="0" w:firstRowFirstColumn="0" w:firstRowLastColumn="0" w:lastRowFirstColumn="0" w:lastRowLastColumn="0"/>
            <w:tcW w:w="1971" w:type="dxa"/>
            <w:vMerge/>
            <w:shd w:val="clear" w:color="auto" w:fill="FBE4D5" w:themeFill="accent2" w:themeFillTint="33"/>
            <w:hideMark/>
          </w:tcPr>
          <w:p w14:paraId="05B4BF36" w14:textId="77777777" w:rsidR="006B7F05" w:rsidRPr="006B7F05" w:rsidRDefault="006B7F05" w:rsidP="00573D95">
            <w:pPr>
              <w:pStyle w:val="NoSpacing"/>
              <w:spacing w:line="276" w:lineRule="auto"/>
              <w:rPr>
                <w:i/>
                <w:iCs/>
              </w:rPr>
            </w:pPr>
          </w:p>
        </w:tc>
        <w:tc>
          <w:tcPr>
            <w:tcW w:w="4120" w:type="dxa"/>
            <w:vMerge/>
            <w:shd w:val="clear" w:color="auto" w:fill="FBE4D5" w:themeFill="accent2" w:themeFillTint="33"/>
            <w:hideMark/>
          </w:tcPr>
          <w:p w14:paraId="02182422"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rPr>
                <w:b/>
                <w:bCs/>
                <w:i/>
                <w:iCs/>
              </w:rPr>
            </w:pPr>
          </w:p>
        </w:tc>
        <w:tc>
          <w:tcPr>
            <w:tcW w:w="9355" w:type="dxa"/>
            <w:vMerge/>
            <w:shd w:val="clear" w:color="auto" w:fill="FBE4D5" w:themeFill="accent2" w:themeFillTint="33"/>
            <w:hideMark/>
          </w:tcPr>
          <w:p w14:paraId="732ED197"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rPr>
                <w:b/>
                <w:bCs/>
                <w:i/>
                <w:iCs/>
              </w:rPr>
            </w:pPr>
          </w:p>
        </w:tc>
      </w:tr>
      <w:tr w:rsidR="00260AE6" w:rsidRPr="006B7F05" w14:paraId="1E23B280"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restart"/>
            <w:vAlign w:val="center"/>
            <w:hideMark/>
          </w:tcPr>
          <w:p w14:paraId="2BCB4E2E" w14:textId="77777777" w:rsidR="006B7F05" w:rsidRPr="006B7F05" w:rsidRDefault="006B7F05" w:rsidP="00573D95">
            <w:pPr>
              <w:pStyle w:val="NoSpacing"/>
              <w:spacing w:line="276" w:lineRule="auto"/>
              <w:jc w:val="center"/>
            </w:pPr>
            <w:r w:rsidRPr="006B7F05">
              <w:t>Beschikbare informatie en kennis</w:t>
            </w:r>
          </w:p>
        </w:tc>
        <w:tc>
          <w:tcPr>
            <w:tcW w:w="4120" w:type="dxa"/>
            <w:vMerge w:val="restart"/>
            <w:hideMark/>
          </w:tcPr>
          <w:p w14:paraId="31830C62"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De mate waarin de opdrachtgever toegang heeft tot relevante kennis over producten en diensten die ingekocht moeten worden</w:t>
            </w:r>
          </w:p>
        </w:tc>
        <w:tc>
          <w:tcPr>
            <w:tcW w:w="9355" w:type="dxa"/>
            <w:noWrap/>
            <w:hideMark/>
          </w:tcPr>
          <w:p w14:paraId="0B7EE4FF"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leverancier heeft meer kennis en ervaring met betrekking tot de ingekochte goederen en diensten</w:t>
            </w:r>
          </w:p>
        </w:tc>
      </w:tr>
      <w:tr w:rsidR="00260AE6" w:rsidRPr="006B7F05" w14:paraId="23BDC92E"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5A83A440" w14:textId="77777777" w:rsidR="006B7F05" w:rsidRPr="006B7F05" w:rsidRDefault="006B7F05" w:rsidP="00573D95">
            <w:pPr>
              <w:pStyle w:val="NoSpacing"/>
              <w:spacing w:line="276" w:lineRule="auto"/>
              <w:jc w:val="center"/>
            </w:pPr>
          </w:p>
        </w:tc>
        <w:tc>
          <w:tcPr>
            <w:tcW w:w="4120" w:type="dxa"/>
            <w:vMerge/>
            <w:hideMark/>
          </w:tcPr>
          <w:p w14:paraId="07411D98"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68190ABC"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xml:space="preserve">▪ organisatie mist specialistische kennis </w:t>
            </w:r>
          </w:p>
        </w:tc>
      </w:tr>
      <w:tr w:rsidR="00260AE6" w:rsidRPr="006B7F05" w14:paraId="65C3AA00"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42DBBF5B" w14:textId="77777777" w:rsidR="006B7F05" w:rsidRPr="006B7F05" w:rsidRDefault="006B7F05" w:rsidP="00573D95">
            <w:pPr>
              <w:pStyle w:val="NoSpacing"/>
              <w:spacing w:line="276" w:lineRule="auto"/>
              <w:jc w:val="center"/>
            </w:pPr>
          </w:p>
        </w:tc>
        <w:tc>
          <w:tcPr>
            <w:tcW w:w="4120" w:type="dxa"/>
            <w:vMerge/>
            <w:hideMark/>
          </w:tcPr>
          <w:p w14:paraId="0348D124"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1B8C05B5" w14:textId="5CF5D07B"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xml:space="preserve">▪ </w:t>
            </w:r>
            <w:r w:rsidR="0028634C">
              <w:t>het</w:t>
            </w:r>
            <w:r w:rsidRPr="006B7F05">
              <w:t xml:space="preserve"> ingekochte materiaal is nieuw voor de opdrachtgever</w:t>
            </w:r>
          </w:p>
        </w:tc>
      </w:tr>
      <w:tr w:rsidR="00260AE6" w:rsidRPr="006B7F05" w14:paraId="0BE61588"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1E5DAA27" w14:textId="77777777" w:rsidR="006B7F05" w:rsidRPr="006B7F05" w:rsidRDefault="006B7F05" w:rsidP="00573D95">
            <w:pPr>
              <w:pStyle w:val="NoSpacing"/>
              <w:spacing w:line="276" w:lineRule="auto"/>
              <w:jc w:val="center"/>
            </w:pPr>
          </w:p>
        </w:tc>
        <w:tc>
          <w:tcPr>
            <w:tcW w:w="4120" w:type="dxa"/>
            <w:vMerge/>
            <w:hideMark/>
          </w:tcPr>
          <w:p w14:paraId="0A556014"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0853A4CE"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succes van inkoop hangt af van de leverancier</w:t>
            </w:r>
          </w:p>
        </w:tc>
      </w:tr>
      <w:tr w:rsidR="00260AE6" w:rsidRPr="006B7F05" w14:paraId="15E7535C"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14D4B9B5" w14:textId="77777777" w:rsidR="006B7F05" w:rsidRPr="006B7F05" w:rsidRDefault="006B7F05" w:rsidP="00573D95">
            <w:pPr>
              <w:pStyle w:val="NoSpacing"/>
              <w:spacing w:line="276" w:lineRule="auto"/>
              <w:jc w:val="center"/>
            </w:pPr>
          </w:p>
        </w:tc>
        <w:tc>
          <w:tcPr>
            <w:tcW w:w="4120" w:type="dxa"/>
            <w:vMerge/>
            <w:hideMark/>
          </w:tcPr>
          <w:p w14:paraId="3FE50A2E"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50C44DBE"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de opdrachtgever is niet in staat om prestatieafspraken op te stellen</w:t>
            </w:r>
          </w:p>
        </w:tc>
      </w:tr>
      <w:tr w:rsidR="00260AE6" w:rsidRPr="006B7F05" w14:paraId="4AA34A06"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6675A206" w14:textId="77777777" w:rsidR="006B7F05" w:rsidRPr="006B7F05" w:rsidRDefault="006B7F05" w:rsidP="00573D95">
            <w:pPr>
              <w:pStyle w:val="NoSpacing"/>
              <w:spacing w:line="276" w:lineRule="auto"/>
              <w:jc w:val="center"/>
            </w:pPr>
          </w:p>
        </w:tc>
        <w:tc>
          <w:tcPr>
            <w:tcW w:w="4120" w:type="dxa"/>
            <w:vMerge/>
            <w:hideMark/>
          </w:tcPr>
          <w:p w14:paraId="49D5A376"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23ECB332" w14:textId="48F47A52"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xml:space="preserve">▪ de opdrachtgever is niet in staat om de </w:t>
            </w:r>
            <w:r w:rsidR="00D766EA">
              <w:t>kwaliteit</w:t>
            </w:r>
            <w:r w:rsidRPr="006B7F05">
              <w:t xml:space="preserve"> van de inkoop te toetsen</w:t>
            </w:r>
          </w:p>
        </w:tc>
      </w:tr>
      <w:tr w:rsidR="00260AE6" w:rsidRPr="006B7F05" w14:paraId="03A59612"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755B9F3E" w14:textId="77777777" w:rsidR="006B7F05" w:rsidRPr="006B7F05" w:rsidRDefault="006B7F05" w:rsidP="00573D95">
            <w:pPr>
              <w:pStyle w:val="NoSpacing"/>
              <w:spacing w:line="276" w:lineRule="auto"/>
              <w:jc w:val="center"/>
            </w:pPr>
          </w:p>
        </w:tc>
        <w:tc>
          <w:tcPr>
            <w:tcW w:w="4120" w:type="dxa"/>
            <w:vMerge/>
            <w:hideMark/>
          </w:tcPr>
          <w:p w14:paraId="56F91046"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2BF225EC"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de mate van technologische ontwikkelingen binnen de sector</w:t>
            </w:r>
          </w:p>
        </w:tc>
      </w:tr>
      <w:tr w:rsidR="00260AE6" w:rsidRPr="006B7F05" w14:paraId="00165E93"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027AE106" w14:textId="77777777" w:rsidR="006B7F05" w:rsidRPr="006B7F05" w:rsidRDefault="006B7F05" w:rsidP="00573D95">
            <w:pPr>
              <w:pStyle w:val="NoSpacing"/>
              <w:spacing w:line="276" w:lineRule="auto"/>
              <w:jc w:val="center"/>
            </w:pPr>
          </w:p>
        </w:tc>
        <w:tc>
          <w:tcPr>
            <w:tcW w:w="4120" w:type="dxa"/>
            <w:vMerge/>
            <w:hideMark/>
          </w:tcPr>
          <w:p w14:paraId="3F17444C"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7AA3FC63"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xml:space="preserve">▪ aanwezigheid van interne specialismen (contractmanager, </w:t>
            </w:r>
            <w:proofErr w:type="gramStart"/>
            <w:r w:rsidRPr="006B7F05">
              <w:t>ICT manager</w:t>
            </w:r>
            <w:proofErr w:type="gramEnd"/>
            <w:r w:rsidRPr="006B7F05">
              <w:t xml:space="preserve"> etc.)</w:t>
            </w:r>
          </w:p>
        </w:tc>
      </w:tr>
      <w:tr w:rsidR="00260AE6" w:rsidRPr="006B7F05" w14:paraId="5E2E977F"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7536E393" w14:textId="77777777" w:rsidR="006B7F05" w:rsidRPr="006B7F05" w:rsidRDefault="006B7F05" w:rsidP="00573D95">
            <w:pPr>
              <w:pStyle w:val="NoSpacing"/>
              <w:spacing w:line="276" w:lineRule="auto"/>
              <w:jc w:val="center"/>
            </w:pPr>
          </w:p>
        </w:tc>
        <w:tc>
          <w:tcPr>
            <w:tcW w:w="4120" w:type="dxa"/>
            <w:vMerge/>
            <w:hideMark/>
          </w:tcPr>
          <w:p w14:paraId="55C564C1"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10B72C63"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inschakelen van externe deskundigheid bij implementatie</w:t>
            </w:r>
          </w:p>
        </w:tc>
      </w:tr>
      <w:tr w:rsidR="00260AE6" w:rsidRPr="006B7F05" w14:paraId="780A76E0"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restart"/>
            <w:vAlign w:val="center"/>
            <w:hideMark/>
          </w:tcPr>
          <w:p w14:paraId="3C76D28E" w14:textId="77777777" w:rsidR="006B7F05" w:rsidRPr="006B7F05" w:rsidRDefault="006B7F05" w:rsidP="00573D95">
            <w:pPr>
              <w:pStyle w:val="NoSpacing"/>
              <w:spacing w:line="276" w:lineRule="auto"/>
              <w:jc w:val="center"/>
            </w:pPr>
            <w:r w:rsidRPr="006B7F05">
              <w:t xml:space="preserve">Lock-in effecten en </w:t>
            </w:r>
            <w:proofErr w:type="spellStart"/>
            <w:r w:rsidRPr="006B7F05">
              <w:t>padafhankelijkheid</w:t>
            </w:r>
            <w:proofErr w:type="spellEnd"/>
          </w:p>
        </w:tc>
        <w:tc>
          <w:tcPr>
            <w:tcW w:w="4120" w:type="dxa"/>
            <w:vMerge w:val="restart"/>
            <w:hideMark/>
          </w:tcPr>
          <w:p w14:paraId="35786F3F"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De eenmaal genomen beslissingen in het verleden bepalen in sterke mate de condities voor de volgende stap</w:t>
            </w:r>
          </w:p>
        </w:tc>
        <w:tc>
          <w:tcPr>
            <w:tcW w:w="9355" w:type="dxa"/>
            <w:noWrap/>
            <w:hideMark/>
          </w:tcPr>
          <w:p w14:paraId="68509FAC"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xml:space="preserve">▪ hoge overstapkosten </w:t>
            </w:r>
          </w:p>
        </w:tc>
      </w:tr>
      <w:tr w:rsidR="00260AE6" w:rsidRPr="006B7F05" w14:paraId="5AE7C7A8"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447F7712" w14:textId="77777777" w:rsidR="006B7F05" w:rsidRPr="006B7F05" w:rsidRDefault="006B7F05" w:rsidP="00573D95">
            <w:pPr>
              <w:pStyle w:val="NoSpacing"/>
              <w:spacing w:line="276" w:lineRule="auto"/>
              <w:jc w:val="center"/>
            </w:pPr>
          </w:p>
        </w:tc>
        <w:tc>
          <w:tcPr>
            <w:tcW w:w="4120" w:type="dxa"/>
            <w:vMerge/>
            <w:hideMark/>
          </w:tcPr>
          <w:p w14:paraId="6907C594"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6A33A903"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relatief lange tijd bij dezelfde leverancier</w:t>
            </w:r>
          </w:p>
        </w:tc>
      </w:tr>
      <w:tr w:rsidR="00260AE6" w:rsidRPr="006B7F05" w14:paraId="17074D04"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08E363A2" w14:textId="77777777" w:rsidR="006B7F05" w:rsidRPr="006B7F05" w:rsidRDefault="006B7F05" w:rsidP="00573D95">
            <w:pPr>
              <w:pStyle w:val="NoSpacing"/>
              <w:spacing w:line="276" w:lineRule="auto"/>
              <w:jc w:val="center"/>
            </w:pPr>
          </w:p>
        </w:tc>
        <w:tc>
          <w:tcPr>
            <w:tcW w:w="4120" w:type="dxa"/>
            <w:vMerge/>
            <w:hideMark/>
          </w:tcPr>
          <w:p w14:paraId="1671EB09"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2B52800D"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eerdere besluiten vormen de basis voor nieuwe beslissingen</w:t>
            </w:r>
          </w:p>
        </w:tc>
      </w:tr>
      <w:tr w:rsidR="00260AE6" w:rsidRPr="006B7F05" w14:paraId="5EDCCC79"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restart"/>
            <w:vAlign w:val="center"/>
            <w:hideMark/>
          </w:tcPr>
          <w:p w14:paraId="0E224136" w14:textId="66706E14" w:rsidR="006B7F05" w:rsidRPr="006B7F05" w:rsidRDefault="00835DB9" w:rsidP="00573D95">
            <w:pPr>
              <w:pStyle w:val="NoSpacing"/>
              <w:spacing w:line="276" w:lineRule="auto"/>
              <w:jc w:val="center"/>
            </w:pPr>
            <w:r>
              <w:t>K</w:t>
            </w:r>
            <w:r w:rsidR="006B7F05" w:rsidRPr="006B7F05">
              <w:t>euzearchitectuur</w:t>
            </w:r>
          </w:p>
        </w:tc>
        <w:tc>
          <w:tcPr>
            <w:tcW w:w="4120" w:type="dxa"/>
            <w:vMerge w:val="restart"/>
            <w:hideMark/>
          </w:tcPr>
          <w:p w14:paraId="532C7548"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Het formuleren of aanbieden van keuzemogelijkheden op een manier dat de meeste mensen voorspelbaar zullen kiezen zonder dat ze daartoe verplicht worden</w:t>
            </w:r>
          </w:p>
        </w:tc>
        <w:tc>
          <w:tcPr>
            <w:tcW w:w="9355" w:type="dxa"/>
            <w:noWrap/>
            <w:hideMark/>
          </w:tcPr>
          <w:p w14:paraId="6B9C1BA0" w14:textId="5EF109B1"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w:t>
            </w:r>
            <w:r w:rsidR="00D766EA">
              <w:t xml:space="preserve"> de op</w:t>
            </w:r>
            <w:r w:rsidRPr="006B7F05">
              <w:t>drachtgever kiest producten uit een catalogus</w:t>
            </w:r>
          </w:p>
        </w:tc>
      </w:tr>
      <w:tr w:rsidR="00260AE6" w:rsidRPr="006B7F05" w14:paraId="35C51DFA"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579D27D4" w14:textId="77777777" w:rsidR="006B7F05" w:rsidRPr="006B7F05" w:rsidRDefault="006B7F05" w:rsidP="00573D95">
            <w:pPr>
              <w:pStyle w:val="NoSpacing"/>
              <w:spacing w:line="276" w:lineRule="auto"/>
              <w:jc w:val="center"/>
            </w:pPr>
          </w:p>
        </w:tc>
        <w:tc>
          <w:tcPr>
            <w:tcW w:w="4120" w:type="dxa"/>
            <w:vMerge/>
            <w:hideMark/>
          </w:tcPr>
          <w:p w14:paraId="430DE31B"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06CE5CA7"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leveranciers werken aanbod gedreven</w:t>
            </w:r>
          </w:p>
        </w:tc>
      </w:tr>
      <w:tr w:rsidR="00260AE6" w:rsidRPr="006B7F05" w14:paraId="5545A2AF"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661BD935" w14:textId="77777777" w:rsidR="006B7F05" w:rsidRPr="006B7F05" w:rsidRDefault="006B7F05" w:rsidP="00573D95">
            <w:pPr>
              <w:pStyle w:val="NoSpacing"/>
              <w:spacing w:line="276" w:lineRule="auto"/>
              <w:jc w:val="center"/>
            </w:pPr>
          </w:p>
        </w:tc>
        <w:tc>
          <w:tcPr>
            <w:tcW w:w="4120" w:type="dxa"/>
            <w:vMerge/>
            <w:hideMark/>
          </w:tcPr>
          <w:p w14:paraId="5568BAD7"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2DD4BC39"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de leverancier heeft voorkeur voor een bepaalde oplossing</w:t>
            </w:r>
          </w:p>
        </w:tc>
      </w:tr>
      <w:tr w:rsidR="00260AE6" w:rsidRPr="006B7F05" w14:paraId="758621BB"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6B7EF474" w14:textId="77777777" w:rsidR="006B7F05" w:rsidRPr="006B7F05" w:rsidRDefault="006B7F05" w:rsidP="00573D95">
            <w:pPr>
              <w:pStyle w:val="NoSpacing"/>
              <w:spacing w:line="276" w:lineRule="auto"/>
              <w:jc w:val="center"/>
            </w:pPr>
          </w:p>
        </w:tc>
        <w:tc>
          <w:tcPr>
            <w:tcW w:w="4120" w:type="dxa"/>
            <w:vMerge/>
            <w:hideMark/>
          </w:tcPr>
          <w:p w14:paraId="00750107"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23B518D3"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de leverancier biedt select aantal oplossingen aan</w:t>
            </w:r>
          </w:p>
        </w:tc>
      </w:tr>
      <w:tr w:rsidR="00260AE6" w:rsidRPr="006B7F05" w14:paraId="750A91D5"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restart"/>
            <w:vAlign w:val="center"/>
            <w:hideMark/>
          </w:tcPr>
          <w:p w14:paraId="35C8E86D" w14:textId="5116D056" w:rsidR="006B7F05" w:rsidRPr="006B7F05" w:rsidRDefault="00835DB9" w:rsidP="00573D95">
            <w:pPr>
              <w:pStyle w:val="NoSpacing"/>
              <w:spacing w:line="276" w:lineRule="auto"/>
              <w:jc w:val="center"/>
            </w:pPr>
            <w:r>
              <w:t>G</w:t>
            </w:r>
            <w:r w:rsidR="006B7F05" w:rsidRPr="006B7F05">
              <w:t>ebonden rationaliteit</w:t>
            </w:r>
          </w:p>
        </w:tc>
        <w:tc>
          <w:tcPr>
            <w:tcW w:w="4120" w:type="dxa"/>
            <w:vMerge w:val="restart"/>
            <w:hideMark/>
          </w:tcPr>
          <w:p w14:paraId="7789659A"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De gelimiteerde kennis zorgt ervoor dat de inkoper niet in staat is om tot zuiver rationele beslissingen te komen in het besluitvormingsproces.</w:t>
            </w:r>
          </w:p>
        </w:tc>
        <w:tc>
          <w:tcPr>
            <w:tcW w:w="9355" w:type="dxa"/>
            <w:noWrap/>
            <w:hideMark/>
          </w:tcPr>
          <w:p w14:paraId="6D0BB423" w14:textId="53E9A45F"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de opdrachtgever heeft geen kennis van alle</w:t>
            </w:r>
            <w:r w:rsidR="00D766EA">
              <w:t xml:space="preserve"> mogelijke</w:t>
            </w:r>
            <w:r w:rsidRPr="006B7F05">
              <w:t xml:space="preserve"> oplossingen</w:t>
            </w:r>
          </w:p>
        </w:tc>
      </w:tr>
      <w:tr w:rsidR="00260AE6" w:rsidRPr="006B7F05" w14:paraId="5AC2C784"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3189809B" w14:textId="77777777" w:rsidR="006B7F05" w:rsidRPr="006B7F05" w:rsidRDefault="006B7F05" w:rsidP="00573D95">
            <w:pPr>
              <w:pStyle w:val="NoSpacing"/>
              <w:spacing w:line="276" w:lineRule="auto"/>
              <w:jc w:val="center"/>
            </w:pPr>
          </w:p>
        </w:tc>
        <w:tc>
          <w:tcPr>
            <w:tcW w:w="4120" w:type="dxa"/>
            <w:vMerge/>
            <w:hideMark/>
          </w:tcPr>
          <w:p w14:paraId="03178744"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38ACDDB9" w14:textId="4A96FA42"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xml:space="preserve">▪ de middelen van de opdrachtgever zijn ontoereikend om de </w:t>
            </w:r>
            <w:r w:rsidR="00D766EA" w:rsidRPr="006B7F05">
              <w:t>oplossingen</w:t>
            </w:r>
            <w:r w:rsidRPr="006B7F05">
              <w:t xml:space="preserve"> te toetsen</w:t>
            </w:r>
          </w:p>
        </w:tc>
      </w:tr>
      <w:tr w:rsidR="00260AE6" w:rsidRPr="006B7F05" w14:paraId="23D63362"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7D6D0477" w14:textId="77777777" w:rsidR="006B7F05" w:rsidRPr="006B7F05" w:rsidRDefault="006B7F05" w:rsidP="00573D95">
            <w:pPr>
              <w:pStyle w:val="NoSpacing"/>
              <w:spacing w:line="276" w:lineRule="auto"/>
              <w:jc w:val="center"/>
            </w:pPr>
          </w:p>
        </w:tc>
        <w:tc>
          <w:tcPr>
            <w:tcW w:w="4120" w:type="dxa"/>
            <w:vMerge/>
            <w:hideMark/>
          </w:tcPr>
          <w:p w14:paraId="5A51508D"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7C8C0CDB" w14:textId="586BBDC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xml:space="preserve">▪ de middelen van de opdrachtgever zijn ontoereikend voor een brede </w:t>
            </w:r>
            <w:r w:rsidR="00D766EA" w:rsidRPr="006B7F05">
              <w:t>marktoriëntatie</w:t>
            </w:r>
          </w:p>
        </w:tc>
      </w:tr>
      <w:tr w:rsidR="00D766EA" w:rsidRPr="006B7F05" w14:paraId="683698B7"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restart"/>
            <w:vAlign w:val="center"/>
            <w:hideMark/>
          </w:tcPr>
          <w:p w14:paraId="3AF12EDB" w14:textId="77777777" w:rsidR="00D766EA" w:rsidRPr="006B7F05" w:rsidRDefault="00D766EA" w:rsidP="00573D95">
            <w:pPr>
              <w:pStyle w:val="NoSpacing"/>
              <w:spacing w:line="276" w:lineRule="auto"/>
              <w:jc w:val="center"/>
              <w:rPr>
                <w:b w:val="0"/>
                <w:bCs w:val="0"/>
              </w:rPr>
            </w:pPr>
            <w:r w:rsidRPr="006B7F05">
              <w:t>Vertrouwen</w:t>
            </w:r>
          </w:p>
          <w:p w14:paraId="6B7DF9F6" w14:textId="3D3C8FD5" w:rsidR="00D766EA" w:rsidRPr="006B7F05" w:rsidRDefault="00D766EA" w:rsidP="00573D95">
            <w:pPr>
              <w:pStyle w:val="NoSpacing"/>
              <w:spacing w:line="276" w:lineRule="auto"/>
              <w:jc w:val="center"/>
            </w:pPr>
          </w:p>
        </w:tc>
        <w:tc>
          <w:tcPr>
            <w:tcW w:w="4120" w:type="dxa"/>
            <w:vMerge w:val="restart"/>
            <w:hideMark/>
          </w:tcPr>
          <w:p w14:paraId="5AEB3785" w14:textId="77777777" w:rsidR="00D766EA" w:rsidRPr="006B7F05" w:rsidRDefault="00D766EA"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xml:space="preserve">“de positieve verwachting dat de andere actoren zich onthouden van opportunistisch gedrag, zelfs wanneer zij voor die mogelijkheid komen te staan". </w:t>
            </w:r>
          </w:p>
        </w:tc>
        <w:tc>
          <w:tcPr>
            <w:tcW w:w="9355" w:type="dxa"/>
            <w:noWrap/>
            <w:hideMark/>
          </w:tcPr>
          <w:p w14:paraId="0CBDCB8D" w14:textId="77777777" w:rsidR="00D766EA" w:rsidRPr="006B7F05" w:rsidRDefault="00D766EA"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veel afspraken worden informeel gemaakt</w:t>
            </w:r>
          </w:p>
        </w:tc>
      </w:tr>
      <w:tr w:rsidR="00D766EA" w:rsidRPr="006B7F05" w14:paraId="7E48468E"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118DA30A" w14:textId="05B63A8F" w:rsidR="00D766EA" w:rsidRPr="006B7F05" w:rsidRDefault="00D766EA" w:rsidP="00573D95">
            <w:pPr>
              <w:pStyle w:val="NoSpacing"/>
              <w:spacing w:line="276" w:lineRule="auto"/>
              <w:jc w:val="center"/>
            </w:pPr>
          </w:p>
        </w:tc>
        <w:tc>
          <w:tcPr>
            <w:tcW w:w="4120" w:type="dxa"/>
            <w:vMerge/>
            <w:hideMark/>
          </w:tcPr>
          <w:p w14:paraId="01B46218" w14:textId="77777777" w:rsidR="00D766EA" w:rsidRPr="006B7F05" w:rsidRDefault="00D766EA"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0023F3B0" w14:textId="77777777" w:rsidR="00D766EA" w:rsidRPr="006B7F05" w:rsidRDefault="00D766EA"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de opdrachtgever is bereid om kwetsbaar te zijn</w:t>
            </w:r>
          </w:p>
        </w:tc>
      </w:tr>
      <w:tr w:rsidR="00D766EA" w:rsidRPr="006B7F05" w14:paraId="47CEE24D"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35C7BF73" w14:textId="6D044CA5" w:rsidR="00D766EA" w:rsidRPr="006B7F05" w:rsidRDefault="00D766EA" w:rsidP="00573D95">
            <w:pPr>
              <w:pStyle w:val="NoSpacing"/>
              <w:spacing w:line="276" w:lineRule="auto"/>
              <w:jc w:val="center"/>
            </w:pPr>
          </w:p>
        </w:tc>
        <w:tc>
          <w:tcPr>
            <w:tcW w:w="4120" w:type="dxa"/>
            <w:vMerge/>
            <w:hideMark/>
          </w:tcPr>
          <w:p w14:paraId="4B0870D3" w14:textId="77777777" w:rsidR="00D766EA" w:rsidRPr="006B7F05" w:rsidRDefault="00D766EA"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1DDD2486" w14:textId="77777777" w:rsidR="00D766EA" w:rsidRPr="006B7F05" w:rsidRDefault="00D766EA"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de leverancier geniet voorkeur boven anderen op de markt vanwege goede ervaringen</w:t>
            </w:r>
          </w:p>
        </w:tc>
      </w:tr>
      <w:tr w:rsidR="00D766EA" w:rsidRPr="006B7F05" w14:paraId="734F1F9C"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66CC7199" w14:textId="576C1E06" w:rsidR="00D766EA" w:rsidRPr="006B7F05" w:rsidRDefault="00D766EA" w:rsidP="00573D95">
            <w:pPr>
              <w:pStyle w:val="NoSpacing"/>
              <w:spacing w:line="276" w:lineRule="auto"/>
              <w:jc w:val="center"/>
            </w:pPr>
          </w:p>
        </w:tc>
        <w:tc>
          <w:tcPr>
            <w:tcW w:w="4120" w:type="dxa"/>
            <w:vMerge/>
            <w:hideMark/>
          </w:tcPr>
          <w:p w14:paraId="4C2EDB50" w14:textId="77777777" w:rsidR="00D766EA" w:rsidRPr="006B7F05" w:rsidRDefault="00D766EA"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3CA07902" w14:textId="396FF82A" w:rsidR="00D766EA" w:rsidRPr="006B7F05" w:rsidRDefault="00D766EA"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de</w:t>
            </w:r>
            <w:r w:rsidR="00BB6790">
              <w:t xml:space="preserve"> opdrachtgever werkt al geruime</w:t>
            </w:r>
            <w:r w:rsidRPr="006B7F05">
              <w:t xml:space="preserve"> tijd samen met de leverancier</w:t>
            </w:r>
          </w:p>
        </w:tc>
      </w:tr>
      <w:tr w:rsidR="00D766EA" w:rsidRPr="006B7F05" w14:paraId="508E9527"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3D7C945D" w14:textId="36AB5BBE" w:rsidR="00D766EA" w:rsidRPr="006B7F05" w:rsidRDefault="00D766EA" w:rsidP="00573D95">
            <w:pPr>
              <w:pStyle w:val="NoSpacing"/>
              <w:spacing w:line="276" w:lineRule="auto"/>
              <w:jc w:val="center"/>
            </w:pPr>
          </w:p>
        </w:tc>
        <w:tc>
          <w:tcPr>
            <w:tcW w:w="4120" w:type="dxa"/>
            <w:vMerge/>
            <w:hideMark/>
          </w:tcPr>
          <w:p w14:paraId="6F5494D1" w14:textId="77777777" w:rsidR="00D766EA" w:rsidRPr="006B7F05" w:rsidRDefault="00D766EA"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1ADDF862" w14:textId="77777777" w:rsidR="00D766EA" w:rsidRPr="006B7F05" w:rsidRDefault="00D766EA"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xml:space="preserve">▪ de leverancier krijgt veel vrijheid en ruimte </w:t>
            </w:r>
          </w:p>
        </w:tc>
      </w:tr>
      <w:tr w:rsidR="00260AE6" w:rsidRPr="006B7F05" w14:paraId="07509A71"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restart"/>
            <w:vAlign w:val="center"/>
            <w:hideMark/>
          </w:tcPr>
          <w:p w14:paraId="08FCD2F0" w14:textId="7641DAB3" w:rsidR="006B7F05" w:rsidRPr="006B7F05" w:rsidRDefault="00835DB9" w:rsidP="00573D95">
            <w:pPr>
              <w:pStyle w:val="NoSpacing"/>
              <w:spacing w:line="276" w:lineRule="auto"/>
              <w:jc w:val="center"/>
            </w:pPr>
            <w:r>
              <w:t>I</w:t>
            </w:r>
            <w:r w:rsidR="006B7F05" w:rsidRPr="006B7F05">
              <w:t>nitiële vertrouwen</w:t>
            </w:r>
          </w:p>
        </w:tc>
        <w:tc>
          <w:tcPr>
            <w:tcW w:w="4120" w:type="dxa"/>
            <w:vMerge w:val="restart"/>
            <w:hideMark/>
          </w:tcPr>
          <w:p w14:paraId="6634E587" w14:textId="7C3F4EA1"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Partijen vertrouwen elkaar v</w:t>
            </w:r>
            <w:r w:rsidR="00835DB9">
              <w:t>anaf het beginstadium zonder</w:t>
            </w:r>
            <w:r w:rsidRPr="006B7F05">
              <w:t xml:space="preserve"> elkaar te kennen</w:t>
            </w:r>
          </w:p>
        </w:tc>
        <w:tc>
          <w:tcPr>
            <w:tcW w:w="9355" w:type="dxa"/>
            <w:noWrap/>
            <w:hideMark/>
          </w:tcPr>
          <w:p w14:paraId="1656498E"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eerdere ervaringen spelen geen rol bij leverancierskeuze</w:t>
            </w:r>
          </w:p>
        </w:tc>
      </w:tr>
      <w:tr w:rsidR="00260AE6" w:rsidRPr="006B7F05" w14:paraId="23BB6DA6"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3A4189F6" w14:textId="77777777" w:rsidR="006B7F05" w:rsidRPr="006B7F05" w:rsidRDefault="006B7F05" w:rsidP="00573D95">
            <w:pPr>
              <w:pStyle w:val="NoSpacing"/>
              <w:spacing w:line="276" w:lineRule="auto"/>
              <w:jc w:val="center"/>
            </w:pPr>
          </w:p>
        </w:tc>
        <w:tc>
          <w:tcPr>
            <w:tcW w:w="4120" w:type="dxa"/>
            <w:vMerge/>
            <w:hideMark/>
          </w:tcPr>
          <w:p w14:paraId="7F5682F2"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34EA834A"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vertrouwen is groot bij eerste contactlegging met de leverancier</w:t>
            </w:r>
          </w:p>
        </w:tc>
      </w:tr>
      <w:tr w:rsidR="00260AE6" w:rsidRPr="006B7F05" w14:paraId="6904C752"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686A42E2" w14:textId="77777777" w:rsidR="006B7F05" w:rsidRPr="006B7F05" w:rsidRDefault="006B7F05" w:rsidP="00573D95">
            <w:pPr>
              <w:pStyle w:val="NoSpacing"/>
              <w:spacing w:line="276" w:lineRule="auto"/>
              <w:jc w:val="center"/>
            </w:pPr>
          </w:p>
        </w:tc>
        <w:tc>
          <w:tcPr>
            <w:tcW w:w="4120" w:type="dxa"/>
            <w:vMerge/>
            <w:hideMark/>
          </w:tcPr>
          <w:p w14:paraId="4F94C02D"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189D63A7"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opdrachtgever gaat uit van goede intenties van de leverancier</w:t>
            </w:r>
          </w:p>
        </w:tc>
      </w:tr>
      <w:tr w:rsidR="00260AE6" w:rsidRPr="006B7F05" w14:paraId="198AB600"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775F83D4" w14:textId="77777777" w:rsidR="006B7F05" w:rsidRPr="006B7F05" w:rsidRDefault="006B7F05" w:rsidP="00573D95">
            <w:pPr>
              <w:pStyle w:val="NoSpacing"/>
              <w:spacing w:line="276" w:lineRule="auto"/>
              <w:jc w:val="center"/>
            </w:pPr>
          </w:p>
        </w:tc>
        <w:tc>
          <w:tcPr>
            <w:tcW w:w="4120" w:type="dxa"/>
            <w:vMerge/>
            <w:hideMark/>
          </w:tcPr>
          <w:p w14:paraId="26516390"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1B65556B" w14:textId="20AA8724"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xml:space="preserve">▪ organisatiecultuur van de opdrachtgever is gericht op </w:t>
            </w:r>
            <w:r w:rsidR="00BB6790" w:rsidRPr="006B7F05">
              <w:t>samenwerking</w:t>
            </w:r>
          </w:p>
        </w:tc>
      </w:tr>
      <w:tr w:rsidR="00260AE6" w:rsidRPr="006B7F05" w14:paraId="74281B7F"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restart"/>
            <w:vAlign w:val="center"/>
            <w:hideMark/>
          </w:tcPr>
          <w:p w14:paraId="7974E674" w14:textId="7EC202F9" w:rsidR="006B7F05" w:rsidRPr="006B7F05" w:rsidRDefault="00835DB9" w:rsidP="00573D95">
            <w:pPr>
              <w:pStyle w:val="NoSpacing"/>
              <w:spacing w:line="276" w:lineRule="auto"/>
              <w:jc w:val="center"/>
            </w:pPr>
            <w:r>
              <w:t>G</w:t>
            </w:r>
            <w:r w:rsidR="006B7F05" w:rsidRPr="006B7F05">
              <w:t>ecalculeerde vertrouwen</w:t>
            </w:r>
          </w:p>
        </w:tc>
        <w:tc>
          <w:tcPr>
            <w:tcW w:w="4120" w:type="dxa"/>
            <w:vMerge w:val="restart"/>
            <w:hideMark/>
          </w:tcPr>
          <w:p w14:paraId="14B9E2C9"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De afweging om eerst te achterhalen of uit de samenwerking winst te behalen valt</w:t>
            </w:r>
          </w:p>
        </w:tc>
        <w:tc>
          <w:tcPr>
            <w:tcW w:w="9355" w:type="dxa"/>
            <w:noWrap/>
            <w:hideMark/>
          </w:tcPr>
          <w:p w14:paraId="3A3DE933"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alle partijen worden in beginfase gelijk behandeld</w:t>
            </w:r>
          </w:p>
        </w:tc>
      </w:tr>
      <w:tr w:rsidR="00260AE6" w:rsidRPr="006B7F05" w14:paraId="3C621496"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41B3CC66" w14:textId="77777777" w:rsidR="006B7F05" w:rsidRPr="006B7F05" w:rsidRDefault="006B7F05" w:rsidP="00573D95">
            <w:pPr>
              <w:pStyle w:val="NoSpacing"/>
              <w:spacing w:line="276" w:lineRule="auto"/>
              <w:jc w:val="center"/>
            </w:pPr>
          </w:p>
        </w:tc>
        <w:tc>
          <w:tcPr>
            <w:tcW w:w="4120" w:type="dxa"/>
            <w:vMerge/>
            <w:hideMark/>
          </w:tcPr>
          <w:p w14:paraId="29B5493C"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2AC75705"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samenwerkingsrelatie wanneer de leverancier goede reputatie heeft</w:t>
            </w:r>
          </w:p>
        </w:tc>
      </w:tr>
      <w:tr w:rsidR="00260AE6" w:rsidRPr="006B7F05" w14:paraId="03C8D1EE"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19BC9A0F" w14:textId="77777777" w:rsidR="006B7F05" w:rsidRPr="006B7F05" w:rsidRDefault="006B7F05" w:rsidP="00573D95">
            <w:pPr>
              <w:pStyle w:val="NoSpacing"/>
              <w:spacing w:line="276" w:lineRule="auto"/>
              <w:jc w:val="center"/>
            </w:pPr>
          </w:p>
        </w:tc>
        <w:tc>
          <w:tcPr>
            <w:tcW w:w="4120" w:type="dxa"/>
            <w:vMerge/>
            <w:hideMark/>
          </w:tcPr>
          <w:p w14:paraId="736EE393"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001D6C1A" w14:textId="23E8F859"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samenwerkings</w:t>
            </w:r>
            <w:r w:rsidR="00573D95">
              <w:t xml:space="preserve">relatie wanneer de leverancier </w:t>
            </w:r>
            <w:r w:rsidRPr="006B7F05">
              <w:t>als betrouwbaar wordt ingeschat</w:t>
            </w:r>
          </w:p>
        </w:tc>
      </w:tr>
      <w:tr w:rsidR="00260AE6" w:rsidRPr="006B7F05" w14:paraId="4F76E9B5"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4A2A3895" w14:textId="77777777" w:rsidR="006B7F05" w:rsidRPr="006B7F05" w:rsidRDefault="006B7F05" w:rsidP="00573D95">
            <w:pPr>
              <w:pStyle w:val="NoSpacing"/>
              <w:spacing w:line="276" w:lineRule="auto"/>
              <w:jc w:val="center"/>
            </w:pPr>
          </w:p>
        </w:tc>
        <w:tc>
          <w:tcPr>
            <w:tcW w:w="4120" w:type="dxa"/>
            <w:vMerge/>
            <w:hideMark/>
          </w:tcPr>
          <w:p w14:paraId="50C978EA"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5C309953" w14:textId="1FB88648"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w:t>
            </w:r>
            <w:r w:rsidR="00573D95">
              <w:t xml:space="preserve"> </w:t>
            </w:r>
            <w:r w:rsidRPr="006B7F05">
              <w:t xml:space="preserve">de opdrachtgever maakt </w:t>
            </w:r>
            <w:r w:rsidR="00573D95" w:rsidRPr="006B7F05">
              <w:t>voortdurend</w:t>
            </w:r>
            <w:r w:rsidRPr="006B7F05">
              <w:t xml:space="preserve"> de afweging</w:t>
            </w:r>
            <w:r w:rsidR="00573D95">
              <w:t xml:space="preserve"> of de samenwerking winstgevend is</w:t>
            </w:r>
          </w:p>
        </w:tc>
      </w:tr>
      <w:tr w:rsidR="00260AE6" w:rsidRPr="006B7F05" w14:paraId="36B0DBE8"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restart"/>
            <w:vAlign w:val="center"/>
            <w:hideMark/>
          </w:tcPr>
          <w:p w14:paraId="1FF09574" w14:textId="31158A02" w:rsidR="006B7F05" w:rsidRPr="006B7F05" w:rsidRDefault="00835DB9" w:rsidP="00573D95">
            <w:pPr>
              <w:pStyle w:val="NoSpacing"/>
              <w:spacing w:line="276" w:lineRule="auto"/>
              <w:jc w:val="center"/>
            </w:pPr>
            <w:r>
              <w:t>R</w:t>
            </w:r>
            <w:r w:rsidR="006B7F05" w:rsidRPr="006B7F05">
              <w:t>elationele vertrouwen</w:t>
            </w:r>
          </w:p>
        </w:tc>
        <w:tc>
          <w:tcPr>
            <w:tcW w:w="4120" w:type="dxa"/>
            <w:vMerge w:val="restart"/>
            <w:hideMark/>
          </w:tcPr>
          <w:p w14:paraId="6BA24EAA" w14:textId="77F8C73F" w:rsidR="006B7F05" w:rsidRPr="006B7F05" w:rsidRDefault="00835DB9"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t>V</w:t>
            </w:r>
            <w:r w:rsidR="006B7F05" w:rsidRPr="006B7F05">
              <w:t>ertrouwen is gebouwd op de persoonlijke relatie tussen de partijen</w:t>
            </w:r>
          </w:p>
        </w:tc>
        <w:tc>
          <w:tcPr>
            <w:tcW w:w="9355" w:type="dxa"/>
            <w:noWrap/>
            <w:hideMark/>
          </w:tcPr>
          <w:p w14:paraId="4CB0D38E"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sterke loyaliteit jegens de leverancier</w:t>
            </w:r>
          </w:p>
        </w:tc>
      </w:tr>
      <w:tr w:rsidR="00260AE6" w:rsidRPr="006B7F05" w14:paraId="1EC686A1"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39F12DA5" w14:textId="77777777" w:rsidR="006B7F05" w:rsidRPr="006B7F05" w:rsidRDefault="006B7F05" w:rsidP="00573D95">
            <w:pPr>
              <w:pStyle w:val="NoSpacing"/>
              <w:spacing w:line="276" w:lineRule="auto"/>
              <w:jc w:val="center"/>
            </w:pPr>
          </w:p>
        </w:tc>
        <w:tc>
          <w:tcPr>
            <w:tcW w:w="4120" w:type="dxa"/>
            <w:vMerge/>
            <w:hideMark/>
          </w:tcPr>
          <w:p w14:paraId="7470EF07"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2B8EC273"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xml:space="preserve">▪ veel contactmomenten binnen de relatie </w:t>
            </w:r>
          </w:p>
        </w:tc>
      </w:tr>
      <w:tr w:rsidR="00260AE6" w:rsidRPr="006B7F05" w14:paraId="1B932C6A"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41278197" w14:textId="77777777" w:rsidR="006B7F05" w:rsidRPr="006B7F05" w:rsidRDefault="006B7F05" w:rsidP="00573D95">
            <w:pPr>
              <w:pStyle w:val="NoSpacing"/>
              <w:spacing w:line="276" w:lineRule="auto"/>
              <w:jc w:val="center"/>
            </w:pPr>
          </w:p>
        </w:tc>
        <w:tc>
          <w:tcPr>
            <w:tcW w:w="4120" w:type="dxa"/>
            <w:vMerge/>
            <w:hideMark/>
          </w:tcPr>
          <w:p w14:paraId="23A3530D"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4BB5E15B"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xml:space="preserve">▪ informeel en persoonlijk contact met de leverancier </w:t>
            </w:r>
          </w:p>
        </w:tc>
      </w:tr>
      <w:tr w:rsidR="00260AE6" w:rsidRPr="006B7F05" w14:paraId="767D8EEB"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781B9581" w14:textId="77777777" w:rsidR="006B7F05" w:rsidRPr="006B7F05" w:rsidRDefault="006B7F05" w:rsidP="00573D95">
            <w:pPr>
              <w:pStyle w:val="NoSpacing"/>
              <w:spacing w:line="276" w:lineRule="auto"/>
              <w:jc w:val="center"/>
            </w:pPr>
          </w:p>
        </w:tc>
        <w:tc>
          <w:tcPr>
            <w:tcW w:w="4120" w:type="dxa"/>
            <w:vMerge/>
            <w:hideMark/>
          </w:tcPr>
          <w:p w14:paraId="55435C24"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1432A8AC"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gezamenlijke positieve ervaringen tussen mensen</w:t>
            </w:r>
          </w:p>
        </w:tc>
      </w:tr>
      <w:tr w:rsidR="00260AE6" w:rsidRPr="006B7F05" w14:paraId="0ECD5744"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49E0D5AA" w14:textId="77777777" w:rsidR="006B7F05" w:rsidRPr="006B7F05" w:rsidRDefault="006B7F05" w:rsidP="00573D95">
            <w:pPr>
              <w:pStyle w:val="NoSpacing"/>
              <w:spacing w:line="276" w:lineRule="auto"/>
              <w:jc w:val="center"/>
            </w:pPr>
          </w:p>
        </w:tc>
        <w:tc>
          <w:tcPr>
            <w:tcW w:w="4120" w:type="dxa"/>
            <w:vMerge/>
            <w:hideMark/>
          </w:tcPr>
          <w:p w14:paraId="5171C42E"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1480085B"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xml:space="preserve">▪ eerdere ervaringen spelen een belangrijke rol bij leverancierskeuze </w:t>
            </w:r>
          </w:p>
        </w:tc>
      </w:tr>
      <w:tr w:rsidR="00260AE6" w:rsidRPr="006B7F05" w14:paraId="4305FB43"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769974C3" w14:textId="77777777" w:rsidR="006B7F05" w:rsidRPr="006B7F05" w:rsidRDefault="006B7F05" w:rsidP="00573D95">
            <w:pPr>
              <w:pStyle w:val="NoSpacing"/>
              <w:spacing w:line="276" w:lineRule="auto"/>
              <w:jc w:val="center"/>
            </w:pPr>
          </w:p>
        </w:tc>
        <w:tc>
          <w:tcPr>
            <w:tcW w:w="4120" w:type="dxa"/>
            <w:vMerge/>
            <w:hideMark/>
          </w:tcPr>
          <w:p w14:paraId="78214B5B"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3054DF44"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voorkeur voor lange termijn relatie</w:t>
            </w:r>
          </w:p>
        </w:tc>
      </w:tr>
      <w:tr w:rsidR="00260AE6" w:rsidRPr="006B7F05" w14:paraId="754B0424"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restart"/>
            <w:vAlign w:val="center"/>
            <w:hideMark/>
          </w:tcPr>
          <w:p w14:paraId="5784FEB9" w14:textId="4508E602" w:rsidR="006B7F05" w:rsidRPr="006B7F05" w:rsidRDefault="00835DB9" w:rsidP="00573D95">
            <w:pPr>
              <w:pStyle w:val="NoSpacing"/>
              <w:spacing w:line="276" w:lineRule="auto"/>
              <w:jc w:val="center"/>
            </w:pPr>
            <w:r>
              <w:t>I</w:t>
            </w:r>
            <w:r w:rsidR="006B7F05" w:rsidRPr="006B7F05">
              <w:t>nvloeden vanuit de institutionele setting</w:t>
            </w:r>
          </w:p>
        </w:tc>
        <w:tc>
          <w:tcPr>
            <w:tcW w:w="4120" w:type="dxa"/>
            <w:vMerge w:val="restart"/>
            <w:hideMark/>
          </w:tcPr>
          <w:p w14:paraId="242CE0B1"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xml:space="preserve">Invloeden op inkoop die voortkomen uit de publiekrechtelijke aard van onderwijsinstellingen </w:t>
            </w:r>
          </w:p>
        </w:tc>
        <w:tc>
          <w:tcPr>
            <w:tcW w:w="9355" w:type="dxa"/>
            <w:noWrap/>
            <w:hideMark/>
          </w:tcPr>
          <w:p w14:paraId="68B4A5D6"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tegenstrijdige belangen met de leveranciers</w:t>
            </w:r>
          </w:p>
        </w:tc>
      </w:tr>
      <w:tr w:rsidR="00260AE6" w:rsidRPr="006B7F05" w14:paraId="5E9B5DF4"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59EACD84" w14:textId="77777777" w:rsidR="006B7F05" w:rsidRPr="006B7F05" w:rsidRDefault="006B7F05" w:rsidP="00573D95">
            <w:pPr>
              <w:pStyle w:val="NoSpacing"/>
              <w:spacing w:line="276" w:lineRule="auto"/>
              <w:jc w:val="center"/>
            </w:pPr>
          </w:p>
        </w:tc>
        <w:tc>
          <w:tcPr>
            <w:tcW w:w="4120" w:type="dxa"/>
            <w:vMerge/>
            <w:hideMark/>
          </w:tcPr>
          <w:p w14:paraId="1FDB2549"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35321D50"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werken volgens wettelijke voorschriften en protocollen</w:t>
            </w:r>
          </w:p>
        </w:tc>
      </w:tr>
      <w:tr w:rsidR="00260AE6" w:rsidRPr="006B7F05" w14:paraId="4CCDABB1"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097035F5" w14:textId="77777777" w:rsidR="006B7F05" w:rsidRPr="006B7F05" w:rsidRDefault="006B7F05" w:rsidP="00573D95">
            <w:pPr>
              <w:pStyle w:val="NoSpacing"/>
              <w:spacing w:line="276" w:lineRule="auto"/>
              <w:jc w:val="center"/>
            </w:pPr>
          </w:p>
        </w:tc>
        <w:tc>
          <w:tcPr>
            <w:tcW w:w="4120" w:type="dxa"/>
            <w:vMerge/>
            <w:hideMark/>
          </w:tcPr>
          <w:p w14:paraId="30D2A317"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1BC76DD8"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invloed vanuit de externe omgeving</w:t>
            </w:r>
          </w:p>
        </w:tc>
      </w:tr>
      <w:tr w:rsidR="00260AE6" w:rsidRPr="006B7F05" w14:paraId="5D8CA5F5"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0940964C" w14:textId="77777777" w:rsidR="006B7F05" w:rsidRPr="006B7F05" w:rsidRDefault="006B7F05" w:rsidP="00573D95">
            <w:pPr>
              <w:pStyle w:val="NoSpacing"/>
              <w:spacing w:line="276" w:lineRule="auto"/>
              <w:jc w:val="center"/>
            </w:pPr>
          </w:p>
        </w:tc>
        <w:tc>
          <w:tcPr>
            <w:tcW w:w="4120" w:type="dxa"/>
            <w:vMerge/>
            <w:hideMark/>
          </w:tcPr>
          <w:p w14:paraId="0DD291CB"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622FC45A"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invloed vanuit de overheid</w:t>
            </w:r>
          </w:p>
        </w:tc>
      </w:tr>
      <w:tr w:rsidR="00260AE6" w:rsidRPr="006B7F05" w14:paraId="73655077"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77C78C1B" w14:textId="77777777" w:rsidR="006B7F05" w:rsidRPr="006B7F05" w:rsidRDefault="006B7F05" w:rsidP="00573D95">
            <w:pPr>
              <w:pStyle w:val="NoSpacing"/>
              <w:spacing w:line="276" w:lineRule="auto"/>
              <w:jc w:val="center"/>
            </w:pPr>
          </w:p>
        </w:tc>
        <w:tc>
          <w:tcPr>
            <w:tcW w:w="4120" w:type="dxa"/>
            <w:vMerge/>
            <w:hideMark/>
          </w:tcPr>
          <w:p w14:paraId="3D56DB6C"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482CA290"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noodzaak aan verantwoording en transparantie</w:t>
            </w:r>
          </w:p>
        </w:tc>
      </w:tr>
      <w:tr w:rsidR="00260AE6" w:rsidRPr="006B7F05" w14:paraId="246FB364"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10CCE37D" w14:textId="77777777" w:rsidR="006B7F05" w:rsidRPr="006B7F05" w:rsidRDefault="006B7F05" w:rsidP="00573D95">
            <w:pPr>
              <w:pStyle w:val="NoSpacing"/>
              <w:spacing w:line="276" w:lineRule="auto"/>
              <w:jc w:val="center"/>
            </w:pPr>
          </w:p>
        </w:tc>
        <w:tc>
          <w:tcPr>
            <w:tcW w:w="4120" w:type="dxa"/>
            <w:vMerge/>
            <w:hideMark/>
          </w:tcPr>
          <w:p w14:paraId="1F3FE870"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71C4C2BD"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hoog niveau van regulaties</w:t>
            </w:r>
          </w:p>
        </w:tc>
      </w:tr>
      <w:tr w:rsidR="00260AE6" w:rsidRPr="006B7F05" w14:paraId="52DB809C"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6C41B800" w14:textId="77777777" w:rsidR="006B7F05" w:rsidRPr="006B7F05" w:rsidRDefault="006B7F05" w:rsidP="00573D95">
            <w:pPr>
              <w:pStyle w:val="NoSpacing"/>
              <w:spacing w:line="276" w:lineRule="auto"/>
              <w:jc w:val="center"/>
            </w:pPr>
          </w:p>
        </w:tc>
        <w:tc>
          <w:tcPr>
            <w:tcW w:w="4120" w:type="dxa"/>
            <w:vMerge/>
            <w:hideMark/>
          </w:tcPr>
          <w:p w14:paraId="303CCC71"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277BC905"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beperkte discretionaire ruimte</w:t>
            </w:r>
          </w:p>
        </w:tc>
      </w:tr>
      <w:tr w:rsidR="00260AE6" w:rsidRPr="006B7F05" w14:paraId="298512F7"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49E1B890" w14:textId="77777777" w:rsidR="006B7F05" w:rsidRPr="006B7F05" w:rsidRDefault="006B7F05" w:rsidP="00573D95">
            <w:pPr>
              <w:pStyle w:val="NoSpacing"/>
              <w:spacing w:line="276" w:lineRule="auto"/>
              <w:jc w:val="center"/>
            </w:pPr>
          </w:p>
        </w:tc>
        <w:tc>
          <w:tcPr>
            <w:tcW w:w="4120" w:type="dxa"/>
            <w:vMerge/>
            <w:hideMark/>
          </w:tcPr>
          <w:p w14:paraId="7372489F"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0258F393" w14:textId="77777777" w:rsidR="006B7F05" w:rsidRPr="006B7F05" w:rsidRDefault="006B7F0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xml:space="preserve">▪ continuïteit van dienstverlening is belangrijker dan kostenreductie en winstgevendheid </w:t>
            </w:r>
          </w:p>
        </w:tc>
      </w:tr>
      <w:tr w:rsidR="00573D95" w:rsidRPr="006B7F05" w14:paraId="73FD2AF3"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restart"/>
            <w:vAlign w:val="center"/>
            <w:hideMark/>
          </w:tcPr>
          <w:p w14:paraId="713548EC" w14:textId="77777777" w:rsidR="00573D95" w:rsidRPr="006B7F05" w:rsidRDefault="00573D95" w:rsidP="00573D95">
            <w:pPr>
              <w:pStyle w:val="NoSpacing"/>
              <w:spacing w:line="276" w:lineRule="auto"/>
              <w:jc w:val="center"/>
            </w:pPr>
            <w:r w:rsidRPr="006B7F05">
              <w:t>Professionalisering</w:t>
            </w:r>
          </w:p>
        </w:tc>
        <w:tc>
          <w:tcPr>
            <w:tcW w:w="4120" w:type="dxa"/>
            <w:vMerge w:val="restart"/>
            <w:hideMark/>
          </w:tcPr>
          <w:p w14:paraId="243B899C"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Het proces en de activiteiten die tot doel hebben kennis en vaardigheden van de inkooporganisatie te verbeteren en verder te ontwikkelen naar een hoger volwassenheidsniveau</w:t>
            </w:r>
          </w:p>
        </w:tc>
        <w:tc>
          <w:tcPr>
            <w:tcW w:w="9355" w:type="dxa"/>
            <w:noWrap/>
            <w:hideMark/>
          </w:tcPr>
          <w:p w14:paraId="1B1AF386" w14:textId="0AB0A9C1"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xml:space="preserve">▪ personeelsbeleid: trainingen en aanstellen van contractmanager en </w:t>
            </w:r>
            <w:proofErr w:type="gramStart"/>
            <w:r w:rsidRPr="006B7F05">
              <w:t>ICT manager</w:t>
            </w:r>
            <w:proofErr w:type="gramEnd"/>
          </w:p>
        </w:tc>
      </w:tr>
      <w:tr w:rsidR="00573D95" w:rsidRPr="006B7F05" w14:paraId="65654E24" w14:textId="77777777" w:rsidTr="00573D95">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5265B339" w14:textId="77777777" w:rsidR="00573D95" w:rsidRPr="006B7F05" w:rsidRDefault="00573D95" w:rsidP="00573D95">
            <w:pPr>
              <w:pStyle w:val="NoSpacing"/>
              <w:spacing w:line="276" w:lineRule="auto"/>
              <w:jc w:val="center"/>
            </w:pPr>
          </w:p>
        </w:tc>
        <w:tc>
          <w:tcPr>
            <w:tcW w:w="4120" w:type="dxa"/>
            <w:vMerge/>
            <w:hideMark/>
          </w:tcPr>
          <w:p w14:paraId="229970CB"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tcPr>
          <w:p w14:paraId="7388E27A" w14:textId="366CFF02"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de inkoper bezit specifieke kennis en expertise, gebaseerd op theoretische principes</w:t>
            </w:r>
          </w:p>
        </w:tc>
      </w:tr>
      <w:tr w:rsidR="00573D95" w:rsidRPr="006B7F05" w14:paraId="4EEAE3AC" w14:textId="77777777" w:rsidTr="00573D95">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7A73A39A" w14:textId="77777777" w:rsidR="00573D95" w:rsidRPr="006B7F05" w:rsidRDefault="00573D95" w:rsidP="00573D95">
            <w:pPr>
              <w:pStyle w:val="NoSpacing"/>
              <w:spacing w:line="276" w:lineRule="auto"/>
              <w:jc w:val="center"/>
            </w:pPr>
          </w:p>
        </w:tc>
        <w:tc>
          <w:tcPr>
            <w:tcW w:w="4120" w:type="dxa"/>
            <w:vMerge/>
            <w:hideMark/>
          </w:tcPr>
          <w:p w14:paraId="415833B2"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tcPr>
          <w:p w14:paraId="6FC40B1A" w14:textId="0E7FC02A"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sprake van discretionaire autonomie</w:t>
            </w:r>
          </w:p>
        </w:tc>
      </w:tr>
      <w:tr w:rsidR="00573D95" w:rsidRPr="006B7F05" w14:paraId="384574E8" w14:textId="77777777" w:rsidTr="00573D95">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242D27CF" w14:textId="77777777" w:rsidR="00573D95" w:rsidRPr="006B7F05" w:rsidRDefault="00573D95" w:rsidP="00573D95">
            <w:pPr>
              <w:pStyle w:val="NoSpacing"/>
              <w:spacing w:line="276" w:lineRule="auto"/>
              <w:jc w:val="center"/>
            </w:pPr>
          </w:p>
        </w:tc>
        <w:tc>
          <w:tcPr>
            <w:tcW w:w="4120" w:type="dxa"/>
            <w:vMerge/>
            <w:hideMark/>
          </w:tcPr>
          <w:p w14:paraId="735D005F"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tcPr>
          <w:p w14:paraId="51E423FD" w14:textId="55FBD18A"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gebruik van het inkoopmodel binnen inkooptrajecten</w:t>
            </w:r>
          </w:p>
        </w:tc>
      </w:tr>
      <w:tr w:rsidR="00573D95" w:rsidRPr="006B7F05" w14:paraId="386F26AB" w14:textId="77777777" w:rsidTr="00573D95">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5BA2B382" w14:textId="77777777" w:rsidR="00573D95" w:rsidRPr="006B7F05" w:rsidRDefault="00573D95" w:rsidP="00573D95">
            <w:pPr>
              <w:pStyle w:val="NoSpacing"/>
              <w:spacing w:line="276" w:lineRule="auto"/>
              <w:jc w:val="center"/>
            </w:pPr>
          </w:p>
        </w:tc>
        <w:tc>
          <w:tcPr>
            <w:tcW w:w="4120" w:type="dxa"/>
            <w:vMerge/>
            <w:hideMark/>
          </w:tcPr>
          <w:p w14:paraId="0BCD6A28"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tcPr>
          <w:p w14:paraId="626E3188" w14:textId="38A28382"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aantal medewerkers werkzaam binnen inkoop</w:t>
            </w:r>
          </w:p>
        </w:tc>
      </w:tr>
      <w:tr w:rsidR="00573D95" w:rsidRPr="006B7F05" w14:paraId="3D0F8DF7"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restart"/>
            <w:vAlign w:val="center"/>
            <w:hideMark/>
          </w:tcPr>
          <w:p w14:paraId="1234F759" w14:textId="77777777" w:rsidR="00573D95" w:rsidRPr="006B7F05" w:rsidRDefault="00573D95" w:rsidP="00573D95">
            <w:pPr>
              <w:pStyle w:val="NoSpacing"/>
              <w:spacing w:line="276" w:lineRule="auto"/>
              <w:jc w:val="center"/>
            </w:pPr>
            <w:r w:rsidRPr="006B7F05">
              <w:t>Gezamenlijk inkopen</w:t>
            </w:r>
          </w:p>
        </w:tc>
        <w:tc>
          <w:tcPr>
            <w:tcW w:w="4120" w:type="dxa"/>
            <w:vMerge w:val="restart"/>
            <w:hideMark/>
          </w:tcPr>
          <w:p w14:paraId="1501C51C"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xml:space="preserve">Bundeling van krachten door onderwijsinstelling met het doel de onderhandelingspositie te verbeteren ten opzichte van de leverancier. </w:t>
            </w:r>
          </w:p>
        </w:tc>
        <w:tc>
          <w:tcPr>
            <w:tcW w:w="9355" w:type="dxa"/>
            <w:noWrap/>
            <w:hideMark/>
          </w:tcPr>
          <w:p w14:paraId="7FF38A5A"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bereidbaarheid om samen te werken</w:t>
            </w:r>
          </w:p>
        </w:tc>
      </w:tr>
      <w:tr w:rsidR="00573D95" w:rsidRPr="006B7F05" w14:paraId="4C11C148"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18C60C88" w14:textId="77777777" w:rsidR="00573D95" w:rsidRPr="006B7F05" w:rsidRDefault="00573D95" w:rsidP="00573D95">
            <w:pPr>
              <w:pStyle w:val="NoSpacing"/>
              <w:spacing w:line="276" w:lineRule="auto"/>
              <w:jc w:val="center"/>
            </w:pPr>
          </w:p>
        </w:tc>
        <w:tc>
          <w:tcPr>
            <w:tcW w:w="4120" w:type="dxa"/>
            <w:vMerge/>
            <w:hideMark/>
          </w:tcPr>
          <w:p w14:paraId="00DB820B"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0018A229" w14:textId="16CB9899"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xml:space="preserve">▪ </w:t>
            </w:r>
            <w:r>
              <w:t>standaardisering</w:t>
            </w:r>
            <w:r w:rsidRPr="006B7F05">
              <w:t xml:space="preserve"> van </w:t>
            </w:r>
            <w:r>
              <w:t xml:space="preserve">de </w:t>
            </w:r>
            <w:r w:rsidRPr="006B7F05">
              <w:t>inkoopactiviteiten</w:t>
            </w:r>
          </w:p>
        </w:tc>
      </w:tr>
      <w:tr w:rsidR="00573D95" w:rsidRPr="006B7F05" w14:paraId="269A7643"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6030C9F2" w14:textId="77777777" w:rsidR="00573D95" w:rsidRPr="006B7F05" w:rsidRDefault="00573D95" w:rsidP="00573D95">
            <w:pPr>
              <w:pStyle w:val="NoSpacing"/>
              <w:spacing w:line="276" w:lineRule="auto"/>
              <w:jc w:val="center"/>
            </w:pPr>
          </w:p>
        </w:tc>
        <w:tc>
          <w:tcPr>
            <w:tcW w:w="4120" w:type="dxa"/>
            <w:vMerge/>
            <w:hideMark/>
          </w:tcPr>
          <w:p w14:paraId="4AC033FC"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4A973A0A"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coördinatie en afstemming van inkoopactiviteiten</w:t>
            </w:r>
          </w:p>
        </w:tc>
      </w:tr>
      <w:tr w:rsidR="00573D95" w:rsidRPr="006B7F05" w14:paraId="03BCE09F"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0EB7C002" w14:textId="77777777" w:rsidR="00573D95" w:rsidRPr="006B7F05" w:rsidRDefault="00573D95" w:rsidP="00573D95">
            <w:pPr>
              <w:pStyle w:val="NoSpacing"/>
              <w:spacing w:line="276" w:lineRule="auto"/>
              <w:jc w:val="center"/>
            </w:pPr>
          </w:p>
        </w:tc>
        <w:tc>
          <w:tcPr>
            <w:tcW w:w="4120" w:type="dxa"/>
            <w:vMerge/>
            <w:hideMark/>
          </w:tcPr>
          <w:p w14:paraId="3A4DD422"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56CFFA29"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versterken onderhandelingspositie en slagkracht van de inkoper</w:t>
            </w:r>
          </w:p>
        </w:tc>
      </w:tr>
      <w:tr w:rsidR="00573D95" w:rsidRPr="006B7F05" w14:paraId="3828C446"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0001F28E" w14:textId="77777777" w:rsidR="00573D95" w:rsidRPr="006B7F05" w:rsidRDefault="00573D95" w:rsidP="00573D95">
            <w:pPr>
              <w:pStyle w:val="NoSpacing"/>
              <w:spacing w:line="276" w:lineRule="auto"/>
              <w:jc w:val="center"/>
            </w:pPr>
          </w:p>
        </w:tc>
        <w:tc>
          <w:tcPr>
            <w:tcW w:w="4120" w:type="dxa"/>
            <w:vMerge/>
            <w:hideMark/>
          </w:tcPr>
          <w:p w14:paraId="65C2ED4D"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02169A44"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focus op kostenreductie per eenheidproduct</w:t>
            </w:r>
          </w:p>
        </w:tc>
      </w:tr>
      <w:tr w:rsidR="00573D95" w:rsidRPr="006B7F05" w14:paraId="22DF9780"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0EFE734C" w14:textId="77777777" w:rsidR="00573D95" w:rsidRPr="006B7F05" w:rsidRDefault="00573D95" w:rsidP="00573D95">
            <w:pPr>
              <w:pStyle w:val="NoSpacing"/>
              <w:spacing w:line="276" w:lineRule="auto"/>
              <w:jc w:val="center"/>
            </w:pPr>
          </w:p>
        </w:tc>
        <w:tc>
          <w:tcPr>
            <w:tcW w:w="4120" w:type="dxa"/>
            <w:vMerge/>
            <w:hideMark/>
          </w:tcPr>
          <w:p w14:paraId="5299E820"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756AF255"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aanwezigheid van centrale coördinator</w:t>
            </w:r>
          </w:p>
        </w:tc>
      </w:tr>
      <w:tr w:rsidR="00573D95" w:rsidRPr="006B7F05" w14:paraId="1AE83D0A"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76C3BD46" w14:textId="77777777" w:rsidR="00573D95" w:rsidRPr="006B7F05" w:rsidRDefault="00573D95" w:rsidP="00573D95">
            <w:pPr>
              <w:pStyle w:val="NoSpacing"/>
              <w:spacing w:line="276" w:lineRule="auto"/>
              <w:jc w:val="center"/>
            </w:pPr>
          </w:p>
        </w:tc>
        <w:tc>
          <w:tcPr>
            <w:tcW w:w="4120" w:type="dxa"/>
            <w:vMerge/>
            <w:hideMark/>
          </w:tcPr>
          <w:p w14:paraId="4E4113F9"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31A826E0"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aandacht voor reductie transactiekosten, aantal leveranciers en dubbele activiteiten</w:t>
            </w:r>
          </w:p>
        </w:tc>
      </w:tr>
      <w:tr w:rsidR="00573D95" w:rsidRPr="006B7F05" w14:paraId="435B0D6B"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5A7A5E0E" w14:textId="77777777" w:rsidR="00573D95" w:rsidRPr="006B7F05" w:rsidRDefault="00573D95" w:rsidP="00573D95">
            <w:pPr>
              <w:pStyle w:val="NoSpacing"/>
              <w:spacing w:line="276" w:lineRule="auto"/>
              <w:jc w:val="center"/>
            </w:pPr>
          </w:p>
        </w:tc>
        <w:tc>
          <w:tcPr>
            <w:tcW w:w="4120" w:type="dxa"/>
            <w:vMerge/>
            <w:hideMark/>
          </w:tcPr>
          <w:p w14:paraId="23772C7C"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2DF24C04" w14:textId="65E68E0A"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xml:space="preserve">▪ gericht op efficiëntie en kostenbesparing </w:t>
            </w:r>
          </w:p>
        </w:tc>
      </w:tr>
      <w:tr w:rsidR="00573D95" w:rsidRPr="006B7F05" w14:paraId="31FDEFB4"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171EA527" w14:textId="77777777" w:rsidR="00573D95" w:rsidRPr="006B7F05" w:rsidRDefault="00573D95" w:rsidP="00573D95">
            <w:pPr>
              <w:pStyle w:val="NoSpacing"/>
              <w:spacing w:line="276" w:lineRule="auto"/>
              <w:jc w:val="center"/>
            </w:pPr>
          </w:p>
        </w:tc>
        <w:tc>
          <w:tcPr>
            <w:tcW w:w="4120" w:type="dxa"/>
            <w:vMerge/>
            <w:hideMark/>
          </w:tcPr>
          <w:p w14:paraId="0DB2967F"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17444B00"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gedeelde (</w:t>
            </w:r>
            <w:proofErr w:type="spellStart"/>
            <w:r w:rsidRPr="006B7F05">
              <w:t>im</w:t>
            </w:r>
            <w:proofErr w:type="spellEnd"/>
            <w:r w:rsidRPr="006B7F05">
              <w:t>)materiële middelen tussen scholen</w:t>
            </w:r>
          </w:p>
        </w:tc>
      </w:tr>
      <w:tr w:rsidR="00573D95" w:rsidRPr="006B7F05" w14:paraId="243739B9"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75E1A8C6" w14:textId="77777777" w:rsidR="00573D95" w:rsidRPr="006B7F05" w:rsidRDefault="00573D95" w:rsidP="00573D95">
            <w:pPr>
              <w:pStyle w:val="NoSpacing"/>
              <w:spacing w:line="276" w:lineRule="auto"/>
              <w:jc w:val="center"/>
            </w:pPr>
          </w:p>
        </w:tc>
        <w:tc>
          <w:tcPr>
            <w:tcW w:w="4120" w:type="dxa"/>
            <w:vMerge/>
            <w:hideMark/>
          </w:tcPr>
          <w:p w14:paraId="6D14B2B5"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4E18B07B"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gericht op ontzorgen van individuele scholen</w:t>
            </w:r>
          </w:p>
        </w:tc>
      </w:tr>
      <w:tr w:rsidR="00573D95" w:rsidRPr="006B7F05" w14:paraId="36F7B3DF"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75AE3C48" w14:textId="77777777" w:rsidR="00573D95" w:rsidRPr="006B7F05" w:rsidRDefault="00573D95" w:rsidP="00573D95">
            <w:pPr>
              <w:pStyle w:val="NoSpacing"/>
              <w:spacing w:line="276" w:lineRule="auto"/>
              <w:jc w:val="center"/>
            </w:pPr>
          </w:p>
        </w:tc>
        <w:tc>
          <w:tcPr>
            <w:tcW w:w="4120" w:type="dxa"/>
            <w:vMerge/>
            <w:hideMark/>
          </w:tcPr>
          <w:p w14:paraId="384B7A56"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42A10989"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groot aantal inkoopactiviteiten en afdelingen waarvoor de inkoopafdeling formeel verantwoordelijk voor is ('span of control')</w:t>
            </w:r>
          </w:p>
        </w:tc>
      </w:tr>
      <w:tr w:rsidR="00573D95" w:rsidRPr="006B7F05" w14:paraId="7B410071"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57BC4974" w14:textId="77777777" w:rsidR="00573D95" w:rsidRPr="006B7F05" w:rsidRDefault="00573D95" w:rsidP="00573D95">
            <w:pPr>
              <w:pStyle w:val="NoSpacing"/>
              <w:spacing w:line="276" w:lineRule="auto"/>
              <w:jc w:val="center"/>
            </w:pPr>
          </w:p>
        </w:tc>
        <w:tc>
          <w:tcPr>
            <w:tcW w:w="4120" w:type="dxa"/>
            <w:vMerge/>
            <w:hideMark/>
          </w:tcPr>
          <w:p w14:paraId="6D5AC001"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4D84D089"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groter slagkracht door schaalvoordelen ('</w:t>
            </w:r>
            <w:proofErr w:type="spellStart"/>
            <w:r w:rsidRPr="006B7F05">
              <w:t>economies</w:t>
            </w:r>
            <w:proofErr w:type="spellEnd"/>
            <w:r w:rsidRPr="006B7F05">
              <w:t xml:space="preserve"> of </w:t>
            </w:r>
            <w:proofErr w:type="spellStart"/>
            <w:r w:rsidRPr="006B7F05">
              <w:t>scale</w:t>
            </w:r>
            <w:proofErr w:type="spellEnd"/>
            <w:r w:rsidRPr="006B7F05">
              <w:t>')</w:t>
            </w:r>
          </w:p>
        </w:tc>
      </w:tr>
      <w:tr w:rsidR="00573D95" w:rsidRPr="006B7F05" w14:paraId="2375E61F"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restart"/>
            <w:vAlign w:val="center"/>
            <w:hideMark/>
          </w:tcPr>
          <w:p w14:paraId="07BAE5BE" w14:textId="77777777" w:rsidR="00573D95" w:rsidRPr="006B7F05" w:rsidRDefault="00573D95" w:rsidP="00573D95">
            <w:pPr>
              <w:pStyle w:val="NoSpacing"/>
              <w:spacing w:line="276" w:lineRule="auto"/>
              <w:jc w:val="center"/>
            </w:pPr>
            <w:r w:rsidRPr="006B7F05">
              <w:t>Strategische alliantie</w:t>
            </w:r>
          </w:p>
        </w:tc>
        <w:tc>
          <w:tcPr>
            <w:tcW w:w="4120" w:type="dxa"/>
            <w:vMerge w:val="restart"/>
            <w:hideMark/>
          </w:tcPr>
          <w:p w14:paraId="280C52B6"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De opdrachtgever-opdrachtnemer relatie is gebaseerd op coöperatie, groepsbelang en vertrouwen. Er bestaat overeenkomst tussen de doelen en de belangen van de leverancier</w:t>
            </w:r>
          </w:p>
        </w:tc>
        <w:tc>
          <w:tcPr>
            <w:tcW w:w="9355" w:type="dxa"/>
            <w:noWrap/>
            <w:hideMark/>
          </w:tcPr>
          <w:p w14:paraId="7BCDDBCB"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xml:space="preserve">▪ de inkoopafdeling kent een hoge volwassenheidsniveau </w:t>
            </w:r>
          </w:p>
        </w:tc>
      </w:tr>
      <w:tr w:rsidR="00573D95" w:rsidRPr="006B7F05" w14:paraId="7C2063B4"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7D09F1F9" w14:textId="77777777" w:rsidR="00573D95" w:rsidRPr="006B7F05" w:rsidRDefault="00573D95" w:rsidP="00573D95">
            <w:pPr>
              <w:pStyle w:val="NoSpacing"/>
              <w:spacing w:line="276" w:lineRule="auto"/>
              <w:jc w:val="center"/>
            </w:pPr>
          </w:p>
        </w:tc>
        <w:tc>
          <w:tcPr>
            <w:tcW w:w="4120" w:type="dxa"/>
            <w:vMerge/>
            <w:hideMark/>
          </w:tcPr>
          <w:p w14:paraId="0194DEF0"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47394BDE"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opdrachtgever en opdrachtnemer zijn wederzijds afhankelijk</w:t>
            </w:r>
          </w:p>
        </w:tc>
      </w:tr>
      <w:tr w:rsidR="00573D95" w:rsidRPr="006B7F05" w14:paraId="1DCC8EAF"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019DF6D1" w14:textId="77777777" w:rsidR="00573D95" w:rsidRPr="006B7F05" w:rsidRDefault="00573D95" w:rsidP="00573D95">
            <w:pPr>
              <w:pStyle w:val="NoSpacing"/>
              <w:spacing w:line="276" w:lineRule="auto"/>
              <w:jc w:val="center"/>
            </w:pPr>
          </w:p>
        </w:tc>
        <w:tc>
          <w:tcPr>
            <w:tcW w:w="4120" w:type="dxa"/>
            <w:vMerge/>
            <w:hideMark/>
          </w:tcPr>
          <w:p w14:paraId="24125E4F"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6FB8C0E2"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lange termijn focus binnen de samenwerking</w:t>
            </w:r>
          </w:p>
        </w:tc>
      </w:tr>
      <w:tr w:rsidR="00573D95" w:rsidRPr="006B7F05" w14:paraId="67C5FE3E"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4B8A9316" w14:textId="77777777" w:rsidR="00573D95" w:rsidRPr="006B7F05" w:rsidRDefault="00573D95" w:rsidP="00573D95">
            <w:pPr>
              <w:pStyle w:val="NoSpacing"/>
              <w:spacing w:line="276" w:lineRule="auto"/>
              <w:jc w:val="center"/>
            </w:pPr>
          </w:p>
        </w:tc>
        <w:tc>
          <w:tcPr>
            <w:tcW w:w="4120" w:type="dxa"/>
            <w:vMerge/>
            <w:hideMark/>
          </w:tcPr>
          <w:p w14:paraId="1E397FB9"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1EE58FAF"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weinig controle en monitoring</w:t>
            </w:r>
          </w:p>
        </w:tc>
      </w:tr>
      <w:tr w:rsidR="00573D95" w:rsidRPr="006B7F05" w14:paraId="25587E05"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31B79047" w14:textId="77777777" w:rsidR="00573D95" w:rsidRPr="006B7F05" w:rsidRDefault="00573D95" w:rsidP="00573D95">
            <w:pPr>
              <w:pStyle w:val="NoSpacing"/>
              <w:spacing w:line="276" w:lineRule="auto"/>
              <w:jc w:val="center"/>
            </w:pPr>
          </w:p>
        </w:tc>
        <w:tc>
          <w:tcPr>
            <w:tcW w:w="4120" w:type="dxa"/>
            <w:vMerge/>
            <w:hideMark/>
          </w:tcPr>
          <w:p w14:paraId="6A26C204"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6BEE0591"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xml:space="preserve">▪ select aantal leveranciers waarmee wordt samengewerkt </w:t>
            </w:r>
          </w:p>
        </w:tc>
      </w:tr>
      <w:tr w:rsidR="00573D95" w:rsidRPr="006B7F05" w14:paraId="7EE30587"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4EE7407C" w14:textId="77777777" w:rsidR="00573D95" w:rsidRPr="006B7F05" w:rsidRDefault="00573D95" w:rsidP="00573D95">
            <w:pPr>
              <w:pStyle w:val="NoSpacing"/>
              <w:spacing w:line="276" w:lineRule="auto"/>
              <w:jc w:val="center"/>
            </w:pPr>
          </w:p>
        </w:tc>
        <w:tc>
          <w:tcPr>
            <w:tcW w:w="4120" w:type="dxa"/>
            <w:vMerge/>
            <w:hideMark/>
          </w:tcPr>
          <w:p w14:paraId="18A1B781"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0F099D44"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opdrachtgever en opdrachtnemer delen de risico’s en beloningen</w:t>
            </w:r>
          </w:p>
        </w:tc>
      </w:tr>
      <w:tr w:rsidR="00573D95" w:rsidRPr="006B7F05" w14:paraId="6A3D4811"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6658055A" w14:textId="77777777" w:rsidR="00573D95" w:rsidRPr="006B7F05" w:rsidRDefault="00573D95" w:rsidP="00573D95">
            <w:pPr>
              <w:pStyle w:val="NoSpacing"/>
              <w:spacing w:line="276" w:lineRule="auto"/>
              <w:jc w:val="center"/>
            </w:pPr>
          </w:p>
        </w:tc>
        <w:tc>
          <w:tcPr>
            <w:tcW w:w="4120" w:type="dxa"/>
            <w:vMerge/>
            <w:hideMark/>
          </w:tcPr>
          <w:p w14:paraId="59D22A88"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6EB67F44"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xml:space="preserve">▪ de leverancier is over het algemeen tevreden </w:t>
            </w:r>
          </w:p>
        </w:tc>
      </w:tr>
      <w:tr w:rsidR="00573D95" w:rsidRPr="006B7F05" w14:paraId="262F8B02"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4C029176" w14:textId="77777777" w:rsidR="00573D95" w:rsidRPr="006B7F05" w:rsidRDefault="00573D95" w:rsidP="00573D95">
            <w:pPr>
              <w:pStyle w:val="NoSpacing"/>
              <w:spacing w:line="276" w:lineRule="auto"/>
              <w:jc w:val="center"/>
            </w:pPr>
          </w:p>
        </w:tc>
        <w:tc>
          <w:tcPr>
            <w:tcW w:w="4120" w:type="dxa"/>
            <w:vMerge/>
            <w:hideMark/>
          </w:tcPr>
          <w:p w14:paraId="19933B2E"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405208FC"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xml:space="preserve">▪ de leverancier is betrokken bij de organisatie </w:t>
            </w:r>
          </w:p>
        </w:tc>
      </w:tr>
      <w:tr w:rsidR="00573D95" w:rsidRPr="006B7F05" w14:paraId="02CA2233"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ign w:val="center"/>
            <w:hideMark/>
          </w:tcPr>
          <w:p w14:paraId="08F48EF1" w14:textId="77777777" w:rsidR="00573D95" w:rsidRPr="006B7F05" w:rsidRDefault="00573D95" w:rsidP="00573D95">
            <w:pPr>
              <w:pStyle w:val="NoSpacing"/>
              <w:spacing w:line="276" w:lineRule="auto"/>
              <w:jc w:val="center"/>
            </w:pPr>
          </w:p>
        </w:tc>
        <w:tc>
          <w:tcPr>
            <w:tcW w:w="4120" w:type="dxa"/>
            <w:vMerge/>
            <w:hideMark/>
          </w:tcPr>
          <w:p w14:paraId="291C6468"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4144ADBE"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xml:space="preserve">▪ de samenwerking wordt beëindigd als </w:t>
            </w:r>
            <w:proofErr w:type="gramStart"/>
            <w:r w:rsidRPr="006B7F05">
              <w:t>één</w:t>
            </w:r>
            <w:proofErr w:type="gramEnd"/>
            <w:r w:rsidRPr="006B7F05">
              <w:t xml:space="preserve"> van de partijen geen voordeel meer uit haalt</w:t>
            </w:r>
          </w:p>
        </w:tc>
      </w:tr>
      <w:tr w:rsidR="00573D95" w:rsidRPr="006B7F05" w14:paraId="0D8DFAD3" w14:textId="77777777" w:rsidTr="00D766EA">
        <w:trPr>
          <w:trHeight w:val="300"/>
        </w:trPr>
        <w:tc>
          <w:tcPr>
            <w:cnfStyle w:val="001000000000" w:firstRow="0" w:lastRow="0" w:firstColumn="1" w:lastColumn="0" w:oddVBand="0" w:evenVBand="0" w:oddHBand="0" w:evenHBand="0" w:firstRowFirstColumn="0" w:firstRowLastColumn="0" w:lastRowFirstColumn="0" w:lastRowLastColumn="0"/>
            <w:tcW w:w="1971" w:type="dxa"/>
            <w:vMerge w:val="restart"/>
            <w:vAlign w:val="center"/>
            <w:hideMark/>
          </w:tcPr>
          <w:p w14:paraId="1F8EBFA4" w14:textId="43B6A092" w:rsidR="00573D95" w:rsidRPr="006B7F05" w:rsidRDefault="00835DB9" w:rsidP="00573D95">
            <w:pPr>
              <w:pStyle w:val="NoSpacing"/>
              <w:spacing w:line="276" w:lineRule="auto"/>
              <w:jc w:val="center"/>
            </w:pPr>
            <w:r>
              <w:t>C</w:t>
            </w:r>
            <w:r w:rsidR="00573D95" w:rsidRPr="006B7F05">
              <w:t>ontradictoire competitie</w:t>
            </w:r>
          </w:p>
        </w:tc>
        <w:tc>
          <w:tcPr>
            <w:tcW w:w="4120" w:type="dxa"/>
            <w:vMerge w:val="restart"/>
            <w:hideMark/>
          </w:tcPr>
          <w:p w14:paraId="425ACA80"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De opdrachtgever-opdrachtnemer relatie is gebaseerd op kostenreductie door competitie tussen leveranciers en gericht op korte termijn samenwerking</w:t>
            </w:r>
          </w:p>
        </w:tc>
        <w:tc>
          <w:tcPr>
            <w:tcW w:w="9355" w:type="dxa"/>
            <w:noWrap/>
            <w:hideMark/>
          </w:tcPr>
          <w:p w14:paraId="30176BC4"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opdrachtgever en opdrachtnemer hebben tegenstrijdige belangen</w:t>
            </w:r>
          </w:p>
        </w:tc>
      </w:tr>
      <w:tr w:rsidR="00573D95" w:rsidRPr="006B7F05" w14:paraId="52DA42C5" w14:textId="77777777" w:rsidTr="00260AE6">
        <w:trPr>
          <w:trHeight w:val="300"/>
        </w:trPr>
        <w:tc>
          <w:tcPr>
            <w:cnfStyle w:val="001000000000" w:firstRow="0" w:lastRow="0" w:firstColumn="1" w:lastColumn="0" w:oddVBand="0" w:evenVBand="0" w:oddHBand="0" w:evenHBand="0" w:firstRowFirstColumn="0" w:firstRowLastColumn="0" w:lastRowFirstColumn="0" w:lastRowLastColumn="0"/>
            <w:tcW w:w="1971" w:type="dxa"/>
            <w:vMerge/>
            <w:hideMark/>
          </w:tcPr>
          <w:p w14:paraId="1ADC221C" w14:textId="77777777" w:rsidR="00573D95" w:rsidRPr="006B7F05" w:rsidRDefault="00573D95" w:rsidP="00573D95">
            <w:pPr>
              <w:pStyle w:val="NoSpacing"/>
              <w:spacing w:line="276" w:lineRule="auto"/>
            </w:pPr>
          </w:p>
        </w:tc>
        <w:tc>
          <w:tcPr>
            <w:tcW w:w="4120" w:type="dxa"/>
            <w:vMerge/>
            <w:hideMark/>
          </w:tcPr>
          <w:p w14:paraId="0A153B28"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6B8B1CBC"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de opdrachtnemer gebruikt de ongebalanceerde kennis- en machtsverhouding voor eigen gewin</w:t>
            </w:r>
          </w:p>
        </w:tc>
      </w:tr>
      <w:tr w:rsidR="00573D95" w:rsidRPr="006B7F05" w14:paraId="6F4A6664" w14:textId="77777777" w:rsidTr="00260AE6">
        <w:trPr>
          <w:trHeight w:val="300"/>
        </w:trPr>
        <w:tc>
          <w:tcPr>
            <w:cnfStyle w:val="001000000000" w:firstRow="0" w:lastRow="0" w:firstColumn="1" w:lastColumn="0" w:oddVBand="0" w:evenVBand="0" w:oddHBand="0" w:evenHBand="0" w:firstRowFirstColumn="0" w:firstRowLastColumn="0" w:lastRowFirstColumn="0" w:lastRowLastColumn="0"/>
            <w:tcW w:w="1971" w:type="dxa"/>
            <w:vMerge/>
            <w:hideMark/>
          </w:tcPr>
          <w:p w14:paraId="1A405DC1" w14:textId="77777777" w:rsidR="00573D95" w:rsidRPr="006B7F05" w:rsidRDefault="00573D95" w:rsidP="00573D95">
            <w:pPr>
              <w:pStyle w:val="NoSpacing"/>
              <w:spacing w:line="276" w:lineRule="auto"/>
            </w:pPr>
          </w:p>
        </w:tc>
        <w:tc>
          <w:tcPr>
            <w:tcW w:w="4120" w:type="dxa"/>
            <w:vMerge/>
            <w:hideMark/>
          </w:tcPr>
          <w:p w14:paraId="325974F4"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2CE88531"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xml:space="preserve">▪ de opdrachtgever beschikt over zwakke </w:t>
            </w:r>
            <w:proofErr w:type="gramStart"/>
            <w:r w:rsidRPr="006B7F05">
              <w:t>controle mechanismen</w:t>
            </w:r>
            <w:proofErr w:type="gramEnd"/>
            <w:r w:rsidRPr="006B7F05">
              <w:t xml:space="preserve">   </w:t>
            </w:r>
          </w:p>
        </w:tc>
      </w:tr>
      <w:tr w:rsidR="00573D95" w:rsidRPr="006B7F05" w14:paraId="28A2325F" w14:textId="77777777" w:rsidTr="00260AE6">
        <w:trPr>
          <w:trHeight w:val="300"/>
        </w:trPr>
        <w:tc>
          <w:tcPr>
            <w:cnfStyle w:val="001000000000" w:firstRow="0" w:lastRow="0" w:firstColumn="1" w:lastColumn="0" w:oddVBand="0" w:evenVBand="0" w:oddHBand="0" w:evenHBand="0" w:firstRowFirstColumn="0" w:firstRowLastColumn="0" w:lastRowFirstColumn="0" w:lastRowLastColumn="0"/>
            <w:tcW w:w="1971" w:type="dxa"/>
            <w:vMerge/>
            <w:hideMark/>
          </w:tcPr>
          <w:p w14:paraId="1446F002" w14:textId="77777777" w:rsidR="00573D95" w:rsidRPr="006B7F05" w:rsidRDefault="00573D95" w:rsidP="00573D95">
            <w:pPr>
              <w:pStyle w:val="NoSpacing"/>
              <w:spacing w:line="276" w:lineRule="auto"/>
            </w:pPr>
          </w:p>
        </w:tc>
        <w:tc>
          <w:tcPr>
            <w:tcW w:w="4120" w:type="dxa"/>
            <w:vMerge/>
            <w:hideMark/>
          </w:tcPr>
          <w:p w14:paraId="007242F0"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3A7EAC3B"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de twee partijen wantrouwen elkaar</w:t>
            </w:r>
          </w:p>
        </w:tc>
      </w:tr>
      <w:tr w:rsidR="00573D95" w:rsidRPr="006B7F05" w14:paraId="240D52B4" w14:textId="77777777" w:rsidTr="00260AE6">
        <w:trPr>
          <w:trHeight w:val="300"/>
        </w:trPr>
        <w:tc>
          <w:tcPr>
            <w:cnfStyle w:val="001000000000" w:firstRow="0" w:lastRow="0" w:firstColumn="1" w:lastColumn="0" w:oddVBand="0" w:evenVBand="0" w:oddHBand="0" w:evenHBand="0" w:firstRowFirstColumn="0" w:firstRowLastColumn="0" w:lastRowFirstColumn="0" w:lastRowLastColumn="0"/>
            <w:tcW w:w="1971" w:type="dxa"/>
            <w:vMerge/>
            <w:hideMark/>
          </w:tcPr>
          <w:p w14:paraId="71732AC5" w14:textId="77777777" w:rsidR="00573D95" w:rsidRPr="006B7F05" w:rsidRDefault="00573D95" w:rsidP="00573D95">
            <w:pPr>
              <w:pStyle w:val="NoSpacing"/>
              <w:spacing w:line="276" w:lineRule="auto"/>
            </w:pPr>
          </w:p>
        </w:tc>
        <w:tc>
          <w:tcPr>
            <w:tcW w:w="4120" w:type="dxa"/>
            <w:vMerge/>
            <w:hideMark/>
          </w:tcPr>
          <w:p w14:paraId="6A3CB39C"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35C3652D"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xml:space="preserve">▪ de opdrachtnemer beschermt sterk de eigen belangen </w:t>
            </w:r>
          </w:p>
        </w:tc>
      </w:tr>
      <w:tr w:rsidR="00573D95" w:rsidRPr="006B7F05" w14:paraId="6F6A36BF" w14:textId="77777777" w:rsidTr="00260AE6">
        <w:trPr>
          <w:trHeight w:val="300"/>
        </w:trPr>
        <w:tc>
          <w:tcPr>
            <w:cnfStyle w:val="001000000000" w:firstRow="0" w:lastRow="0" w:firstColumn="1" w:lastColumn="0" w:oddVBand="0" w:evenVBand="0" w:oddHBand="0" w:evenHBand="0" w:firstRowFirstColumn="0" w:firstRowLastColumn="0" w:lastRowFirstColumn="0" w:lastRowLastColumn="0"/>
            <w:tcW w:w="1971" w:type="dxa"/>
            <w:vMerge/>
            <w:hideMark/>
          </w:tcPr>
          <w:p w14:paraId="2E2A97B0" w14:textId="77777777" w:rsidR="00573D95" w:rsidRPr="006B7F05" w:rsidRDefault="00573D95" w:rsidP="00573D95">
            <w:pPr>
              <w:pStyle w:val="NoSpacing"/>
              <w:spacing w:line="276" w:lineRule="auto"/>
            </w:pPr>
          </w:p>
        </w:tc>
        <w:tc>
          <w:tcPr>
            <w:tcW w:w="4120" w:type="dxa"/>
            <w:vMerge/>
            <w:hideMark/>
          </w:tcPr>
          <w:p w14:paraId="3309FBAD"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2108F34B"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samenwerking gericht op de korte termijn</w:t>
            </w:r>
          </w:p>
        </w:tc>
      </w:tr>
      <w:tr w:rsidR="00573D95" w:rsidRPr="006B7F05" w14:paraId="1632B5D4" w14:textId="77777777" w:rsidTr="00260AE6">
        <w:trPr>
          <w:trHeight w:val="300"/>
        </w:trPr>
        <w:tc>
          <w:tcPr>
            <w:cnfStyle w:val="001000000000" w:firstRow="0" w:lastRow="0" w:firstColumn="1" w:lastColumn="0" w:oddVBand="0" w:evenVBand="0" w:oddHBand="0" w:evenHBand="0" w:firstRowFirstColumn="0" w:firstRowLastColumn="0" w:lastRowFirstColumn="0" w:lastRowLastColumn="0"/>
            <w:tcW w:w="1971" w:type="dxa"/>
            <w:vMerge/>
            <w:hideMark/>
          </w:tcPr>
          <w:p w14:paraId="58C3278F" w14:textId="77777777" w:rsidR="00573D95" w:rsidRPr="006B7F05" w:rsidRDefault="00573D95" w:rsidP="00573D95">
            <w:pPr>
              <w:pStyle w:val="NoSpacing"/>
              <w:spacing w:line="276" w:lineRule="auto"/>
            </w:pPr>
          </w:p>
        </w:tc>
        <w:tc>
          <w:tcPr>
            <w:tcW w:w="4120" w:type="dxa"/>
            <w:vMerge/>
            <w:hideMark/>
          </w:tcPr>
          <w:p w14:paraId="51D181A0"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6D66A772" w14:textId="0CCA7EB2"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xml:space="preserve">▪ de opdrachtgever specificeert de vraag en de gunningscriteria zo strak en </w:t>
            </w:r>
            <w:proofErr w:type="spellStart"/>
            <w:r w:rsidRPr="006B7F05">
              <w:t>onuitputtend</w:t>
            </w:r>
            <w:proofErr w:type="spellEnd"/>
            <w:r w:rsidRPr="006B7F05">
              <w:t xml:space="preserve"> mogelijk</w:t>
            </w:r>
          </w:p>
        </w:tc>
      </w:tr>
      <w:tr w:rsidR="00573D95" w:rsidRPr="006B7F05" w14:paraId="26D64CC3" w14:textId="77777777" w:rsidTr="00260AE6">
        <w:trPr>
          <w:trHeight w:val="300"/>
        </w:trPr>
        <w:tc>
          <w:tcPr>
            <w:cnfStyle w:val="001000000000" w:firstRow="0" w:lastRow="0" w:firstColumn="1" w:lastColumn="0" w:oddVBand="0" w:evenVBand="0" w:oddHBand="0" w:evenHBand="0" w:firstRowFirstColumn="0" w:firstRowLastColumn="0" w:lastRowFirstColumn="0" w:lastRowLastColumn="0"/>
            <w:tcW w:w="1971" w:type="dxa"/>
            <w:vMerge/>
            <w:hideMark/>
          </w:tcPr>
          <w:p w14:paraId="327651C5" w14:textId="77777777" w:rsidR="00573D95" w:rsidRPr="006B7F05" w:rsidRDefault="00573D95" w:rsidP="00573D95">
            <w:pPr>
              <w:pStyle w:val="NoSpacing"/>
              <w:spacing w:line="276" w:lineRule="auto"/>
            </w:pPr>
          </w:p>
        </w:tc>
        <w:tc>
          <w:tcPr>
            <w:tcW w:w="4120" w:type="dxa"/>
            <w:vMerge/>
            <w:hideMark/>
          </w:tcPr>
          <w:p w14:paraId="002BBE8C"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2939BB61"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de opdrachtgever vermijdt risico's</w:t>
            </w:r>
          </w:p>
        </w:tc>
      </w:tr>
      <w:tr w:rsidR="00573D95" w:rsidRPr="006B7F05" w14:paraId="5F73C8C2" w14:textId="77777777" w:rsidTr="00260AE6">
        <w:trPr>
          <w:trHeight w:val="300"/>
        </w:trPr>
        <w:tc>
          <w:tcPr>
            <w:cnfStyle w:val="001000000000" w:firstRow="0" w:lastRow="0" w:firstColumn="1" w:lastColumn="0" w:oddVBand="0" w:evenVBand="0" w:oddHBand="0" w:evenHBand="0" w:firstRowFirstColumn="0" w:firstRowLastColumn="0" w:lastRowFirstColumn="0" w:lastRowLastColumn="0"/>
            <w:tcW w:w="1971" w:type="dxa"/>
            <w:vMerge/>
            <w:hideMark/>
          </w:tcPr>
          <w:p w14:paraId="064B9282" w14:textId="77777777" w:rsidR="00573D95" w:rsidRPr="006B7F05" w:rsidRDefault="00573D95" w:rsidP="00573D95">
            <w:pPr>
              <w:pStyle w:val="NoSpacing"/>
              <w:spacing w:line="276" w:lineRule="auto"/>
            </w:pPr>
          </w:p>
        </w:tc>
        <w:tc>
          <w:tcPr>
            <w:tcW w:w="4120" w:type="dxa"/>
            <w:vMerge/>
            <w:hideMark/>
          </w:tcPr>
          <w:p w14:paraId="1C404B83"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699DA299"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kostenreductie en laagste prijs zijn bepalend</w:t>
            </w:r>
          </w:p>
        </w:tc>
      </w:tr>
      <w:tr w:rsidR="00573D95" w:rsidRPr="006B7F05" w14:paraId="2F0CF856" w14:textId="77777777" w:rsidTr="00260AE6">
        <w:trPr>
          <w:trHeight w:val="300"/>
        </w:trPr>
        <w:tc>
          <w:tcPr>
            <w:cnfStyle w:val="001000000000" w:firstRow="0" w:lastRow="0" w:firstColumn="1" w:lastColumn="0" w:oddVBand="0" w:evenVBand="0" w:oddHBand="0" w:evenHBand="0" w:firstRowFirstColumn="0" w:firstRowLastColumn="0" w:lastRowFirstColumn="0" w:lastRowLastColumn="0"/>
            <w:tcW w:w="1971" w:type="dxa"/>
            <w:vMerge/>
            <w:hideMark/>
          </w:tcPr>
          <w:p w14:paraId="77E99A02" w14:textId="77777777" w:rsidR="00573D95" w:rsidRPr="006B7F05" w:rsidRDefault="00573D95" w:rsidP="00573D95">
            <w:pPr>
              <w:pStyle w:val="NoSpacing"/>
              <w:spacing w:line="276" w:lineRule="auto"/>
            </w:pPr>
          </w:p>
        </w:tc>
        <w:tc>
          <w:tcPr>
            <w:tcW w:w="4120" w:type="dxa"/>
            <w:vMerge/>
            <w:hideMark/>
          </w:tcPr>
          <w:p w14:paraId="57C62F45"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69103D4F"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er worden meerdere leveranciers in het inkooptraject betrokken</w:t>
            </w:r>
          </w:p>
        </w:tc>
      </w:tr>
      <w:tr w:rsidR="00573D95" w:rsidRPr="006B7F05" w14:paraId="3FD23305" w14:textId="77777777" w:rsidTr="00260AE6">
        <w:trPr>
          <w:trHeight w:val="300"/>
        </w:trPr>
        <w:tc>
          <w:tcPr>
            <w:cnfStyle w:val="001000000000" w:firstRow="0" w:lastRow="0" w:firstColumn="1" w:lastColumn="0" w:oddVBand="0" w:evenVBand="0" w:oddHBand="0" w:evenHBand="0" w:firstRowFirstColumn="0" w:firstRowLastColumn="0" w:lastRowFirstColumn="0" w:lastRowLastColumn="0"/>
            <w:tcW w:w="1971" w:type="dxa"/>
            <w:vMerge/>
            <w:hideMark/>
          </w:tcPr>
          <w:p w14:paraId="1F9FBFA7" w14:textId="77777777" w:rsidR="00573D95" w:rsidRPr="006B7F05" w:rsidRDefault="00573D95" w:rsidP="00573D95">
            <w:pPr>
              <w:pStyle w:val="NoSpacing"/>
              <w:spacing w:line="276" w:lineRule="auto"/>
            </w:pPr>
          </w:p>
        </w:tc>
        <w:tc>
          <w:tcPr>
            <w:tcW w:w="4120" w:type="dxa"/>
            <w:vMerge/>
            <w:hideMark/>
          </w:tcPr>
          <w:p w14:paraId="4E883D4A"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5BA40EA2" w14:textId="789CA84C"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concurrentie tussen leveranciers wordt als positief ervaren</w:t>
            </w:r>
          </w:p>
        </w:tc>
      </w:tr>
      <w:tr w:rsidR="00573D95" w:rsidRPr="006B7F05" w14:paraId="50CAF31F" w14:textId="77777777" w:rsidTr="00260AE6">
        <w:trPr>
          <w:trHeight w:val="300"/>
        </w:trPr>
        <w:tc>
          <w:tcPr>
            <w:cnfStyle w:val="001000000000" w:firstRow="0" w:lastRow="0" w:firstColumn="1" w:lastColumn="0" w:oddVBand="0" w:evenVBand="0" w:oddHBand="0" w:evenHBand="0" w:firstRowFirstColumn="0" w:firstRowLastColumn="0" w:lastRowFirstColumn="0" w:lastRowLastColumn="0"/>
            <w:tcW w:w="1971" w:type="dxa"/>
            <w:vMerge/>
            <w:hideMark/>
          </w:tcPr>
          <w:p w14:paraId="7DFC1C4E" w14:textId="77777777" w:rsidR="00573D95" w:rsidRPr="006B7F05" w:rsidRDefault="00573D95" w:rsidP="00573D95">
            <w:pPr>
              <w:pStyle w:val="NoSpacing"/>
              <w:spacing w:line="276" w:lineRule="auto"/>
            </w:pPr>
          </w:p>
        </w:tc>
        <w:tc>
          <w:tcPr>
            <w:tcW w:w="4120" w:type="dxa"/>
            <w:vMerge/>
            <w:hideMark/>
          </w:tcPr>
          <w:p w14:paraId="4BD6E634"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0E4A3B20"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beide partijen zijn terughoudendheid met delen van informatie</w:t>
            </w:r>
          </w:p>
        </w:tc>
      </w:tr>
      <w:tr w:rsidR="00573D95" w:rsidRPr="006B7F05" w14:paraId="382585A6" w14:textId="77777777" w:rsidTr="00260AE6">
        <w:trPr>
          <w:trHeight w:val="300"/>
        </w:trPr>
        <w:tc>
          <w:tcPr>
            <w:cnfStyle w:val="001000000000" w:firstRow="0" w:lastRow="0" w:firstColumn="1" w:lastColumn="0" w:oddVBand="0" w:evenVBand="0" w:oddHBand="0" w:evenHBand="0" w:firstRowFirstColumn="0" w:firstRowLastColumn="0" w:lastRowFirstColumn="0" w:lastRowLastColumn="0"/>
            <w:tcW w:w="1971" w:type="dxa"/>
            <w:vMerge/>
            <w:hideMark/>
          </w:tcPr>
          <w:p w14:paraId="14DDC475" w14:textId="77777777" w:rsidR="00573D95" w:rsidRPr="006B7F05" w:rsidRDefault="00573D95" w:rsidP="00573D95">
            <w:pPr>
              <w:pStyle w:val="NoSpacing"/>
              <w:spacing w:line="276" w:lineRule="auto"/>
            </w:pPr>
          </w:p>
        </w:tc>
        <w:tc>
          <w:tcPr>
            <w:tcW w:w="4120" w:type="dxa"/>
            <w:vMerge/>
            <w:hideMark/>
          </w:tcPr>
          <w:p w14:paraId="1AC667F7"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488F2FB1"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afspraken worden genormaliseerd en formeel vastgelegd</w:t>
            </w:r>
          </w:p>
        </w:tc>
      </w:tr>
      <w:tr w:rsidR="00573D95" w:rsidRPr="006B7F05" w14:paraId="43EA973B" w14:textId="77777777" w:rsidTr="00260AE6">
        <w:trPr>
          <w:trHeight w:val="300"/>
        </w:trPr>
        <w:tc>
          <w:tcPr>
            <w:cnfStyle w:val="001000000000" w:firstRow="0" w:lastRow="0" w:firstColumn="1" w:lastColumn="0" w:oddVBand="0" w:evenVBand="0" w:oddHBand="0" w:evenHBand="0" w:firstRowFirstColumn="0" w:firstRowLastColumn="0" w:lastRowFirstColumn="0" w:lastRowLastColumn="0"/>
            <w:tcW w:w="1971" w:type="dxa"/>
            <w:vMerge/>
            <w:hideMark/>
          </w:tcPr>
          <w:p w14:paraId="1284FDCF" w14:textId="77777777" w:rsidR="00573D95" w:rsidRPr="006B7F05" w:rsidRDefault="00573D95" w:rsidP="00573D95">
            <w:pPr>
              <w:pStyle w:val="NoSpacing"/>
              <w:spacing w:line="276" w:lineRule="auto"/>
            </w:pPr>
          </w:p>
        </w:tc>
        <w:tc>
          <w:tcPr>
            <w:tcW w:w="4120" w:type="dxa"/>
            <w:vMerge/>
            <w:hideMark/>
          </w:tcPr>
          <w:p w14:paraId="1309B323"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p>
        </w:tc>
        <w:tc>
          <w:tcPr>
            <w:tcW w:w="9355" w:type="dxa"/>
            <w:noWrap/>
            <w:hideMark/>
          </w:tcPr>
          <w:p w14:paraId="7629FD62" w14:textId="77777777" w:rsidR="00573D95" w:rsidRPr="006B7F05" w:rsidRDefault="00573D95" w:rsidP="00573D95">
            <w:pPr>
              <w:pStyle w:val="NoSpacing"/>
              <w:spacing w:line="276" w:lineRule="auto"/>
              <w:cnfStyle w:val="000000000000" w:firstRow="0" w:lastRow="0" w:firstColumn="0" w:lastColumn="0" w:oddVBand="0" w:evenVBand="0" w:oddHBand="0" w:evenHBand="0" w:firstRowFirstColumn="0" w:firstRowLastColumn="0" w:lastRowFirstColumn="0" w:lastRowLastColumn="0"/>
            </w:pPr>
            <w:r w:rsidRPr="006B7F05">
              <w:t>▪ de opdrachtnemer wordt gemonitord</w:t>
            </w:r>
          </w:p>
        </w:tc>
      </w:tr>
    </w:tbl>
    <w:p w14:paraId="431CB545" w14:textId="6CFF5099" w:rsidR="00996BF1" w:rsidRDefault="00996BF1">
      <w:pPr>
        <w:kinsoku/>
        <w:autoSpaceDE/>
        <w:autoSpaceDN/>
        <w:adjustRightInd/>
        <w:spacing w:after="160" w:line="259" w:lineRule="auto"/>
        <w:rPr>
          <w:rFonts w:asciiTheme="minorHAnsi" w:eastAsiaTheme="minorHAnsi" w:hAnsiTheme="minorHAnsi"/>
          <w:sz w:val="22"/>
        </w:rPr>
        <w:sectPr w:rsidR="00996BF1" w:rsidSect="009C26AF">
          <w:pgSz w:w="16838" w:h="11906" w:orient="landscape"/>
          <w:pgMar w:top="562" w:right="432" w:bottom="734" w:left="562" w:header="706" w:footer="706" w:gutter="0"/>
          <w:cols w:space="708"/>
          <w:docGrid w:linePitch="360"/>
        </w:sectPr>
      </w:pPr>
    </w:p>
    <w:p w14:paraId="1A3940BB" w14:textId="77777777" w:rsidR="006018E4" w:rsidRDefault="00DE18AF" w:rsidP="00DE18AF">
      <w:pPr>
        <w:kinsoku/>
        <w:autoSpaceDE/>
        <w:autoSpaceDN/>
        <w:adjustRightInd/>
        <w:spacing w:after="160" w:line="259" w:lineRule="auto"/>
        <w:jc w:val="center"/>
        <w:sectPr w:rsidR="006018E4" w:rsidSect="006018E4">
          <w:pgSz w:w="11906" w:h="16838"/>
          <w:pgMar w:top="720" w:right="454" w:bottom="720" w:left="454" w:header="709" w:footer="709" w:gutter="0"/>
          <w:cols w:space="708"/>
          <w:docGrid w:linePitch="360"/>
        </w:sectPr>
      </w:pPr>
      <w:r>
        <w:rPr>
          <w:rFonts w:asciiTheme="minorHAnsi" w:eastAsiaTheme="minorHAnsi" w:hAnsiTheme="minorHAnsi"/>
          <w:noProof/>
          <w:sz w:val="22"/>
        </w:rPr>
        <w:lastRenderedPageBreak/>
        <w:drawing>
          <wp:inline distT="0" distB="0" distL="0" distR="0" wp14:anchorId="117399A4" wp14:editId="590E595A">
            <wp:extent cx="6996280" cy="5250180"/>
            <wp:effectExtent l="0" t="0" r="0" b="762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7075006" cy="5309258"/>
                    </a:xfrm>
                    <a:prstGeom prst="roundRect">
                      <a:avLst>
                        <a:gd name="adj" fmla="val 8594"/>
                      </a:avLst>
                    </a:prstGeom>
                    <a:solidFill>
                      <a:srgbClr val="FFFFFF">
                        <a:shade val="85000"/>
                      </a:srgbClr>
                    </a:solidFill>
                    <a:ln>
                      <a:noFill/>
                    </a:ln>
                    <a:effectLst/>
                  </pic:spPr>
                </pic:pic>
              </a:graphicData>
            </a:graphic>
          </wp:inline>
        </w:drawing>
      </w:r>
    </w:p>
    <w:p w14:paraId="31D6D288" w14:textId="25040E51" w:rsidR="00480E03" w:rsidRDefault="00480E03" w:rsidP="006D65AA">
      <w:pPr>
        <w:pStyle w:val="Heading1"/>
      </w:pPr>
      <w:bookmarkStart w:id="89" w:name="_Toc517455465"/>
      <w:bookmarkStart w:id="90" w:name="_Hlk484682701"/>
      <w:r>
        <w:lastRenderedPageBreak/>
        <w:t>4</w:t>
      </w:r>
      <w:r w:rsidRPr="004375F7">
        <w:t>. Methoden</w:t>
      </w:r>
      <w:r>
        <w:t xml:space="preserve"> en werkwijze</w:t>
      </w:r>
      <w:bookmarkEnd w:id="89"/>
    </w:p>
    <w:p w14:paraId="51408E5D" w14:textId="77777777" w:rsidR="006D65AA" w:rsidRDefault="006D65AA" w:rsidP="00480E03">
      <w:pPr>
        <w:pStyle w:val="NoSpacing"/>
        <w:spacing w:line="276" w:lineRule="auto"/>
        <w:rPr>
          <w:b/>
          <w:szCs w:val="22"/>
        </w:rPr>
      </w:pPr>
      <w:bookmarkStart w:id="91" w:name="_Hlk484682716"/>
      <w:bookmarkEnd w:id="90"/>
    </w:p>
    <w:p w14:paraId="1DF86AC3" w14:textId="77777777" w:rsidR="006D65AA" w:rsidRPr="006D65AA" w:rsidRDefault="006D65AA" w:rsidP="006D65AA">
      <w:pPr>
        <w:pStyle w:val="ListParagraph"/>
        <w:numPr>
          <w:ilvl w:val="0"/>
          <w:numId w:val="8"/>
        </w:numPr>
        <w:spacing w:after="0" w:line="276" w:lineRule="auto"/>
        <w:contextualSpacing w:val="0"/>
        <w:outlineLvl w:val="1"/>
        <w:rPr>
          <w:rFonts w:asciiTheme="minorHAnsi" w:eastAsiaTheme="minorHAnsi" w:hAnsiTheme="minorHAnsi"/>
          <w:b/>
          <w:vanish/>
          <w:sz w:val="24"/>
        </w:rPr>
      </w:pPr>
      <w:bookmarkStart w:id="92" w:name="_Toc516315360"/>
      <w:bookmarkStart w:id="93" w:name="_Toc517357622"/>
      <w:bookmarkStart w:id="94" w:name="_Toc517360468"/>
      <w:bookmarkStart w:id="95" w:name="_Toc517360534"/>
      <w:bookmarkStart w:id="96" w:name="_Toc517450731"/>
      <w:bookmarkStart w:id="97" w:name="_Toc517450806"/>
      <w:bookmarkStart w:id="98" w:name="_Toc517451001"/>
      <w:bookmarkStart w:id="99" w:name="_Toc517451075"/>
      <w:bookmarkStart w:id="100" w:name="_Toc517451149"/>
      <w:bookmarkStart w:id="101" w:name="_Toc517455466"/>
      <w:bookmarkEnd w:id="92"/>
      <w:bookmarkEnd w:id="93"/>
      <w:bookmarkEnd w:id="94"/>
      <w:bookmarkEnd w:id="95"/>
      <w:bookmarkEnd w:id="96"/>
      <w:bookmarkEnd w:id="97"/>
      <w:bookmarkEnd w:id="98"/>
      <w:bookmarkEnd w:id="99"/>
      <w:bookmarkEnd w:id="100"/>
      <w:bookmarkEnd w:id="101"/>
    </w:p>
    <w:p w14:paraId="19577D28" w14:textId="3AADAC75" w:rsidR="00480E03" w:rsidRPr="003B56D6" w:rsidRDefault="00480E03" w:rsidP="006D65AA">
      <w:pPr>
        <w:pStyle w:val="Heading2"/>
        <w:rPr>
          <w:color w:val="1F3864" w:themeColor="accent1" w:themeShade="80"/>
        </w:rPr>
      </w:pPr>
      <w:bookmarkStart w:id="102" w:name="_Toc517455467"/>
      <w:r w:rsidRPr="003B56D6">
        <w:rPr>
          <w:color w:val="1F3864" w:themeColor="accent1" w:themeShade="80"/>
        </w:rPr>
        <w:t>Inleiding</w:t>
      </w:r>
      <w:bookmarkEnd w:id="102"/>
    </w:p>
    <w:bookmarkEnd w:id="91"/>
    <w:p w14:paraId="4C692186" w14:textId="2601F424" w:rsidR="00480E03" w:rsidRPr="00124574" w:rsidRDefault="00480E03" w:rsidP="00480E03">
      <w:pPr>
        <w:pStyle w:val="NoSpacing"/>
        <w:spacing w:line="276" w:lineRule="auto"/>
        <w:rPr>
          <w:sz w:val="32"/>
          <w:szCs w:val="22"/>
        </w:rPr>
      </w:pPr>
      <w:r>
        <w:rPr>
          <w:szCs w:val="22"/>
        </w:rPr>
        <w:t xml:space="preserve">In dit hoofdstuk worden de methode van dataverzameling verantwoord. Het onderzoek heeft als doel </w:t>
      </w:r>
      <w:r w:rsidRPr="001F4F60">
        <w:rPr>
          <w:szCs w:val="22"/>
        </w:rPr>
        <w:t>in kaart brengen van faciliterende en belemmerende factoren die van invloed zijn op de inkoop van ICT door VO-instellingen, teneinde bij te dragen aan efficiënte inkoop</w:t>
      </w:r>
      <w:r>
        <w:rPr>
          <w:szCs w:val="22"/>
        </w:rPr>
        <w:t>. Het efficiënt inrichten en volgen van een inkooptraject stoelt op een breed pakket aan theoretische assumpties. Deze theoretische assumpties zijn middels de literatuurstudie uiteengezet, als de eerste stap in de dataverzamelingsproces</w:t>
      </w:r>
      <w:r w:rsidRPr="00600F2A">
        <w:rPr>
          <w:szCs w:val="22"/>
        </w:rPr>
        <w:t xml:space="preserve"> </w:t>
      </w:r>
      <w:r>
        <w:rPr>
          <w:szCs w:val="22"/>
        </w:rPr>
        <w:t xml:space="preserve">(Vennix,2009). Bestaande kennis over </w:t>
      </w:r>
      <w:r w:rsidR="00311500">
        <w:rPr>
          <w:szCs w:val="22"/>
        </w:rPr>
        <w:t>het</w:t>
      </w:r>
      <w:r>
        <w:rPr>
          <w:szCs w:val="22"/>
        </w:rPr>
        <w:t xml:space="preserve"> onderwerp wordt beschreven en verhelderd. Vanwege de </w:t>
      </w:r>
      <w:r w:rsidRPr="00694858">
        <w:rPr>
          <w:szCs w:val="22"/>
        </w:rPr>
        <w:t>exploratieve</w:t>
      </w:r>
      <w:r w:rsidRPr="0006360A">
        <w:rPr>
          <w:b/>
          <w:szCs w:val="22"/>
        </w:rPr>
        <w:t xml:space="preserve"> </w:t>
      </w:r>
      <w:r w:rsidRPr="00694858">
        <w:rPr>
          <w:szCs w:val="22"/>
        </w:rPr>
        <w:t>karakter</w:t>
      </w:r>
      <w:r>
        <w:rPr>
          <w:szCs w:val="22"/>
        </w:rPr>
        <w:t xml:space="preserve"> is er voor een kwalitatieve onderzoeksopzet gekozen, wat past binnen </w:t>
      </w:r>
      <w:r w:rsidR="00311500">
        <w:rPr>
          <w:szCs w:val="22"/>
        </w:rPr>
        <w:t>toetsend</w:t>
      </w:r>
      <w:r>
        <w:rPr>
          <w:szCs w:val="22"/>
        </w:rPr>
        <w:t xml:space="preserve"> onderzoek.</w:t>
      </w:r>
      <w:r w:rsidRPr="00FF1807">
        <w:t xml:space="preserve"> </w:t>
      </w:r>
      <w:r w:rsidRPr="00FF1807">
        <w:rPr>
          <w:szCs w:val="22"/>
        </w:rPr>
        <w:t xml:space="preserve">Volgens </w:t>
      </w:r>
      <w:proofErr w:type="spellStart"/>
      <w:r w:rsidRPr="00FF1807">
        <w:rPr>
          <w:szCs w:val="22"/>
        </w:rPr>
        <w:t>Creswall</w:t>
      </w:r>
      <w:proofErr w:type="spellEnd"/>
      <w:r w:rsidRPr="00FF1807">
        <w:rPr>
          <w:szCs w:val="22"/>
        </w:rPr>
        <w:t xml:space="preserve"> (aangehaald in </w:t>
      </w:r>
      <w:proofErr w:type="spellStart"/>
      <w:r w:rsidRPr="00FF1807">
        <w:rPr>
          <w:szCs w:val="22"/>
        </w:rPr>
        <w:t>Boeije</w:t>
      </w:r>
      <w:proofErr w:type="spellEnd"/>
      <w:r w:rsidRPr="00FF1807">
        <w:rPr>
          <w:szCs w:val="22"/>
        </w:rPr>
        <w:t>, 2005)</w:t>
      </w:r>
      <w:r w:rsidR="00311500">
        <w:rPr>
          <w:szCs w:val="22"/>
        </w:rPr>
        <w:t xml:space="preserve"> </w:t>
      </w:r>
      <w:r w:rsidRPr="00FF1807">
        <w:rPr>
          <w:szCs w:val="22"/>
        </w:rPr>
        <w:t>resulteert</w:t>
      </w:r>
      <w:r w:rsidR="00311500">
        <w:rPr>
          <w:szCs w:val="22"/>
        </w:rPr>
        <w:t xml:space="preserve"> dit</w:t>
      </w:r>
      <w:r w:rsidRPr="00FF1807">
        <w:rPr>
          <w:szCs w:val="22"/>
        </w:rPr>
        <w:t xml:space="preserve"> vervolgens in een beschrijving die de complexiteit van het onderwerp laat zien. </w:t>
      </w:r>
      <w:r>
        <w:rPr>
          <w:szCs w:val="22"/>
        </w:rPr>
        <w:t xml:space="preserve">In de volgende paragrafen zal deze keuze worden </w:t>
      </w:r>
      <w:r w:rsidRPr="00124574">
        <w:rPr>
          <w:szCs w:val="22"/>
        </w:rPr>
        <w:t>geëxpliciteerd</w:t>
      </w:r>
      <w:r>
        <w:rPr>
          <w:szCs w:val="22"/>
        </w:rPr>
        <w:t xml:space="preserve">. </w:t>
      </w:r>
    </w:p>
    <w:p w14:paraId="78380225" w14:textId="77777777" w:rsidR="00480E03" w:rsidRDefault="00480E03" w:rsidP="00480E03">
      <w:pPr>
        <w:pStyle w:val="NoSpacing"/>
        <w:spacing w:line="276" w:lineRule="auto"/>
        <w:rPr>
          <w:sz w:val="32"/>
          <w:szCs w:val="22"/>
        </w:rPr>
      </w:pPr>
    </w:p>
    <w:p w14:paraId="17B737EF" w14:textId="6C997441" w:rsidR="00480E03" w:rsidRPr="003B56D6" w:rsidRDefault="00480E03" w:rsidP="006D65AA">
      <w:pPr>
        <w:pStyle w:val="Heading2"/>
        <w:rPr>
          <w:color w:val="1F3864" w:themeColor="accent1" w:themeShade="80"/>
        </w:rPr>
      </w:pPr>
      <w:bookmarkStart w:id="103" w:name="_Toc517455468"/>
      <w:bookmarkStart w:id="104" w:name="_Hlk484682747"/>
      <w:r w:rsidRPr="003B56D6">
        <w:rPr>
          <w:color w:val="1F3864" w:themeColor="accent1" w:themeShade="80"/>
        </w:rPr>
        <w:t>Kwalitatief onderzoeksdesign: casestudie</w:t>
      </w:r>
      <w:bookmarkEnd w:id="103"/>
    </w:p>
    <w:bookmarkEnd w:id="104"/>
    <w:p w14:paraId="6AE99447" w14:textId="3FC6F930" w:rsidR="00480E03" w:rsidRDefault="00480E03" w:rsidP="00480E03">
      <w:pPr>
        <w:pStyle w:val="NoSpacing"/>
        <w:spacing w:line="276" w:lineRule="auto"/>
        <w:rPr>
          <w:szCs w:val="22"/>
        </w:rPr>
      </w:pPr>
      <w:r w:rsidRPr="000711B2">
        <w:t>Het empirisch gedeelte van het onderzoek is een meervoudige casestud</w:t>
      </w:r>
      <w:r>
        <w:t>ie</w:t>
      </w:r>
      <w:r w:rsidRPr="000711B2">
        <w:t>. Een casestud</w:t>
      </w:r>
      <w:r>
        <w:t>ie</w:t>
      </w:r>
      <w:r w:rsidRPr="000711B2">
        <w:t xml:space="preserve"> is een onderzoek waarbij de onderzoeker probeert een diepgaand inzicht te krijgen in </w:t>
      </w:r>
      <w:proofErr w:type="gramStart"/>
      <w:r w:rsidRPr="000711B2">
        <w:t>één</w:t>
      </w:r>
      <w:proofErr w:type="gramEnd"/>
      <w:r w:rsidRPr="000711B2">
        <w:t xml:space="preserve"> of enkele tijdruimtelijk begrensde objecten of processen (Verschuren &amp; </w:t>
      </w:r>
      <w:proofErr w:type="spellStart"/>
      <w:r w:rsidRPr="000711B2">
        <w:t>Doorewaard</w:t>
      </w:r>
      <w:proofErr w:type="spellEnd"/>
      <w:r w:rsidRPr="000711B2">
        <w:t>, 2003</w:t>
      </w:r>
      <w:r w:rsidR="0023210B">
        <w:t xml:space="preserve">; </w:t>
      </w:r>
      <w:proofErr w:type="spellStart"/>
      <w:r w:rsidR="0023210B" w:rsidRPr="0023210B">
        <w:t>Vennix</w:t>
      </w:r>
      <w:proofErr w:type="spellEnd"/>
      <w:r w:rsidR="0023210B" w:rsidRPr="0023210B">
        <w:t>, 2009</w:t>
      </w:r>
      <w:r w:rsidRPr="000711B2">
        <w:t>). De casestud</w:t>
      </w:r>
      <w:r>
        <w:t>ie</w:t>
      </w:r>
      <w:r w:rsidRPr="000711B2">
        <w:t xml:space="preserve"> is meervoudig, omdat er meerdere casussen (11 middelbare onderwijsinstellingen) bestudeerd worden. Gezien </w:t>
      </w:r>
      <w:r w:rsidR="00311500">
        <w:t>het</w:t>
      </w:r>
      <w:r w:rsidRPr="000711B2">
        <w:t xml:space="preserve"> beperkt aantal scholen is bij het generaliseren van de bevindingen enige voorzichtigheid geboden. </w:t>
      </w:r>
      <w:r w:rsidRPr="00665505">
        <w:t xml:space="preserve">Volgens Verschuren en </w:t>
      </w:r>
      <w:proofErr w:type="spellStart"/>
      <w:r w:rsidRPr="00665505">
        <w:t>Doorewaard</w:t>
      </w:r>
      <w:proofErr w:type="spellEnd"/>
      <w:r w:rsidRPr="00665505">
        <w:t xml:space="preserve"> (2010) </w:t>
      </w:r>
      <w:r w:rsidRPr="00665505">
        <w:rPr>
          <w:szCs w:val="22"/>
        </w:rPr>
        <w:t xml:space="preserve">is het kiezen van een onderzoeksstrategie de eerste stap binnen het proces van dataverzameling. </w:t>
      </w:r>
      <w:r w:rsidR="00DA5E94">
        <w:rPr>
          <w:szCs w:val="22"/>
        </w:rPr>
        <w:t>Dit wordt beschreven als</w:t>
      </w:r>
      <w:r w:rsidRPr="00665505">
        <w:t xml:space="preserve">: </w:t>
      </w:r>
      <w:r w:rsidRPr="00665505">
        <w:rPr>
          <w:i/>
        </w:rPr>
        <w:t xml:space="preserve">‘Een geheel van met elkaar samenhangende beslissingen over de wijze waarop u het onderzoek gaat uitvoeren’ </w:t>
      </w:r>
      <w:r w:rsidRPr="00665505">
        <w:t>(p.159).</w:t>
      </w:r>
      <w:r w:rsidRPr="00665505">
        <w:rPr>
          <w:szCs w:val="22"/>
        </w:rPr>
        <w:t xml:space="preserve"> </w:t>
      </w:r>
      <w:r>
        <w:rPr>
          <w:szCs w:val="22"/>
        </w:rPr>
        <w:t xml:space="preserve">Het kiezen van een onderzoeksdesign is een stap hierbij. </w:t>
      </w:r>
    </w:p>
    <w:p w14:paraId="1C6F2629" w14:textId="0C781353" w:rsidR="00C57065" w:rsidRDefault="00480E03" w:rsidP="0000333B">
      <w:pPr>
        <w:pStyle w:val="NoSpacing"/>
        <w:spacing w:line="276" w:lineRule="auto"/>
        <w:rPr>
          <w:szCs w:val="22"/>
        </w:rPr>
      </w:pPr>
      <w:r>
        <w:rPr>
          <w:szCs w:val="22"/>
        </w:rPr>
        <w:tab/>
      </w:r>
      <w:r w:rsidR="00C57065">
        <w:rPr>
          <w:szCs w:val="22"/>
        </w:rPr>
        <w:t xml:space="preserve">In dit onderzoek is gekozen voor een kwalitatieve onderzoeksbenadering vanwege de open en toetsende formulering van de hoofdvraag: </w:t>
      </w:r>
      <w:r>
        <w:rPr>
          <w:szCs w:val="22"/>
        </w:rPr>
        <w:t>“</w:t>
      </w:r>
      <w:r w:rsidRPr="00CA1AA9">
        <w:rPr>
          <w:i/>
          <w:szCs w:val="22"/>
        </w:rPr>
        <w:t>Welke factoren uit de theorie hebben invloed op de ICT-inkoop door instellingen voor voortgezet onderwijs</w:t>
      </w:r>
      <w:r>
        <w:rPr>
          <w:i/>
          <w:szCs w:val="22"/>
        </w:rPr>
        <w:t>”</w:t>
      </w:r>
      <w:r w:rsidRPr="00E50BE2">
        <w:rPr>
          <w:szCs w:val="22"/>
        </w:rPr>
        <w:t>.</w:t>
      </w:r>
      <w:r>
        <w:rPr>
          <w:szCs w:val="22"/>
        </w:rPr>
        <w:t xml:space="preserve"> </w:t>
      </w:r>
      <w:r w:rsidR="00C57065">
        <w:rPr>
          <w:szCs w:val="22"/>
        </w:rPr>
        <w:t xml:space="preserve">Omdat het in </w:t>
      </w:r>
      <w:r>
        <w:rPr>
          <w:szCs w:val="22"/>
        </w:rPr>
        <w:t>dit onderzoek</w:t>
      </w:r>
      <w:r w:rsidR="00311500">
        <w:rPr>
          <w:szCs w:val="22"/>
        </w:rPr>
        <w:t xml:space="preserve"> draait </w:t>
      </w:r>
      <w:r>
        <w:rPr>
          <w:szCs w:val="22"/>
        </w:rPr>
        <w:t xml:space="preserve">om </w:t>
      </w:r>
      <w:r w:rsidR="00311500">
        <w:rPr>
          <w:szCs w:val="22"/>
        </w:rPr>
        <w:t>de</w:t>
      </w:r>
      <w:r>
        <w:rPr>
          <w:szCs w:val="22"/>
        </w:rPr>
        <w:t xml:space="preserve"> </w:t>
      </w:r>
      <w:proofErr w:type="spellStart"/>
      <w:r w:rsidRPr="00765077">
        <w:rPr>
          <w:szCs w:val="22"/>
        </w:rPr>
        <w:t>ontwikkel</w:t>
      </w:r>
      <w:r w:rsidR="00311500">
        <w:rPr>
          <w:szCs w:val="22"/>
        </w:rPr>
        <w:t>ling</w:t>
      </w:r>
      <w:proofErr w:type="spellEnd"/>
      <w:r w:rsidRPr="00765077">
        <w:rPr>
          <w:szCs w:val="22"/>
        </w:rPr>
        <w:t xml:space="preserve"> van nieuwe inzichten middels methoden met een open karakter, zoals interviews en observaties</w:t>
      </w:r>
      <w:r w:rsidR="00C57065">
        <w:rPr>
          <w:szCs w:val="22"/>
        </w:rPr>
        <w:t xml:space="preserve"> zal </w:t>
      </w:r>
      <w:r w:rsidR="00311500">
        <w:rPr>
          <w:szCs w:val="22"/>
        </w:rPr>
        <w:t xml:space="preserve">er </w:t>
      </w:r>
      <w:r w:rsidR="00C57065">
        <w:rPr>
          <w:szCs w:val="22"/>
        </w:rPr>
        <w:t xml:space="preserve">gebruik </w:t>
      </w:r>
      <w:r>
        <w:rPr>
          <w:szCs w:val="22"/>
        </w:rPr>
        <w:t>worden gemaakt van semigestructureerd</w:t>
      </w:r>
      <w:r w:rsidR="00311500">
        <w:rPr>
          <w:szCs w:val="22"/>
        </w:rPr>
        <w:t>e</w:t>
      </w:r>
      <w:r>
        <w:rPr>
          <w:szCs w:val="22"/>
        </w:rPr>
        <w:t xml:space="preserve"> interviews. </w:t>
      </w:r>
      <w:r w:rsidRPr="00765077">
        <w:rPr>
          <w:szCs w:val="22"/>
        </w:rPr>
        <w:t>Volgens Swanborn (20</w:t>
      </w:r>
      <w:r w:rsidR="00B82A28">
        <w:rPr>
          <w:szCs w:val="22"/>
        </w:rPr>
        <w:t>10</w:t>
      </w:r>
      <w:r w:rsidRPr="00765077">
        <w:rPr>
          <w:szCs w:val="22"/>
        </w:rPr>
        <w:t>) is kwalitatief onderzoek in staat om dieper gelegen factoren te achter</w:t>
      </w:r>
      <w:r>
        <w:rPr>
          <w:szCs w:val="22"/>
        </w:rPr>
        <w:t>halen</w:t>
      </w:r>
      <w:r w:rsidRPr="00765077">
        <w:rPr>
          <w:szCs w:val="22"/>
        </w:rPr>
        <w:t xml:space="preserve"> en betekenis geven </w:t>
      </w:r>
      <w:r>
        <w:rPr>
          <w:szCs w:val="22"/>
        </w:rPr>
        <w:t xml:space="preserve">aan een bepaald verschijnsel. </w:t>
      </w:r>
      <w:r w:rsidR="00C57065">
        <w:rPr>
          <w:szCs w:val="22"/>
        </w:rPr>
        <w:t>Juist in dit onderzoek waarin we op zoek zijn naar factoren die invloed hebben op efficiënt</w:t>
      </w:r>
      <w:r w:rsidR="00311500">
        <w:rPr>
          <w:szCs w:val="22"/>
        </w:rPr>
        <w:t xml:space="preserve"> </w:t>
      </w:r>
      <w:r w:rsidR="00C57065">
        <w:rPr>
          <w:szCs w:val="22"/>
        </w:rPr>
        <w:t>inkoop in onderwijsinstellingen is het belangrijk om</w:t>
      </w:r>
      <w:r>
        <w:rPr>
          <w:szCs w:val="22"/>
        </w:rPr>
        <w:t xml:space="preserve"> </w:t>
      </w:r>
      <w:r w:rsidR="00C57065">
        <w:rPr>
          <w:szCs w:val="22"/>
        </w:rPr>
        <w:t xml:space="preserve">zicht te krijgen </w:t>
      </w:r>
      <w:r w:rsidR="00311500">
        <w:rPr>
          <w:szCs w:val="22"/>
        </w:rPr>
        <w:t>in</w:t>
      </w:r>
      <w:r w:rsidR="00C57065">
        <w:rPr>
          <w:szCs w:val="22"/>
        </w:rPr>
        <w:t xml:space="preserve"> meer complexe concepten zoals</w:t>
      </w:r>
      <w:r w:rsidR="00311500">
        <w:rPr>
          <w:szCs w:val="22"/>
        </w:rPr>
        <w:t xml:space="preserve"> </w:t>
      </w:r>
      <w:r>
        <w:rPr>
          <w:szCs w:val="22"/>
        </w:rPr>
        <w:t>vertrouwen</w:t>
      </w:r>
      <w:r w:rsidR="00311500">
        <w:rPr>
          <w:szCs w:val="22"/>
        </w:rPr>
        <w:t xml:space="preserve"> en </w:t>
      </w:r>
      <w:r>
        <w:rPr>
          <w:szCs w:val="22"/>
        </w:rPr>
        <w:t xml:space="preserve">kennis en expertise </w:t>
      </w:r>
      <w:r w:rsidR="00C57065">
        <w:rPr>
          <w:szCs w:val="22"/>
        </w:rPr>
        <w:t xml:space="preserve">die van </w:t>
      </w:r>
      <w:r>
        <w:rPr>
          <w:szCs w:val="22"/>
        </w:rPr>
        <w:t xml:space="preserve">invloed </w:t>
      </w:r>
      <w:r w:rsidR="00C57065">
        <w:rPr>
          <w:szCs w:val="22"/>
        </w:rPr>
        <w:t>kunnen zijn en per onderwijsinstelling (</w:t>
      </w:r>
      <w:r>
        <w:rPr>
          <w:szCs w:val="22"/>
        </w:rPr>
        <w:t>institutionele setting</w:t>
      </w:r>
      <w:r w:rsidR="00C57065">
        <w:rPr>
          <w:szCs w:val="22"/>
        </w:rPr>
        <w:t>)</w:t>
      </w:r>
      <w:r>
        <w:rPr>
          <w:szCs w:val="22"/>
        </w:rPr>
        <w:t xml:space="preserve"> kunnen </w:t>
      </w:r>
      <w:r w:rsidR="00C57065">
        <w:rPr>
          <w:szCs w:val="22"/>
        </w:rPr>
        <w:t>verschillen. Een kwalitatieve vergelijkende c</w:t>
      </w:r>
      <w:r>
        <w:rPr>
          <w:szCs w:val="22"/>
        </w:rPr>
        <w:t xml:space="preserve">asestudie leent zich voor deze </w:t>
      </w:r>
      <w:r w:rsidR="00C57065">
        <w:rPr>
          <w:szCs w:val="22"/>
        </w:rPr>
        <w:t xml:space="preserve">noodzakelijke </w:t>
      </w:r>
      <w:r>
        <w:rPr>
          <w:szCs w:val="22"/>
        </w:rPr>
        <w:t xml:space="preserve">diepgang. </w:t>
      </w:r>
      <w:r w:rsidR="00C57065">
        <w:rPr>
          <w:szCs w:val="22"/>
        </w:rPr>
        <w:t>Bovendien is v</w:t>
      </w:r>
      <w:r>
        <w:rPr>
          <w:szCs w:val="22"/>
        </w:rPr>
        <w:t>olgens Yin (20</w:t>
      </w:r>
      <w:r w:rsidR="00B82A28">
        <w:rPr>
          <w:szCs w:val="22"/>
        </w:rPr>
        <w:t>14</w:t>
      </w:r>
      <w:r>
        <w:rPr>
          <w:szCs w:val="22"/>
        </w:rPr>
        <w:t xml:space="preserve">) de casestudie met name geschikt voor een verklarend onderzoek dat als doel heeft om de wat, wanneer en hoe-vragen te beantwoorden over een onderwerp waar weinig over bekend is. </w:t>
      </w:r>
    </w:p>
    <w:p w14:paraId="71F0EB79" w14:textId="77777777" w:rsidR="00480E03" w:rsidRDefault="00480E03" w:rsidP="00480E03">
      <w:pPr>
        <w:pStyle w:val="NoSpacing"/>
        <w:spacing w:line="276" w:lineRule="auto"/>
        <w:ind w:firstLine="708"/>
        <w:rPr>
          <w:szCs w:val="22"/>
        </w:rPr>
      </w:pPr>
      <w:r>
        <w:rPr>
          <w:szCs w:val="22"/>
        </w:rPr>
        <w:tab/>
      </w:r>
    </w:p>
    <w:p w14:paraId="42866A88" w14:textId="0DBE5CFE" w:rsidR="00480E03" w:rsidRPr="003B56D6" w:rsidRDefault="00480E03" w:rsidP="006D65AA">
      <w:pPr>
        <w:pStyle w:val="Heading2"/>
        <w:rPr>
          <w:color w:val="1F3864" w:themeColor="accent1" w:themeShade="80"/>
        </w:rPr>
      </w:pPr>
      <w:bookmarkStart w:id="105" w:name="_Toc517455469"/>
      <w:bookmarkStart w:id="106" w:name="_Hlk484682765"/>
      <w:r w:rsidRPr="003B56D6">
        <w:rPr>
          <w:color w:val="1F3864" w:themeColor="accent1" w:themeShade="80"/>
        </w:rPr>
        <w:t>De onderzoekspopulatie</w:t>
      </w:r>
      <w:bookmarkEnd w:id="105"/>
      <w:r w:rsidRPr="003B56D6">
        <w:rPr>
          <w:color w:val="1F3864" w:themeColor="accent1" w:themeShade="80"/>
        </w:rPr>
        <w:t xml:space="preserve"> </w:t>
      </w:r>
    </w:p>
    <w:bookmarkEnd w:id="106"/>
    <w:p w14:paraId="39B1BAB3" w14:textId="7F17F0EA" w:rsidR="00480E03" w:rsidRPr="00AD0058" w:rsidRDefault="00C57065" w:rsidP="00480E03">
      <w:pPr>
        <w:pStyle w:val="NoSpacing"/>
        <w:spacing w:line="276" w:lineRule="auto"/>
        <w:rPr>
          <w:rFonts w:cstheme="minorHAnsi"/>
          <w:szCs w:val="22"/>
        </w:rPr>
      </w:pPr>
      <w:r>
        <w:t>De p</w:t>
      </w:r>
      <w:r w:rsidR="00480E03" w:rsidRPr="00AD0058">
        <w:t xml:space="preserve">opulatie in dit onderzoek zijn alle Nederlands VO-scholen die ofwel zelfstandig of via een overkoepelende organisatie inkopen. </w:t>
      </w:r>
      <w:r w:rsidR="00480E03" w:rsidRPr="00AD0058">
        <w:rPr>
          <w:rFonts w:cstheme="minorHAnsi"/>
          <w:szCs w:val="22"/>
        </w:rPr>
        <w:t>De keuze voor VO-scholen als object van het onderzoek</w:t>
      </w:r>
      <w:r w:rsidR="00311500">
        <w:rPr>
          <w:rFonts w:cstheme="minorHAnsi"/>
          <w:szCs w:val="22"/>
        </w:rPr>
        <w:t xml:space="preserve"> is</w:t>
      </w:r>
      <w:r w:rsidR="00480E03" w:rsidRPr="00AD0058">
        <w:rPr>
          <w:rFonts w:cstheme="minorHAnsi"/>
          <w:szCs w:val="22"/>
        </w:rPr>
        <w:t xml:space="preserve"> gebaseerd op een gefundeerd</w:t>
      </w:r>
      <w:r w:rsidR="00311500">
        <w:rPr>
          <w:rFonts w:cstheme="minorHAnsi"/>
          <w:szCs w:val="22"/>
        </w:rPr>
        <w:t>e</w:t>
      </w:r>
      <w:r w:rsidR="00480E03" w:rsidRPr="00AD0058">
        <w:rPr>
          <w:rFonts w:cstheme="minorHAnsi"/>
          <w:szCs w:val="22"/>
        </w:rPr>
        <w:t xml:space="preserve"> afweging tussen de drie onderwijsvormen: primair, voortgezet en hoger onderwijs. Na consultatie van een tweetal deskundigen op het gebied van onderwijs binnen het adviesbureau Berenschot én in het belang van haalbaarheid van het onderzoek binnen een beperkte tijd, is de keuze </w:t>
      </w:r>
      <w:r w:rsidR="0072379D">
        <w:rPr>
          <w:rFonts w:cstheme="minorHAnsi"/>
          <w:szCs w:val="22"/>
        </w:rPr>
        <w:t xml:space="preserve">gevallen op </w:t>
      </w:r>
      <w:r w:rsidR="00480E03" w:rsidRPr="00AD0058">
        <w:rPr>
          <w:rFonts w:cstheme="minorHAnsi"/>
          <w:szCs w:val="22"/>
        </w:rPr>
        <w:t xml:space="preserve">VO-scholen als domein van het onderzoek. Deze keuze wordt ondersteund door de aanwezige problematiek van kennis- en expertiseachterstand op scholen, met name op het gebied van ICT. </w:t>
      </w:r>
    </w:p>
    <w:p w14:paraId="72542FF4" w14:textId="3EDC7088" w:rsidR="00480E03" w:rsidRPr="00AD0058" w:rsidRDefault="00480E03" w:rsidP="00480E03">
      <w:pPr>
        <w:pStyle w:val="NoSpacing"/>
        <w:spacing w:line="276" w:lineRule="auto"/>
        <w:rPr>
          <w:rFonts w:cstheme="minorHAnsi"/>
          <w:szCs w:val="22"/>
        </w:rPr>
      </w:pPr>
      <w:r w:rsidRPr="00AD0058">
        <w:rPr>
          <w:rFonts w:cstheme="minorHAnsi"/>
          <w:szCs w:val="22"/>
        </w:rPr>
        <w:tab/>
        <w:t xml:space="preserve">De scholen zijn gekozen met het oog op representativiteit. </w:t>
      </w:r>
      <w:r w:rsidRPr="00AD0058">
        <w:t>Het te bestuderen verschijnsel moet door de gekozen onderzoekseenheden in zijn volle verscheidenheid representeren</w:t>
      </w:r>
      <w:r w:rsidR="0072379D">
        <w:t>.</w:t>
      </w:r>
      <w:r w:rsidRPr="00AD0058">
        <w:t xml:space="preserve"> In dit onderzoek worden 11 verschillende voortgezet onderwijsinstellingen onderzocht. </w:t>
      </w:r>
      <w:r w:rsidRPr="00AD0058">
        <w:rPr>
          <w:rFonts w:cstheme="minorHAnsi"/>
          <w:szCs w:val="22"/>
        </w:rPr>
        <w:t>Deze scholen tonen een verschil in denominatie, profiel</w:t>
      </w:r>
      <w:r w:rsidR="0044050E">
        <w:rPr>
          <w:rFonts w:cstheme="minorHAnsi"/>
          <w:szCs w:val="22"/>
        </w:rPr>
        <w:t xml:space="preserve"> en </w:t>
      </w:r>
      <w:r w:rsidRPr="00AD0058">
        <w:rPr>
          <w:rFonts w:cstheme="minorHAnsi"/>
          <w:szCs w:val="22"/>
        </w:rPr>
        <w:t>omvang.</w:t>
      </w:r>
      <w:r w:rsidR="0044050E">
        <w:rPr>
          <w:rFonts w:cstheme="minorHAnsi"/>
          <w:szCs w:val="22"/>
        </w:rPr>
        <w:t xml:space="preserve"> </w:t>
      </w:r>
      <w:r w:rsidR="0044050E">
        <w:rPr>
          <w:rFonts w:cstheme="minorHAnsi"/>
          <w:szCs w:val="22"/>
        </w:rPr>
        <w:lastRenderedPageBreak/>
        <w:t xml:space="preserve">Daarnaast bevinden de onderzochte scholen zich binnen stedelijke gebieden en mindere stedelijke </w:t>
      </w:r>
      <w:r w:rsidR="00AC7675">
        <w:rPr>
          <w:rFonts w:cstheme="minorHAnsi"/>
          <w:szCs w:val="22"/>
        </w:rPr>
        <w:t>gebieden</w:t>
      </w:r>
      <w:r w:rsidR="0044050E">
        <w:rPr>
          <w:rFonts w:cstheme="minorHAnsi"/>
          <w:szCs w:val="22"/>
        </w:rPr>
        <w:t>.</w:t>
      </w:r>
      <w:r w:rsidRPr="00AD0058">
        <w:rPr>
          <w:rFonts w:cstheme="minorHAnsi"/>
          <w:szCs w:val="22"/>
        </w:rPr>
        <w:t xml:space="preserve"> In deze studie zal worden onderzocht of deze aspecten invloed hebben op de bevindingen uit de empirie. Volgens de aanbeveling van </w:t>
      </w:r>
      <w:proofErr w:type="spellStart"/>
      <w:r w:rsidRPr="00AD0058">
        <w:rPr>
          <w:rFonts w:cstheme="minorHAnsi"/>
          <w:szCs w:val="22"/>
        </w:rPr>
        <w:t>Denscombe</w:t>
      </w:r>
      <w:proofErr w:type="spellEnd"/>
      <w:r w:rsidRPr="00AD0058">
        <w:rPr>
          <w:rFonts w:cstheme="minorHAnsi"/>
          <w:szCs w:val="22"/>
        </w:rPr>
        <w:t xml:space="preserve"> (</w:t>
      </w:r>
      <w:hyperlink r:id="rId36" w:history="1"/>
      <w:r w:rsidRPr="00AD0058">
        <w:rPr>
          <w:rFonts w:cstheme="minorHAnsi"/>
          <w:szCs w:val="22"/>
        </w:rPr>
        <w:t>2010) zijn de casussen niet op basis van willekeurig geselecteerd, maar op basis van reeds bekende aspecten.</w:t>
      </w:r>
      <w:r w:rsidR="0044050E">
        <w:rPr>
          <w:rFonts w:cstheme="minorHAnsi"/>
          <w:szCs w:val="22"/>
        </w:rPr>
        <w:t xml:space="preserve"> Figuur 7 toont de wijze waarop de scholen zijn geselecteerd. </w:t>
      </w:r>
      <w:r w:rsidRPr="00AD0058">
        <w:rPr>
          <w:rFonts w:cstheme="minorHAnsi"/>
          <w:szCs w:val="22"/>
        </w:rPr>
        <w:t xml:space="preserve">     </w:t>
      </w:r>
    </w:p>
    <w:p w14:paraId="22C0960F" w14:textId="67F43642" w:rsidR="00480E03" w:rsidRPr="00AD0058" w:rsidRDefault="00A1096C" w:rsidP="00480E03">
      <w:pPr>
        <w:pStyle w:val="NoSpacing"/>
        <w:spacing w:line="276" w:lineRule="auto"/>
        <w:rPr>
          <w:rFonts w:cstheme="minorHAnsi"/>
          <w:szCs w:val="22"/>
        </w:rPr>
      </w:pPr>
      <w:r w:rsidRPr="001C579C">
        <w:rPr>
          <w:noProof/>
          <w:lang w:eastAsia="nl-NL"/>
        </w:rPr>
        <mc:AlternateContent>
          <mc:Choice Requires="wps">
            <w:drawing>
              <wp:anchor distT="0" distB="0" distL="114300" distR="114300" simplePos="0" relativeHeight="251688960" behindDoc="0" locked="0" layoutInCell="1" allowOverlap="1" wp14:anchorId="418D1990" wp14:editId="4CDC2124">
                <wp:simplePos x="0" y="0"/>
                <wp:positionH relativeFrom="column">
                  <wp:posOffset>1859280</wp:posOffset>
                </wp:positionH>
                <wp:positionV relativeFrom="paragraph">
                  <wp:posOffset>10160</wp:posOffset>
                </wp:positionV>
                <wp:extent cx="2766695" cy="487680"/>
                <wp:effectExtent l="0" t="0" r="14605" b="26670"/>
                <wp:wrapNone/>
                <wp:docPr id="7" name="Rounded Rectangle 7"/>
                <wp:cNvGraphicFramePr/>
                <a:graphic xmlns:a="http://schemas.openxmlformats.org/drawingml/2006/main">
                  <a:graphicData uri="http://schemas.microsoft.com/office/word/2010/wordprocessingShape">
                    <wps:wsp>
                      <wps:cNvSpPr/>
                      <wps:spPr>
                        <a:xfrm>
                          <a:off x="0" y="0"/>
                          <a:ext cx="2766695" cy="487680"/>
                        </a:xfrm>
                        <a:prstGeom prst="roundRect">
                          <a:avLst/>
                        </a:prstGeom>
                        <a:solidFill>
                          <a:schemeClr val="accent2">
                            <a:lumMod val="20000"/>
                            <a:lumOff val="80000"/>
                          </a:schemeClr>
                        </a:solidFill>
                        <a:ln w="12700" cap="flat" cmpd="sng" algn="ctr">
                          <a:solidFill>
                            <a:sysClr val="windowText" lastClr="000000"/>
                          </a:solidFill>
                          <a:prstDash val="solid"/>
                          <a:miter lim="800000"/>
                        </a:ln>
                        <a:effectLst/>
                      </wps:spPr>
                      <wps:txbx>
                        <w:txbxContent>
                          <w:p w14:paraId="122E2989" w14:textId="77777777" w:rsidR="003040E4" w:rsidRPr="00A1096C" w:rsidRDefault="003040E4" w:rsidP="00A1096C">
                            <w:pPr>
                              <w:pStyle w:val="NoSpacing"/>
                              <w:jc w:val="center"/>
                            </w:pPr>
                            <w:r w:rsidRPr="00A1096C">
                              <w:t>Populatie:</w:t>
                            </w:r>
                          </w:p>
                          <w:p w14:paraId="0FFC1682" w14:textId="77777777" w:rsidR="003040E4" w:rsidRPr="00A1096C" w:rsidRDefault="003040E4" w:rsidP="00A1096C">
                            <w:pPr>
                              <w:pStyle w:val="NoSpacing"/>
                              <w:jc w:val="center"/>
                            </w:pPr>
                            <w:r w:rsidRPr="00A1096C">
                              <w:t>Alle Nederlandse onderwijsinstellingen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418D1990" id="Rounded Rectangle 7" o:spid="_x0000_s1038" style="position:absolute;margin-left:146.4pt;margin-top:.8pt;width:217.85pt;height:38.4pt;z-index:2516889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" fillcolor="#fbe4d5 [661]" strokecolor="windowText" strokeweight="1pt">
                <v:stroke joinstyle="miter"/>
                <v:textbox>
                  <w:txbxContent>
                    <w:p w14:paraId="122E2989" w14:textId="77777777" w:rsidR="003040E4" w:rsidRPr="00A1096C" w:rsidRDefault="003040E4" w:rsidP="00A1096C">
                      <w:pPr>
                        <w:pStyle w:val="NoSpacing"/>
                        <w:jc w:val="center"/>
                      </w:pPr>
                      <w:r w:rsidRPr="00A1096C">
                        <w:t>Populatie:</w:t>
                      </w:r>
                    </w:p>
                    <w:p w14:paraId="0FFC1682" w14:textId="77777777" w:rsidR="003040E4" w:rsidRPr="00A1096C" w:rsidRDefault="003040E4" w:rsidP="00A1096C">
                      <w:pPr>
                        <w:pStyle w:val="NoSpacing"/>
                        <w:jc w:val="center"/>
                      </w:pPr>
                      <w:r w:rsidRPr="00A1096C">
                        <w:t>Alle Nederlandse onderwijsinstellingen</w:t>
                      </w:r>
                    </w:p>
                  </w:txbxContent>
                </v:textbox>
              </v:roundrect>
            </w:pict>
          </mc:Fallback>
        </mc:AlternateContent>
      </w:r>
    </w:p>
    <w:p w14:paraId="0B9A6D76" w14:textId="79FFDDFD" w:rsidR="00480E03" w:rsidRDefault="00480E03" w:rsidP="00480E03">
      <w:pPr>
        <w:pStyle w:val="NoSpacing"/>
        <w:spacing w:line="276" w:lineRule="auto"/>
        <w:jc w:val="right"/>
        <w:rPr>
          <w:szCs w:val="22"/>
        </w:rPr>
      </w:pPr>
    </w:p>
    <w:p w14:paraId="3E65F367" w14:textId="07E41F4A" w:rsidR="00480E03" w:rsidRPr="001C579C" w:rsidRDefault="00A1096C" w:rsidP="00480E03">
      <w:pPr>
        <w:spacing w:after="0" w:line="276" w:lineRule="auto"/>
        <w:jc w:val="right"/>
        <w:rPr>
          <w:rFonts w:asciiTheme="minorHAnsi" w:eastAsiaTheme="minorHAnsi" w:hAnsiTheme="minorHAnsi"/>
          <w:sz w:val="22"/>
          <w:szCs w:val="22"/>
        </w:rPr>
      </w:pPr>
      <w:bookmarkStart w:id="107" w:name="_Hlk484682779"/>
      <w:r w:rsidRPr="001C579C">
        <w:rPr>
          <w:noProof/>
          <w:lang w:eastAsia="nl-NL"/>
        </w:rPr>
        <mc:AlternateContent>
          <mc:Choice Requires="wps">
            <w:drawing>
              <wp:anchor distT="0" distB="0" distL="114300" distR="114300" simplePos="0" relativeHeight="251689984" behindDoc="0" locked="0" layoutInCell="1" allowOverlap="1" wp14:anchorId="5C8B07D2" wp14:editId="00DE39C3">
                <wp:simplePos x="0" y="0"/>
                <wp:positionH relativeFrom="column">
                  <wp:posOffset>2128520</wp:posOffset>
                </wp:positionH>
                <wp:positionV relativeFrom="paragraph">
                  <wp:posOffset>116205</wp:posOffset>
                </wp:positionV>
                <wp:extent cx="2202180" cy="500380"/>
                <wp:effectExtent l="0" t="0" r="26670" b="13970"/>
                <wp:wrapNone/>
                <wp:docPr id="3" name="Rounded Rectangle 3"/>
                <wp:cNvGraphicFramePr/>
                <a:graphic xmlns:a="http://schemas.openxmlformats.org/drawingml/2006/main">
                  <a:graphicData uri="http://schemas.microsoft.com/office/word/2010/wordprocessingShape">
                    <wps:wsp>
                      <wps:cNvSpPr/>
                      <wps:spPr>
                        <a:xfrm>
                          <a:off x="0" y="0"/>
                          <a:ext cx="2202180" cy="500380"/>
                        </a:xfrm>
                        <a:prstGeom prst="roundRect">
                          <a:avLst/>
                        </a:prstGeom>
                        <a:solidFill>
                          <a:schemeClr val="accent2">
                            <a:lumMod val="40000"/>
                            <a:lumOff val="60000"/>
                          </a:schemeClr>
                        </a:solidFill>
                        <a:ln w="12700" cap="flat" cmpd="sng" algn="ctr">
                          <a:solidFill>
                            <a:sysClr val="windowText" lastClr="000000"/>
                          </a:solidFill>
                          <a:prstDash val="solid"/>
                          <a:miter lim="800000"/>
                        </a:ln>
                        <a:effectLst/>
                      </wps:spPr>
                      <wps:txbx>
                        <w:txbxContent>
                          <w:p w14:paraId="50D79B8D" w14:textId="77777777" w:rsidR="003040E4" w:rsidRPr="00CB5077" w:rsidRDefault="003040E4" w:rsidP="00480E03">
                            <w:pPr>
                              <w:pStyle w:val="NoSpacing"/>
                              <w:jc w:val="center"/>
                              <w:rPr>
                                <w:sz w:val="20"/>
                              </w:rPr>
                            </w:pPr>
                            <w:r w:rsidRPr="00CB5077">
                              <w:rPr>
                                <w:sz w:val="20"/>
                              </w:rPr>
                              <w:t>Steekproefkader:</w:t>
                            </w:r>
                          </w:p>
                          <w:p w14:paraId="7A775A78" w14:textId="77777777" w:rsidR="003040E4" w:rsidRPr="00CB5077" w:rsidRDefault="003040E4" w:rsidP="00480E03">
                            <w:pPr>
                              <w:pStyle w:val="NoSpacing"/>
                              <w:jc w:val="center"/>
                              <w:rPr>
                                <w:sz w:val="20"/>
                              </w:rPr>
                            </w:pPr>
                            <w:r w:rsidRPr="00CB5077">
                              <w:rPr>
                                <w:sz w:val="20"/>
                              </w:rPr>
                              <w:t>Lijst van alle Nederlandse VO-scholen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C8B07D2" id="Rounded Rectangle 3" o:spid="_x0000_s1039" style="position:absolute;left:0;text-align:left;margin-left:167.6pt;margin-top:9.15pt;width:173.4pt;height:39.4pt;z-index:25168998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" fillcolor="#f7caac [1301]" strokecolor="windowText" strokeweight="1pt">
                <v:stroke joinstyle="miter"/>
                <v:textbox>
                  <w:txbxContent>
                    <w:p w14:paraId="50D79B8D" w14:textId="77777777" w:rsidR="003040E4" w:rsidRPr="00CB5077" w:rsidRDefault="003040E4" w:rsidP="00480E03">
                      <w:pPr>
                        <w:pStyle w:val="NoSpacing"/>
                        <w:jc w:val="center"/>
                        <w:rPr>
                          <w:sz w:val="20"/>
                        </w:rPr>
                      </w:pPr>
                      <w:r w:rsidRPr="00CB5077">
                        <w:rPr>
                          <w:sz w:val="20"/>
                        </w:rPr>
                        <w:t>Steekproefkader:</w:t>
                      </w:r>
                    </w:p>
                    <w:p w14:paraId="7A775A78" w14:textId="77777777" w:rsidR="003040E4" w:rsidRPr="00CB5077" w:rsidRDefault="003040E4" w:rsidP="00480E03">
                      <w:pPr>
                        <w:pStyle w:val="NoSpacing"/>
                        <w:jc w:val="center"/>
                        <w:rPr>
                          <w:sz w:val="20"/>
                        </w:rPr>
                      </w:pPr>
                      <w:r w:rsidRPr="00CB5077">
                        <w:rPr>
                          <w:sz w:val="20"/>
                        </w:rPr>
                        <w:t>Lijst van alle Nederlandse VO-scholen</w:t>
                      </w:r>
                    </w:p>
                  </w:txbxContent>
                </v:textbox>
              </v:roundrect>
            </w:pict>
          </mc:Fallback>
        </mc:AlternateContent>
      </w:r>
    </w:p>
    <w:p w14:paraId="68377E59" w14:textId="5E4493BA" w:rsidR="00480E03" w:rsidRPr="001C579C" w:rsidRDefault="00480E03" w:rsidP="00480E03">
      <w:pPr>
        <w:jc w:val="right"/>
      </w:pPr>
    </w:p>
    <w:p w14:paraId="33F7048F" w14:textId="734B337B" w:rsidR="00480E03" w:rsidRPr="001C579C" w:rsidRDefault="00A1096C" w:rsidP="00480E03">
      <w:pPr>
        <w:spacing w:after="0" w:line="276" w:lineRule="auto"/>
        <w:jc w:val="right"/>
        <w:rPr>
          <w:rFonts w:asciiTheme="minorHAnsi" w:eastAsiaTheme="minorHAnsi" w:hAnsiTheme="minorHAnsi"/>
          <w:sz w:val="22"/>
          <w:szCs w:val="22"/>
        </w:rPr>
      </w:pPr>
      <w:r w:rsidRPr="001C579C">
        <w:rPr>
          <w:noProof/>
          <w:lang w:eastAsia="nl-NL"/>
        </w:rPr>
        <mc:AlternateContent>
          <mc:Choice Requires="wps">
            <w:drawing>
              <wp:anchor distT="0" distB="0" distL="114300" distR="114300" simplePos="0" relativeHeight="251691008" behindDoc="0" locked="0" layoutInCell="1" allowOverlap="1" wp14:anchorId="1934586A" wp14:editId="0794F20B">
                <wp:simplePos x="0" y="0"/>
                <wp:positionH relativeFrom="column">
                  <wp:posOffset>2400300</wp:posOffset>
                </wp:positionH>
                <wp:positionV relativeFrom="paragraph">
                  <wp:posOffset>161290</wp:posOffset>
                </wp:positionV>
                <wp:extent cx="1685290" cy="807720"/>
                <wp:effectExtent l="0" t="0" r="10160" b="11430"/>
                <wp:wrapNone/>
                <wp:docPr id="6" name="Rounded Rectangle 6"/>
                <wp:cNvGraphicFramePr/>
                <a:graphic xmlns:a="http://schemas.openxmlformats.org/drawingml/2006/main">
                  <a:graphicData uri="http://schemas.microsoft.com/office/word/2010/wordprocessingShape">
                    <wps:wsp>
                      <wps:cNvSpPr/>
                      <wps:spPr>
                        <a:xfrm>
                          <a:off x="0" y="0"/>
                          <a:ext cx="1685290" cy="807720"/>
                        </a:xfrm>
                        <a:prstGeom prst="roundRect">
                          <a:avLst/>
                        </a:prstGeom>
                        <a:solidFill>
                          <a:schemeClr val="accent2">
                            <a:lumMod val="60000"/>
                            <a:lumOff val="40000"/>
                          </a:schemeClr>
                        </a:solidFill>
                        <a:ln w="12700" cap="flat" cmpd="sng" algn="ctr">
                          <a:solidFill>
                            <a:sysClr val="windowText" lastClr="000000"/>
                          </a:solidFill>
                          <a:prstDash val="solid"/>
                          <a:miter lim="800000"/>
                        </a:ln>
                        <a:effectLst/>
                      </wps:spPr>
                      <wps:txbx>
                        <w:txbxContent>
                          <w:p w14:paraId="77581990" w14:textId="77777777" w:rsidR="003040E4" w:rsidRPr="00CB5077" w:rsidRDefault="003040E4" w:rsidP="00480E03">
                            <w:pPr>
                              <w:pStyle w:val="NoSpacing"/>
                              <w:jc w:val="center"/>
                              <w:rPr>
                                <w:sz w:val="20"/>
                              </w:rPr>
                            </w:pPr>
                            <w:r w:rsidRPr="00CB5077">
                              <w:rPr>
                                <w:sz w:val="20"/>
                              </w:rPr>
                              <w:t>Steekproeftrekking:</w:t>
                            </w:r>
                          </w:p>
                          <w:p w14:paraId="09D9AA31" w14:textId="77777777" w:rsidR="003040E4" w:rsidRPr="00CB5077" w:rsidRDefault="003040E4" w:rsidP="00480E03">
                            <w:pPr>
                              <w:pStyle w:val="NoSpacing"/>
                              <w:jc w:val="center"/>
                              <w:rPr>
                                <w:sz w:val="20"/>
                              </w:rPr>
                            </w:pPr>
                            <w:r w:rsidRPr="00CB5077">
                              <w:rPr>
                                <w:sz w:val="20"/>
                              </w:rPr>
                              <w:t>twee scholen in Utrecht, één school in Gelderland en acht in Overijssel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1934586A" id="Rounded Rectangle 6" o:spid="_x0000_s1040" style="position:absolute;left:0;text-align:left;margin-left:189pt;margin-top:12.7pt;width:132.7pt;height:63.6pt;z-index:2516910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" fillcolor="#f4b083 [1941]" strokecolor="windowText" strokeweight="1pt">
                <v:stroke joinstyle="miter"/>
                <v:textbox>
                  <w:txbxContent>
                    <w:p w14:paraId="77581990" w14:textId="77777777" w:rsidR="003040E4" w:rsidRPr="00CB5077" w:rsidRDefault="003040E4" w:rsidP="00480E03">
                      <w:pPr>
                        <w:pStyle w:val="NoSpacing"/>
                        <w:jc w:val="center"/>
                        <w:rPr>
                          <w:sz w:val="20"/>
                        </w:rPr>
                      </w:pPr>
                      <w:r w:rsidRPr="00CB5077">
                        <w:rPr>
                          <w:sz w:val="20"/>
                        </w:rPr>
                        <w:t>Steekproeftrekking:</w:t>
                      </w:r>
                    </w:p>
                    <w:p w14:paraId="09D9AA31" w14:textId="77777777" w:rsidR="003040E4" w:rsidRPr="00CB5077" w:rsidRDefault="003040E4" w:rsidP="00480E03">
                      <w:pPr>
                        <w:pStyle w:val="NoSpacing"/>
                        <w:jc w:val="center"/>
                        <w:rPr>
                          <w:sz w:val="20"/>
                        </w:rPr>
                      </w:pPr>
                      <w:r w:rsidRPr="00CB5077">
                        <w:rPr>
                          <w:sz w:val="20"/>
                        </w:rPr>
                        <w:t>twee scholen in Utrecht, één school in Gelderland en acht in Overijssel</w:t>
                      </w:r>
                    </w:p>
                  </w:txbxContent>
                </v:textbox>
              </v:roundrect>
            </w:pict>
          </mc:Fallback>
        </mc:AlternateContent>
      </w:r>
    </w:p>
    <w:p w14:paraId="2676AED4" w14:textId="54DE6811" w:rsidR="00480E03" w:rsidRPr="001C579C" w:rsidRDefault="00480E03" w:rsidP="00480E03">
      <w:pPr>
        <w:spacing w:after="0" w:line="276" w:lineRule="auto"/>
        <w:jc w:val="right"/>
        <w:rPr>
          <w:rFonts w:asciiTheme="minorHAnsi" w:eastAsiaTheme="minorHAnsi" w:hAnsiTheme="minorHAnsi"/>
          <w:sz w:val="22"/>
          <w:szCs w:val="22"/>
        </w:rPr>
      </w:pPr>
    </w:p>
    <w:p w14:paraId="321DBC6E" w14:textId="4FF3B87E" w:rsidR="00480E03" w:rsidRPr="001C579C" w:rsidRDefault="00480E03" w:rsidP="00480E03">
      <w:pPr>
        <w:kinsoku/>
        <w:autoSpaceDE/>
        <w:autoSpaceDN/>
        <w:adjustRightInd/>
        <w:spacing w:after="200" w:line="276" w:lineRule="auto"/>
        <w:jc w:val="right"/>
        <w:rPr>
          <w:rFonts w:asciiTheme="minorHAnsi" w:hAnsiTheme="minorHAnsi"/>
          <w:sz w:val="22"/>
          <w:szCs w:val="22"/>
          <w:highlight w:val="yellow"/>
        </w:rPr>
      </w:pPr>
    </w:p>
    <w:p w14:paraId="2FFF1A55" w14:textId="77777777" w:rsidR="006D65AA" w:rsidRDefault="006D65AA" w:rsidP="00480E03">
      <w:pPr>
        <w:kinsoku/>
        <w:autoSpaceDE/>
        <w:autoSpaceDN/>
        <w:adjustRightInd/>
        <w:spacing w:after="160" w:line="259" w:lineRule="auto"/>
        <w:rPr>
          <w:rFonts w:asciiTheme="minorHAnsi" w:hAnsiTheme="minorHAnsi"/>
          <w:b/>
          <w:sz w:val="22"/>
          <w:szCs w:val="22"/>
        </w:rPr>
      </w:pPr>
    </w:p>
    <w:p w14:paraId="39D29164" w14:textId="00923DF4" w:rsidR="00480E03" w:rsidRDefault="006D65AA" w:rsidP="0044050E">
      <w:pPr>
        <w:pStyle w:val="Caption"/>
      </w:pPr>
      <w:r>
        <w:t xml:space="preserve">Figuur </w:t>
      </w:r>
      <w:r w:rsidR="0052756E">
        <w:t>7</w:t>
      </w:r>
      <w:r>
        <w:t xml:space="preserve">: </w:t>
      </w:r>
      <w:r w:rsidRPr="00FE6D2C">
        <w:t>De onderzoekspopulatie bestaat uit een achttal scholen in Gelderland, Utrecht en Overijssel.</w:t>
      </w:r>
    </w:p>
    <w:p w14:paraId="5E208377" w14:textId="084F90A6" w:rsidR="00480E03" w:rsidRPr="00487133" w:rsidRDefault="00480E03" w:rsidP="0031118F">
      <w:pPr>
        <w:pStyle w:val="Heading2"/>
        <w:rPr>
          <w:color w:val="1F3864" w:themeColor="accent1" w:themeShade="80"/>
        </w:rPr>
      </w:pPr>
      <w:bookmarkStart w:id="108" w:name="_Toc517455470"/>
      <w:r w:rsidRPr="00487133">
        <w:rPr>
          <w:color w:val="1F3864" w:themeColor="accent1" w:themeShade="80"/>
        </w:rPr>
        <w:t>Semigestructureerde interview</w:t>
      </w:r>
      <w:bookmarkEnd w:id="108"/>
    </w:p>
    <w:bookmarkEnd w:id="107"/>
    <w:p w14:paraId="40EBA440" w14:textId="5F7D4919" w:rsidR="00480E03" w:rsidRDefault="00480E03" w:rsidP="00480E03">
      <w:pPr>
        <w:pStyle w:val="NoSpacing"/>
        <w:spacing w:line="276" w:lineRule="auto"/>
      </w:pPr>
      <w:r>
        <w:t xml:space="preserve">Deze empirische studie heeft een </w:t>
      </w:r>
      <w:r w:rsidRPr="00865155">
        <w:t>exploratief</w:t>
      </w:r>
      <w:r>
        <w:t xml:space="preserve"> karakter, wat inhoudt dat het onderzoek </w:t>
      </w:r>
      <w:r w:rsidR="00EB6156">
        <w:t xml:space="preserve">zoekt </w:t>
      </w:r>
      <w:r>
        <w:t xml:space="preserve">naar factoren die in empirie inkoop beïnvloeden. Om te achterhalen welke factoren efficiënt inkoop beïnvloeden, is de interpretatie van de respondent belangrijk. Dus naast de reeds bekende theoretische assumpties wordt </w:t>
      </w:r>
      <w:r w:rsidRPr="00AD0058">
        <w:t xml:space="preserve">er door de onderzoeker ruimte vrijgelaten en voor aanvullingen door de respondent. Dit is in lijn met wat </w:t>
      </w:r>
      <w:proofErr w:type="spellStart"/>
      <w:r w:rsidRPr="00AD0058">
        <w:t>Denscombe</w:t>
      </w:r>
      <w:proofErr w:type="spellEnd"/>
      <w:r w:rsidRPr="00AD0058">
        <w:t xml:space="preserve"> (</w:t>
      </w:r>
      <w:hyperlink r:id="rId37" w:history="1"/>
      <w:r w:rsidRPr="00AD0058">
        <w:t>2010) verstaat onder semigestructureerde interviews. De interviewer heeft een lijst met vragen en onderwerpen die behandeld moeten worden, maar is voorbereidt om hier flexibel in te zijn. De respondent dient ruimte krijgen om ideeën te ontwikkelen en openlijk te spreken over de onderwerpen</w:t>
      </w:r>
      <w:r w:rsidR="006118C8">
        <w:t xml:space="preserve"> (Van Thiel, 20</w:t>
      </w:r>
      <w:r w:rsidR="00B82A28">
        <w:t>15</w:t>
      </w:r>
      <w:r w:rsidR="006118C8">
        <w:t xml:space="preserve">; </w:t>
      </w:r>
      <w:proofErr w:type="spellStart"/>
      <w:r w:rsidR="006118C8">
        <w:t>Boeije</w:t>
      </w:r>
      <w:proofErr w:type="spellEnd"/>
      <w:r w:rsidR="006118C8">
        <w:t>, 2005)</w:t>
      </w:r>
      <w:r w:rsidRPr="00AD0058">
        <w:t xml:space="preserve">.    </w:t>
      </w:r>
    </w:p>
    <w:p w14:paraId="17681A94" w14:textId="77777777" w:rsidR="00480E03" w:rsidRPr="000711B2" w:rsidRDefault="00480E03" w:rsidP="00480E03">
      <w:pPr>
        <w:pStyle w:val="NoSpacing"/>
        <w:spacing w:line="276" w:lineRule="auto"/>
        <w:rPr>
          <w:szCs w:val="22"/>
        </w:rPr>
      </w:pPr>
    </w:p>
    <w:p w14:paraId="0FD04C80" w14:textId="53EF979C" w:rsidR="00480E03" w:rsidRPr="00487133" w:rsidRDefault="00480E03" w:rsidP="0031118F">
      <w:pPr>
        <w:pStyle w:val="Heading2"/>
        <w:rPr>
          <w:color w:val="1F3864" w:themeColor="accent1" w:themeShade="80"/>
        </w:rPr>
      </w:pPr>
      <w:bookmarkStart w:id="109" w:name="_Toc517455471"/>
      <w:bookmarkStart w:id="110" w:name="_Hlk484682868"/>
      <w:r w:rsidRPr="00487133">
        <w:rPr>
          <w:color w:val="1F3864" w:themeColor="accent1" w:themeShade="80"/>
        </w:rPr>
        <w:t>Betrouwbaarheid en validiteit</w:t>
      </w:r>
      <w:bookmarkEnd w:id="109"/>
    </w:p>
    <w:bookmarkEnd w:id="110"/>
    <w:p w14:paraId="45138ED6" w14:textId="77B79621" w:rsidR="00480E03" w:rsidRPr="00AD0058" w:rsidRDefault="00480E03" w:rsidP="00AD0058">
      <w:pPr>
        <w:pStyle w:val="NoSpacing"/>
        <w:spacing w:line="276" w:lineRule="auto"/>
      </w:pPr>
      <w:r w:rsidRPr="00AD0058">
        <w:t>Betrouwbaarheid berust op de gedachte dat bij een herhaling van de meting dezelfde resultaten worden verkregen (</w:t>
      </w:r>
      <w:proofErr w:type="spellStart"/>
      <w:r w:rsidRPr="00AD0058">
        <w:t>Vennix</w:t>
      </w:r>
      <w:proofErr w:type="spellEnd"/>
      <w:r w:rsidRPr="00AD0058">
        <w:t xml:space="preserve">, 2009). Betrouwbare onderzoeksresultaten zijn vrij van toevallige fouten, door steeds dezelfde aspecten op dezelfde wijze te meten. Volgens </w:t>
      </w:r>
      <w:proofErr w:type="spellStart"/>
      <w:r w:rsidRPr="00AD0058">
        <w:t>Braster</w:t>
      </w:r>
      <w:proofErr w:type="spellEnd"/>
      <w:r w:rsidRPr="00AD0058">
        <w:t xml:space="preserve"> (2000) moeten de metingen onafhankelijk zijn van onderzoeker, tijd en meetinstrumenten. Met andere woorden: indien iemand anders het onderzoek uitvoert moeten de bevindingen met elkaar sterk overeenkomen. Betrouwbaarheid van het onderzoek kan aangetast worden door de interviewersbias. Hiervan is sprake als de interviewer, opzettelijk of onopzettelijk, met de fysieke aanwezigheid en communicatietechniek ongeldige antwoorden genereert (</w:t>
      </w:r>
      <w:proofErr w:type="spellStart"/>
      <w:r w:rsidRPr="00AD0058">
        <w:t>Gail</w:t>
      </w:r>
      <w:proofErr w:type="spellEnd"/>
      <w:r w:rsidRPr="00AD0058">
        <w:t xml:space="preserve"> &amp; </w:t>
      </w:r>
      <w:proofErr w:type="spellStart"/>
      <w:r w:rsidRPr="00AD0058">
        <w:t>Benichou</w:t>
      </w:r>
      <w:proofErr w:type="spellEnd"/>
      <w:r w:rsidRPr="00AD0058">
        <w:t xml:space="preserve">, 2000; Yin, 2009). Om dit </w:t>
      </w:r>
      <w:r w:rsidR="00B622E5">
        <w:t xml:space="preserve">zoveel mogelijk </w:t>
      </w:r>
      <w:r w:rsidRPr="00AD0058">
        <w:t xml:space="preserve">te voorkomen wordt er voor de casestudie een protocol opgesteld. Hierin worden procedures, kaders, eisen, een topiclijst en een handleiding opgenomen. </w:t>
      </w:r>
    </w:p>
    <w:p w14:paraId="0AA5FC18" w14:textId="646A2869" w:rsidR="00AC7675" w:rsidRDefault="00EB6156" w:rsidP="00A1096C">
      <w:pPr>
        <w:pStyle w:val="NoSpacing"/>
        <w:spacing w:line="276" w:lineRule="auto"/>
        <w:rPr>
          <w:highlight w:val="yellow"/>
        </w:rPr>
      </w:pPr>
      <w:r>
        <w:tab/>
      </w:r>
      <w:r w:rsidR="00480E03" w:rsidRPr="00AD0058">
        <w:t xml:space="preserve">In dit onderzoek wordt onderscheid gemaakt tussen interne en externe validiteit. </w:t>
      </w:r>
      <w:r w:rsidR="00480E03" w:rsidRPr="00AD0058">
        <w:rPr>
          <w:szCs w:val="22"/>
        </w:rPr>
        <w:t xml:space="preserve">Interne validiteit betreft het construct van de onderzoeksmethode. </w:t>
      </w:r>
      <w:proofErr w:type="spellStart"/>
      <w:r w:rsidR="00480E03" w:rsidRPr="00AD0058">
        <w:rPr>
          <w:szCs w:val="22"/>
        </w:rPr>
        <w:t>Braster</w:t>
      </w:r>
      <w:proofErr w:type="spellEnd"/>
      <w:r w:rsidR="00480E03" w:rsidRPr="00AD0058">
        <w:rPr>
          <w:szCs w:val="22"/>
        </w:rPr>
        <w:t xml:space="preserve"> (2000) beschrijft interne validiteit als de relatie tussen de (theoretische) concepten.</w:t>
      </w:r>
      <w:r w:rsidR="00480E03" w:rsidRPr="00AD0058">
        <w:t xml:space="preserve"> De antwoorden op de onderzoeksvragen worden door empirische gegevens onderbouwd. De geformuleerde vragen corresponderen sterk met het te meten variabelen en komen voort uit de operationalisatie</w:t>
      </w:r>
      <w:r w:rsidR="00480E03" w:rsidRPr="00AD0058">
        <w:rPr>
          <w:szCs w:val="22"/>
        </w:rPr>
        <w:t xml:space="preserve"> van de variabelen. De externe validiteit heeft betrekking op de reikwijdte van het onderzoek (</w:t>
      </w:r>
      <w:proofErr w:type="spellStart"/>
      <w:r w:rsidR="00480E03" w:rsidRPr="00AD0058">
        <w:rPr>
          <w:szCs w:val="22"/>
        </w:rPr>
        <w:t>Korzilius</w:t>
      </w:r>
      <w:proofErr w:type="spellEnd"/>
      <w:r w:rsidR="00480E03" w:rsidRPr="00AD0058">
        <w:rPr>
          <w:szCs w:val="22"/>
        </w:rPr>
        <w:t>, 2000).</w:t>
      </w:r>
      <w:r w:rsidR="00480E03" w:rsidRPr="00AD0058">
        <w:t xml:space="preserve"> Het geeft aan in hoeverre de onderzoeksresultaten kunnen worden generaliseerd naar grotere domeinen </w:t>
      </w:r>
      <w:r w:rsidR="00480E03" w:rsidRPr="00AD0058">
        <w:rPr>
          <w:szCs w:val="22"/>
        </w:rPr>
        <w:t>met soortgelijk strekking</w:t>
      </w:r>
      <w:r w:rsidR="00480E03" w:rsidRPr="00AD0058">
        <w:t xml:space="preserve"> of ruimere populaties (Verschuren &amp; </w:t>
      </w:r>
      <w:proofErr w:type="spellStart"/>
      <w:r w:rsidR="00480E03" w:rsidRPr="00AD0058">
        <w:t>Doorewaard</w:t>
      </w:r>
      <w:proofErr w:type="spellEnd"/>
      <w:r w:rsidR="00480E03" w:rsidRPr="00AD0058">
        <w:t xml:space="preserve">, 2010; Van Thiel, 2015). De steekproef van 11 </w:t>
      </w:r>
      <w:r w:rsidR="00B622E5">
        <w:t xml:space="preserve">instellingen voor </w:t>
      </w:r>
      <w:r w:rsidR="00480E03" w:rsidRPr="00AD0058">
        <w:t>voortgezet onderwijs</w:t>
      </w:r>
      <w:r w:rsidR="00B622E5">
        <w:t xml:space="preserve"> voldoet helaas niet aan deze eis hoewel er wel gestreefd is naar voldoende variatie en spreiding van de instellingen wat betreft</w:t>
      </w:r>
      <w:r w:rsidR="00AC7675" w:rsidRPr="00AC7675">
        <w:t xml:space="preserve"> denominatie, profiel</w:t>
      </w:r>
      <w:r w:rsidR="00AC7675">
        <w:t xml:space="preserve">, </w:t>
      </w:r>
      <w:r w:rsidR="00AC7675" w:rsidRPr="00AC7675">
        <w:t>omvang</w:t>
      </w:r>
      <w:r w:rsidR="00AC7675">
        <w:t xml:space="preserve"> en geografische spreiding. Er is onderzoek gedaan binnen scholen die deel uit maken van een scholengemeenschap. En er is naar gestreefd om scholen binnen stedelijke gebieden als scholen uit minder stedelijke gebieden in het onderzoek te betrekken. </w:t>
      </w:r>
      <w:r w:rsidR="00AC7675">
        <w:rPr>
          <w:highlight w:val="yellow"/>
        </w:rPr>
        <w:br w:type="page"/>
      </w:r>
    </w:p>
    <w:p w14:paraId="26382F33" w14:textId="576CC00A" w:rsidR="007E665C" w:rsidRPr="004D12C8" w:rsidRDefault="00205981" w:rsidP="004D12C8">
      <w:pPr>
        <w:pStyle w:val="Heading1"/>
      </w:pPr>
      <w:bookmarkStart w:id="111" w:name="_Toc517455472"/>
      <w:bookmarkStart w:id="112" w:name="_Hlk501311124"/>
      <w:r>
        <w:lastRenderedPageBreak/>
        <w:t xml:space="preserve">5. </w:t>
      </w:r>
      <w:r w:rsidR="007E665C" w:rsidRPr="004D12C8">
        <w:t>Resultaten</w:t>
      </w:r>
      <w:bookmarkEnd w:id="111"/>
    </w:p>
    <w:p w14:paraId="547788E6" w14:textId="77777777" w:rsidR="007E665C" w:rsidRPr="00E42062" w:rsidRDefault="007E665C" w:rsidP="007E665C">
      <w:pPr>
        <w:pStyle w:val="NoSpacing"/>
        <w:spacing w:line="276" w:lineRule="auto"/>
        <w:rPr>
          <w:noProof/>
        </w:rPr>
      </w:pPr>
    </w:p>
    <w:p w14:paraId="08CBC370" w14:textId="77777777" w:rsidR="007E665C" w:rsidRPr="00E42062" w:rsidRDefault="007E665C" w:rsidP="007E665C">
      <w:pPr>
        <w:pStyle w:val="NoSpacing"/>
        <w:spacing w:line="276" w:lineRule="auto"/>
        <w:rPr>
          <w:noProof/>
        </w:rPr>
      </w:pPr>
      <w:r w:rsidRPr="00E42062">
        <w:t>In</w:t>
      </w:r>
      <w:r w:rsidRPr="00E42062">
        <w:rPr>
          <w:noProof/>
        </w:rPr>
        <w:t xml:space="preserve"> dit hoofdstuk worden de resultaten van de dataverzameling beschreven. In het onderzoek zijn 11 instellingen voor voortgezet onderwijs betrokken. De data bespreken we in dit hoofdstuk per casus zodat het mogelijk is de casus te vergelijken. </w:t>
      </w:r>
    </w:p>
    <w:p w14:paraId="0C155809" w14:textId="77777777" w:rsidR="007E665C" w:rsidRPr="00E42062" w:rsidRDefault="007E665C" w:rsidP="007E665C">
      <w:pPr>
        <w:pStyle w:val="NoSpacing"/>
        <w:spacing w:line="276" w:lineRule="auto"/>
        <w:rPr>
          <w:noProof/>
        </w:rPr>
      </w:pPr>
    </w:p>
    <w:p w14:paraId="7C18578C" w14:textId="77777777" w:rsidR="00205981" w:rsidRPr="00205981" w:rsidRDefault="00205981" w:rsidP="00205981">
      <w:pPr>
        <w:pStyle w:val="ListParagraph"/>
        <w:numPr>
          <w:ilvl w:val="0"/>
          <w:numId w:val="8"/>
        </w:numPr>
        <w:spacing w:after="0" w:line="276" w:lineRule="auto"/>
        <w:contextualSpacing w:val="0"/>
        <w:outlineLvl w:val="1"/>
        <w:rPr>
          <w:rFonts w:asciiTheme="minorHAnsi" w:eastAsiaTheme="minorHAnsi" w:hAnsiTheme="minorHAnsi"/>
          <w:b/>
          <w:noProof/>
          <w:vanish/>
          <w:sz w:val="24"/>
        </w:rPr>
      </w:pPr>
      <w:bookmarkStart w:id="113" w:name="_Toc516315368"/>
      <w:bookmarkStart w:id="114" w:name="_Toc517357629"/>
      <w:bookmarkStart w:id="115" w:name="_Toc517360475"/>
      <w:bookmarkStart w:id="116" w:name="_Toc517360541"/>
      <w:bookmarkStart w:id="117" w:name="_Toc517450738"/>
      <w:bookmarkStart w:id="118" w:name="_Toc517450813"/>
      <w:bookmarkStart w:id="119" w:name="_Toc517451008"/>
      <w:bookmarkStart w:id="120" w:name="_Toc517451082"/>
      <w:bookmarkStart w:id="121" w:name="_Toc517451156"/>
      <w:bookmarkStart w:id="122" w:name="_Toc517455473"/>
      <w:bookmarkEnd w:id="113"/>
      <w:bookmarkEnd w:id="114"/>
      <w:bookmarkEnd w:id="115"/>
      <w:bookmarkEnd w:id="116"/>
      <w:bookmarkEnd w:id="117"/>
      <w:bookmarkEnd w:id="118"/>
      <w:bookmarkEnd w:id="119"/>
      <w:bookmarkEnd w:id="120"/>
      <w:bookmarkEnd w:id="121"/>
      <w:bookmarkEnd w:id="122"/>
    </w:p>
    <w:p w14:paraId="29DF1B86" w14:textId="11FB988F" w:rsidR="007E665C" w:rsidRPr="003B56D6" w:rsidRDefault="007E665C" w:rsidP="00205981">
      <w:pPr>
        <w:pStyle w:val="Heading2"/>
        <w:rPr>
          <w:noProof/>
          <w:color w:val="1F3864" w:themeColor="accent1" w:themeShade="80"/>
        </w:rPr>
      </w:pPr>
      <w:bookmarkStart w:id="123" w:name="_Toc517455474"/>
      <w:r w:rsidRPr="003B56D6">
        <w:rPr>
          <w:noProof/>
          <w:color w:val="1F3864" w:themeColor="accent1" w:themeShade="80"/>
        </w:rPr>
        <w:t>Casusbeschrijving</w:t>
      </w:r>
      <w:bookmarkEnd w:id="123"/>
    </w:p>
    <w:p w14:paraId="158F089A" w14:textId="3F6AF85A" w:rsidR="007E665C" w:rsidRDefault="007E665C" w:rsidP="00DC719F">
      <w:pPr>
        <w:pStyle w:val="NoSpacing"/>
        <w:spacing w:line="276" w:lineRule="auto"/>
        <w:rPr>
          <w:noProof/>
        </w:rPr>
      </w:pPr>
      <w:r w:rsidRPr="00E42062">
        <w:rPr>
          <w:noProof/>
        </w:rPr>
        <w:t>De geïnterviewde personen zijn binnen de onderzochte scholen direct betrokken en/of verantwoordelijk voor de inkoop. De interviewvragen (zie Bijlagen) zijn gebaseerd op de theoretische assumpties over efficiënt inkoop en de operationalisatie.</w:t>
      </w:r>
      <w:r w:rsidRPr="00E42062">
        <w:rPr>
          <w:noProof/>
          <w:color w:val="FF0000"/>
        </w:rPr>
        <w:t xml:space="preserve"> </w:t>
      </w:r>
      <w:r w:rsidRPr="00E42062">
        <w:rPr>
          <w:noProof/>
        </w:rPr>
        <w:t>De respondenten zijn zowel telefonisch als per e-mail benaderd</w:t>
      </w:r>
      <w:r w:rsidR="006B65FE">
        <w:rPr>
          <w:noProof/>
        </w:rPr>
        <w:t xml:space="preserve"> om</w:t>
      </w:r>
      <w:r w:rsidR="008B04FC">
        <w:rPr>
          <w:noProof/>
        </w:rPr>
        <w:t xml:space="preserve"> deel te nemen aan dit onderzoek, waarna de interviews face-to-face hebben plaats gevonden.</w:t>
      </w:r>
      <w:r w:rsidRPr="00E42062">
        <w:rPr>
          <w:noProof/>
        </w:rPr>
        <w:t xml:space="preserve"> </w:t>
      </w:r>
      <w:r w:rsidR="008B04FC">
        <w:rPr>
          <w:noProof/>
        </w:rPr>
        <w:t xml:space="preserve">Zoals bij de casusselectie genoemd is, is er gelet op de eis van representiviteit onderscheid gemaakt in </w:t>
      </w:r>
      <w:r w:rsidR="008B04FC" w:rsidRPr="00AD0058">
        <w:rPr>
          <w:rFonts w:cstheme="minorHAnsi"/>
          <w:szCs w:val="22"/>
        </w:rPr>
        <w:t>denominatie, profiel</w:t>
      </w:r>
      <w:r w:rsidR="008B04FC">
        <w:rPr>
          <w:rFonts w:cstheme="minorHAnsi"/>
          <w:szCs w:val="22"/>
        </w:rPr>
        <w:t xml:space="preserve">, </w:t>
      </w:r>
      <w:r w:rsidR="008B04FC" w:rsidRPr="00AD0058">
        <w:rPr>
          <w:rFonts w:cstheme="minorHAnsi"/>
          <w:szCs w:val="22"/>
        </w:rPr>
        <w:t>omvang</w:t>
      </w:r>
      <w:r w:rsidR="008B04FC">
        <w:rPr>
          <w:rFonts w:cstheme="minorHAnsi"/>
          <w:szCs w:val="22"/>
        </w:rPr>
        <w:t xml:space="preserve"> en de ligging van de scholen. </w:t>
      </w:r>
      <w:r w:rsidRPr="00E42062">
        <w:rPr>
          <w:noProof/>
        </w:rPr>
        <w:t xml:space="preserve">Er is wel aandacht uitgegaan naar scholen die deel uitmaken van een scholengemeenschap. Dit is relevant om het verschil tussen gemeenschappelijk en individueel inkoop te achterhalen. Tabel </w:t>
      </w:r>
      <w:r w:rsidR="0040657F">
        <w:rPr>
          <w:noProof/>
        </w:rPr>
        <w:t>7</w:t>
      </w:r>
      <w:r w:rsidRPr="00E42062">
        <w:rPr>
          <w:noProof/>
        </w:rPr>
        <w:t xml:space="preserve"> geeft weer welke scholen in het onderzoek betrokken zijn. In kolom 1 van tabel </w:t>
      </w:r>
      <w:r w:rsidR="0040657F">
        <w:rPr>
          <w:noProof/>
        </w:rPr>
        <w:t>7</w:t>
      </w:r>
      <w:r w:rsidRPr="00E42062">
        <w:rPr>
          <w:noProof/>
        </w:rPr>
        <w:t xml:space="preserve"> wordt de identificatiecode van de respondenten weergegeven. In dit onderzoek gaat het om 11 afzonderlijke respondenten uit 11 verschillende scholen. Deze </w:t>
      </w:r>
      <w:r w:rsidR="003D66D4">
        <w:rPr>
          <w:noProof/>
        </w:rPr>
        <w:t xml:space="preserve">nummering </w:t>
      </w:r>
      <w:r w:rsidRPr="00E42062">
        <w:rPr>
          <w:noProof/>
        </w:rPr>
        <w:t xml:space="preserve">zal als een verwijzing dienen in de volgende hoofdstukken. Verder laat tabel </w:t>
      </w:r>
      <w:r w:rsidR="0040657F">
        <w:rPr>
          <w:noProof/>
        </w:rPr>
        <w:t>7</w:t>
      </w:r>
      <w:r w:rsidRPr="00E42062">
        <w:rPr>
          <w:noProof/>
        </w:rPr>
        <w:t xml:space="preserve"> zien wat de naam van de school is (‘onderwijsinstelling’) en de functie van de respondent (zie derde kolom van tabel 1). Verder leert kolom vijf (‘scholengemeenschap’) ons dat er tien van de 11 scholen onderdeel uitmaken van een scholengemeenschap.  </w:t>
      </w:r>
    </w:p>
    <w:tbl>
      <w:tblPr>
        <w:tblStyle w:val="GridTable1Light"/>
        <w:tblpPr w:leftFromText="180" w:rightFromText="180" w:vertAnchor="page" w:horzAnchor="margin" w:tblpY="7033"/>
        <w:tblW w:w="10627" w:type="dxa"/>
        <w:tblLook w:val="04A0" w:firstRow="1" w:lastRow="0" w:firstColumn="1" w:lastColumn="0" w:noHBand="0" w:noVBand="1"/>
      </w:tblPr>
      <w:tblGrid>
        <w:gridCol w:w="1757"/>
        <w:gridCol w:w="2349"/>
        <w:gridCol w:w="2268"/>
        <w:gridCol w:w="1701"/>
        <w:gridCol w:w="2552"/>
      </w:tblGrid>
      <w:tr w:rsidR="009A1EBC" w:rsidRPr="00E42062" w14:paraId="0CA329FF" w14:textId="77777777" w:rsidTr="00E22C5F">
        <w:trPr>
          <w:cnfStyle w:val="100000000000" w:firstRow="1" w:lastRow="0" w:firstColumn="0" w:lastColumn="0" w:oddVBand="0" w:evenVBand="0" w:oddHBand="0" w:evenHBand="0" w:firstRowFirstColumn="0" w:firstRowLastColumn="0" w:lastRowFirstColumn="0" w:lastRowLastColumn="0"/>
          <w:trHeight w:val="558"/>
        </w:trPr>
        <w:tc>
          <w:tcPr>
            <w:cnfStyle w:val="001000000000" w:firstRow="0" w:lastRow="0" w:firstColumn="1" w:lastColumn="0" w:oddVBand="0" w:evenVBand="0" w:oddHBand="0" w:evenHBand="0" w:firstRowFirstColumn="0" w:firstRowLastColumn="0" w:lastRowFirstColumn="0" w:lastRowLastColumn="0"/>
            <w:tcW w:w="1757" w:type="dxa"/>
          </w:tcPr>
          <w:p w14:paraId="19996B73" w14:textId="77777777" w:rsidR="009A1EBC" w:rsidRPr="00AD0058" w:rsidRDefault="009A1EBC" w:rsidP="009A1EBC">
            <w:pPr>
              <w:rPr>
                <w:rFonts w:asciiTheme="minorHAnsi" w:hAnsiTheme="minorHAnsi" w:cstheme="minorHAnsi"/>
                <w:noProof/>
                <w:sz w:val="22"/>
                <w:szCs w:val="22"/>
              </w:rPr>
            </w:pPr>
            <w:r w:rsidRPr="00AD0058">
              <w:rPr>
                <w:rFonts w:asciiTheme="minorHAnsi" w:hAnsiTheme="minorHAnsi" w:cstheme="minorHAnsi"/>
                <w:noProof/>
                <w:sz w:val="22"/>
                <w:szCs w:val="22"/>
              </w:rPr>
              <w:t>Identificatiecode respondent</w:t>
            </w:r>
          </w:p>
        </w:tc>
        <w:tc>
          <w:tcPr>
            <w:tcW w:w="2349" w:type="dxa"/>
          </w:tcPr>
          <w:p w14:paraId="2DBBE4CF" w14:textId="77777777" w:rsidR="009A1EBC" w:rsidRPr="00AD0058" w:rsidRDefault="009A1EBC" w:rsidP="009A1EB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AD0058">
              <w:rPr>
                <w:rFonts w:asciiTheme="minorHAnsi" w:hAnsiTheme="minorHAnsi" w:cstheme="minorHAnsi"/>
                <w:noProof/>
                <w:sz w:val="22"/>
                <w:szCs w:val="22"/>
              </w:rPr>
              <w:t>Onderwijsinstelling</w:t>
            </w:r>
          </w:p>
        </w:tc>
        <w:tc>
          <w:tcPr>
            <w:tcW w:w="2268" w:type="dxa"/>
          </w:tcPr>
          <w:p w14:paraId="1C45A9DD" w14:textId="77777777" w:rsidR="009A1EBC" w:rsidRPr="00AD0058" w:rsidRDefault="009A1EBC" w:rsidP="009A1EB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AD0058">
              <w:rPr>
                <w:rFonts w:asciiTheme="minorHAnsi" w:hAnsiTheme="minorHAnsi" w:cstheme="minorHAnsi"/>
                <w:noProof/>
                <w:sz w:val="22"/>
                <w:szCs w:val="22"/>
              </w:rPr>
              <w:t>Functie respondent</w:t>
            </w:r>
          </w:p>
        </w:tc>
        <w:tc>
          <w:tcPr>
            <w:tcW w:w="1701" w:type="dxa"/>
          </w:tcPr>
          <w:p w14:paraId="37923826" w14:textId="77777777" w:rsidR="009A1EBC" w:rsidRPr="00AD0058" w:rsidRDefault="009A1EBC" w:rsidP="009A1EB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AD0058">
              <w:rPr>
                <w:rFonts w:asciiTheme="minorHAnsi" w:hAnsiTheme="minorHAnsi" w:cstheme="minorHAnsi"/>
                <w:noProof/>
                <w:sz w:val="22"/>
                <w:szCs w:val="22"/>
              </w:rPr>
              <w:t>Denominatie</w:t>
            </w:r>
          </w:p>
        </w:tc>
        <w:tc>
          <w:tcPr>
            <w:tcW w:w="2552" w:type="dxa"/>
          </w:tcPr>
          <w:p w14:paraId="7F80D61E" w14:textId="77777777" w:rsidR="009A1EBC" w:rsidRPr="00AD0058" w:rsidRDefault="009A1EBC" w:rsidP="009A1EB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AD0058">
              <w:rPr>
                <w:rFonts w:asciiTheme="minorHAnsi" w:hAnsiTheme="minorHAnsi" w:cstheme="minorHAnsi"/>
                <w:noProof/>
                <w:sz w:val="22"/>
                <w:szCs w:val="22"/>
              </w:rPr>
              <w:t>Scholengemeenschap</w:t>
            </w:r>
          </w:p>
        </w:tc>
      </w:tr>
      <w:tr w:rsidR="009A1EBC" w:rsidRPr="00E42062" w14:paraId="663FB865" w14:textId="77777777" w:rsidTr="00E22C5F">
        <w:trPr>
          <w:trHeight w:val="355"/>
        </w:trPr>
        <w:tc>
          <w:tcPr>
            <w:cnfStyle w:val="001000000000" w:firstRow="0" w:lastRow="0" w:firstColumn="1" w:lastColumn="0" w:oddVBand="0" w:evenVBand="0" w:oddHBand="0" w:evenHBand="0" w:firstRowFirstColumn="0" w:firstRowLastColumn="0" w:lastRowFirstColumn="0" w:lastRowLastColumn="0"/>
            <w:tcW w:w="1757" w:type="dxa"/>
          </w:tcPr>
          <w:p w14:paraId="6A8EE118" w14:textId="77777777" w:rsidR="009A1EBC" w:rsidRPr="00AD0058" w:rsidRDefault="009A1EBC" w:rsidP="009A1EBC">
            <w:pPr>
              <w:rPr>
                <w:rFonts w:asciiTheme="minorHAnsi" w:hAnsiTheme="minorHAnsi" w:cstheme="minorHAnsi"/>
                <w:noProof/>
                <w:sz w:val="22"/>
                <w:szCs w:val="22"/>
              </w:rPr>
            </w:pPr>
            <w:r w:rsidRPr="00AD0058">
              <w:rPr>
                <w:rFonts w:asciiTheme="minorHAnsi" w:hAnsiTheme="minorHAnsi" w:cstheme="minorHAnsi"/>
                <w:noProof/>
                <w:sz w:val="22"/>
                <w:szCs w:val="22"/>
              </w:rPr>
              <w:t>R1</w:t>
            </w:r>
          </w:p>
        </w:tc>
        <w:tc>
          <w:tcPr>
            <w:tcW w:w="2349" w:type="dxa"/>
          </w:tcPr>
          <w:p w14:paraId="065E3E2C" w14:textId="77777777" w:rsidR="009A1EBC" w:rsidRPr="00AD0058" w:rsidRDefault="009A1EBC" w:rsidP="009A1EB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AD0058">
              <w:rPr>
                <w:rFonts w:asciiTheme="minorHAnsi" w:hAnsiTheme="minorHAnsi" w:cstheme="minorHAnsi"/>
                <w:noProof/>
                <w:sz w:val="22"/>
                <w:szCs w:val="22"/>
              </w:rPr>
              <w:t>Dr. Nassau College Assen</w:t>
            </w:r>
          </w:p>
        </w:tc>
        <w:tc>
          <w:tcPr>
            <w:tcW w:w="2268" w:type="dxa"/>
          </w:tcPr>
          <w:p w14:paraId="6883D966" w14:textId="77777777" w:rsidR="009A1EBC" w:rsidRPr="00AD0058" w:rsidRDefault="009A1EBC" w:rsidP="009A1EB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AD0058">
              <w:rPr>
                <w:rFonts w:asciiTheme="minorHAnsi" w:hAnsiTheme="minorHAnsi" w:cstheme="minorHAnsi"/>
                <w:noProof/>
                <w:sz w:val="22"/>
                <w:szCs w:val="22"/>
              </w:rPr>
              <w:t>Afdelingshoofd Facilitaire zaken &amp; ICT</w:t>
            </w:r>
          </w:p>
        </w:tc>
        <w:tc>
          <w:tcPr>
            <w:tcW w:w="1701" w:type="dxa"/>
          </w:tcPr>
          <w:p w14:paraId="25381FD5" w14:textId="77777777" w:rsidR="009A1EBC" w:rsidRPr="00AD0058" w:rsidRDefault="009A1EBC" w:rsidP="009A1EB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AD0058">
              <w:rPr>
                <w:rFonts w:asciiTheme="minorHAnsi" w:hAnsiTheme="minorHAnsi" w:cstheme="minorHAnsi"/>
                <w:noProof/>
                <w:sz w:val="22"/>
                <w:szCs w:val="22"/>
              </w:rPr>
              <w:t>Openbaar</w:t>
            </w:r>
          </w:p>
        </w:tc>
        <w:tc>
          <w:tcPr>
            <w:tcW w:w="2552" w:type="dxa"/>
          </w:tcPr>
          <w:p w14:paraId="7529F8EE" w14:textId="77777777" w:rsidR="009A1EBC" w:rsidRPr="00AD0058" w:rsidRDefault="009A1EBC" w:rsidP="009A1EB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AD0058">
              <w:rPr>
                <w:rFonts w:asciiTheme="minorHAnsi" w:hAnsiTheme="minorHAnsi" w:cstheme="minorHAnsi"/>
                <w:noProof/>
                <w:sz w:val="22"/>
                <w:szCs w:val="22"/>
              </w:rPr>
              <w:t>Dr. Nassau College (5)</w:t>
            </w:r>
          </w:p>
        </w:tc>
      </w:tr>
      <w:tr w:rsidR="009A1EBC" w:rsidRPr="00E42062" w14:paraId="433ADB80" w14:textId="77777777" w:rsidTr="00E22C5F">
        <w:trPr>
          <w:trHeight w:val="355"/>
        </w:trPr>
        <w:tc>
          <w:tcPr>
            <w:cnfStyle w:val="001000000000" w:firstRow="0" w:lastRow="0" w:firstColumn="1" w:lastColumn="0" w:oddVBand="0" w:evenVBand="0" w:oddHBand="0" w:evenHBand="0" w:firstRowFirstColumn="0" w:firstRowLastColumn="0" w:lastRowFirstColumn="0" w:lastRowLastColumn="0"/>
            <w:tcW w:w="1757" w:type="dxa"/>
          </w:tcPr>
          <w:p w14:paraId="3591F74C" w14:textId="77777777" w:rsidR="009A1EBC" w:rsidRPr="00AD0058" w:rsidRDefault="009A1EBC" w:rsidP="009A1EBC">
            <w:pPr>
              <w:rPr>
                <w:rFonts w:asciiTheme="minorHAnsi" w:hAnsiTheme="minorHAnsi" w:cstheme="minorHAnsi"/>
                <w:noProof/>
                <w:sz w:val="22"/>
                <w:szCs w:val="22"/>
              </w:rPr>
            </w:pPr>
            <w:r w:rsidRPr="00AD0058">
              <w:rPr>
                <w:rFonts w:asciiTheme="minorHAnsi" w:hAnsiTheme="minorHAnsi" w:cstheme="minorHAnsi"/>
                <w:noProof/>
                <w:sz w:val="22"/>
                <w:szCs w:val="22"/>
              </w:rPr>
              <w:t>R2</w:t>
            </w:r>
          </w:p>
        </w:tc>
        <w:tc>
          <w:tcPr>
            <w:tcW w:w="2349" w:type="dxa"/>
          </w:tcPr>
          <w:p w14:paraId="3BC8FB12" w14:textId="77777777" w:rsidR="009A1EBC" w:rsidRPr="00AD0058" w:rsidRDefault="009A1EBC" w:rsidP="009A1EB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AD0058">
              <w:rPr>
                <w:rFonts w:asciiTheme="minorHAnsi" w:hAnsiTheme="minorHAnsi" w:cstheme="minorHAnsi"/>
                <w:noProof/>
                <w:sz w:val="22"/>
                <w:szCs w:val="22"/>
              </w:rPr>
              <w:t>Montessori College Nijmegen</w:t>
            </w:r>
          </w:p>
        </w:tc>
        <w:tc>
          <w:tcPr>
            <w:tcW w:w="2268" w:type="dxa"/>
          </w:tcPr>
          <w:p w14:paraId="2854C0ED" w14:textId="77777777" w:rsidR="009A1EBC" w:rsidRPr="00AD0058" w:rsidRDefault="009A1EBC" w:rsidP="009A1EB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AD0058">
              <w:rPr>
                <w:rFonts w:asciiTheme="minorHAnsi" w:hAnsiTheme="minorHAnsi" w:cstheme="minorHAnsi"/>
                <w:noProof/>
                <w:sz w:val="22"/>
                <w:szCs w:val="22"/>
              </w:rPr>
              <w:t>Stafdirecteur ICT &amp; facilitair</w:t>
            </w:r>
          </w:p>
        </w:tc>
        <w:tc>
          <w:tcPr>
            <w:tcW w:w="1701" w:type="dxa"/>
          </w:tcPr>
          <w:p w14:paraId="567A0057" w14:textId="77777777" w:rsidR="009A1EBC" w:rsidRPr="00AD0058" w:rsidRDefault="009A1EBC" w:rsidP="009A1EB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AD0058">
              <w:rPr>
                <w:rFonts w:asciiTheme="minorHAnsi" w:hAnsiTheme="minorHAnsi" w:cstheme="minorHAnsi"/>
                <w:noProof/>
                <w:sz w:val="22"/>
                <w:szCs w:val="22"/>
              </w:rPr>
              <w:t>Algemeen bijzonder</w:t>
            </w:r>
          </w:p>
        </w:tc>
        <w:tc>
          <w:tcPr>
            <w:tcW w:w="2552" w:type="dxa"/>
          </w:tcPr>
          <w:p w14:paraId="216BE4F2" w14:textId="77777777" w:rsidR="009A1EBC" w:rsidRPr="00AD0058" w:rsidRDefault="009A1EBC" w:rsidP="009A1EB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AD0058">
              <w:rPr>
                <w:rFonts w:asciiTheme="minorHAnsi" w:hAnsiTheme="minorHAnsi" w:cstheme="minorHAnsi"/>
                <w:noProof/>
                <w:sz w:val="22"/>
                <w:szCs w:val="22"/>
              </w:rPr>
              <w:t>Montessori College Nijmegen (3)</w:t>
            </w:r>
          </w:p>
        </w:tc>
      </w:tr>
      <w:tr w:rsidR="009A1EBC" w:rsidRPr="00533BF3" w14:paraId="3B338638" w14:textId="77777777" w:rsidTr="00E22C5F">
        <w:trPr>
          <w:trHeight w:val="355"/>
        </w:trPr>
        <w:tc>
          <w:tcPr>
            <w:cnfStyle w:val="001000000000" w:firstRow="0" w:lastRow="0" w:firstColumn="1" w:lastColumn="0" w:oddVBand="0" w:evenVBand="0" w:oddHBand="0" w:evenHBand="0" w:firstRowFirstColumn="0" w:firstRowLastColumn="0" w:lastRowFirstColumn="0" w:lastRowLastColumn="0"/>
            <w:tcW w:w="1757" w:type="dxa"/>
          </w:tcPr>
          <w:p w14:paraId="44039132" w14:textId="77777777" w:rsidR="009A1EBC" w:rsidRPr="00AD0058" w:rsidRDefault="009A1EBC" w:rsidP="009A1EBC">
            <w:pPr>
              <w:rPr>
                <w:rFonts w:asciiTheme="minorHAnsi" w:hAnsiTheme="minorHAnsi" w:cstheme="minorHAnsi"/>
                <w:noProof/>
                <w:sz w:val="22"/>
                <w:szCs w:val="22"/>
              </w:rPr>
            </w:pPr>
            <w:r w:rsidRPr="00AD0058">
              <w:rPr>
                <w:rFonts w:asciiTheme="minorHAnsi" w:hAnsiTheme="minorHAnsi" w:cstheme="minorHAnsi"/>
                <w:noProof/>
                <w:sz w:val="22"/>
                <w:szCs w:val="22"/>
              </w:rPr>
              <w:t>R3</w:t>
            </w:r>
          </w:p>
        </w:tc>
        <w:tc>
          <w:tcPr>
            <w:tcW w:w="2349" w:type="dxa"/>
          </w:tcPr>
          <w:p w14:paraId="57E600E2" w14:textId="77777777" w:rsidR="009A1EBC" w:rsidRPr="00AD0058" w:rsidRDefault="009A1EBC" w:rsidP="009A1EB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AD0058">
              <w:rPr>
                <w:rFonts w:asciiTheme="minorHAnsi" w:hAnsiTheme="minorHAnsi" w:cstheme="minorHAnsi"/>
                <w:noProof/>
                <w:sz w:val="22"/>
                <w:szCs w:val="22"/>
              </w:rPr>
              <w:t>Het Stedelijk Vakcollege Enschede</w:t>
            </w:r>
          </w:p>
        </w:tc>
        <w:tc>
          <w:tcPr>
            <w:tcW w:w="2268" w:type="dxa"/>
          </w:tcPr>
          <w:p w14:paraId="2DBCB026" w14:textId="77777777" w:rsidR="009A1EBC" w:rsidRPr="00AD0058" w:rsidRDefault="009A1EBC" w:rsidP="009A1EB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AD0058">
              <w:rPr>
                <w:rFonts w:asciiTheme="minorHAnsi" w:hAnsiTheme="minorHAnsi" w:cstheme="minorHAnsi"/>
                <w:noProof/>
                <w:sz w:val="22"/>
                <w:szCs w:val="22"/>
              </w:rPr>
              <w:t>Hoofd inkoop</w:t>
            </w:r>
          </w:p>
        </w:tc>
        <w:tc>
          <w:tcPr>
            <w:tcW w:w="1701" w:type="dxa"/>
          </w:tcPr>
          <w:p w14:paraId="3ABE77AC" w14:textId="77777777" w:rsidR="009A1EBC" w:rsidRPr="00AD0058" w:rsidRDefault="009A1EBC" w:rsidP="009A1EB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AD0058">
              <w:rPr>
                <w:rFonts w:asciiTheme="minorHAnsi" w:hAnsiTheme="minorHAnsi" w:cstheme="minorHAnsi"/>
                <w:noProof/>
                <w:sz w:val="22"/>
                <w:szCs w:val="22"/>
              </w:rPr>
              <w:t>Openbaar</w:t>
            </w:r>
          </w:p>
        </w:tc>
        <w:tc>
          <w:tcPr>
            <w:tcW w:w="2552" w:type="dxa"/>
          </w:tcPr>
          <w:p w14:paraId="3801E178" w14:textId="77777777" w:rsidR="009A1EBC" w:rsidRPr="00AD0058" w:rsidRDefault="009A1EBC" w:rsidP="009A1EB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AD0058">
              <w:rPr>
                <w:rFonts w:asciiTheme="minorHAnsi" w:hAnsiTheme="minorHAnsi" w:cstheme="minorHAnsi"/>
                <w:noProof/>
                <w:sz w:val="22"/>
                <w:szCs w:val="22"/>
              </w:rPr>
              <w:t>Stichting Het Stedelijk Lyceum Enschede (7)</w:t>
            </w:r>
          </w:p>
        </w:tc>
      </w:tr>
      <w:tr w:rsidR="009A1EBC" w:rsidRPr="00E42062" w14:paraId="52E0570B" w14:textId="77777777" w:rsidTr="00E22C5F">
        <w:trPr>
          <w:trHeight w:val="450"/>
        </w:trPr>
        <w:tc>
          <w:tcPr>
            <w:cnfStyle w:val="001000000000" w:firstRow="0" w:lastRow="0" w:firstColumn="1" w:lastColumn="0" w:oddVBand="0" w:evenVBand="0" w:oddHBand="0" w:evenHBand="0" w:firstRowFirstColumn="0" w:firstRowLastColumn="0" w:lastRowFirstColumn="0" w:lastRowLastColumn="0"/>
            <w:tcW w:w="1757" w:type="dxa"/>
          </w:tcPr>
          <w:p w14:paraId="42B0F314" w14:textId="77777777" w:rsidR="009A1EBC" w:rsidRPr="00AD0058" w:rsidRDefault="009A1EBC" w:rsidP="009A1EBC">
            <w:pPr>
              <w:rPr>
                <w:rFonts w:asciiTheme="minorHAnsi" w:hAnsiTheme="minorHAnsi" w:cstheme="minorHAnsi"/>
                <w:noProof/>
                <w:sz w:val="22"/>
                <w:szCs w:val="22"/>
              </w:rPr>
            </w:pPr>
            <w:r w:rsidRPr="00AD0058">
              <w:rPr>
                <w:rFonts w:asciiTheme="minorHAnsi" w:hAnsiTheme="minorHAnsi" w:cstheme="minorHAnsi"/>
                <w:noProof/>
                <w:sz w:val="22"/>
                <w:szCs w:val="22"/>
              </w:rPr>
              <w:t>R4</w:t>
            </w:r>
          </w:p>
        </w:tc>
        <w:tc>
          <w:tcPr>
            <w:tcW w:w="2349" w:type="dxa"/>
          </w:tcPr>
          <w:p w14:paraId="196A0CDA" w14:textId="77777777" w:rsidR="009A1EBC" w:rsidRPr="00AD0058" w:rsidRDefault="009A1EBC" w:rsidP="009A1EB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AD0058">
              <w:rPr>
                <w:rFonts w:asciiTheme="minorHAnsi" w:hAnsiTheme="minorHAnsi" w:cstheme="minorHAnsi"/>
                <w:noProof/>
                <w:sz w:val="22"/>
                <w:szCs w:val="22"/>
              </w:rPr>
              <w:t>Thorbecke Scholengemeenschap,</w:t>
            </w:r>
          </w:p>
          <w:p w14:paraId="147BBEB8" w14:textId="77777777" w:rsidR="009A1EBC" w:rsidRPr="00AD0058" w:rsidRDefault="009A1EBC" w:rsidP="009A1EB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AD0058">
              <w:rPr>
                <w:rFonts w:asciiTheme="minorHAnsi" w:hAnsiTheme="minorHAnsi" w:cstheme="minorHAnsi"/>
                <w:noProof/>
                <w:sz w:val="22"/>
                <w:szCs w:val="22"/>
              </w:rPr>
              <w:t>locatie Heesweg</w:t>
            </w:r>
          </w:p>
        </w:tc>
        <w:tc>
          <w:tcPr>
            <w:tcW w:w="2268" w:type="dxa"/>
          </w:tcPr>
          <w:p w14:paraId="6A50632C" w14:textId="77777777" w:rsidR="009A1EBC" w:rsidRPr="00AD0058" w:rsidRDefault="009A1EBC" w:rsidP="009A1EB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AD0058">
              <w:rPr>
                <w:rFonts w:asciiTheme="minorHAnsi" w:hAnsiTheme="minorHAnsi" w:cstheme="minorHAnsi"/>
                <w:noProof/>
                <w:sz w:val="22"/>
                <w:szCs w:val="22"/>
              </w:rPr>
              <w:t>Hoofd ICT Inrichting</w:t>
            </w:r>
          </w:p>
        </w:tc>
        <w:tc>
          <w:tcPr>
            <w:tcW w:w="1701" w:type="dxa"/>
          </w:tcPr>
          <w:p w14:paraId="28F97005" w14:textId="77777777" w:rsidR="009A1EBC" w:rsidRPr="00AD0058" w:rsidRDefault="009A1EBC" w:rsidP="009A1EB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AD0058">
              <w:rPr>
                <w:rFonts w:asciiTheme="minorHAnsi" w:hAnsiTheme="minorHAnsi" w:cstheme="minorHAnsi"/>
                <w:noProof/>
                <w:sz w:val="22"/>
                <w:szCs w:val="22"/>
              </w:rPr>
              <w:t>Openbaar</w:t>
            </w:r>
          </w:p>
        </w:tc>
        <w:tc>
          <w:tcPr>
            <w:tcW w:w="2552" w:type="dxa"/>
          </w:tcPr>
          <w:p w14:paraId="044B2BEA" w14:textId="77777777" w:rsidR="009A1EBC" w:rsidRPr="00AD0058" w:rsidRDefault="009A1EBC" w:rsidP="009A1EB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AD0058">
              <w:rPr>
                <w:rFonts w:asciiTheme="minorHAnsi" w:hAnsiTheme="minorHAnsi" w:cstheme="minorHAnsi"/>
                <w:noProof/>
                <w:sz w:val="22"/>
                <w:szCs w:val="22"/>
              </w:rPr>
              <w:t>Thorbecke SG (2)</w:t>
            </w:r>
          </w:p>
        </w:tc>
      </w:tr>
      <w:tr w:rsidR="009A1EBC" w:rsidRPr="00533BF3" w14:paraId="448BC596" w14:textId="77777777" w:rsidTr="00E22C5F">
        <w:trPr>
          <w:trHeight w:val="464"/>
        </w:trPr>
        <w:tc>
          <w:tcPr>
            <w:cnfStyle w:val="001000000000" w:firstRow="0" w:lastRow="0" w:firstColumn="1" w:lastColumn="0" w:oddVBand="0" w:evenVBand="0" w:oddHBand="0" w:evenHBand="0" w:firstRowFirstColumn="0" w:firstRowLastColumn="0" w:lastRowFirstColumn="0" w:lastRowLastColumn="0"/>
            <w:tcW w:w="1757" w:type="dxa"/>
          </w:tcPr>
          <w:p w14:paraId="03783331" w14:textId="77777777" w:rsidR="009A1EBC" w:rsidRPr="00AD0058" w:rsidRDefault="009A1EBC" w:rsidP="009A1EBC">
            <w:pPr>
              <w:rPr>
                <w:rFonts w:asciiTheme="minorHAnsi" w:hAnsiTheme="minorHAnsi" w:cstheme="minorHAnsi"/>
                <w:noProof/>
                <w:sz w:val="22"/>
                <w:szCs w:val="22"/>
              </w:rPr>
            </w:pPr>
            <w:r w:rsidRPr="00AD0058">
              <w:rPr>
                <w:rFonts w:asciiTheme="minorHAnsi" w:hAnsiTheme="minorHAnsi" w:cstheme="minorHAnsi"/>
                <w:noProof/>
                <w:sz w:val="22"/>
                <w:szCs w:val="22"/>
              </w:rPr>
              <w:t>R5</w:t>
            </w:r>
          </w:p>
        </w:tc>
        <w:tc>
          <w:tcPr>
            <w:tcW w:w="2349" w:type="dxa"/>
          </w:tcPr>
          <w:p w14:paraId="35508B62" w14:textId="77777777" w:rsidR="009A1EBC" w:rsidRPr="00AD0058" w:rsidRDefault="009A1EBC" w:rsidP="009A1EB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AD0058">
              <w:rPr>
                <w:rFonts w:asciiTheme="minorHAnsi" w:hAnsiTheme="minorHAnsi" w:cstheme="minorHAnsi"/>
                <w:noProof/>
                <w:sz w:val="22"/>
                <w:szCs w:val="22"/>
              </w:rPr>
              <w:t>De Noordgouw Heerde</w:t>
            </w:r>
          </w:p>
        </w:tc>
        <w:tc>
          <w:tcPr>
            <w:tcW w:w="2268" w:type="dxa"/>
          </w:tcPr>
          <w:p w14:paraId="6E000B5C" w14:textId="77777777" w:rsidR="009A1EBC" w:rsidRPr="00AD0058" w:rsidRDefault="009A1EBC" w:rsidP="009A1EB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AD0058">
              <w:rPr>
                <w:rFonts w:asciiTheme="minorHAnsi" w:hAnsiTheme="minorHAnsi" w:cstheme="minorHAnsi"/>
                <w:noProof/>
                <w:sz w:val="22"/>
                <w:szCs w:val="22"/>
              </w:rPr>
              <w:t>Directielid (Faciliteiten en inkoop)</w:t>
            </w:r>
          </w:p>
        </w:tc>
        <w:tc>
          <w:tcPr>
            <w:tcW w:w="1701" w:type="dxa"/>
          </w:tcPr>
          <w:p w14:paraId="12C0C3AF" w14:textId="77777777" w:rsidR="009A1EBC" w:rsidRPr="00AD0058" w:rsidRDefault="009A1EBC" w:rsidP="009A1EB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AD0058">
              <w:rPr>
                <w:rFonts w:asciiTheme="minorHAnsi" w:hAnsiTheme="minorHAnsi" w:cstheme="minorHAnsi"/>
                <w:noProof/>
                <w:sz w:val="22"/>
                <w:szCs w:val="22"/>
              </w:rPr>
              <w:t>Protestants-Christelijk</w:t>
            </w:r>
          </w:p>
        </w:tc>
        <w:tc>
          <w:tcPr>
            <w:tcW w:w="2552" w:type="dxa"/>
          </w:tcPr>
          <w:p w14:paraId="081FBC69" w14:textId="77777777" w:rsidR="009A1EBC" w:rsidRPr="00AD0058" w:rsidRDefault="009A1EBC" w:rsidP="009A1EB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AD0058">
              <w:rPr>
                <w:rFonts w:asciiTheme="minorHAnsi" w:hAnsiTheme="minorHAnsi" w:cstheme="minorHAnsi"/>
                <w:noProof/>
                <w:sz w:val="22"/>
                <w:szCs w:val="22"/>
              </w:rPr>
              <w:t>De Stichting voor Christelijk Voortgezet Onderwijs</w:t>
            </w:r>
          </w:p>
        </w:tc>
      </w:tr>
      <w:tr w:rsidR="009A1EBC" w:rsidRPr="00E42062" w14:paraId="054C5F65" w14:textId="77777777" w:rsidTr="00E22C5F">
        <w:trPr>
          <w:trHeight w:val="446"/>
        </w:trPr>
        <w:tc>
          <w:tcPr>
            <w:cnfStyle w:val="001000000000" w:firstRow="0" w:lastRow="0" w:firstColumn="1" w:lastColumn="0" w:oddVBand="0" w:evenVBand="0" w:oddHBand="0" w:evenHBand="0" w:firstRowFirstColumn="0" w:firstRowLastColumn="0" w:lastRowFirstColumn="0" w:lastRowLastColumn="0"/>
            <w:tcW w:w="1757" w:type="dxa"/>
          </w:tcPr>
          <w:p w14:paraId="4127E33C" w14:textId="77777777" w:rsidR="009A1EBC" w:rsidRPr="00AD0058" w:rsidRDefault="009A1EBC" w:rsidP="009A1EBC">
            <w:pPr>
              <w:rPr>
                <w:rFonts w:asciiTheme="minorHAnsi" w:hAnsiTheme="minorHAnsi" w:cstheme="minorHAnsi"/>
                <w:noProof/>
                <w:sz w:val="22"/>
                <w:szCs w:val="22"/>
              </w:rPr>
            </w:pPr>
            <w:r w:rsidRPr="00AD0058">
              <w:rPr>
                <w:rFonts w:asciiTheme="minorHAnsi" w:hAnsiTheme="minorHAnsi" w:cstheme="minorHAnsi"/>
                <w:noProof/>
                <w:sz w:val="22"/>
                <w:szCs w:val="22"/>
              </w:rPr>
              <w:t>R6</w:t>
            </w:r>
          </w:p>
        </w:tc>
        <w:tc>
          <w:tcPr>
            <w:tcW w:w="2349" w:type="dxa"/>
          </w:tcPr>
          <w:p w14:paraId="3245432C" w14:textId="77777777" w:rsidR="009A1EBC" w:rsidRPr="00AD0058" w:rsidRDefault="009A1EBC" w:rsidP="009A1EB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AD0058">
              <w:rPr>
                <w:rFonts w:asciiTheme="minorHAnsi" w:hAnsiTheme="minorHAnsi" w:cstheme="minorHAnsi"/>
                <w:noProof/>
                <w:sz w:val="22"/>
                <w:szCs w:val="22"/>
              </w:rPr>
              <w:t>Bataafs Lyceum-OSG Hengelo</w:t>
            </w:r>
          </w:p>
        </w:tc>
        <w:tc>
          <w:tcPr>
            <w:tcW w:w="2268" w:type="dxa"/>
          </w:tcPr>
          <w:p w14:paraId="262EC8AD" w14:textId="77777777" w:rsidR="009A1EBC" w:rsidRPr="00AD0058" w:rsidRDefault="009A1EBC" w:rsidP="009A1EB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AD0058">
              <w:rPr>
                <w:rFonts w:asciiTheme="minorHAnsi" w:hAnsiTheme="minorHAnsi" w:cstheme="minorHAnsi"/>
                <w:noProof/>
                <w:sz w:val="22"/>
                <w:szCs w:val="22"/>
              </w:rPr>
              <w:t>Hoofd ICT-zaken</w:t>
            </w:r>
          </w:p>
        </w:tc>
        <w:tc>
          <w:tcPr>
            <w:tcW w:w="1701" w:type="dxa"/>
          </w:tcPr>
          <w:p w14:paraId="6BD55895" w14:textId="77777777" w:rsidR="009A1EBC" w:rsidRPr="00AD0058" w:rsidRDefault="009A1EBC" w:rsidP="009A1EB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AD0058">
              <w:rPr>
                <w:rFonts w:asciiTheme="minorHAnsi" w:hAnsiTheme="minorHAnsi" w:cstheme="minorHAnsi"/>
                <w:noProof/>
                <w:sz w:val="22"/>
                <w:szCs w:val="22"/>
              </w:rPr>
              <w:t>Openbaar</w:t>
            </w:r>
          </w:p>
        </w:tc>
        <w:tc>
          <w:tcPr>
            <w:tcW w:w="2552" w:type="dxa"/>
          </w:tcPr>
          <w:p w14:paraId="72B42DC2" w14:textId="77777777" w:rsidR="009A1EBC" w:rsidRPr="00AD0058" w:rsidRDefault="009A1EBC" w:rsidP="009A1EB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AD0058">
              <w:rPr>
                <w:rFonts w:asciiTheme="minorHAnsi" w:hAnsiTheme="minorHAnsi" w:cstheme="minorHAnsi"/>
                <w:noProof/>
                <w:sz w:val="22"/>
                <w:szCs w:val="22"/>
              </w:rPr>
              <w:t>Openbare SG Hengelo (4)</w:t>
            </w:r>
          </w:p>
        </w:tc>
      </w:tr>
      <w:tr w:rsidR="009A1EBC" w:rsidRPr="00E42062" w14:paraId="53BA8E1C" w14:textId="77777777" w:rsidTr="00E22C5F">
        <w:trPr>
          <w:trHeight w:val="437"/>
        </w:trPr>
        <w:tc>
          <w:tcPr>
            <w:cnfStyle w:val="001000000000" w:firstRow="0" w:lastRow="0" w:firstColumn="1" w:lastColumn="0" w:oddVBand="0" w:evenVBand="0" w:oddHBand="0" w:evenHBand="0" w:firstRowFirstColumn="0" w:firstRowLastColumn="0" w:lastRowFirstColumn="0" w:lastRowLastColumn="0"/>
            <w:tcW w:w="1757" w:type="dxa"/>
          </w:tcPr>
          <w:p w14:paraId="5DF4592A" w14:textId="77777777" w:rsidR="009A1EBC" w:rsidRPr="00AD0058" w:rsidRDefault="009A1EBC" w:rsidP="009A1EBC">
            <w:pPr>
              <w:rPr>
                <w:rFonts w:asciiTheme="minorHAnsi" w:hAnsiTheme="minorHAnsi" w:cstheme="minorHAnsi"/>
                <w:noProof/>
                <w:sz w:val="22"/>
                <w:szCs w:val="22"/>
              </w:rPr>
            </w:pPr>
            <w:r w:rsidRPr="00AD0058">
              <w:rPr>
                <w:rFonts w:asciiTheme="minorHAnsi" w:hAnsiTheme="minorHAnsi" w:cstheme="minorHAnsi"/>
                <w:noProof/>
                <w:sz w:val="22"/>
                <w:szCs w:val="22"/>
              </w:rPr>
              <w:t>R7</w:t>
            </w:r>
          </w:p>
        </w:tc>
        <w:tc>
          <w:tcPr>
            <w:tcW w:w="2349" w:type="dxa"/>
          </w:tcPr>
          <w:p w14:paraId="020D984C" w14:textId="77777777" w:rsidR="009A1EBC" w:rsidRPr="00AD0058" w:rsidRDefault="009A1EBC" w:rsidP="009A1EB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AD0058">
              <w:rPr>
                <w:rFonts w:asciiTheme="minorHAnsi" w:hAnsiTheme="minorHAnsi" w:cstheme="minorHAnsi"/>
                <w:noProof/>
                <w:sz w:val="22"/>
                <w:szCs w:val="22"/>
              </w:rPr>
              <w:t>St. Bonifatiuscollege</w:t>
            </w:r>
          </w:p>
        </w:tc>
        <w:tc>
          <w:tcPr>
            <w:tcW w:w="2268" w:type="dxa"/>
          </w:tcPr>
          <w:p w14:paraId="5E984EA2" w14:textId="77777777" w:rsidR="009A1EBC" w:rsidRPr="00AD0058" w:rsidRDefault="009A1EBC" w:rsidP="009A1EB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AD0058">
              <w:rPr>
                <w:rFonts w:asciiTheme="minorHAnsi" w:hAnsiTheme="minorHAnsi" w:cstheme="minorHAnsi"/>
                <w:noProof/>
                <w:sz w:val="22"/>
                <w:szCs w:val="22"/>
              </w:rPr>
              <w:t>Hoofd facilitaire dienst</w:t>
            </w:r>
          </w:p>
        </w:tc>
        <w:tc>
          <w:tcPr>
            <w:tcW w:w="1701" w:type="dxa"/>
          </w:tcPr>
          <w:p w14:paraId="140D9172" w14:textId="77777777" w:rsidR="009A1EBC" w:rsidRPr="00AD0058" w:rsidRDefault="009A1EBC" w:rsidP="009A1EB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AD0058">
              <w:rPr>
                <w:rFonts w:asciiTheme="minorHAnsi" w:hAnsiTheme="minorHAnsi" w:cstheme="minorHAnsi"/>
                <w:noProof/>
                <w:sz w:val="22"/>
                <w:szCs w:val="22"/>
              </w:rPr>
              <w:t>Rooms-Katholiek</w:t>
            </w:r>
          </w:p>
        </w:tc>
        <w:tc>
          <w:tcPr>
            <w:tcW w:w="2552" w:type="dxa"/>
          </w:tcPr>
          <w:p w14:paraId="67917ECE" w14:textId="77777777" w:rsidR="009A1EBC" w:rsidRPr="00AD0058" w:rsidRDefault="009A1EBC" w:rsidP="009A1EB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AD0058">
              <w:rPr>
                <w:rFonts w:asciiTheme="minorHAnsi" w:hAnsiTheme="minorHAnsi" w:cstheme="minorHAnsi"/>
                <w:noProof/>
                <w:sz w:val="22"/>
                <w:szCs w:val="22"/>
              </w:rPr>
              <w:t>Geen (wel twee vestigingen)</w:t>
            </w:r>
          </w:p>
        </w:tc>
      </w:tr>
      <w:tr w:rsidR="009A1EBC" w:rsidRPr="00E42062" w14:paraId="168996F6" w14:textId="77777777" w:rsidTr="00E22C5F">
        <w:trPr>
          <w:trHeight w:val="344"/>
        </w:trPr>
        <w:tc>
          <w:tcPr>
            <w:cnfStyle w:val="001000000000" w:firstRow="0" w:lastRow="0" w:firstColumn="1" w:lastColumn="0" w:oddVBand="0" w:evenVBand="0" w:oddHBand="0" w:evenHBand="0" w:firstRowFirstColumn="0" w:firstRowLastColumn="0" w:lastRowFirstColumn="0" w:lastRowLastColumn="0"/>
            <w:tcW w:w="1757" w:type="dxa"/>
          </w:tcPr>
          <w:p w14:paraId="36EAA9E1" w14:textId="77777777" w:rsidR="009A1EBC" w:rsidRPr="00AD0058" w:rsidRDefault="009A1EBC" w:rsidP="009A1EBC">
            <w:pPr>
              <w:rPr>
                <w:rFonts w:asciiTheme="minorHAnsi" w:hAnsiTheme="minorHAnsi" w:cstheme="minorHAnsi"/>
                <w:noProof/>
                <w:sz w:val="22"/>
                <w:szCs w:val="22"/>
              </w:rPr>
            </w:pPr>
            <w:r w:rsidRPr="00AD0058">
              <w:rPr>
                <w:rFonts w:asciiTheme="minorHAnsi" w:hAnsiTheme="minorHAnsi" w:cstheme="minorHAnsi"/>
                <w:noProof/>
                <w:sz w:val="22"/>
                <w:szCs w:val="22"/>
              </w:rPr>
              <w:t>R8</w:t>
            </w:r>
          </w:p>
        </w:tc>
        <w:tc>
          <w:tcPr>
            <w:tcW w:w="2349" w:type="dxa"/>
          </w:tcPr>
          <w:p w14:paraId="6383F12E" w14:textId="77777777" w:rsidR="009A1EBC" w:rsidRPr="00AD0058" w:rsidRDefault="009A1EBC" w:rsidP="009A1EB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AD0058">
              <w:rPr>
                <w:rFonts w:asciiTheme="minorHAnsi" w:hAnsiTheme="minorHAnsi" w:cstheme="minorHAnsi"/>
                <w:noProof/>
                <w:sz w:val="22"/>
                <w:szCs w:val="22"/>
              </w:rPr>
              <w:t>Openbaar Lyceum Zeist</w:t>
            </w:r>
          </w:p>
        </w:tc>
        <w:tc>
          <w:tcPr>
            <w:tcW w:w="2268" w:type="dxa"/>
          </w:tcPr>
          <w:p w14:paraId="57C866BF" w14:textId="77777777" w:rsidR="009A1EBC" w:rsidRPr="00AD0058" w:rsidRDefault="009A1EBC" w:rsidP="009A1EB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AD0058">
              <w:rPr>
                <w:rFonts w:asciiTheme="minorHAnsi" w:hAnsiTheme="minorHAnsi" w:cstheme="minorHAnsi"/>
                <w:noProof/>
                <w:sz w:val="22"/>
                <w:szCs w:val="22"/>
              </w:rPr>
              <w:t>Manager Stafbureau</w:t>
            </w:r>
          </w:p>
        </w:tc>
        <w:tc>
          <w:tcPr>
            <w:tcW w:w="1701" w:type="dxa"/>
          </w:tcPr>
          <w:p w14:paraId="3E1AA2F3" w14:textId="77777777" w:rsidR="009A1EBC" w:rsidRPr="00AD0058" w:rsidRDefault="009A1EBC" w:rsidP="009A1EB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AD0058">
              <w:rPr>
                <w:rFonts w:asciiTheme="minorHAnsi" w:hAnsiTheme="minorHAnsi" w:cstheme="minorHAnsi"/>
                <w:noProof/>
                <w:sz w:val="22"/>
                <w:szCs w:val="22"/>
              </w:rPr>
              <w:t>Openbaar</w:t>
            </w:r>
          </w:p>
        </w:tc>
        <w:tc>
          <w:tcPr>
            <w:tcW w:w="2552" w:type="dxa"/>
          </w:tcPr>
          <w:p w14:paraId="1EEA1DE5" w14:textId="77777777" w:rsidR="009A1EBC" w:rsidRPr="00AD0058" w:rsidRDefault="009A1EBC" w:rsidP="009A1EB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AD0058">
              <w:rPr>
                <w:rFonts w:asciiTheme="minorHAnsi" w:hAnsiTheme="minorHAnsi" w:cstheme="minorHAnsi"/>
                <w:noProof/>
                <w:sz w:val="22"/>
                <w:szCs w:val="22"/>
              </w:rPr>
              <w:t>Stichting SG Schoonoord (4)</w:t>
            </w:r>
          </w:p>
        </w:tc>
      </w:tr>
      <w:tr w:rsidR="009A1EBC" w:rsidRPr="00E42062" w14:paraId="1E40E11A" w14:textId="77777777" w:rsidTr="00E22C5F">
        <w:trPr>
          <w:trHeight w:val="491"/>
        </w:trPr>
        <w:tc>
          <w:tcPr>
            <w:cnfStyle w:val="001000000000" w:firstRow="0" w:lastRow="0" w:firstColumn="1" w:lastColumn="0" w:oddVBand="0" w:evenVBand="0" w:oddHBand="0" w:evenHBand="0" w:firstRowFirstColumn="0" w:firstRowLastColumn="0" w:lastRowFirstColumn="0" w:lastRowLastColumn="0"/>
            <w:tcW w:w="1757" w:type="dxa"/>
          </w:tcPr>
          <w:p w14:paraId="37711AC2" w14:textId="77777777" w:rsidR="009A1EBC" w:rsidRPr="00AD0058" w:rsidRDefault="009A1EBC" w:rsidP="009A1EBC">
            <w:pPr>
              <w:rPr>
                <w:rFonts w:asciiTheme="minorHAnsi" w:hAnsiTheme="minorHAnsi" w:cstheme="minorHAnsi"/>
                <w:noProof/>
                <w:sz w:val="22"/>
                <w:szCs w:val="22"/>
              </w:rPr>
            </w:pPr>
            <w:r w:rsidRPr="00AD0058">
              <w:rPr>
                <w:rFonts w:asciiTheme="minorHAnsi" w:hAnsiTheme="minorHAnsi" w:cstheme="minorHAnsi"/>
                <w:noProof/>
                <w:sz w:val="22"/>
                <w:szCs w:val="22"/>
              </w:rPr>
              <w:t>R9</w:t>
            </w:r>
          </w:p>
        </w:tc>
        <w:tc>
          <w:tcPr>
            <w:tcW w:w="2349" w:type="dxa"/>
          </w:tcPr>
          <w:p w14:paraId="091C5195" w14:textId="77777777" w:rsidR="009A1EBC" w:rsidRPr="00AD0058" w:rsidRDefault="009A1EBC" w:rsidP="009A1EB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AD0058">
              <w:rPr>
                <w:rFonts w:asciiTheme="minorHAnsi" w:hAnsiTheme="minorHAnsi" w:cstheme="minorHAnsi"/>
                <w:noProof/>
                <w:sz w:val="22"/>
                <w:szCs w:val="22"/>
              </w:rPr>
              <w:t>De Groene Driehoek</w:t>
            </w:r>
          </w:p>
        </w:tc>
        <w:tc>
          <w:tcPr>
            <w:tcW w:w="2268" w:type="dxa"/>
          </w:tcPr>
          <w:p w14:paraId="1E727116" w14:textId="77777777" w:rsidR="009A1EBC" w:rsidRPr="00AD0058" w:rsidRDefault="009A1EBC" w:rsidP="009A1EB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AD0058">
              <w:rPr>
                <w:rFonts w:asciiTheme="minorHAnsi" w:hAnsiTheme="minorHAnsi" w:cstheme="minorHAnsi"/>
                <w:noProof/>
                <w:sz w:val="22"/>
                <w:szCs w:val="22"/>
              </w:rPr>
              <w:t>Facilitaire &amp; Financiële  dienstverlening en ICT</w:t>
            </w:r>
          </w:p>
        </w:tc>
        <w:tc>
          <w:tcPr>
            <w:tcW w:w="1701" w:type="dxa"/>
          </w:tcPr>
          <w:p w14:paraId="27691610" w14:textId="77777777" w:rsidR="009A1EBC" w:rsidRPr="00AD0058" w:rsidRDefault="009A1EBC" w:rsidP="009A1EB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AD0058">
              <w:rPr>
                <w:rFonts w:asciiTheme="minorHAnsi" w:hAnsiTheme="minorHAnsi" w:cstheme="minorHAnsi"/>
                <w:noProof/>
                <w:sz w:val="22"/>
                <w:szCs w:val="22"/>
              </w:rPr>
              <w:t>Openbaar</w:t>
            </w:r>
          </w:p>
        </w:tc>
        <w:tc>
          <w:tcPr>
            <w:tcW w:w="2552" w:type="dxa"/>
          </w:tcPr>
          <w:p w14:paraId="058018B7" w14:textId="77777777" w:rsidR="009A1EBC" w:rsidRPr="00AD0058" w:rsidRDefault="009A1EBC" w:rsidP="009A1EB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AD0058">
              <w:rPr>
                <w:rFonts w:asciiTheme="minorHAnsi" w:hAnsiTheme="minorHAnsi" w:cstheme="minorHAnsi"/>
                <w:noProof/>
                <w:sz w:val="22"/>
                <w:szCs w:val="22"/>
              </w:rPr>
              <w:t>Regionale SG Wolfsbos (4)</w:t>
            </w:r>
          </w:p>
        </w:tc>
      </w:tr>
      <w:tr w:rsidR="009A1EBC" w:rsidRPr="00E42062" w14:paraId="425895CC" w14:textId="77777777" w:rsidTr="00E22C5F">
        <w:trPr>
          <w:trHeight w:val="401"/>
        </w:trPr>
        <w:tc>
          <w:tcPr>
            <w:cnfStyle w:val="001000000000" w:firstRow="0" w:lastRow="0" w:firstColumn="1" w:lastColumn="0" w:oddVBand="0" w:evenVBand="0" w:oddHBand="0" w:evenHBand="0" w:firstRowFirstColumn="0" w:firstRowLastColumn="0" w:lastRowFirstColumn="0" w:lastRowLastColumn="0"/>
            <w:tcW w:w="1757" w:type="dxa"/>
          </w:tcPr>
          <w:p w14:paraId="3A0853E6" w14:textId="77777777" w:rsidR="009A1EBC" w:rsidRPr="00AD0058" w:rsidRDefault="009A1EBC" w:rsidP="009A1EBC">
            <w:pPr>
              <w:rPr>
                <w:rFonts w:asciiTheme="minorHAnsi" w:hAnsiTheme="minorHAnsi" w:cstheme="minorHAnsi"/>
                <w:noProof/>
                <w:sz w:val="22"/>
                <w:szCs w:val="22"/>
              </w:rPr>
            </w:pPr>
            <w:r w:rsidRPr="00AD0058">
              <w:rPr>
                <w:rFonts w:asciiTheme="minorHAnsi" w:hAnsiTheme="minorHAnsi" w:cstheme="minorHAnsi"/>
                <w:noProof/>
                <w:sz w:val="22"/>
                <w:szCs w:val="22"/>
              </w:rPr>
              <w:lastRenderedPageBreak/>
              <w:t>R10</w:t>
            </w:r>
          </w:p>
        </w:tc>
        <w:tc>
          <w:tcPr>
            <w:tcW w:w="2349" w:type="dxa"/>
          </w:tcPr>
          <w:p w14:paraId="6C8773E5" w14:textId="77777777" w:rsidR="009A1EBC" w:rsidRPr="00AD0058" w:rsidRDefault="009A1EBC" w:rsidP="009A1EB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AD0058">
              <w:rPr>
                <w:rFonts w:asciiTheme="minorHAnsi" w:hAnsiTheme="minorHAnsi" w:cstheme="minorHAnsi"/>
                <w:noProof/>
                <w:sz w:val="22"/>
                <w:szCs w:val="22"/>
              </w:rPr>
              <w:t>Pius X College locatie Rijssen</w:t>
            </w:r>
          </w:p>
        </w:tc>
        <w:tc>
          <w:tcPr>
            <w:tcW w:w="2268" w:type="dxa"/>
          </w:tcPr>
          <w:p w14:paraId="23761420" w14:textId="77777777" w:rsidR="009A1EBC" w:rsidRPr="00AD0058" w:rsidRDefault="009A1EBC" w:rsidP="009A1EB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AD0058">
              <w:rPr>
                <w:rFonts w:asciiTheme="minorHAnsi" w:hAnsiTheme="minorHAnsi" w:cstheme="minorHAnsi"/>
                <w:noProof/>
                <w:sz w:val="22"/>
                <w:szCs w:val="22"/>
              </w:rPr>
              <w:t>Directielid (portefeuille inkoop)</w:t>
            </w:r>
          </w:p>
        </w:tc>
        <w:tc>
          <w:tcPr>
            <w:tcW w:w="1701" w:type="dxa"/>
          </w:tcPr>
          <w:p w14:paraId="03EED3E3" w14:textId="77777777" w:rsidR="009A1EBC" w:rsidRPr="00AD0058" w:rsidRDefault="009A1EBC" w:rsidP="009A1EB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AD0058">
              <w:rPr>
                <w:rFonts w:asciiTheme="minorHAnsi" w:hAnsiTheme="minorHAnsi" w:cstheme="minorHAnsi"/>
                <w:noProof/>
                <w:sz w:val="22"/>
                <w:szCs w:val="22"/>
              </w:rPr>
              <w:t>Rooms-Katholiek</w:t>
            </w:r>
          </w:p>
        </w:tc>
        <w:tc>
          <w:tcPr>
            <w:tcW w:w="2552" w:type="dxa"/>
          </w:tcPr>
          <w:p w14:paraId="7C437125" w14:textId="77777777" w:rsidR="009A1EBC" w:rsidRPr="00AD0058" w:rsidRDefault="009A1EBC" w:rsidP="009A1EB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AD0058">
              <w:rPr>
                <w:rFonts w:asciiTheme="minorHAnsi" w:hAnsiTheme="minorHAnsi" w:cstheme="minorHAnsi"/>
                <w:noProof/>
                <w:sz w:val="22"/>
                <w:szCs w:val="22"/>
              </w:rPr>
              <w:t>Pius X College (3)</w:t>
            </w:r>
          </w:p>
        </w:tc>
      </w:tr>
      <w:tr w:rsidR="009A1EBC" w:rsidRPr="00E42062" w14:paraId="6F8ABD65" w14:textId="77777777" w:rsidTr="00E22C5F">
        <w:trPr>
          <w:trHeight w:val="437"/>
        </w:trPr>
        <w:tc>
          <w:tcPr>
            <w:cnfStyle w:val="001000000000" w:firstRow="0" w:lastRow="0" w:firstColumn="1" w:lastColumn="0" w:oddVBand="0" w:evenVBand="0" w:oddHBand="0" w:evenHBand="0" w:firstRowFirstColumn="0" w:firstRowLastColumn="0" w:lastRowFirstColumn="0" w:lastRowLastColumn="0"/>
            <w:tcW w:w="1757" w:type="dxa"/>
          </w:tcPr>
          <w:p w14:paraId="5B77889A" w14:textId="77777777" w:rsidR="009A1EBC" w:rsidRPr="00AD0058" w:rsidRDefault="009A1EBC" w:rsidP="009A1EBC">
            <w:pPr>
              <w:rPr>
                <w:rFonts w:asciiTheme="minorHAnsi" w:hAnsiTheme="minorHAnsi" w:cstheme="minorHAnsi"/>
                <w:noProof/>
                <w:sz w:val="22"/>
                <w:szCs w:val="22"/>
              </w:rPr>
            </w:pPr>
            <w:r w:rsidRPr="00AD0058">
              <w:rPr>
                <w:rFonts w:asciiTheme="minorHAnsi" w:hAnsiTheme="minorHAnsi" w:cstheme="minorHAnsi"/>
                <w:noProof/>
                <w:sz w:val="22"/>
                <w:szCs w:val="22"/>
              </w:rPr>
              <w:t>R11</w:t>
            </w:r>
          </w:p>
        </w:tc>
        <w:tc>
          <w:tcPr>
            <w:tcW w:w="2349" w:type="dxa"/>
          </w:tcPr>
          <w:p w14:paraId="13C05F74" w14:textId="77777777" w:rsidR="009A1EBC" w:rsidRPr="00AD0058" w:rsidRDefault="009A1EBC" w:rsidP="009A1EB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AD0058">
              <w:rPr>
                <w:rFonts w:asciiTheme="minorHAnsi" w:hAnsiTheme="minorHAnsi" w:cstheme="minorHAnsi"/>
                <w:noProof/>
                <w:sz w:val="22"/>
                <w:szCs w:val="22"/>
              </w:rPr>
              <w:t>Jacobus Fruytier SG, locatie Rijssen</w:t>
            </w:r>
          </w:p>
        </w:tc>
        <w:tc>
          <w:tcPr>
            <w:tcW w:w="2268" w:type="dxa"/>
          </w:tcPr>
          <w:p w14:paraId="561AA102" w14:textId="77777777" w:rsidR="009A1EBC" w:rsidRPr="00AD0058" w:rsidRDefault="009A1EBC" w:rsidP="009A1EB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AD0058">
              <w:rPr>
                <w:rFonts w:asciiTheme="minorHAnsi" w:hAnsiTheme="minorHAnsi" w:cstheme="minorHAnsi"/>
                <w:noProof/>
                <w:sz w:val="22"/>
                <w:szCs w:val="22"/>
              </w:rPr>
              <w:t>Hoofd inkoop</w:t>
            </w:r>
          </w:p>
        </w:tc>
        <w:tc>
          <w:tcPr>
            <w:tcW w:w="1701" w:type="dxa"/>
          </w:tcPr>
          <w:p w14:paraId="569FA896" w14:textId="77777777" w:rsidR="009A1EBC" w:rsidRPr="00AD0058" w:rsidRDefault="009A1EBC" w:rsidP="009A1EB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AD0058">
              <w:rPr>
                <w:rFonts w:asciiTheme="minorHAnsi" w:hAnsiTheme="minorHAnsi" w:cstheme="minorHAnsi"/>
                <w:noProof/>
                <w:sz w:val="22"/>
                <w:szCs w:val="22"/>
              </w:rPr>
              <w:t>Reformatorisch</w:t>
            </w:r>
          </w:p>
        </w:tc>
        <w:tc>
          <w:tcPr>
            <w:tcW w:w="2552" w:type="dxa"/>
          </w:tcPr>
          <w:p w14:paraId="46135AAF" w14:textId="77777777" w:rsidR="009A1EBC" w:rsidRPr="00AD0058" w:rsidRDefault="009A1EBC" w:rsidP="009A1EB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AD0058">
              <w:rPr>
                <w:rFonts w:asciiTheme="minorHAnsi" w:hAnsiTheme="minorHAnsi" w:cstheme="minorHAnsi"/>
                <w:noProof/>
                <w:sz w:val="22"/>
                <w:szCs w:val="22"/>
              </w:rPr>
              <w:t>Jacobus Fruytier SG (4)</w:t>
            </w:r>
          </w:p>
        </w:tc>
      </w:tr>
    </w:tbl>
    <w:p w14:paraId="2B49C90C" w14:textId="2AB056BE" w:rsidR="007E665C" w:rsidRPr="00F50506" w:rsidRDefault="007E665C" w:rsidP="00F50506">
      <w:pPr>
        <w:pStyle w:val="Caption"/>
      </w:pPr>
      <w:r w:rsidRPr="00F50506">
        <w:t xml:space="preserve"> Tabel </w:t>
      </w:r>
      <w:r w:rsidR="0040657F">
        <w:t>7</w:t>
      </w:r>
      <w:r w:rsidRPr="00F50506">
        <w:t>:</w:t>
      </w:r>
      <w:r w:rsidR="00F50506" w:rsidRPr="00F50506">
        <w:t xml:space="preserve"> </w:t>
      </w:r>
      <w:r w:rsidRPr="00F50506">
        <w:t xml:space="preserve">Weergave van identificatiecode van respondenten per onderwijsinstelling </w:t>
      </w:r>
    </w:p>
    <w:p w14:paraId="1C6678B2" w14:textId="5DA6D11D" w:rsidR="007E665C" w:rsidRPr="00E42062" w:rsidRDefault="007E665C" w:rsidP="007E665C">
      <w:pPr>
        <w:pStyle w:val="NoSpacing"/>
        <w:spacing w:line="276" w:lineRule="auto"/>
        <w:rPr>
          <w:noProof/>
        </w:rPr>
      </w:pPr>
      <w:r w:rsidRPr="00E42062">
        <w:rPr>
          <w:noProof/>
        </w:rPr>
        <w:t xml:space="preserve">Tabel </w:t>
      </w:r>
      <w:r w:rsidR="0040657F">
        <w:rPr>
          <w:noProof/>
        </w:rPr>
        <w:t>8</w:t>
      </w:r>
      <w:r w:rsidRPr="00E42062">
        <w:rPr>
          <w:noProof/>
        </w:rPr>
        <w:t xml:space="preserve"> geeft het profiel van de scholen weer. In kolom 1 van tabel </w:t>
      </w:r>
      <w:r w:rsidR="0040657F">
        <w:rPr>
          <w:noProof/>
        </w:rPr>
        <w:t>8</w:t>
      </w:r>
      <w:r w:rsidRPr="00E42062">
        <w:rPr>
          <w:noProof/>
        </w:rPr>
        <w:t xml:space="preserve"> in het onderscheid gemaakt tussen de respondenten aan de hand van de identificatiecodes. In kolom twee worden de belangrijkste waarden en visie per onderwijsinstelling weergegeven. Daarnaast geeft het tabel kort weer wie er verantwoordelijk is voor de inkoop. In dit tabel is met name aandacht voor de betekenis van inkoop voor de scholen en de mate waarin zij aandacht voor hebben.  </w:t>
      </w:r>
    </w:p>
    <w:p w14:paraId="2230FD3D" w14:textId="77777777" w:rsidR="007E665C" w:rsidRPr="00E42062" w:rsidRDefault="007E665C" w:rsidP="007E665C">
      <w:pPr>
        <w:pStyle w:val="NoSpacing"/>
        <w:spacing w:line="276" w:lineRule="auto"/>
        <w:rPr>
          <w:noProof/>
        </w:rPr>
      </w:pPr>
    </w:p>
    <w:tbl>
      <w:tblPr>
        <w:tblStyle w:val="GridTable1Light"/>
        <w:tblW w:w="10627" w:type="dxa"/>
        <w:tblLook w:val="04A0" w:firstRow="1" w:lastRow="0" w:firstColumn="1" w:lastColumn="0" w:noHBand="0" w:noVBand="1"/>
      </w:tblPr>
      <w:tblGrid>
        <w:gridCol w:w="1757"/>
        <w:gridCol w:w="8870"/>
      </w:tblGrid>
      <w:tr w:rsidR="007E665C" w:rsidRPr="00E42062" w14:paraId="58EF8217" w14:textId="77777777" w:rsidTr="00E22C5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57" w:type="dxa"/>
          </w:tcPr>
          <w:p w14:paraId="4C6FC5F5" w14:textId="77777777" w:rsidR="007E665C" w:rsidRPr="00DC719F" w:rsidRDefault="007E665C" w:rsidP="007E665C">
            <w:pPr>
              <w:rPr>
                <w:rFonts w:asciiTheme="minorHAnsi" w:hAnsiTheme="minorHAnsi" w:cstheme="minorHAnsi"/>
                <w:noProof/>
                <w:sz w:val="22"/>
                <w:szCs w:val="20"/>
              </w:rPr>
            </w:pPr>
            <w:r w:rsidRPr="00DC719F">
              <w:rPr>
                <w:rFonts w:asciiTheme="minorHAnsi" w:hAnsiTheme="minorHAnsi" w:cstheme="minorHAnsi"/>
                <w:noProof/>
                <w:sz w:val="22"/>
                <w:szCs w:val="20"/>
              </w:rPr>
              <w:t>Identificatiecode respondent</w:t>
            </w:r>
          </w:p>
        </w:tc>
        <w:tc>
          <w:tcPr>
            <w:tcW w:w="8870" w:type="dxa"/>
          </w:tcPr>
          <w:p w14:paraId="770A15B4" w14:textId="77777777" w:rsidR="007E665C" w:rsidRPr="00DC719F" w:rsidRDefault="007E665C" w:rsidP="007E665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noProof/>
                <w:sz w:val="22"/>
                <w:szCs w:val="20"/>
              </w:rPr>
            </w:pPr>
            <w:r w:rsidRPr="00DC719F">
              <w:rPr>
                <w:rFonts w:asciiTheme="minorHAnsi" w:hAnsiTheme="minorHAnsi" w:cstheme="minorHAnsi"/>
                <w:noProof/>
                <w:sz w:val="22"/>
                <w:szCs w:val="20"/>
              </w:rPr>
              <w:t xml:space="preserve">Profiel van de school </w:t>
            </w:r>
          </w:p>
        </w:tc>
      </w:tr>
      <w:tr w:rsidR="007E665C" w:rsidRPr="00533BF3" w14:paraId="0AB752E1" w14:textId="77777777" w:rsidTr="00E22C5F">
        <w:tc>
          <w:tcPr>
            <w:cnfStyle w:val="001000000000" w:firstRow="0" w:lastRow="0" w:firstColumn="1" w:lastColumn="0" w:oddVBand="0" w:evenVBand="0" w:oddHBand="0" w:evenHBand="0" w:firstRowFirstColumn="0" w:firstRowLastColumn="0" w:lastRowFirstColumn="0" w:lastRowLastColumn="0"/>
            <w:tcW w:w="1757" w:type="dxa"/>
          </w:tcPr>
          <w:p w14:paraId="775E952D" w14:textId="77777777" w:rsidR="007E665C" w:rsidRPr="00DC719F" w:rsidRDefault="007E665C" w:rsidP="007E665C">
            <w:pPr>
              <w:rPr>
                <w:rFonts w:asciiTheme="minorHAnsi" w:hAnsiTheme="minorHAnsi" w:cstheme="minorHAnsi"/>
                <w:noProof/>
                <w:sz w:val="22"/>
                <w:szCs w:val="20"/>
              </w:rPr>
            </w:pPr>
            <w:r w:rsidRPr="00DC719F">
              <w:rPr>
                <w:rFonts w:asciiTheme="minorHAnsi" w:hAnsiTheme="minorHAnsi" w:cstheme="minorHAnsi"/>
                <w:noProof/>
                <w:sz w:val="22"/>
                <w:szCs w:val="20"/>
              </w:rPr>
              <w:t>R1</w:t>
            </w:r>
          </w:p>
        </w:tc>
        <w:tc>
          <w:tcPr>
            <w:tcW w:w="8870" w:type="dxa"/>
          </w:tcPr>
          <w:p w14:paraId="028DE3FA" w14:textId="77777777" w:rsidR="007E665C" w:rsidRPr="00DC719F"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0"/>
              </w:rPr>
            </w:pPr>
            <w:r w:rsidRPr="00DC719F">
              <w:rPr>
                <w:rFonts w:asciiTheme="minorHAnsi" w:hAnsiTheme="minorHAnsi" w:cstheme="minorHAnsi"/>
                <w:noProof/>
                <w:sz w:val="22"/>
                <w:szCs w:val="20"/>
              </w:rPr>
              <w:t xml:space="preserve">Dit is een cultuurprofielschool met onderwijs in vijf verschillende richtingen. </w:t>
            </w:r>
          </w:p>
          <w:p w14:paraId="186F8E6B" w14:textId="77777777" w:rsidR="007E665C" w:rsidRPr="00DC719F"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0"/>
              </w:rPr>
            </w:pPr>
            <w:r w:rsidRPr="00DC719F">
              <w:rPr>
                <w:rFonts w:asciiTheme="minorHAnsi" w:hAnsiTheme="minorHAnsi" w:cstheme="minorHAnsi"/>
                <w:b/>
                <w:noProof/>
                <w:sz w:val="22"/>
                <w:szCs w:val="20"/>
              </w:rPr>
              <w:t>Centraal inkoop</w:t>
            </w:r>
            <w:r w:rsidRPr="00DC719F">
              <w:rPr>
                <w:rFonts w:asciiTheme="minorHAnsi" w:hAnsiTheme="minorHAnsi" w:cstheme="minorHAnsi"/>
                <w:noProof/>
                <w:sz w:val="22"/>
                <w:szCs w:val="20"/>
              </w:rPr>
              <w:t xml:space="preserve"> wordt uitgevoerd binnen het bedrijfsbureau van Dr. Nassau College en legt verantwoording af aan College van Bestuur. Het bedrijfsbureau is verantwoordelijk voor de inkoopactiviteiten van de vijf openbare scholen.</w:t>
            </w:r>
          </w:p>
        </w:tc>
      </w:tr>
      <w:tr w:rsidR="007E665C" w:rsidRPr="00533BF3" w14:paraId="14AA6A31" w14:textId="77777777" w:rsidTr="00E22C5F">
        <w:tc>
          <w:tcPr>
            <w:cnfStyle w:val="001000000000" w:firstRow="0" w:lastRow="0" w:firstColumn="1" w:lastColumn="0" w:oddVBand="0" w:evenVBand="0" w:oddHBand="0" w:evenHBand="0" w:firstRowFirstColumn="0" w:firstRowLastColumn="0" w:lastRowFirstColumn="0" w:lastRowLastColumn="0"/>
            <w:tcW w:w="1757" w:type="dxa"/>
          </w:tcPr>
          <w:p w14:paraId="35F3281A" w14:textId="77777777" w:rsidR="007E665C" w:rsidRPr="00DC719F" w:rsidRDefault="007E665C" w:rsidP="007E665C">
            <w:pPr>
              <w:rPr>
                <w:rFonts w:asciiTheme="minorHAnsi" w:hAnsiTheme="minorHAnsi" w:cstheme="minorHAnsi"/>
                <w:noProof/>
                <w:sz w:val="22"/>
                <w:szCs w:val="20"/>
              </w:rPr>
            </w:pPr>
            <w:r w:rsidRPr="00DC719F">
              <w:rPr>
                <w:rFonts w:asciiTheme="minorHAnsi" w:hAnsiTheme="minorHAnsi" w:cstheme="minorHAnsi"/>
                <w:noProof/>
                <w:sz w:val="22"/>
                <w:szCs w:val="20"/>
              </w:rPr>
              <w:t>R2</w:t>
            </w:r>
          </w:p>
        </w:tc>
        <w:tc>
          <w:tcPr>
            <w:tcW w:w="8870" w:type="dxa"/>
          </w:tcPr>
          <w:p w14:paraId="4C564749" w14:textId="77777777" w:rsidR="007E665C" w:rsidRPr="00DC719F"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0"/>
              </w:rPr>
            </w:pPr>
            <w:r w:rsidRPr="00DC719F">
              <w:rPr>
                <w:rFonts w:asciiTheme="minorHAnsi" w:hAnsiTheme="minorHAnsi" w:cstheme="minorHAnsi"/>
                <w:noProof/>
                <w:sz w:val="22"/>
                <w:szCs w:val="20"/>
              </w:rPr>
              <w:t xml:space="preserve">Deze school biedt Montessorionderwijs in lessen van 70 minuten met iedere dag keuzewerktijden en individuele trajecten. Sinds kort is de ‘Bring your own device’ werkwijze geïntroduceerd. </w:t>
            </w:r>
          </w:p>
          <w:p w14:paraId="24F98D31" w14:textId="77777777" w:rsidR="007E665C" w:rsidRPr="00DC719F"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0"/>
              </w:rPr>
            </w:pPr>
            <w:r w:rsidRPr="00DC719F">
              <w:rPr>
                <w:rFonts w:asciiTheme="minorHAnsi" w:hAnsiTheme="minorHAnsi" w:cstheme="minorHAnsi"/>
                <w:noProof/>
                <w:sz w:val="22"/>
                <w:szCs w:val="20"/>
              </w:rPr>
              <w:t xml:space="preserve">De organisatie van de Montessori College bestaat uit verschillende autonome kernteams die de verantwoordelijk nemen voor het onderwijs. </w:t>
            </w:r>
            <w:r w:rsidRPr="00DC719F">
              <w:rPr>
                <w:rFonts w:asciiTheme="minorHAnsi" w:hAnsiTheme="minorHAnsi" w:cstheme="minorHAnsi"/>
                <w:b/>
                <w:noProof/>
                <w:sz w:val="22"/>
                <w:szCs w:val="20"/>
              </w:rPr>
              <w:t xml:space="preserve">Het kernteam ICT en Facilitair </w:t>
            </w:r>
            <w:r w:rsidRPr="00DC719F">
              <w:rPr>
                <w:rFonts w:asciiTheme="minorHAnsi" w:hAnsiTheme="minorHAnsi" w:cstheme="minorHAnsi"/>
                <w:noProof/>
                <w:sz w:val="22"/>
                <w:szCs w:val="20"/>
              </w:rPr>
              <w:t>is verantwoordelijk voor de inkoop binnen de school.</w:t>
            </w:r>
          </w:p>
        </w:tc>
      </w:tr>
      <w:tr w:rsidR="007E665C" w:rsidRPr="00533BF3" w14:paraId="12838D66" w14:textId="77777777" w:rsidTr="00E22C5F">
        <w:tc>
          <w:tcPr>
            <w:cnfStyle w:val="001000000000" w:firstRow="0" w:lastRow="0" w:firstColumn="1" w:lastColumn="0" w:oddVBand="0" w:evenVBand="0" w:oddHBand="0" w:evenHBand="0" w:firstRowFirstColumn="0" w:firstRowLastColumn="0" w:lastRowFirstColumn="0" w:lastRowLastColumn="0"/>
            <w:tcW w:w="1757" w:type="dxa"/>
          </w:tcPr>
          <w:p w14:paraId="68B8A806" w14:textId="77777777" w:rsidR="007E665C" w:rsidRPr="00DC719F" w:rsidRDefault="007E665C" w:rsidP="007E665C">
            <w:pPr>
              <w:rPr>
                <w:rFonts w:asciiTheme="minorHAnsi" w:hAnsiTheme="minorHAnsi" w:cstheme="minorHAnsi"/>
                <w:noProof/>
                <w:sz w:val="22"/>
                <w:szCs w:val="20"/>
              </w:rPr>
            </w:pPr>
            <w:r w:rsidRPr="00DC719F">
              <w:rPr>
                <w:rFonts w:asciiTheme="minorHAnsi" w:hAnsiTheme="minorHAnsi" w:cstheme="minorHAnsi"/>
                <w:noProof/>
                <w:sz w:val="22"/>
                <w:szCs w:val="20"/>
              </w:rPr>
              <w:t>R3</w:t>
            </w:r>
          </w:p>
        </w:tc>
        <w:tc>
          <w:tcPr>
            <w:tcW w:w="8870" w:type="dxa"/>
          </w:tcPr>
          <w:p w14:paraId="0F12E04C" w14:textId="77777777" w:rsidR="007E665C" w:rsidRPr="00DC719F"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0"/>
              </w:rPr>
            </w:pPr>
            <w:r w:rsidRPr="00DC719F">
              <w:rPr>
                <w:rFonts w:asciiTheme="minorHAnsi" w:hAnsiTheme="minorHAnsi" w:cstheme="minorHAnsi"/>
                <w:noProof/>
                <w:sz w:val="22"/>
                <w:szCs w:val="20"/>
              </w:rPr>
              <w:t xml:space="preserve">Het vakcollege Enschede biedt praktijkonderwijs en richt zich op een goede relatie met de leerling. </w:t>
            </w:r>
          </w:p>
          <w:p w14:paraId="62338F96" w14:textId="77777777" w:rsidR="007E665C" w:rsidRPr="00DC719F"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0"/>
              </w:rPr>
            </w:pPr>
            <w:r w:rsidRPr="00DC719F">
              <w:rPr>
                <w:rFonts w:asciiTheme="minorHAnsi" w:hAnsiTheme="minorHAnsi" w:cstheme="minorHAnsi"/>
                <w:noProof/>
                <w:sz w:val="22"/>
                <w:szCs w:val="20"/>
              </w:rPr>
              <w:t xml:space="preserve">Binnen deze school bestaat er veel aandacht voor beroepsgerichte vakken en praktijkonderwijs. </w:t>
            </w:r>
          </w:p>
          <w:p w14:paraId="6F184E5F" w14:textId="77777777" w:rsidR="007E665C" w:rsidRPr="00DC719F"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0"/>
              </w:rPr>
            </w:pPr>
            <w:r w:rsidRPr="00DC719F">
              <w:rPr>
                <w:rFonts w:asciiTheme="minorHAnsi" w:hAnsiTheme="minorHAnsi" w:cstheme="minorHAnsi"/>
                <w:noProof/>
                <w:sz w:val="22"/>
                <w:szCs w:val="20"/>
              </w:rPr>
              <w:t xml:space="preserve">Het Stedelijk Vakcollege is aangesloten bij de </w:t>
            </w:r>
            <w:r w:rsidRPr="00DC719F">
              <w:rPr>
                <w:rFonts w:asciiTheme="minorHAnsi" w:hAnsiTheme="minorHAnsi" w:cstheme="minorHAnsi"/>
                <w:b/>
                <w:noProof/>
                <w:sz w:val="22"/>
                <w:szCs w:val="20"/>
              </w:rPr>
              <w:t>landelijke stichting VakcollegeGroep. Zij zijn verantwoordelijk voor de vormgeving van het onderwijs en in sterke mate bepalend</w:t>
            </w:r>
            <w:r w:rsidRPr="00DC719F">
              <w:rPr>
                <w:rFonts w:asciiTheme="minorHAnsi" w:hAnsiTheme="minorHAnsi" w:cstheme="minorHAnsi"/>
                <w:noProof/>
                <w:sz w:val="22"/>
                <w:szCs w:val="20"/>
              </w:rPr>
              <w:t xml:space="preserve"> voor inkoop van leermiddelen.</w:t>
            </w:r>
          </w:p>
        </w:tc>
      </w:tr>
      <w:tr w:rsidR="007E665C" w:rsidRPr="00533BF3" w14:paraId="1408D2C8" w14:textId="77777777" w:rsidTr="00E22C5F">
        <w:tc>
          <w:tcPr>
            <w:cnfStyle w:val="001000000000" w:firstRow="0" w:lastRow="0" w:firstColumn="1" w:lastColumn="0" w:oddVBand="0" w:evenVBand="0" w:oddHBand="0" w:evenHBand="0" w:firstRowFirstColumn="0" w:firstRowLastColumn="0" w:lastRowFirstColumn="0" w:lastRowLastColumn="0"/>
            <w:tcW w:w="1757" w:type="dxa"/>
          </w:tcPr>
          <w:p w14:paraId="5BD43155" w14:textId="77777777" w:rsidR="007E665C" w:rsidRPr="00DC719F" w:rsidRDefault="007E665C" w:rsidP="007E665C">
            <w:pPr>
              <w:rPr>
                <w:rFonts w:asciiTheme="minorHAnsi" w:hAnsiTheme="minorHAnsi" w:cstheme="minorHAnsi"/>
                <w:noProof/>
                <w:sz w:val="22"/>
                <w:szCs w:val="20"/>
              </w:rPr>
            </w:pPr>
            <w:r w:rsidRPr="00DC719F">
              <w:rPr>
                <w:rFonts w:asciiTheme="minorHAnsi" w:hAnsiTheme="minorHAnsi" w:cstheme="minorHAnsi"/>
                <w:noProof/>
                <w:sz w:val="22"/>
                <w:szCs w:val="20"/>
              </w:rPr>
              <w:t>R4</w:t>
            </w:r>
          </w:p>
        </w:tc>
        <w:tc>
          <w:tcPr>
            <w:tcW w:w="8870" w:type="dxa"/>
          </w:tcPr>
          <w:p w14:paraId="76757B51" w14:textId="77777777" w:rsidR="007E665C" w:rsidRPr="00DC719F"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0"/>
              </w:rPr>
            </w:pPr>
            <w:r w:rsidRPr="00DC719F">
              <w:rPr>
                <w:rFonts w:asciiTheme="minorHAnsi" w:hAnsiTheme="minorHAnsi" w:cstheme="minorHAnsi"/>
                <w:noProof/>
                <w:sz w:val="22"/>
                <w:szCs w:val="20"/>
              </w:rPr>
              <w:t xml:space="preserve">Deze onderwijsinstellingen wordt gekenmerkt door een brede oriëntatie op techniek, sport en wetenschap. De inkoopactiviteiten zijn </w:t>
            </w:r>
            <w:r w:rsidRPr="00DC719F">
              <w:rPr>
                <w:rFonts w:asciiTheme="minorHAnsi" w:hAnsiTheme="minorHAnsi" w:cstheme="minorHAnsi"/>
                <w:b/>
                <w:noProof/>
                <w:sz w:val="22"/>
                <w:szCs w:val="20"/>
              </w:rPr>
              <w:t>gecentraliseerd binnen de Thorbecke Scholengemeenschap</w:t>
            </w:r>
            <w:r w:rsidRPr="00DC719F">
              <w:rPr>
                <w:rFonts w:asciiTheme="minorHAnsi" w:hAnsiTheme="minorHAnsi" w:cstheme="minorHAnsi"/>
                <w:noProof/>
                <w:sz w:val="22"/>
                <w:szCs w:val="20"/>
              </w:rPr>
              <w:t xml:space="preserve">. Hier is een team van drie medewerkers verantwoordelijk voor de inkoop, beheer en ondersteuning van ICT. </w:t>
            </w:r>
          </w:p>
        </w:tc>
      </w:tr>
      <w:tr w:rsidR="007E665C" w:rsidRPr="00533BF3" w14:paraId="3A792B0B" w14:textId="77777777" w:rsidTr="00E22C5F">
        <w:tc>
          <w:tcPr>
            <w:cnfStyle w:val="001000000000" w:firstRow="0" w:lastRow="0" w:firstColumn="1" w:lastColumn="0" w:oddVBand="0" w:evenVBand="0" w:oddHBand="0" w:evenHBand="0" w:firstRowFirstColumn="0" w:firstRowLastColumn="0" w:lastRowFirstColumn="0" w:lastRowLastColumn="0"/>
            <w:tcW w:w="1757" w:type="dxa"/>
          </w:tcPr>
          <w:p w14:paraId="318AFBFA" w14:textId="77777777" w:rsidR="007E665C" w:rsidRPr="00DC719F" w:rsidRDefault="007E665C" w:rsidP="007E665C">
            <w:pPr>
              <w:rPr>
                <w:rFonts w:asciiTheme="minorHAnsi" w:hAnsiTheme="minorHAnsi" w:cstheme="minorHAnsi"/>
                <w:noProof/>
                <w:sz w:val="22"/>
                <w:szCs w:val="20"/>
              </w:rPr>
            </w:pPr>
            <w:r w:rsidRPr="00DC719F">
              <w:rPr>
                <w:rFonts w:asciiTheme="minorHAnsi" w:hAnsiTheme="minorHAnsi" w:cstheme="minorHAnsi"/>
                <w:noProof/>
                <w:sz w:val="22"/>
                <w:szCs w:val="20"/>
              </w:rPr>
              <w:t>R5</w:t>
            </w:r>
          </w:p>
        </w:tc>
        <w:tc>
          <w:tcPr>
            <w:tcW w:w="8870" w:type="dxa"/>
          </w:tcPr>
          <w:p w14:paraId="3BF17DF0" w14:textId="77777777" w:rsidR="007E665C" w:rsidRPr="00DC719F"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0"/>
              </w:rPr>
            </w:pPr>
            <w:r w:rsidRPr="00DC719F">
              <w:rPr>
                <w:rFonts w:asciiTheme="minorHAnsi" w:hAnsiTheme="minorHAnsi" w:cstheme="minorHAnsi"/>
                <w:noProof/>
                <w:sz w:val="22"/>
                <w:szCs w:val="20"/>
              </w:rPr>
              <w:t xml:space="preserve">De Noordgouw benadrukt het belang van de ontwikkeling van het individu. In 2016 is er een forse investering gedaan in digitalisering van de school. De organisatie kent verschillende werkgroepen en expertises. Inkoop valt onder de verantwoordelijk van de </w:t>
            </w:r>
            <w:r w:rsidRPr="00DC719F">
              <w:rPr>
                <w:rFonts w:asciiTheme="minorHAnsi" w:hAnsiTheme="minorHAnsi" w:cstheme="minorHAnsi"/>
                <w:b/>
                <w:noProof/>
                <w:sz w:val="22"/>
                <w:szCs w:val="20"/>
              </w:rPr>
              <w:t>directie van de overkoepelende organisatie</w:t>
            </w:r>
            <w:r w:rsidRPr="00DC719F">
              <w:rPr>
                <w:rFonts w:asciiTheme="minorHAnsi" w:hAnsiTheme="minorHAnsi" w:cstheme="minorHAnsi"/>
                <w:noProof/>
                <w:sz w:val="22"/>
                <w:szCs w:val="20"/>
              </w:rPr>
              <w:t xml:space="preserve">. </w:t>
            </w:r>
          </w:p>
        </w:tc>
      </w:tr>
      <w:tr w:rsidR="007E665C" w:rsidRPr="00533BF3" w14:paraId="44072D2F" w14:textId="77777777" w:rsidTr="00E22C5F">
        <w:tc>
          <w:tcPr>
            <w:cnfStyle w:val="001000000000" w:firstRow="0" w:lastRow="0" w:firstColumn="1" w:lastColumn="0" w:oddVBand="0" w:evenVBand="0" w:oddHBand="0" w:evenHBand="0" w:firstRowFirstColumn="0" w:firstRowLastColumn="0" w:lastRowFirstColumn="0" w:lastRowLastColumn="0"/>
            <w:tcW w:w="1757" w:type="dxa"/>
          </w:tcPr>
          <w:p w14:paraId="55750A14" w14:textId="77777777" w:rsidR="007E665C" w:rsidRPr="00DC719F" w:rsidRDefault="007E665C" w:rsidP="007E665C">
            <w:pPr>
              <w:rPr>
                <w:rFonts w:asciiTheme="minorHAnsi" w:hAnsiTheme="minorHAnsi" w:cstheme="minorHAnsi"/>
                <w:noProof/>
                <w:sz w:val="22"/>
                <w:szCs w:val="20"/>
              </w:rPr>
            </w:pPr>
            <w:r w:rsidRPr="00DC719F">
              <w:rPr>
                <w:rFonts w:asciiTheme="minorHAnsi" w:hAnsiTheme="minorHAnsi" w:cstheme="minorHAnsi"/>
                <w:noProof/>
                <w:sz w:val="22"/>
                <w:szCs w:val="20"/>
              </w:rPr>
              <w:t>R6</w:t>
            </w:r>
          </w:p>
        </w:tc>
        <w:tc>
          <w:tcPr>
            <w:tcW w:w="8870" w:type="dxa"/>
          </w:tcPr>
          <w:p w14:paraId="06108D3E" w14:textId="77777777" w:rsidR="007E665C" w:rsidRPr="00DC719F"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0"/>
              </w:rPr>
            </w:pPr>
            <w:r w:rsidRPr="00DC719F">
              <w:rPr>
                <w:rFonts w:asciiTheme="minorHAnsi" w:hAnsiTheme="minorHAnsi" w:cstheme="minorHAnsi"/>
                <w:noProof/>
                <w:sz w:val="22"/>
                <w:szCs w:val="20"/>
              </w:rPr>
              <w:t xml:space="preserve">Dit is een school die ruimte biedt aan zelfontplooiing van alle leerlingen, en in het bijzonder van meerbegaafden. Talent krijgt alle kans binnen een rijke leeromgeving. Een voorbeeld is het volgen van Beta onderwijs. Inkoop wordt </w:t>
            </w:r>
            <w:r w:rsidRPr="00DC719F">
              <w:rPr>
                <w:rFonts w:asciiTheme="minorHAnsi" w:hAnsiTheme="minorHAnsi" w:cstheme="minorHAnsi"/>
                <w:b/>
                <w:noProof/>
                <w:sz w:val="22"/>
                <w:szCs w:val="20"/>
              </w:rPr>
              <w:t>centraal gecoördineerd</w:t>
            </w:r>
            <w:r w:rsidRPr="00DC719F">
              <w:rPr>
                <w:rFonts w:asciiTheme="minorHAnsi" w:hAnsiTheme="minorHAnsi" w:cstheme="minorHAnsi"/>
                <w:noProof/>
                <w:sz w:val="22"/>
                <w:szCs w:val="20"/>
              </w:rPr>
              <w:t xml:space="preserve">, maar de afzonderlijke scholen hebben vrijheid en bevoegdheden om dit zelf vorm te geven. </w:t>
            </w:r>
          </w:p>
        </w:tc>
      </w:tr>
      <w:tr w:rsidR="007E665C" w:rsidRPr="00533BF3" w14:paraId="723C4409" w14:textId="77777777" w:rsidTr="00E22C5F">
        <w:tc>
          <w:tcPr>
            <w:cnfStyle w:val="001000000000" w:firstRow="0" w:lastRow="0" w:firstColumn="1" w:lastColumn="0" w:oddVBand="0" w:evenVBand="0" w:oddHBand="0" w:evenHBand="0" w:firstRowFirstColumn="0" w:firstRowLastColumn="0" w:lastRowFirstColumn="0" w:lastRowLastColumn="0"/>
            <w:tcW w:w="1757" w:type="dxa"/>
          </w:tcPr>
          <w:p w14:paraId="625D3D9D" w14:textId="77777777" w:rsidR="007E665C" w:rsidRPr="00DC719F" w:rsidRDefault="007E665C" w:rsidP="007E665C">
            <w:pPr>
              <w:rPr>
                <w:rFonts w:asciiTheme="minorHAnsi" w:hAnsiTheme="minorHAnsi" w:cstheme="minorHAnsi"/>
                <w:noProof/>
                <w:sz w:val="22"/>
                <w:szCs w:val="20"/>
              </w:rPr>
            </w:pPr>
            <w:r w:rsidRPr="00DC719F">
              <w:rPr>
                <w:rFonts w:asciiTheme="minorHAnsi" w:hAnsiTheme="minorHAnsi" w:cstheme="minorHAnsi"/>
                <w:noProof/>
                <w:sz w:val="22"/>
                <w:szCs w:val="20"/>
              </w:rPr>
              <w:t>R7</w:t>
            </w:r>
          </w:p>
        </w:tc>
        <w:tc>
          <w:tcPr>
            <w:tcW w:w="8870" w:type="dxa"/>
          </w:tcPr>
          <w:p w14:paraId="2E118C33" w14:textId="77777777" w:rsidR="007E665C" w:rsidRPr="00DC719F"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0"/>
              </w:rPr>
            </w:pPr>
            <w:r w:rsidRPr="00DC719F">
              <w:rPr>
                <w:rFonts w:asciiTheme="minorHAnsi" w:hAnsiTheme="minorHAnsi" w:cstheme="minorHAnsi"/>
                <w:noProof/>
                <w:sz w:val="22"/>
                <w:szCs w:val="20"/>
              </w:rPr>
              <w:t xml:space="preserve">St. Bonifatiuscollege bevindt zich in een multiculturele wijk en streeft naar kwaliteit, diversiteit en verbondenheid. Hierin volgen zij hun eigen visie en willen zo autonoom mogelijk handelen. </w:t>
            </w:r>
            <w:r w:rsidRPr="00DC719F">
              <w:rPr>
                <w:rFonts w:asciiTheme="minorHAnsi" w:hAnsiTheme="minorHAnsi" w:cstheme="minorHAnsi"/>
                <w:noProof/>
                <w:sz w:val="22"/>
                <w:szCs w:val="20"/>
              </w:rPr>
              <w:lastRenderedPageBreak/>
              <w:t xml:space="preserve">Geen verantwoordingsplicht hebben naar een overkoepelende organisatie draagt hierbij aan. Inkoop en de inrichting van ICT wordt binnen een </w:t>
            </w:r>
            <w:r w:rsidRPr="00DC719F">
              <w:rPr>
                <w:rFonts w:asciiTheme="minorHAnsi" w:hAnsiTheme="minorHAnsi" w:cstheme="minorHAnsi"/>
                <w:b/>
                <w:noProof/>
                <w:sz w:val="22"/>
                <w:szCs w:val="20"/>
              </w:rPr>
              <w:t>stafteam van de school</w:t>
            </w:r>
            <w:r w:rsidRPr="00DC719F">
              <w:rPr>
                <w:rFonts w:asciiTheme="minorHAnsi" w:hAnsiTheme="minorHAnsi" w:cstheme="minorHAnsi"/>
                <w:noProof/>
                <w:sz w:val="22"/>
                <w:szCs w:val="20"/>
              </w:rPr>
              <w:t xml:space="preserve"> gedaan. </w:t>
            </w:r>
          </w:p>
        </w:tc>
      </w:tr>
      <w:tr w:rsidR="007E665C" w:rsidRPr="00533BF3" w14:paraId="3F7B33A1" w14:textId="77777777" w:rsidTr="00E22C5F">
        <w:tc>
          <w:tcPr>
            <w:cnfStyle w:val="001000000000" w:firstRow="0" w:lastRow="0" w:firstColumn="1" w:lastColumn="0" w:oddVBand="0" w:evenVBand="0" w:oddHBand="0" w:evenHBand="0" w:firstRowFirstColumn="0" w:firstRowLastColumn="0" w:lastRowFirstColumn="0" w:lastRowLastColumn="0"/>
            <w:tcW w:w="1757" w:type="dxa"/>
          </w:tcPr>
          <w:p w14:paraId="0D0B005D" w14:textId="77777777" w:rsidR="007E665C" w:rsidRPr="00DC719F" w:rsidRDefault="007E665C" w:rsidP="007E665C">
            <w:pPr>
              <w:rPr>
                <w:rFonts w:asciiTheme="minorHAnsi" w:hAnsiTheme="minorHAnsi" w:cstheme="minorHAnsi"/>
                <w:noProof/>
                <w:sz w:val="22"/>
                <w:szCs w:val="20"/>
              </w:rPr>
            </w:pPr>
            <w:r w:rsidRPr="00DC719F">
              <w:rPr>
                <w:rFonts w:asciiTheme="minorHAnsi" w:hAnsiTheme="minorHAnsi" w:cstheme="minorHAnsi"/>
                <w:noProof/>
                <w:sz w:val="22"/>
                <w:szCs w:val="20"/>
              </w:rPr>
              <w:lastRenderedPageBreak/>
              <w:t>R8</w:t>
            </w:r>
          </w:p>
        </w:tc>
        <w:tc>
          <w:tcPr>
            <w:tcW w:w="8870" w:type="dxa"/>
          </w:tcPr>
          <w:p w14:paraId="7A19A342" w14:textId="77777777" w:rsidR="007E665C" w:rsidRPr="00DC719F"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0"/>
              </w:rPr>
            </w:pPr>
            <w:r w:rsidRPr="00DC719F">
              <w:rPr>
                <w:rFonts w:asciiTheme="minorHAnsi" w:hAnsiTheme="minorHAnsi" w:cstheme="minorHAnsi"/>
                <w:noProof/>
                <w:sz w:val="22"/>
                <w:szCs w:val="20"/>
              </w:rPr>
              <w:t xml:space="preserve">Openbare Lyceum Zeist zet zich in voor kleinschalig onderwijs, d.w.z. kleinere klassen, waarin de talenten van de leerlingen optimaal worden ontplooid. De school valt onder paraplu van de scholengemeenschap de OSG Schoonoord. Echter kent het een decentrale besturingsfilosofie, waarbij het mandaat van de directeur ruim is geformuleerd. De scholen maken hun eigen onderwijsinhoudelijke en organisatorische keuzes. </w:t>
            </w:r>
          </w:p>
          <w:p w14:paraId="44991303" w14:textId="77777777" w:rsidR="007E665C" w:rsidRPr="00DC719F"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0"/>
              </w:rPr>
            </w:pPr>
            <w:r w:rsidRPr="00DC719F">
              <w:rPr>
                <w:rFonts w:asciiTheme="minorHAnsi" w:hAnsiTheme="minorHAnsi" w:cstheme="minorHAnsi"/>
                <w:noProof/>
                <w:sz w:val="22"/>
                <w:szCs w:val="20"/>
              </w:rPr>
              <w:t xml:space="preserve">Openbaar Lyceum Zeist streeft naar duurzaam inkopen, in lijn met de ontwikkeling van maatschappelijk verantwoord ondernemen. Daarnaast stelt de school zich als doel om de samenwerking met externe partners uit te bouwen. Het </w:t>
            </w:r>
            <w:r w:rsidRPr="00DC719F">
              <w:rPr>
                <w:rFonts w:asciiTheme="minorHAnsi" w:hAnsiTheme="minorHAnsi" w:cstheme="minorHAnsi"/>
                <w:b/>
                <w:noProof/>
                <w:sz w:val="22"/>
                <w:szCs w:val="20"/>
              </w:rPr>
              <w:t>stafbureau van de overkoepelende organisatie</w:t>
            </w:r>
            <w:r w:rsidRPr="00DC719F">
              <w:rPr>
                <w:rFonts w:asciiTheme="minorHAnsi" w:hAnsiTheme="minorHAnsi" w:cstheme="minorHAnsi"/>
                <w:noProof/>
                <w:sz w:val="22"/>
                <w:szCs w:val="20"/>
              </w:rPr>
              <w:t xml:space="preserve"> Schoonoord is verantwoordelijk voor de inkoop. </w:t>
            </w:r>
          </w:p>
        </w:tc>
      </w:tr>
      <w:tr w:rsidR="007E665C" w:rsidRPr="00E42062" w14:paraId="3C1FEE83" w14:textId="77777777" w:rsidTr="00E22C5F">
        <w:tc>
          <w:tcPr>
            <w:cnfStyle w:val="001000000000" w:firstRow="0" w:lastRow="0" w:firstColumn="1" w:lastColumn="0" w:oddVBand="0" w:evenVBand="0" w:oddHBand="0" w:evenHBand="0" w:firstRowFirstColumn="0" w:firstRowLastColumn="0" w:lastRowFirstColumn="0" w:lastRowLastColumn="0"/>
            <w:tcW w:w="1757" w:type="dxa"/>
          </w:tcPr>
          <w:p w14:paraId="747883A6" w14:textId="77777777" w:rsidR="007E665C" w:rsidRPr="00DC719F" w:rsidRDefault="007E665C" w:rsidP="007E665C">
            <w:pPr>
              <w:rPr>
                <w:rFonts w:asciiTheme="minorHAnsi" w:hAnsiTheme="minorHAnsi" w:cstheme="minorHAnsi"/>
                <w:noProof/>
                <w:sz w:val="22"/>
                <w:szCs w:val="20"/>
              </w:rPr>
            </w:pPr>
            <w:r w:rsidRPr="00DC719F">
              <w:rPr>
                <w:rFonts w:asciiTheme="minorHAnsi" w:hAnsiTheme="minorHAnsi" w:cstheme="minorHAnsi"/>
                <w:noProof/>
                <w:sz w:val="22"/>
                <w:szCs w:val="20"/>
              </w:rPr>
              <w:t>R9</w:t>
            </w:r>
          </w:p>
        </w:tc>
        <w:tc>
          <w:tcPr>
            <w:tcW w:w="8870" w:type="dxa"/>
          </w:tcPr>
          <w:p w14:paraId="4E5F612E" w14:textId="77777777" w:rsidR="007E665C" w:rsidRPr="00DC719F"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0"/>
              </w:rPr>
            </w:pPr>
            <w:r w:rsidRPr="00DC719F">
              <w:rPr>
                <w:rFonts w:asciiTheme="minorHAnsi" w:hAnsiTheme="minorHAnsi" w:cstheme="minorHAnsi"/>
                <w:noProof/>
                <w:sz w:val="22"/>
                <w:szCs w:val="20"/>
              </w:rPr>
              <w:t xml:space="preserve">Openbare school met sterke focus op persoonlijke ontwikkeling en verbinding tussen de school en de leerling. Verschillende programma’s actief om persoonlijke ontwikkeling en uitdaging te stimuleren, zoals het Wolfsbos Excellentie en het project Talenten Binnenboord. Inkoop wordt gedaan door de </w:t>
            </w:r>
            <w:r w:rsidRPr="00DC719F">
              <w:rPr>
                <w:rFonts w:asciiTheme="minorHAnsi" w:hAnsiTheme="minorHAnsi" w:cstheme="minorHAnsi"/>
                <w:b/>
                <w:noProof/>
                <w:sz w:val="22"/>
                <w:szCs w:val="20"/>
              </w:rPr>
              <w:t>facilitaire dienstverlening van Wolfbos.</w:t>
            </w:r>
            <w:r w:rsidRPr="00DC719F">
              <w:rPr>
                <w:rFonts w:asciiTheme="minorHAnsi" w:hAnsiTheme="minorHAnsi" w:cstheme="minorHAnsi"/>
                <w:noProof/>
                <w:sz w:val="22"/>
                <w:szCs w:val="20"/>
              </w:rPr>
              <w:t xml:space="preserve"> </w:t>
            </w:r>
          </w:p>
        </w:tc>
      </w:tr>
      <w:tr w:rsidR="007E665C" w:rsidRPr="00533BF3" w14:paraId="32ABCA13" w14:textId="77777777" w:rsidTr="00E22C5F">
        <w:tc>
          <w:tcPr>
            <w:cnfStyle w:val="001000000000" w:firstRow="0" w:lastRow="0" w:firstColumn="1" w:lastColumn="0" w:oddVBand="0" w:evenVBand="0" w:oddHBand="0" w:evenHBand="0" w:firstRowFirstColumn="0" w:firstRowLastColumn="0" w:lastRowFirstColumn="0" w:lastRowLastColumn="0"/>
            <w:tcW w:w="1757" w:type="dxa"/>
          </w:tcPr>
          <w:p w14:paraId="300DF866" w14:textId="77777777" w:rsidR="007E665C" w:rsidRPr="00DC719F" w:rsidRDefault="007E665C" w:rsidP="007E665C">
            <w:pPr>
              <w:rPr>
                <w:rFonts w:asciiTheme="minorHAnsi" w:hAnsiTheme="minorHAnsi" w:cstheme="minorHAnsi"/>
                <w:noProof/>
                <w:sz w:val="22"/>
                <w:szCs w:val="20"/>
              </w:rPr>
            </w:pPr>
            <w:r w:rsidRPr="00DC719F">
              <w:rPr>
                <w:rFonts w:asciiTheme="minorHAnsi" w:hAnsiTheme="minorHAnsi" w:cstheme="minorHAnsi"/>
                <w:noProof/>
                <w:sz w:val="22"/>
                <w:szCs w:val="20"/>
              </w:rPr>
              <w:t>R10</w:t>
            </w:r>
          </w:p>
        </w:tc>
        <w:tc>
          <w:tcPr>
            <w:tcW w:w="8870" w:type="dxa"/>
          </w:tcPr>
          <w:p w14:paraId="22FF2E9C" w14:textId="77777777" w:rsidR="007E665C" w:rsidRPr="00DC719F"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0"/>
              </w:rPr>
            </w:pPr>
            <w:r w:rsidRPr="00DC719F">
              <w:rPr>
                <w:rFonts w:asciiTheme="minorHAnsi" w:hAnsiTheme="minorHAnsi" w:cstheme="minorHAnsi"/>
                <w:noProof/>
                <w:sz w:val="22"/>
                <w:szCs w:val="20"/>
              </w:rPr>
              <w:t xml:space="preserve">Als onderdeel van een grote organisatie (Stichting Carmelcollege) wil Pius X college juist de kleinschaligheid van modern en passend onderwijs voorop stellen. De laatste jaren is het ‘bring your own device’ principe geïntroduceerd. </w:t>
            </w:r>
            <w:r w:rsidRPr="00DC719F">
              <w:rPr>
                <w:rFonts w:asciiTheme="minorHAnsi" w:hAnsiTheme="minorHAnsi" w:cstheme="minorHAnsi"/>
                <w:b/>
                <w:noProof/>
                <w:sz w:val="22"/>
                <w:szCs w:val="20"/>
              </w:rPr>
              <w:t>Kapitaal intensieve aankopen worden centraal</w:t>
            </w:r>
            <w:r w:rsidRPr="00DC719F">
              <w:rPr>
                <w:rFonts w:asciiTheme="minorHAnsi" w:hAnsiTheme="minorHAnsi" w:cstheme="minorHAnsi"/>
                <w:noProof/>
                <w:sz w:val="22"/>
                <w:szCs w:val="20"/>
              </w:rPr>
              <w:t xml:space="preserve"> gedaan. Scholen hebben de bevoegdheid om zelf hun materialen in te kopen.   </w:t>
            </w:r>
          </w:p>
        </w:tc>
      </w:tr>
      <w:tr w:rsidR="007E665C" w:rsidRPr="00533BF3" w14:paraId="6B7B8E23" w14:textId="77777777" w:rsidTr="00E22C5F">
        <w:trPr>
          <w:trHeight w:val="606"/>
        </w:trPr>
        <w:tc>
          <w:tcPr>
            <w:cnfStyle w:val="001000000000" w:firstRow="0" w:lastRow="0" w:firstColumn="1" w:lastColumn="0" w:oddVBand="0" w:evenVBand="0" w:oddHBand="0" w:evenHBand="0" w:firstRowFirstColumn="0" w:firstRowLastColumn="0" w:lastRowFirstColumn="0" w:lastRowLastColumn="0"/>
            <w:tcW w:w="1757" w:type="dxa"/>
          </w:tcPr>
          <w:p w14:paraId="0374059C" w14:textId="77777777" w:rsidR="007E665C" w:rsidRPr="00DC719F" w:rsidRDefault="007E665C" w:rsidP="007E665C">
            <w:pPr>
              <w:rPr>
                <w:rFonts w:asciiTheme="minorHAnsi" w:hAnsiTheme="minorHAnsi" w:cstheme="minorHAnsi"/>
                <w:noProof/>
                <w:sz w:val="22"/>
                <w:szCs w:val="20"/>
              </w:rPr>
            </w:pPr>
            <w:r w:rsidRPr="00DC719F">
              <w:rPr>
                <w:rFonts w:asciiTheme="minorHAnsi" w:hAnsiTheme="minorHAnsi" w:cstheme="minorHAnsi"/>
                <w:noProof/>
                <w:sz w:val="22"/>
                <w:szCs w:val="20"/>
              </w:rPr>
              <w:t>R11</w:t>
            </w:r>
          </w:p>
        </w:tc>
        <w:tc>
          <w:tcPr>
            <w:tcW w:w="8870" w:type="dxa"/>
          </w:tcPr>
          <w:p w14:paraId="1507E8D2" w14:textId="77777777" w:rsidR="007E665C" w:rsidRPr="00DC719F"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0"/>
              </w:rPr>
            </w:pPr>
            <w:r w:rsidRPr="00DC719F">
              <w:rPr>
                <w:rFonts w:asciiTheme="minorHAnsi" w:hAnsiTheme="minorHAnsi" w:cstheme="minorHAnsi"/>
                <w:noProof/>
                <w:sz w:val="22"/>
                <w:szCs w:val="20"/>
              </w:rPr>
              <w:t xml:space="preserve">Vanuit de reformatorische uitgangspunt staat de Bijbel centraal binnen deze school. Opvallend, in relatie met de andere scholen, is dat de bestuur van deze school enige mate van druk ervaart vanuit de externe omgeving. Hierom willen zij de eisen en wensen vanuit de politiek en de maatschappij doorvertalen in het onderwijs. Binnen het Jacobus Fruytier </w:t>
            </w:r>
            <w:r w:rsidRPr="00DC719F">
              <w:rPr>
                <w:rFonts w:asciiTheme="minorHAnsi" w:hAnsiTheme="minorHAnsi" w:cstheme="minorHAnsi"/>
                <w:b/>
                <w:noProof/>
                <w:sz w:val="22"/>
                <w:szCs w:val="20"/>
              </w:rPr>
              <w:t>scholengemeenschap worden de inkoopactiviteiten uitgevoerd door de facilitaire zaken</w:t>
            </w:r>
            <w:r w:rsidRPr="00DC719F">
              <w:rPr>
                <w:rFonts w:asciiTheme="minorHAnsi" w:hAnsiTheme="minorHAnsi" w:cstheme="minorHAnsi"/>
                <w:noProof/>
                <w:sz w:val="22"/>
                <w:szCs w:val="20"/>
              </w:rPr>
              <w:t xml:space="preserve"> die het overzicht bewaren voor alle scholen. </w:t>
            </w:r>
          </w:p>
        </w:tc>
      </w:tr>
    </w:tbl>
    <w:p w14:paraId="7E08CA59" w14:textId="22125DBE" w:rsidR="007E665C" w:rsidRPr="00C315AB" w:rsidRDefault="007E665C" w:rsidP="00C315AB">
      <w:pPr>
        <w:pStyle w:val="Caption"/>
      </w:pPr>
      <w:r w:rsidRPr="00C315AB">
        <w:t xml:space="preserve">Tabel </w:t>
      </w:r>
      <w:r w:rsidR="0040657F">
        <w:t>8</w:t>
      </w:r>
      <w:r w:rsidRPr="00C315AB">
        <w:t xml:space="preserve">: Het profiel van de onderzochte scholen </w:t>
      </w:r>
    </w:p>
    <w:p w14:paraId="3247BF6E" w14:textId="77777777" w:rsidR="007E665C" w:rsidRPr="00E42062" w:rsidRDefault="007E665C" w:rsidP="007E665C">
      <w:pPr>
        <w:pStyle w:val="NoSpacing"/>
        <w:rPr>
          <w:noProof/>
        </w:rPr>
      </w:pPr>
    </w:p>
    <w:p w14:paraId="0587A59F" w14:textId="4C014B59" w:rsidR="007E665C" w:rsidRPr="003B56D6" w:rsidRDefault="007E665C" w:rsidP="00750162">
      <w:pPr>
        <w:pStyle w:val="Heading2"/>
        <w:rPr>
          <w:noProof/>
          <w:color w:val="1F3864" w:themeColor="accent1" w:themeShade="80"/>
        </w:rPr>
      </w:pPr>
      <w:bookmarkStart w:id="124" w:name="_Toc517455475"/>
      <w:r w:rsidRPr="003B56D6">
        <w:rPr>
          <w:noProof/>
          <w:color w:val="1F3864" w:themeColor="accent1" w:themeShade="80"/>
        </w:rPr>
        <w:t>De presentatie van de resultaten op de variabele ‘afhankelijkheid’</w:t>
      </w:r>
      <w:bookmarkEnd w:id="124"/>
    </w:p>
    <w:p w14:paraId="3FE98341" w14:textId="4CF52ECE" w:rsidR="007E665C" w:rsidRPr="00E42062" w:rsidRDefault="00D02925" w:rsidP="00DC719F">
      <w:pPr>
        <w:pStyle w:val="NoSpacing"/>
        <w:spacing w:line="276" w:lineRule="auto"/>
        <w:rPr>
          <w:noProof/>
        </w:rPr>
      </w:pPr>
      <w:r>
        <w:rPr>
          <w:noProof/>
        </w:rPr>
        <w:t xml:space="preserve">Tabel </w:t>
      </w:r>
      <w:r w:rsidR="0040657F">
        <w:rPr>
          <w:noProof/>
        </w:rPr>
        <w:t>9</w:t>
      </w:r>
      <w:r w:rsidR="007E665C" w:rsidRPr="00E42062">
        <w:rPr>
          <w:noProof/>
        </w:rPr>
        <w:t xml:space="preserve"> geeft de antwoorden van de 11 respondenten weer op de variabelen ‘vertrouwen’, ‘kennis en expertise’ en ‘institutionele setting van het openbaar bestuur’. Ten behoeve van een helde</w:t>
      </w:r>
      <w:r w:rsidR="007E665C">
        <w:rPr>
          <w:noProof/>
        </w:rPr>
        <w:t>r</w:t>
      </w:r>
      <w:r w:rsidR="005047C6">
        <w:rPr>
          <w:noProof/>
        </w:rPr>
        <w:t>e</w:t>
      </w:r>
      <w:r w:rsidR="007E665C" w:rsidRPr="00E42062">
        <w:rPr>
          <w:noProof/>
        </w:rPr>
        <w:t xml:space="preserve"> en begrijpelijk</w:t>
      </w:r>
      <w:r w:rsidR="007E665C">
        <w:rPr>
          <w:noProof/>
        </w:rPr>
        <w:t>e</w:t>
      </w:r>
      <w:r w:rsidR="007E665C" w:rsidRPr="00E42062">
        <w:rPr>
          <w:noProof/>
        </w:rPr>
        <w:t xml:space="preserve"> weergave van de antwoorden is er voor een tabelvorm gekozen. In kolom 1 van tabel </w:t>
      </w:r>
      <w:r w:rsidR="0040657F">
        <w:rPr>
          <w:noProof/>
        </w:rPr>
        <w:t>9</w:t>
      </w:r>
      <w:r w:rsidR="007E665C" w:rsidRPr="00E42062">
        <w:rPr>
          <w:noProof/>
        </w:rPr>
        <w:t xml:space="preserve"> staat de identificatiecode van de respondenten. In de andere kolommen zijn de kernpunten uit de antwoorden van de respondenten opgenomen. </w:t>
      </w:r>
    </w:p>
    <w:p w14:paraId="7C5D1AD1" w14:textId="77777777" w:rsidR="007E665C" w:rsidRPr="00E42062" w:rsidDel="009C040A" w:rsidRDefault="007E665C" w:rsidP="007E665C">
      <w:pPr>
        <w:pStyle w:val="NoSpacing"/>
        <w:rPr>
          <w:b/>
          <w:noProof/>
        </w:rPr>
      </w:pPr>
    </w:p>
    <w:tbl>
      <w:tblPr>
        <w:tblStyle w:val="GridTable1Light"/>
        <w:tblW w:w="0" w:type="auto"/>
        <w:tblLook w:val="04A0" w:firstRow="1" w:lastRow="0" w:firstColumn="1" w:lastColumn="0" w:noHBand="0" w:noVBand="1"/>
      </w:tblPr>
      <w:tblGrid>
        <w:gridCol w:w="1271"/>
        <w:gridCol w:w="2427"/>
        <w:gridCol w:w="2883"/>
        <w:gridCol w:w="3875"/>
      </w:tblGrid>
      <w:tr w:rsidR="007E665C" w:rsidRPr="00533BF3" w14:paraId="5BECACE8" w14:textId="77777777" w:rsidTr="004B461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0" w:type="dxa"/>
          </w:tcPr>
          <w:p w14:paraId="1ADACBB3" w14:textId="77777777" w:rsidR="007E665C" w:rsidRPr="00906769" w:rsidRDefault="007E665C" w:rsidP="007E665C">
            <w:pPr>
              <w:rPr>
                <w:rFonts w:asciiTheme="minorHAnsi" w:hAnsiTheme="minorHAnsi" w:cstheme="minorHAnsi"/>
                <w:noProof/>
                <w:sz w:val="22"/>
                <w:szCs w:val="22"/>
              </w:rPr>
            </w:pPr>
            <w:r w:rsidRPr="00906769">
              <w:rPr>
                <w:rFonts w:asciiTheme="minorHAnsi" w:hAnsiTheme="minorHAnsi" w:cstheme="minorHAnsi"/>
                <w:noProof/>
                <w:sz w:val="22"/>
                <w:szCs w:val="22"/>
              </w:rPr>
              <w:t>Codering respondent</w:t>
            </w:r>
          </w:p>
        </w:tc>
        <w:tc>
          <w:tcPr>
            <w:tcW w:w="2431" w:type="dxa"/>
            <w:shd w:val="clear" w:color="auto" w:fill="auto"/>
          </w:tcPr>
          <w:p w14:paraId="56C54A99" w14:textId="77777777" w:rsidR="007E665C" w:rsidRPr="00906769" w:rsidRDefault="007E665C" w:rsidP="007E665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Vertrouwen</w:t>
            </w:r>
          </w:p>
        </w:tc>
        <w:tc>
          <w:tcPr>
            <w:tcW w:w="2890" w:type="dxa"/>
            <w:shd w:val="clear" w:color="auto" w:fill="auto"/>
          </w:tcPr>
          <w:p w14:paraId="69CBAEBD" w14:textId="77777777" w:rsidR="007E665C" w:rsidRPr="00906769" w:rsidRDefault="007E665C" w:rsidP="007E665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Kennis en expertise</w:t>
            </w:r>
          </w:p>
        </w:tc>
        <w:tc>
          <w:tcPr>
            <w:tcW w:w="3885" w:type="dxa"/>
            <w:shd w:val="clear" w:color="auto" w:fill="auto"/>
          </w:tcPr>
          <w:p w14:paraId="45FB7CB9" w14:textId="77777777" w:rsidR="007E665C" w:rsidRPr="00906769" w:rsidRDefault="007E665C" w:rsidP="007E665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Institutionele setting van publieke sector</w:t>
            </w:r>
          </w:p>
        </w:tc>
      </w:tr>
      <w:tr w:rsidR="007E665C" w:rsidRPr="00533BF3" w14:paraId="0900F7C9" w14:textId="77777777" w:rsidTr="007E665C">
        <w:tc>
          <w:tcPr>
            <w:cnfStyle w:val="001000000000" w:firstRow="0" w:lastRow="0" w:firstColumn="1" w:lastColumn="0" w:oddVBand="0" w:evenVBand="0" w:oddHBand="0" w:evenHBand="0" w:firstRowFirstColumn="0" w:firstRowLastColumn="0" w:lastRowFirstColumn="0" w:lastRowLastColumn="0"/>
            <w:tcW w:w="1250" w:type="dxa"/>
          </w:tcPr>
          <w:p w14:paraId="21B2291C" w14:textId="77777777" w:rsidR="007E665C" w:rsidRPr="00906769" w:rsidRDefault="007E665C" w:rsidP="007E665C">
            <w:pPr>
              <w:rPr>
                <w:rFonts w:asciiTheme="minorHAnsi" w:hAnsiTheme="minorHAnsi" w:cstheme="minorHAnsi"/>
                <w:noProof/>
                <w:sz w:val="22"/>
                <w:szCs w:val="22"/>
              </w:rPr>
            </w:pPr>
            <w:r w:rsidRPr="00906769">
              <w:rPr>
                <w:rFonts w:asciiTheme="minorHAnsi" w:hAnsiTheme="minorHAnsi" w:cstheme="minorHAnsi"/>
                <w:noProof/>
                <w:sz w:val="22"/>
                <w:szCs w:val="22"/>
              </w:rPr>
              <w:t>R1</w:t>
            </w:r>
          </w:p>
        </w:tc>
        <w:tc>
          <w:tcPr>
            <w:tcW w:w="2431" w:type="dxa"/>
          </w:tcPr>
          <w:p w14:paraId="4ADFCF11"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Verschilt per leverancier</w:t>
            </w:r>
          </w:p>
          <w:p w14:paraId="0717AC5A"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Bij aanschaf van complexe producten is vertrouwen belangrijk</w:t>
            </w:r>
          </w:p>
          <w:p w14:paraId="323B9EC3"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xml:space="preserve">▪ De lokale opdrachtnemer heeft de voorkeur </w:t>
            </w:r>
          </w:p>
        </w:tc>
        <w:tc>
          <w:tcPr>
            <w:tcW w:w="2890" w:type="dxa"/>
          </w:tcPr>
          <w:p w14:paraId="34465CCE"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Respondent heeft ICT-achtergrond</w:t>
            </w:r>
          </w:p>
          <w:p w14:paraId="0A632CFF"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Leverancier heeft meer specialistische kennis</w:t>
            </w:r>
          </w:p>
          <w:p w14:paraId="19C1E42B"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xml:space="preserve">▪ Respondent geeft aan dat de prijs niet doorslaggevend is, zolang de producten naar wens zijn. Hierom kan er niet worden gesproken van een </w:t>
            </w:r>
            <w:r w:rsidRPr="00906769">
              <w:rPr>
                <w:rFonts w:asciiTheme="minorHAnsi" w:hAnsiTheme="minorHAnsi" w:cstheme="minorHAnsi"/>
                <w:noProof/>
                <w:sz w:val="22"/>
                <w:szCs w:val="22"/>
              </w:rPr>
              <w:lastRenderedPageBreak/>
              <w:t>optimale prijs-kwaliteit verhouding.</w:t>
            </w:r>
          </w:p>
          <w:p w14:paraId="3E5AFB92"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De inkoopafdeling werkt binnen een team met verschillende experts</w:t>
            </w:r>
          </w:p>
        </w:tc>
        <w:tc>
          <w:tcPr>
            <w:tcW w:w="3885" w:type="dxa"/>
          </w:tcPr>
          <w:p w14:paraId="4371E17C"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lastRenderedPageBreak/>
              <w:t>▪ Heeft invloed op de wijze waarop met budgetten wordt omgegaan</w:t>
            </w:r>
          </w:p>
          <w:p w14:paraId="02E43CE6"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Als gevolg van Europese aanbestedingsregels dreigt de focus te liggen op kostenbeheersing terwijl het volgens de inkoper om de kwaliteit moet gaan</w:t>
            </w:r>
          </w:p>
        </w:tc>
      </w:tr>
      <w:tr w:rsidR="007E665C" w:rsidRPr="00533BF3" w14:paraId="32D3C0ED" w14:textId="77777777" w:rsidTr="007E665C">
        <w:tc>
          <w:tcPr>
            <w:cnfStyle w:val="001000000000" w:firstRow="0" w:lastRow="0" w:firstColumn="1" w:lastColumn="0" w:oddVBand="0" w:evenVBand="0" w:oddHBand="0" w:evenHBand="0" w:firstRowFirstColumn="0" w:firstRowLastColumn="0" w:lastRowFirstColumn="0" w:lastRowLastColumn="0"/>
            <w:tcW w:w="1250" w:type="dxa"/>
          </w:tcPr>
          <w:p w14:paraId="052E7E4B" w14:textId="77777777" w:rsidR="007E665C" w:rsidRPr="00906769" w:rsidRDefault="007E665C" w:rsidP="007E665C">
            <w:pPr>
              <w:rPr>
                <w:rFonts w:asciiTheme="minorHAnsi" w:hAnsiTheme="minorHAnsi" w:cstheme="minorHAnsi"/>
                <w:noProof/>
                <w:sz w:val="22"/>
                <w:szCs w:val="22"/>
              </w:rPr>
            </w:pPr>
            <w:r w:rsidRPr="00906769">
              <w:rPr>
                <w:rFonts w:asciiTheme="minorHAnsi" w:hAnsiTheme="minorHAnsi" w:cstheme="minorHAnsi"/>
                <w:noProof/>
                <w:sz w:val="22"/>
                <w:szCs w:val="22"/>
              </w:rPr>
              <w:t>R2</w:t>
            </w:r>
          </w:p>
        </w:tc>
        <w:tc>
          <w:tcPr>
            <w:tcW w:w="2431" w:type="dxa"/>
          </w:tcPr>
          <w:p w14:paraId="63AFA40E"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xml:space="preserve">▪ Vertrouwen in de huidige leverancier vanwege lange samenwerking </w:t>
            </w:r>
          </w:p>
          <w:p w14:paraId="64358D18"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Er wordt waarde gehecht aan kwaliteit en zekerheid: naleving van de afspraken zonder calamiteiten</w:t>
            </w:r>
          </w:p>
          <w:p w14:paraId="7572CD1F"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Bij Europese aanbestedingen is het vertrouwen minder sterk. De inkoper neemt een meer rationele houding aan, is onderzoekend en legt afspraken contractueel vast (doorgaans een SLA)</w:t>
            </w:r>
          </w:p>
        </w:tc>
        <w:tc>
          <w:tcPr>
            <w:tcW w:w="2890" w:type="dxa"/>
          </w:tcPr>
          <w:p w14:paraId="503424AF"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Technische achtergrond</w:t>
            </w:r>
          </w:p>
          <w:p w14:paraId="7B702251"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Bindende prestatieafspraken in contracten</w:t>
            </w:r>
          </w:p>
          <w:p w14:paraId="17E167FA"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Eigen kennis van voldoende niveau om de kwaliteit te kunnen waarborgen</w:t>
            </w:r>
          </w:p>
        </w:tc>
        <w:tc>
          <w:tcPr>
            <w:tcW w:w="3885" w:type="dxa"/>
          </w:tcPr>
          <w:p w14:paraId="3D5EA0B0"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xml:space="preserve">▪ Geen druk vanuit de externe omgeving </w:t>
            </w:r>
          </w:p>
          <w:p w14:paraId="7247429F"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De inkoopbeslissingen worden door het managementteam genomen en komen voort uit de input van kernteams</w:t>
            </w:r>
          </w:p>
        </w:tc>
      </w:tr>
      <w:tr w:rsidR="007E665C" w:rsidRPr="00533BF3" w14:paraId="48ABEE03" w14:textId="77777777" w:rsidTr="007E665C">
        <w:tc>
          <w:tcPr>
            <w:cnfStyle w:val="001000000000" w:firstRow="0" w:lastRow="0" w:firstColumn="1" w:lastColumn="0" w:oddVBand="0" w:evenVBand="0" w:oddHBand="0" w:evenHBand="0" w:firstRowFirstColumn="0" w:firstRowLastColumn="0" w:lastRowFirstColumn="0" w:lastRowLastColumn="0"/>
            <w:tcW w:w="1250" w:type="dxa"/>
          </w:tcPr>
          <w:p w14:paraId="009D24FC" w14:textId="77777777" w:rsidR="007E665C" w:rsidRPr="00906769" w:rsidRDefault="007E665C" w:rsidP="007E665C">
            <w:pPr>
              <w:rPr>
                <w:rFonts w:asciiTheme="minorHAnsi" w:hAnsiTheme="minorHAnsi" w:cstheme="minorHAnsi"/>
                <w:noProof/>
                <w:sz w:val="22"/>
                <w:szCs w:val="22"/>
              </w:rPr>
            </w:pPr>
            <w:r w:rsidRPr="00906769">
              <w:rPr>
                <w:rFonts w:asciiTheme="minorHAnsi" w:hAnsiTheme="minorHAnsi" w:cstheme="minorHAnsi"/>
                <w:noProof/>
                <w:sz w:val="22"/>
                <w:szCs w:val="22"/>
              </w:rPr>
              <w:t>R3</w:t>
            </w:r>
          </w:p>
        </w:tc>
        <w:tc>
          <w:tcPr>
            <w:tcW w:w="2431" w:type="dxa"/>
          </w:tcPr>
          <w:p w14:paraId="27A085B4"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xml:space="preserve">▪ Ervaring is leidend voor nieuwe beslissingen </w:t>
            </w:r>
          </w:p>
          <w:p w14:paraId="54362009"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Leverancier waarin het vertrouwen groot is, geniet de voorkeur</w:t>
            </w:r>
          </w:p>
          <w:p w14:paraId="3B77CFDA"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Vertrouwen wordt als een wederzijds voordeel gezien</w:t>
            </w:r>
          </w:p>
        </w:tc>
        <w:tc>
          <w:tcPr>
            <w:tcW w:w="2890" w:type="dxa"/>
          </w:tcPr>
          <w:p w14:paraId="7E6DA06E"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Volgens de respondent heeft de overkoepelende organisatie de juiste kennis voor efficiënt inkoop</w:t>
            </w:r>
          </w:p>
          <w:p w14:paraId="4EB08BAE"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Inkoper werkt in expertiseteams</w:t>
            </w:r>
          </w:p>
          <w:p w14:paraId="65EB6574"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Inkoper is voor specialistische kennis afhankelijk van de leverancier</w:t>
            </w:r>
          </w:p>
        </w:tc>
        <w:tc>
          <w:tcPr>
            <w:tcW w:w="3885" w:type="dxa"/>
          </w:tcPr>
          <w:p w14:paraId="12A00BC7"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Formaliteit en voldoen aan regelgeving spelen een rol bij inkoop (bijvoorbeeld minimaal drie offertes per vraag)</w:t>
            </w:r>
          </w:p>
          <w:p w14:paraId="20F095B4"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xml:space="preserve">▪ Kostenbeheersing en doelmatigheid belangrijk vanwege publiek geld </w:t>
            </w:r>
          </w:p>
        </w:tc>
      </w:tr>
      <w:tr w:rsidR="007E665C" w:rsidRPr="00533BF3" w14:paraId="0EF4EF80" w14:textId="77777777" w:rsidTr="007E665C">
        <w:tc>
          <w:tcPr>
            <w:cnfStyle w:val="001000000000" w:firstRow="0" w:lastRow="0" w:firstColumn="1" w:lastColumn="0" w:oddVBand="0" w:evenVBand="0" w:oddHBand="0" w:evenHBand="0" w:firstRowFirstColumn="0" w:firstRowLastColumn="0" w:lastRowFirstColumn="0" w:lastRowLastColumn="0"/>
            <w:tcW w:w="1250" w:type="dxa"/>
          </w:tcPr>
          <w:p w14:paraId="06D6B7D8" w14:textId="77777777" w:rsidR="007E665C" w:rsidRPr="00906769" w:rsidRDefault="007E665C" w:rsidP="007E665C">
            <w:pPr>
              <w:rPr>
                <w:rFonts w:asciiTheme="minorHAnsi" w:hAnsiTheme="minorHAnsi" w:cstheme="minorHAnsi"/>
                <w:noProof/>
                <w:sz w:val="22"/>
                <w:szCs w:val="22"/>
              </w:rPr>
            </w:pPr>
            <w:r w:rsidRPr="00906769">
              <w:rPr>
                <w:rFonts w:asciiTheme="minorHAnsi" w:hAnsiTheme="minorHAnsi" w:cstheme="minorHAnsi"/>
                <w:noProof/>
                <w:sz w:val="22"/>
                <w:szCs w:val="22"/>
              </w:rPr>
              <w:t>R4</w:t>
            </w:r>
          </w:p>
        </w:tc>
        <w:tc>
          <w:tcPr>
            <w:tcW w:w="2431" w:type="dxa"/>
          </w:tcPr>
          <w:p w14:paraId="76578945"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Vertrouwen is belangrijk maar niet leidend</w:t>
            </w:r>
          </w:p>
          <w:p w14:paraId="173A17ED"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Prijs-kwaliteit verhouding is doorslaggevend</w:t>
            </w:r>
          </w:p>
          <w:p w14:paraId="2AB49C51"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Voorkeur voor een grondige en rationele marktanalyse</w:t>
            </w:r>
          </w:p>
        </w:tc>
        <w:tc>
          <w:tcPr>
            <w:tcW w:w="2890" w:type="dxa"/>
          </w:tcPr>
          <w:p w14:paraId="6DDD9242"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Respondent geeft aan niet  altijd over relevante kennis te beschikken</w:t>
            </w:r>
          </w:p>
          <w:p w14:paraId="6840EF13"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Leverancier heeft meer kennis, maar niet meer macht</w:t>
            </w:r>
          </w:p>
          <w:p w14:paraId="1E20AAE8"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Afspraken over de prestatie worden in een SLA opgenomen</w:t>
            </w:r>
          </w:p>
        </w:tc>
        <w:tc>
          <w:tcPr>
            <w:tcW w:w="3885" w:type="dxa"/>
          </w:tcPr>
          <w:p w14:paraId="66495B8C"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Volgens de respondent is de inkoop van de scholengemeenschap niet anders dan van een private partij</w:t>
            </w:r>
          </w:p>
          <w:p w14:paraId="2749FED3"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xml:space="preserve">▪ Belangrijk om binnen de financiële kaders te blijven </w:t>
            </w:r>
          </w:p>
          <w:p w14:paraId="5CC1ACE2"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Er wordt geen druk ervaren van actoren of instanties</w:t>
            </w:r>
          </w:p>
          <w:p w14:paraId="0D1237D7"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Beleid van de directie wordt gecontroleerd door de medezeggenschapsraad, met instemmingsrecht bij belangrijke beslissingen</w:t>
            </w:r>
          </w:p>
        </w:tc>
      </w:tr>
      <w:tr w:rsidR="007E665C" w:rsidRPr="00533BF3" w14:paraId="14EE7002" w14:textId="77777777" w:rsidTr="007E665C">
        <w:tc>
          <w:tcPr>
            <w:cnfStyle w:val="001000000000" w:firstRow="0" w:lastRow="0" w:firstColumn="1" w:lastColumn="0" w:oddVBand="0" w:evenVBand="0" w:oddHBand="0" w:evenHBand="0" w:firstRowFirstColumn="0" w:firstRowLastColumn="0" w:lastRowFirstColumn="0" w:lastRowLastColumn="0"/>
            <w:tcW w:w="1250" w:type="dxa"/>
          </w:tcPr>
          <w:p w14:paraId="6594C469" w14:textId="77777777" w:rsidR="007E665C" w:rsidRPr="00906769" w:rsidRDefault="007E665C" w:rsidP="007E665C">
            <w:pPr>
              <w:rPr>
                <w:rFonts w:asciiTheme="minorHAnsi" w:hAnsiTheme="minorHAnsi" w:cstheme="minorHAnsi"/>
                <w:noProof/>
                <w:sz w:val="22"/>
                <w:szCs w:val="22"/>
              </w:rPr>
            </w:pPr>
            <w:r w:rsidRPr="00906769">
              <w:rPr>
                <w:rFonts w:asciiTheme="minorHAnsi" w:hAnsiTheme="minorHAnsi" w:cstheme="minorHAnsi"/>
                <w:noProof/>
                <w:sz w:val="22"/>
                <w:szCs w:val="22"/>
              </w:rPr>
              <w:lastRenderedPageBreak/>
              <w:t>R5</w:t>
            </w:r>
          </w:p>
        </w:tc>
        <w:tc>
          <w:tcPr>
            <w:tcW w:w="2431" w:type="dxa"/>
          </w:tcPr>
          <w:p w14:paraId="173FD1DB"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Als vertrouwen geschaad wordt, stapt de respondent over naar een andere partij</w:t>
            </w:r>
          </w:p>
          <w:p w14:paraId="06626CA5"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Prijs belangrijk in de leverancierskeuze</w:t>
            </w:r>
          </w:p>
        </w:tc>
        <w:tc>
          <w:tcPr>
            <w:tcW w:w="2890" w:type="dxa"/>
          </w:tcPr>
          <w:p w14:paraId="08EE9E42"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Respondent geeft aan voldoende kennis te hebben</w:t>
            </w:r>
          </w:p>
          <w:p w14:paraId="4539F2D0"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xml:space="preserve">▪ Kennis heeft geen invloed op de kostprijs </w:t>
            </w:r>
          </w:p>
          <w:p w14:paraId="5B24EF2D"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Eventuele kennisachterstand wordt gecompenseerd door hulp van collega’s</w:t>
            </w:r>
          </w:p>
        </w:tc>
        <w:tc>
          <w:tcPr>
            <w:tcW w:w="3885" w:type="dxa"/>
          </w:tcPr>
          <w:p w14:paraId="32F8747B"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Geen invloed van andere actoren ervaren</w:t>
            </w:r>
          </w:p>
          <w:p w14:paraId="00995214"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Continuïteit van dienstverlening belangrijker dan streven naar laagste prijs per product</w:t>
            </w:r>
          </w:p>
        </w:tc>
      </w:tr>
      <w:tr w:rsidR="007E665C" w:rsidRPr="00533BF3" w14:paraId="070952E0" w14:textId="77777777" w:rsidTr="007E665C">
        <w:tc>
          <w:tcPr>
            <w:cnfStyle w:val="001000000000" w:firstRow="0" w:lastRow="0" w:firstColumn="1" w:lastColumn="0" w:oddVBand="0" w:evenVBand="0" w:oddHBand="0" w:evenHBand="0" w:firstRowFirstColumn="0" w:firstRowLastColumn="0" w:lastRowFirstColumn="0" w:lastRowLastColumn="0"/>
            <w:tcW w:w="1250" w:type="dxa"/>
          </w:tcPr>
          <w:p w14:paraId="1A4BACAF" w14:textId="77777777" w:rsidR="007E665C" w:rsidRPr="00906769" w:rsidRDefault="007E665C" w:rsidP="007E665C">
            <w:pPr>
              <w:rPr>
                <w:rFonts w:asciiTheme="minorHAnsi" w:hAnsiTheme="minorHAnsi" w:cstheme="minorHAnsi"/>
                <w:noProof/>
                <w:sz w:val="22"/>
                <w:szCs w:val="22"/>
              </w:rPr>
            </w:pPr>
            <w:r w:rsidRPr="00906769">
              <w:rPr>
                <w:rFonts w:asciiTheme="minorHAnsi" w:hAnsiTheme="minorHAnsi" w:cstheme="minorHAnsi"/>
                <w:noProof/>
                <w:sz w:val="22"/>
                <w:szCs w:val="22"/>
              </w:rPr>
              <w:t>R6</w:t>
            </w:r>
          </w:p>
        </w:tc>
        <w:tc>
          <w:tcPr>
            <w:tcW w:w="2431" w:type="dxa"/>
          </w:tcPr>
          <w:p w14:paraId="642C7E24"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Voorkeur voor lokale leverancier waar een relatie mee kan worden opgebouwd</w:t>
            </w:r>
          </w:p>
          <w:p w14:paraId="19F014FE"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xml:space="preserve">▪ Vertrouwen neemt toe als leverancier toegankelijk is </w:t>
            </w:r>
          </w:p>
        </w:tc>
        <w:tc>
          <w:tcPr>
            <w:tcW w:w="2890" w:type="dxa"/>
          </w:tcPr>
          <w:p w14:paraId="2A621144"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Respondent heeft een technische achtergrond</w:t>
            </w:r>
          </w:p>
          <w:p w14:paraId="0F3D3200"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Respondent benadrukt dat de kennis bij de leverancier ligt, maar heeft geen invloed op de afspraken</w:t>
            </w:r>
          </w:p>
        </w:tc>
        <w:tc>
          <w:tcPr>
            <w:tcW w:w="3885" w:type="dxa"/>
          </w:tcPr>
          <w:p w14:paraId="39B3EABD"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Bewustzijn dat er met publiek geld wordt omgegaan</w:t>
            </w:r>
          </w:p>
          <w:p w14:paraId="46412C1A"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Kostenbeheersing belangrijk, maar geen doel op zich</w:t>
            </w:r>
          </w:p>
          <w:p w14:paraId="4D45BA4F"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p>
        </w:tc>
      </w:tr>
      <w:tr w:rsidR="007E665C" w:rsidRPr="00533BF3" w14:paraId="4F596BE1" w14:textId="77777777" w:rsidTr="007E665C">
        <w:tc>
          <w:tcPr>
            <w:cnfStyle w:val="001000000000" w:firstRow="0" w:lastRow="0" w:firstColumn="1" w:lastColumn="0" w:oddVBand="0" w:evenVBand="0" w:oddHBand="0" w:evenHBand="0" w:firstRowFirstColumn="0" w:firstRowLastColumn="0" w:lastRowFirstColumn="0" w:lastRowLastColumn="0"/>
            <w:tcW w:w="1250" w:type="dxa"/>
          </w:tcPr>
          <w:p w14:paraId="0BBD1D9D" w14:textId="77777777" w:rsidR="007E665C" w:rsidRPr="00906769" w:rsidRDefault="007E665C" w:rsidP="007E665C">
            <w:pPr>
              <w:rPr>
                <w:rFonts w:asciiTheme="minorHAnsi" w:hAnsiTheme="minorHAnsi" w:cstheme="minorHAnsi"/>
                <w:noProof/>
                <w:sz w:val="22"/>
                <w:szCs w:val="22"/>
              </w:rPr>
            </w:pPr>
            <w:r w:rsidRPr="00906769">
              <w:rPr>
                <w:rFonts w:asciiTheme="minorHAnsi" w:hAnsiTheme="minorHAnsi" w:cstheme="minorHAnsi"/>
                <w:noProof/>
                <w:sz w:val="22"/>
                <w:szCs w:val="22"/>
              </w:rPr>
              <w:t>R7</w:t>
            </w:r>
          </w:p>
        </w:tc>
        <w:tc>
          <w:tcPr>
            <w:tcW w:w="2431" w:type="dxa"/>
          </w:tcPr>
          <w:p w14:paraId="7125D963"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Vertrouwen in de leverancier is groot als er geen problemen optreden</w:t>
            </w:r>
          </w:p>
          <w:p w14:paraId="5411A47F"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Middelen om de leverancier te controleren zijn ontoereikend</w:t>
            </w:r>
          </w:p>
        </w:tc>
        <w:tc>
          <w:tcPr>
            <w:tcW w:w="2890" w:type="dxa"/>
          </w:tcPr>
          <w:p w14:paraId="43E08DF4"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Geen duidelijke beeld over de kennisverhouding; afhankelijk van de producten</w:t>
            </w:r>
          </w:p>
          <w:p w14:paraId="18B2A01C"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Op het gebied van ICT is afhankelijkheid groot vanwege specialistische kennis</w:t>
            </w:r>
          </w:p>
        </w:tc>
        <w:tc>
          <w:tcPr>
            <w:tcW w:w="3885" w:type="dxa"/>
          </w:tcPr>
          <w:p w14:paraId="17B51D2E"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xml:space="preserve">▪ Respondent ervaart geen druk vanuit externe omgeving </w:t>
            </w:r>
          </w:p>
          <w:p w14:paraId="1A2D1A5F"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Bewust van de maatschappelijk functie</w:t>
            </w:r>
          </w:p>
        </w:tc>
      </w:tr>
      <w:tr w:rsidR="007E665C" w:rsidRPr="00533BF3" w14:paraId="471C07FD" w14:textId="77777777" w:rsidTr="007E665C">
        <w:tc>
          <w:tcPr>
            <w:cnfStyle w:val="001000000000" w:firstRow="0" w:lastRow="0" w:firstColumn="1" w:lastColumn="0" w:oddVBand="0" w:evenVBand="0" w:oddHBand="0" w:evenHBand="0" w:firstRowFirstColumn="0" w:firstRowLastColumn="0" w:lastRowFirstColumn="0" w:lastRowLastColumn="0"/>
            <w:tcW w:w="1250" w:type="dxa"/>
          </w:tcPr>
          <w:p w14:paraId="348C6783" w14:textId="77777777" w:rsidR="007E665C" w:rsidRPr="00906769" w:rsidRDefault="007E665C" w:rsidP="007E665C">
            <w:pPr>
              <w:rPr>
                <w:rFonts w:asciiTheme="minorHAnsi" w:hAnsiTheme="minorHAnsi" w:cstheme="minorHAnsi"/>
                <w:noProof/>
                <w:sz w:val="22"/>
                <w:szCs w:val="22"/>
              </w:rPr>
            </w:pPr>
            <w:r w:rsidRPr="00906769">
              <w:rPr>
                <w:rFonts w:asciiTheme="minorHAnsi" w:hAnsiTheme="minorHAnsi" w:cstheme="minorHAnsi"/>
                <w:noProof/>
                <w:sz w:val="22"/>
                <w:szCs w:val="22"/>
              </w:rPr>
              <w:t>R8</w:t>
            </w:r>
          </w:p>
        </w:tc>
        <w:tc>
          <w:tcPr>
            <w:tcW w:w="2431" w:type="dxa"/>
          </w:tcPr>
          <w:p w14:paraId="096BDF17"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Initieel veel vertrouwen in de leverancier</w:t>
            </w:r>
          </w:p>
          <w:p w14:paraId="0A5A284F"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Respondent hecht waarde aan servicegerichtheid en flexibiliteit van de respondent</w:t>
            </w:r>
          </w:p>
          <w:p w14:paraId="3FC925F5"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xml:space="preserve">▪ Nakomen van afspraken beïnvloed het vertrouwen in de leverancier </w:t>
            </w:r>
          </w:p>
          <w:p w14:paraId="22C1F7E1"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Respondent geeft aan dat elke inkooptraject geëvalueerd wordt wat in de toekomst als input dient bij de leverancierskeuze</w:t>
            </w:r>
          </w:p>
        </w:tc>
        <w:tc>
          <w:tcPr>
            <w:tcW w:w="2890" w:type="dxa"/>
          </w:tcPr>
          <w:p w14:paraId="064F3E58"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xml:space="preserve">▪ Aanwezigheid van verschillende specialismen binnen de school </w:t>
            </w:r>
          </w:p>
          <w:p w14:paraId="29177403"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xml:space="preserve">▪ Volgens de respondent heeft de inkoper niet minder macht dan de leverancier </w:t>
            </w:r>
          </w:p>
          <w:p w14:paraId="03CA59DB"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xml:space="preserve">▪ Contractuele afspraken komen middels onderhandelingen tot stand </w:t>
            </w:r>
          </w:p>
        </w:tc>
        <w:tc>
          <w:tcPr>
            <w:tcW w:w="3885" w:type="dxa"/>
          </w:tcPr>
          <w:p w14:paraId="04E5D3F8"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Inkoper wordt aangestuurd door behoeften van de leerlingen</w:t>
            </w:r>
          </w:p>
          <w:p w14:paraId="0001876C"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xml:space="preserve">▪ Procedures bij inkoop bij Europese aanbestedingen </w:t>
            </w:r>
          </w:p>
          <w:p w14:paraId="55B4E1CC"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Geen bijzondere aandacht naar de setting waarin de school opereert</w:t>
            </w:r>
          </w:p>
          <w:p w14:paraId="1747255B"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p>
          <w:p w14:paraId="1F70D805"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p>
        </w:tc>
      </w:tr>
      <w:tr w:rsidR="007E665C" w:rsidRPr="00533BF3" w14:paraId="07C93E61" w14:textId="77777777" w:rsidTr="007E665C">
        <w:tc>
          <w:tcPr>
            <w:cnfStyle w:val="001000000000" w:firstRow="0" w:lastRow="0" w:firstColumn="1" w:lastColumn="0" w:oddVBand="0" w:evenVBand="0" w:oddHBand="0" w:evenHBand="0" w:firstRowFirstColumn="0" w:firstRowLastColumn="0" w:lastRowFirstColumn="0" w:lastRowLastColumn="0"/>
            <w:tcW w:w="1250" w:type="dxa"/>
          </w:tcPr>
          <w:p w14:paraId="196B5C64" w14:textId="77777777" w:rsidR="007E665C" w:rsidRPr="00906769" w:rsidRDefault="007E665C" w:rsidP="007E665C">
            <w:pPr>
              <w:rPr>
                <w:rFonts w:asciiTheme="minorHAnsi" w:hAnsiTheme="minorHAnsi" w:cstheme="minorHAnsi"/>
                <w:noProof/>
                <w:sz w:val="22"/>
                <w:szCs w:val="22"/>
              </w:rPr>
            </w:pPr>
            <w:r w:rsidRPr="00906769">
              <w:rPr>
                <w:rFonts w:asciiTheme="minorHAnsi" w:hAnsiTheme="minorHAnsi" w:cstheme="minorHAnsi"/>
                <w:noProof/>
                <w:sz w:val="22"/>
                <w:szCs w:val="22"/>
              </w:rPr>
              <w:t>R9</w:t>
            </w:r>
          </w:p>
        </w:tc>
        <w:tc>
          <w:tcPr>
            <w:tcW w:w="2431" w:type="dxa"/>
          </w:tcPr>
          <w:p w14:paraId="46C415E2"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Initiële vertrouwen is groot</w:t>
            </w:r>
          </w:p>
          <w:p w14:paraId="6B8869B9"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lastRenderedPageBreak/>
              <w:t xml:space="preserve">▪ Geen negatieve ervaringen met leveranciers </w:t>
            </w:r>
          </w:p>
          <w:p w14:paraId="6B4CCA40"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p>
        </w:tc>
        <w:tc>
          <w:tcPr>
            <w:tcW w:w="2890" w:type="dxa"/>
          </w:tcPr>
          <w:p w14:paraId="7BF7F6C0"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lastRenderedPageBreak/>
              <w:t xml:space="preserve">▪ Bundeling van krachten wordt gezien als bundeling van kennis </w:t>
            </w:r>
          </w:p>
          <w:p w14:paraId="72C22D8A"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lastRenderedPageBreak/>
              <w:t>▪ Leverancier heeft doorgaans meer kennis, maar dit heeft niet geleidt tot problemen</w:t>
            </w:r>
          </w:p>
        </w:tc>
        <w:tc>
          <w:tcPr>
            <w:tcW w:w="3885" w:type="dxa"/>
          </w:tcPr>
          <w:p w14:paraId="1E5A08D6"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lastRenderedPageBreak/>
              <w:t>▪ Respondent ervaart ruime mate van autonomie</w:t>
            </w:r>
          </w:p>
          <w:p w14:paraId="7F11BD66"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Streven naar besparingen die in het onderwijs gestopt kunnen worden</w:t>
            </w:r>
          </w:p>
          <w:p w14:paraId="669BF314"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lastRenderedPageBreak/>
              <w:t>▪ Geen verantwoording verplicht aan externe instanties</w:t>
            </w:r>
          </w:p>
        </w:tc>
      </w:tr>
      <w:tr w:rsidR="007E665C" w:rsidRPr="00533BF3" w14:paraId="67E7DF94" w14:textId="77777777" w:rsidTr="007E665C">
        <w:tc>
          <w:tcPr>
            <w:cnfStyle w:val="001000000000" w:firstRow="0" w:lastRow="0" w:firstColumn="1" w:lastColumn="0" w:oddVBand="0" w:evenVBand="0" w:oddHBand="0" w:evenHBand="0" w:firstRowFirstColumn="0" w:firstRowLastColumn="0" w:lastRowFirstColumn="0" w:lastRowLastColumn="0"/>
            <w:tcW w:w="1250" w:type="dxa"/>
          </w:tcPr>
          <w:p w14:paraId="4E6AC93B" w14:textId="77777777" w:rsidR="007E665C" w:rsidRPr="00906769" w:rsidRDefault="007E665C" w:rsidP="007E665C">
            <w:pPr>
              <w:rPr>
                <w:rFonts w:asciiTheme="minorHAnsi" w:hAnsiTheme="minorHAnsi" w:cstheme="minorHAnsi"/>
                <w:noProof/>
                <w:sz w:val="22"/>
                <w:szCs w:val="22"/>
              </w:rPr>
            </w:pPr>
            <w:r w:rsidRPr="00906769">
              <w:rPr>
                <w:rFonts w:asciiTheme="minorHAnsi" w:hAnsiTheme="minorHAnsi" w:cstheme="minorHAnsi"/>
                <w:noProof/>
                <w:sz w:val="22"/>
                <w:szCs w:val="22"/>
              </w:rPr>
              <w:lastRenderedPageBreak/>
              <w:t>R10</w:t>
            </w:r>
          </w:p>
        </w:tc>
        <w:tc>
          <w:tcPr>
            <w:tcW w:w="2431" w:type="dxa"/>
          </w:tcPr>
          <w:p w14:paraId="71B6CCE6"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Vertrouwen in een partij is afhankelijk van eerdere ervaringen</w:t>
            </w:r>
          </w:p>
          <w:p w14:paraId="0CDF860C"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Leverancier dient de profiel van de school te kennen</w:t>
            </w:r>
          </w:p>
          <w:p w14:paraId="762642D0"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Goede samenwerking met de leverancier door ontstane vertrouwensband</w:t>
            </w:r>
          </w:p>
          <w:p w14:paraId="34DE1834"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p>
        </w:tc>
        <w:tc>
          <w:tcPr>
            <w:tcW w:w="2890" w:type="dxa"/>
          </w:tcPr>
          <w:p w14:paraId="4753596F"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Respondent geeft aan dat de leverancier meer kennis heeft en dit zo hoort</w:t>
            </w:r>
          </w:p>
          <w:p w14:paraId="639AC94B"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Respondent kan niet inschatten wanneer dit nadelig kan uitpakken</w:t>
            </w:r>
          </w:p>
          <w:p w14:paraId="44293782"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Respondent ziet weinig redenen om de prijzen en voorwaarden van de leverancier nader onder loep te nemen</w:t>
            </w:r>
          </w:p>
        </w:tc>
        <w:tc>
          <w:tcPr>
            <w:tcW w:w="3885" w:type="dxa"/>
          </w:tcPr>
          <w:p w14:paraId="7C435A54"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xml:space="preserve">▪ Organisatie ervaart geen druk van buiten de school </w:t>
            </w:r>
          </w:p>
          <w:p w14:paraId="3EED3C21"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Transparantie en verantwoord handelen zijn belangrijk voor de inkoper</w:t>
            </w:r>
          </w:p>
          <w:p w14:paraId="2E28A252"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Inkoop houdt rekening met niet overschrijden van budgetten</w:t>
            </w:r>
          </w:p>
        </w:tc>
      </w:tr>
      <w:tr w:rsidR="007E665C" w:rsidRPr="00533BF3" w14:paraId="21699254" w14:textId="77777777" w:rsidTr="007E665C">
        <w:tc>
          <w:tcPr>
            <w:cnfStyle w:val="001000000000" w:firstRow="0" w:lastRow="0" w:firstColumn="1" w:lastColumn="0" w:oddVBand="0" w:evenVBand="0" w:oddHBand="0" w:evenHBand="0" w:firstRowFirstColumn="0" w:firstRowLastColumn="0" w:lastRowFirstColumn="0" w:lastRowLastColumn="0"/>
            <w:tcW w:w="1250" w:type="dxa"/>
          </w:tcPr>
          <w:p w14:paraId="45792F05" w14:textId="77777777" w:rsidR="007E665C" w:rsidRPr="00906769" w:rsidRDefault="007E665C" w:rsidP="007E665C">
            <w:pPr>
              <w:rPr>
                <w:rFonts w:asciiTheme="minorHAnsi" w:hAnsiTheme="minorHAnsi" w:cstheme="minorHAnsi"/>
                <w:noProof/>
                <w:sz w:val="22"/>
                <w:szCs w:val="22"/>
              </w:rPr>
            </w:pPr>
            <w:r w:rsidRPr="00906769">
              <w:rPr>
                <w:rFonts w:asciiTheme="minorHAnsi" w:hAnsiTheme="minorHAnsi" w:cstheme="minorHAnsi"/>
                <w:noProof/>
                <w:sz w:val="22"/>
                <w:szCs w:val="22"/>
              </w:rPr>
              <w:t>R11</w:t>
            </w:r>
          </w:p>
        </w:tc>
        <w:tc>
          <w:tcPr>
            <w:tcW w:w="2431" w:type="dxa"/>
          </w:tcPr>
          <w:p w14:paraId="550DAF21"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Stabiele financiële positie en bereikbaarheid zijn belangrijk voor de respondent</w:t>
            </w:r>
          </w:p>
          <w:p w14:paraId="09045670"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Voorkeur voor respondenten die zichzelf positief hebben bewezen</w:t>
            </w:r>
          </w:p>
          <w:p w14:paraId="0674CB2D"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Vertrouwen is minder groot bij nieuwe leveranciers</w:t>
            </w:r>
          </w:p>
        </w:tc>
        <w:tc>
          <w:tcPr>
            <w:tcW w:w="2890" w:type="dxa"/>
          </w:tcPr>
          <w:p w14:paraId="49A33193"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Respondent is bewust van risico’s wanneer de leverancier meer kennis en expertise heeft</w:t>
            </w:r>
          </w:p>
          <w:p w14:paraId="14B19F09"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Respondent maakt bij gelegenheid gebruik van marktconsultatie</w:t>
            </w:r>
          </w:p>
          <w:p w14:paraId="7D2ECC72"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Respondent erkent de kennisasymmetrie, maar ziet dit niet als aanleiding tot inefficiënt inkoop</w:t>
            </w:r>
          </w:p>
        </w:tc>
        <w:tc>
          <w:tcPr>
            <w:tcW w:w="3885" w:type="dxa"/>
          </w:tcPr>
          <w:p w14:paraId="076629C1"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Respondent ervaart geen druk van buitenaf op het gebied van inkoop</w:t>
            </w:r>
          </w:p>
          <w:p w14:paraId="755C79CC"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Respondent geeft een eigen invulling aan de kaders van de overheid</w:t>
            </w:r>
          </w:p>
          <w:p w14:paraId="77B97926" w14:textId="77777777" w:rsidR="007E665C" w:rsidRPr="00906769"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906769">
              <w:rPr>
                <w:rFonts w:asciiTheme="minorHAnsi" w:hAnsiTheme="minorHAnsi" w:cstheme="minorHAnsi"/>
                <w:noProof/>
                <w:sz w:val="22"/>
                <w:szCs w:val="22"/>
              </w:rPr>
              <w:t>▪ Goed onderwijs wordt als een algemene plicht gezien, maar niet inkoop in het specifiek</w:t>
            </w:r>
          </w:p>
        </w:tc>
      </w:tr>
    </w:tbl>
    <w:p w14:paraId="6A1F6D2A" w14:textId="1B5A8A54" w:rsidR="007E665C" w:rsidRPr="00750162" w:rsidRDefault="007E665C" w:rsidP="00750162">
      <w:pPr>
        <w:pStyle w:val="Caption"/>
      </w:pPr>
      <w:r w:rsidRPr="00750162">
        <w:t xml:space="preserve">Tabel </w:t>
      </w:r>
      <w:r w:rsidR="0040657F">
        <w:t>9</w:t>
      </w:r>
      <w:r w:rsidRPr="00750162">
        <w:t xml:space="preserve">: De antwoorden van de respondenten op de variabelen ‘vertrouwen’, ‘kennis en expertise’ en ‘institutionele setting van het openbaar bestuur’. </w:t>
      </w:r>
    </w:p>
    <w:p w14:paraId="52ABDD7E" w14:textId="77777777" w:rsidR="007E665C" w:rsidRPr="00E42062" w:rsidRDefault="007E665C" w:rsidP="007E665C">
      <w:pPr>
        <w:pStyle w:val="NoSpacing"/>
        <w:spacing w:line="276" w:lineRule="auto"/>
        <w:rPr>
          <w:b/>
          <w:noProof/>
        </w:rPr>
      </w:pPr>
    </w:p>
    <w:p w14:paraId="265D0091" w14:textId="7F7BC127" w:rsidR="007E665C" w:rsidRPr="00ED3CDC" w:rsidRDefault="007E665C" w:rsidP="00ED3CDC">
      <w:pPr>
        <w:pStyle w:val="Heading2"/>
        <w:rPr>
          <w:rFonts w:ascii="Calibri" w:eastAsia="Calibri" w:hAnsi="Calibri"/>
          <w:noProof/>
          <w:color w:val="1F3864" w:themeColor="accent1" w:themeShade="80"/>
        </w:rPr>
      </w:pPr>
      <w:bookmarkStart w:id="125" w:name="_Toc517455476"/>
      <w:r w:rsidRPr="00ED3CDC">
        <w:rPr>
          <w:noProof/>
          <w:color w:val="1F3864" w:themeColor="accent1" w:themeShade="80"/>
        </w:rPr>
        <w:t xml:space="preserve">Reflectie op de resultaten </w:t>
      </w:r>
      <w:bookmarkStart w:id="126" w:name="_Hlk515461074"/>
      <w:r w:rsidRPr="00ED3CDC">
        <w:rPr>
          <w:noProof/>
          <w:color w:val="1F3864" w:themeColor="accent1" w:themeShade="80"/>
        </w:rPr>
        <w:t>‘vertrouwen’, ‘kennis en expertise’ en ‘institutionele setting van het openbaar bestuur’</w:t>
      </w:r>
      <w:bookmarkEnd w:id="126"/>
      <w:r w:rsidRPr="00ED3CDC">
        <w:rPr>
          <w:noProof/>
          <w:color w:val="1F3864" w:themeColor="accent1" w:themeShade="80"/>
        </w:rPr>
        <w:t>.</w:t>
      </w:r>
      <w:bookmarkEnd w:id="125"/>
      <w:r w:rsidRPr="00ED3CDC">
        <w:rPr>
          <w:noProof/>
          <w:color w:val="1F3864" w:themeColor="accent1" w:themeShade="80"/>
        </w:rPr>
        <w:t xml:space="preserve"> </w:t>
      </w:r>
    </w:p>
    <w:p w14:paraId="58EB93B0" w14:textId="7D81FE6C" w:rsidR="007E665C" w:rsidRPr="00E42062" w:rsidRDefault="007E665C" w:rsidP="007E665C">
      <w:pPr>
        <w:pStyle w:val="NoSpacing"/>
        <w:spacing w:line="276" w:lineRule="auto"/>
        <w:rPr>
          <w:noProof/>
        </w:rPr>
      </w:pPr>
      <w:r w:rsidRPr="00D02925">
        <w:rPr>
          <w:noProof/>
        </w:rPr>
        <w:t xml:space="preserve">Tabel </w:t>
      </w:r>
      <w:r w:rsidR="0040657F">
        <w:rPr>
          <w:noProof/>
        </w:rPr>
        <w:t>9</w:t>
      </w:r>
      <w:r w:rsidRPr="00D02925">
        <w:rPr>
          <w:noProof/>
        </w:rPr>
        <w:t xml:space="preserve"> geeft</w:t>
      </w:r>
      <w:r w:rsidRPr="00E42062">
        <w:rPr>
          <w:noProof/>
        </w:rPr>
        <w:t xml:space="preserve"> weer in hoeverre vertrouwen in de leverancier, kennis en expertise van de opdrachtgever en de invloed van de institutionele setting een rol speelt bij de inkoop</w:t>
      </w:r>
      <w:r>
        <w:rPr>
          <w:noProof/>
        </w:rPr>
        <w:t xml:space="preserve"> binnen de 11 onderzochte scholen</w:t>
      </w:r>
      <w:r w:rsidRPr="00E42062">
        <w:rPr>
          <w:noProof/>
        </w:rPr>
        <w:t xml:space="preserve">. Naast de rode lijn in de antwoorden van de </w:t>
      </w:r>
      <w:r w:rsidR="005047C6">
        <w:rPr>
          <w:noProof/>
        </w:rPr>
        <w:t>11</w:t>
      </w:r>
      <w:r w:rsidRPr="00E42062">
        <w:rPr>
          <w:noProof/>
        </w:rPr>
        <w:t xml:space="preserve"> respondenten zijn er ook verschillen </w:t>
      </w:r>
      <w:r>
        <w:rPr>
          <w:noProof/>
        </w:rPr>
        <w:t xml:space="preserve">en patronen </w:t>
      </w:r>
      <w:r w:rsidRPr="00E42062">
        <w:rPr>
          <w:noProof/>
        </w:rPr>
        <w:t xml:space="preserve">aan te duiden. Deze </w:t>
      </w:r>
      <w:r>
        <w:rPr>
          <w:noProof/>
        </w:rPr>
        <w:t xml:space="preserve">zullen per varibele </w:t>
      </w:r>
      <w:r w:rsidRPr="00E42062">
        <w:rPr>
          <w:noProof/>
        </w:rPr>
        <w:t>kort worden be</w:t>
      </w:r>
      <w:r>
        <w:rPr>
          <w:noProof/>
        </w:rPr>
        <w:t>handeld</w:t>
      </w:r>
      <w:r w:rsidRPr="00E42062">
        <w:rPr>
          <w:noProof/>
        </w:rPr>
        <w:t xml:space="preserve">. </w:t>
      </w:r>
    </w:p>
    <w:p w14:paraId="608DBF0C" w14:textId="77777777" w:rsidR="007E665C" w:rsidRPr="003B56D6" w:rsidRDefault="007E665C" w:rsidP="007E665C">
      <w:pPr>
        <w:pStyle w:val="NoSpacing"/>
        <w:spacing w:line="276" w:lineRule="auto"/>
        <w:rPr>
          <w:i/>
          <w:noProof/>
          <w:color w:val="1F3864" w:themeColor="accent1" w:themeShade="80"/>
        </w:rPr>
      </w:pPr>
    </w:p>
    <w:p w14:paraId="38E70FB8" w14:textId="02C6CCB2" w:rsidR="007E665C" w:rsidRPr="00ED3CDC" w:rsidRDefault="00ED3CDC" w:rsidP="00ED3CDC">
      <w:pPr>
        <w:pStyle w:val="Heading3"/>
        <w:rPr>
          <w:noProof/>
          <w:color w:val="1F3864" w:themeColor="accent1" w:themeShade="80"/>
        </w:rPr>
      </w:pPr>
      <w:bookmarkStart w:id="127" w:name="_Toc517455477"/>
      <w:r w:rsidRPr="00ED3CDC">
        <w:rPr>
          <w:noProof/>
          <w:color w:val="1F3864" w:themeColor="accent1" w:themeShade="80"/>
        </w:rPr>
        <w:t xml:space="preserve">5.3.1 </w:t>
      </w:r>
      <w:r w:rsidR="007E665C" w:rsidRPr="00ED3CDC">
        <w:rPr>
          <w:noProof/>
          <w:color w:val="1F3864" w:themeColor="accent1" w:themeShade="80"/>
        </w:rPr>
        <w:t>Vertrouwen</w:t>
      </w:r>
      <w:bookmarkEnd w:id="127"/>
    </w:p>
    <w:p w14:paraId="1352CFF3" w14:textId="0E2EDBBA" w:rsidR="007E665C" w:rsidRPr="00E42062" w:rsidRDefault="007E665C" w:rsidP="007E665C">
      <w:pPr>
        <w:pStyle w:val="NoSpacing"/>
        <w:spacing w:line="276" w:lineRule="auto"/>
        <w:rPr>
          <w:noProof/>
        </w:rPr>
      </w:pPr>
      <w:r w:rsidRPr="00E42062">
        <w:rPr>
          <w:noProof/>
        </w:rPr>
        <w:t xml:space="preserve">Uit de interviews komt naar voren dat vertrouwen in de leverancier erg belangrijk is voor de inkopers. In het onderzoek is er gelet op de mate waarin het vertrouwen in de leverancier en de relatie leidend is voor de leverancierskeuze. Slecht één respondent (R4) geeft aan vertrouwen niet als een leidende factor te zien. Er zijn duidelijke overeenkomsten waar te nemen in de antwoorden van de respondenten. Een absolute meerderheid geeft aan dat zowel </w:t>
      </w:r>
      <w:r w:rsidR="005047C6">
        <w:rPr>
          <w:noProof/>
        </w:rPr>
        <w:t>relationele</w:t>
      </w:r>
      <w:r w:rsidRPr="00E42062">
        <w:rPr>
          <w:noProof/>
        </w:rPr>
        <w:t xml:space="preserve"> vertrouwen als gecalculeerd</w:t>
      </w:r>
      <w:r w:rsidR="005047C6">
        <w:rPr>
          <w:noProof/>
        </w:rPr>
        <w:t>e</w:t>
      </w:r>
      <w:r w:rsidRPr="00E42062">
        <w:rPr>
          <w:noProof/>
        </w:rPr>
        <w:t xml:space="preserve"> vertrouwen gevormd wordt door eerdere ervaringen. Ook wordt er in de interviews aangegeven dat slechte ervaringen met de leverancier consequenties heeft voor in de toekomst. Respondent R2, R6, R9 en R10 geven aan dat het vertrouwen minder is bij Europese aanbestedingen. Hier </w:t>
      </w:r>
      <w:r w:rsidRPr="00E42062">
        <w:rPr>
          <w:noProof/>
        </w:rPr>
        <w:lastRenderedPageBreak/>
        <w:t>doen doorgaans grotere partijen mee waar nog niet mee is samengewerkt. In de praktijk betekent dit een meer gecalculeerd en rationeel gedrag van de inkoper, waarbij afspraken zoveel mogelijk worden vastgesteld.</w:t>
      </w:r>
    </w:p>
    <w:p w14:paraId="6B006967" w14:textId="5123AA4D" w:rsidR="007E665C" w:rsidRPr="00E42062" w:rsidRDefault="007E665C" w:rsidP="007E665C">
      <w:pPr>
        <w:pStyle w:val="NoSpacing"/>
        <w:spacing w:line="276" w:lineRule="auto"/>
        <w:ind w:firstLine="720"/>
        <w:rPr>
          <w:noProof/>
        </w:rPr>
      </w:pPr>
      <w:r w:rsidRPr="00E42062">
        <w:rPr>
          <w:noProof/>
        </w:rPr>
        <w:t xml:space="preserve">Bij het vergelijken van de onderzochte onderwijsinstellingen valt een onderscheid te maken tussen </w:t>
      </w:r>
      <w:r w:rsidR="005047C6">
        <w:rPr>
          <w:noProof/>
        </w:rPr>
        <w:t>gecalculeerde en relationele</w:t>
      </w:r>
      <w:r w:rsidRPr="00E42062">
        <w:rPr>
          <w:noProof/>
        </w:rPr>
        <w:t xml:space="preserve"> vertrouwen. Er is slechts in één geval sprake van louter gecalculeerd</w:t>
      </w:r>
      <w:r w:rsidR="005047C6">
        <w:rPr>
          <w:noProof/>
        </w:rPr>
        <w:t>e</w:t>
      </w:r>
      <w:r w:rsidRPr="00E42062">
        <w:rPr>
          <w:noProof/>
        </w:rPr>
        <w:t xml:space="preserve"> vertrouwen, namelijk bij respondent R4. Vertrouwen in de leverancier is niet gebaseerd op de relatie binnen de opdrachtgeverschap. In andere gevallen geven respondenten aan dat vertrouwen gebaseerd wordt op relatie en ervaring. Er valt geen onderscheid te maken op basis van het profiel van de school, denominatie of functie van de respondent. Het meest zichtbare patroon in de antwoorden is dat vertrouwen in zeer sterke mate bepalend is voor de leverancierskeuze en wat wordt gebaseerd op ervaringen uit het verleden. Het is opvallend te noemen dat de scholen hierin een gelijke lijn laten zien. Tevens is er geen relatie waar te nemen tussen de eigenschappen van de school of de respondent en de voorkeur voor lokale leveranciers.   </w:t>
      </w:r>
    </w:p>
    <w:p w14:paraId="09D8833E" w14:textId="77777777" w:rsidR="007E665C" w:rsidRDefault="007E665C" w:rsidP="007E665C">
      <w:pPr>
        <w:rPr>
          <w:b/>
          <w:i/>
          <w:noProof/>
        </w:rPr>
      </w:pPr>
    </w:p>
    <w:p w14:paraId="522F8783" w14:textId="2BCBC037" w:rsidR="007E665C" w:rsidRPr="00ED3CDC" w:rsidRDefault="00ED3CDC" w:rsidP="00ED3CDC">
      <w:pPr>
        <w:pStyle w:val="Heading3"/>
        <w:rPr>
          <w:noProof/>
          <w:color w:val="1F3864" w:themeColor="accent1" w:themeShade="80"/>
        </w:rPr>
      </w:pPr>
      <w:bookmarkStart w:id="128" w:name="_Toc517455478"/>
      <w:r w:rsidRPr="00ED3CDC">
        <w:rPr>
          <w:noProof/>
          <w:color w:val="1F3864" w:themeColor="accent1" w:themeShade="80"/>
        </w:rPr>
        <w:t xml:space="preserve">5.3.2 </w:t>
      </w:r>
      <w:r w:rsidR="007E665C" w:rsidRPr="00ED3CDC">
        <w:rPr>
          <w:noProof/>
          <w:color w:val="1F3864" w:themeColor="accent1" w:themeShade="80"/>
        </w:rPr>
        <w:t>Kennis en expertise</w:t>
      </w:r>
      <w:bookmarkEnd w:id="128"/>
    </w:p>
    <w:p w14:paraId="046E89F4" w14:textId="77777777" w:rsidR="007E665C" w:rsidRPr="00E42062" w:rsidRDefault="007E665C" w:rsidP="007E665C">
      <w:pPr>
        <w:pStyle w:val="NoSpacing"/>
        <w:spacing w:line="276" w:lineRule="auto"/>
        <w:rPr>
          <w:noProof/>
        </w:rPr>
      </w:pPr>
      <w:r w:rsidRPr="00E42062">
        <w:rPr>
          <w:noProof/>
        </w:rPr>
        <w:t xml:space="preserve">Afgaande op de antwoorden uit de interviews vormt de kennisachterstand van de inkopers geen belemmering voor efficiënt inkoop. Respondenten geven aan dat er kennisverschil in de praktijk wel bestaat, maar dat zij voldoende middelen tot hun beschikking hebben om hierop te anticiperen. Bij aanschaf van digitale leermiddelen en ander ICT speelt kennisasymmetrie een belangrijke rol. In het bijzonder wanneer het gaat om specialistische kennis. De afhankelijkheid wordt hierbij wel erkent. Vier van de elf respondenten (R1, R2, R6 en R7) hebben een ICT-achtergrond. Zij voelen zich dan ook minder kwetsbaar voor opportunistische opdrachtnemers. Er bestaat een sterk vertrouwen in de eigen capaciteiten om zo efficiënt mogelijk in te kopen. Respondenten die aangeven dat er sprake is van kennisachterstand bagatelliseren het effect hiervan op de inkoop en op de opdrachtgever-opdrachtnemer relatie. Respondent R11 is echter wel bewust van de risico’s en wanneer nodig wordt er gebruik gemaakt van externe ondersteuning.   </w:t>
      </w:r>
    </w:p>
    <w:p w14:paraId="1FAF158F" w14:textId="77777777" w:rsidR="007E665C" w:rsidRPr="00E42062" w:rsidRDefault="007E665C" w:rsidP="007E665C">
      <w:pPr>
        <w:pStyle w:val="NoSpacing"/>
        <w:spacing w:line="276" w:lineRule="auto"/>
        <w:rPr>
          <w:noProof/>
        </w:rPr>
      </w:pPr>
      <w:r w:rsidRPr="00E42062">
        <w:rPr>
          <w:noProof/>
        </w:rPr>
        <w:t xml:space="preserve">Bij het vergelijken van de onderzochte onderwijsinstellingen valt op dat drie van de zes openbare scholen in kernteams werken (R1, R3, R8). Deze teams specialiseren zich op een bepaald terrein en hebben invloed op de inkoop. Verder is er geen relatie gevonden tussen de mate van kennis en expertise op de scholen en de functie van de respondent, het profiel van de school of denominatie.  </w:t>
      </w:r>
    </w:p>
    <w:p w14:paraId="1ADAC01B" w14:textId="77777777" w:rsidR="007E665C" w:rsidRPr="00E42062" w:rsidRDefault="007E665C" w:rsidP="007E665C">
      <w:pPr>
        <w:pStyle w:val="NoSpacing"/>
        <w:spacing w:line="276" w:lineRule="auto"/>
        <w:rPr>
          <w:noProof/>
        </w:rPr>
      </w:pPr>
    </w:p>
    <w:p w14:paraId="55088547" w14:textId="3F150095" w:rsidR="007E665C" w:rsidRPr="00ED3CDC" w:rsidRDefault="00ED3CDC" w:rsidP="00ED3CDC">
      <w:pPr>
        <w:pStyle w:val="Heading3"/>
        <w:rPr>
          <w:noProof/>
          <w:color w:val="1F3864" w:themeColor="accent1" w:themeShade="80"/>
        </w:rPr>
      </w:pPr>
      <w:bookmarkStart w:id="129" w:name="_Toc517455479"/>
      <w:r w:rsidRPr="00ED3CDC">
        <w:rPr>
          <w:noProof/>
          <w:color w:val="1F3864" w:themeColor="accent1" w:themeShade="80"/>
        </w:rPr>
        <w:t xml:space="preserve">5.3.3 </w:t>
      </w:r>
      <w:r w:rsidR="007E665C" w:rsidRPr="00ED3CDC">
        <w:rPr>
          <w:noProof/>
          <w:color w:val="1F3864" w:themeColor="accent1" w:themeShade="80"/>
        </w:rPr>
        <w:t>Institutionele setting van de publieke sector</w:t>
      </w:r>
      <w:bookmarkEnd w:id="129"/>
    </w:p>
    <w:p w14:paraId="42EDDAD8" w14:textId="77777777" w:rsidR="007E665C" w:rsidRPr="00E42062" w:rsidRDefault="007E665C" w:rsidP="007E665C">
      <w:pPr>
        <w:pStyle w:val="NoSpacing"/>
        <w:spacing w:line="276" w:lineRule="auto"/>
        <w:rPr>
          <w:noProof/>
        </w:rPr>
      </w:pPr>
      <w:r w:rsidRPr="00E42062">
        <w:rPr>
          <w:noProof/>
        </w:rPr>
        <w:t>Tijdens de dataverzameling was er in het bijzonder aandacht voor factoren die voortkomen uit de institutionele setting van het openbaar bestuur en die van invloed zijn op de inkoop. Onderwijsinstellingen worden gefinancierd uit publieke middelen en staan onder toezicht van de Inspectie van het Onderwijs, die jaarlijks risicoanalyse uitvoert over de financiën van de scholen. De kwaliteit van het onderwijs wordt medebepaald door efficiëntie van de inkoop.</w:t>
      </w:r>
    </w:p>
    <w:p w14:paraId="39F17972" w14:textId="77777777" w:rsidR="007E665C" w:rsidRPr="00E42062" w:rsidRDefault="007E665C" w:rsidP="007E665C">
      <w:pPr>
        <w:pStyle w:val="NoSpacing"/>
        <w:spacing w:line="276" w:lineRule="auto"/>
        <w:rPr>
          <w:noProof/>
        </w:rPr>
      </w:pPr>
      <w:r w:rsidRPr="00E42062">
        <w:rPr>
          <w:noProof/>
        </w:rPr>
        <w:t xml:space="preserve">De respondenten in het onderzoek ervaren geen druk vanuit andere actoren om de mede hierom inkoop zo zorgvuldig mogelijk uit te voeren. Vanuit de overheid wordt er geen invloed uitgeoefend op de inkoopfunctie van de scholen. Wel wordt er rekening gehouden met de maatschappelijk functie van de school. Een meerderheid van de respondenten geeft expliciet aan dat alle bestedingen ten gunste van leerlingen moeten komen. Vanuit hun institutionele setting zijn zij verantwoordelijk voor kwalitatief goed onderwijs. Inkoop kan hier niet los van worden gezien, het draagt in sterke mate bij aan het rendement van de school. </w:t>
      </w:r>
    </w:p>
    <w:p w14:paraId="7FCCD03E" w14:textId="7B7394D2" w:rsidR="007E665C" w:rsidRPr="00E42062" w:rsidRDefault="007E665C" w:rsidP="007E665C">
      <w:pPr>
        <w:pStyle w:val="NoSpacing"/>
        <w:spacing w:line="276" w:lineRule="auto"/>
        <w:rPr>
          <w:noProof/>
        </w:rPr>
      </w:pPr>
      <w:r w:rsidRPr="00E42062">
        <w:rPr>
          <w:noProof/>
        </w:rPr>
        <w:tab/>
        <w:t xml:space="preserve">Bij het vergelijken van de onderzochte onderwijsinstellingen komt naar voren dat vier (R1, R3, R6 en R8) van de zes openbare scholen nadrukkelijk bewust zijn van de institutionele setting waarin ze opereren. Dit houdt in dat zij rekening houden met </w:t>
      </w:r>
      <w:r w:rsidR="005047C6">
        <w:rPr>
          <w:noProof/>
        </w:rPr>
        <w:t>hun</w:t>
      </w:r>
      <w:r w:rsidRPr="00E42062">
        <w:rPr>
          <w:noProof/>
        </w:rPr>
        <w:t xml:space="preserve"> maatschappelijke </w:t>
      </w:r>
      <w:r w:rsidR="005047C6">
        <w:rPr>
          <w:noProof/>
        </w:rPr>
        <w:t>rol</w:t>
      </w:r>
      <w:r w:rsidRPr="00E42062">
        <w:rPr>
          <w:noProof/>
        </w:rPr>
        <w:t xml:space="preserve"> en omgaan met publiek geld. Deze scholen maken tevens deel uit van een relatief grote scholengemeenschappen. Het profiel van de school en de functie van de respondent maken tonen geen relatie met de gegeven antwoorden. </w:t>
      </w:r>
    </w:p>
    <w:p w14:paraId="6F5DE5D0" w14:textId="77777777" w:rsidR="007E665C" w:rsidRPr="00E42062" w:rsidRDefault="007E665C" w:rsidP="007E665C">
      <w:pPr>
        <w:pStyle w:val="NoSpacing"/>
        <w:spacing w:line="276" w:lineRule="auto"/>
        <w:rPr>
          <w:b/>
          <w:noProof/>
        </w:rPr>
      </w:pPr>
    </w:p>
    <w:p w14:paraId="5BB724F2" w14:textId="77777777" w:rsidR="00113700" w:rsidRDefault="00113700">
      <w:pPr>
        <w:kinsoku/>
        <w:autoSpaceDE/>
        <w:autoSpaceDN/>
        <w:adjustRightInd/>
        <w:spacing w:after="160" w:line="259" w:lineRule="auto"/>
        <w:rPr>
          <w:rFonts w:asciiTheme="minorHAnsi" w:eastAsiaTheme="minorHAnsi" w:hAnsiTheme="minorHAnsi"/>
          <w:b/>
          <w:noProof/>
          <w:color w:val="1F3864" w:themeColor="accent1" w:themeShade="80"/>
          <w:sz w:val="24"/>
        </w:rPr>
      </w:pPr>
      <w:r>
        <w:rPr>
          <w:noProof/>
          <w:color w:val="1F3864" w:themeColor="accent1" w:themeShade="80"/>
        </w:rPr>
        <w:br w:type="page"/>
      </w:r>
    </w:p>
    <w:p w14:paraId="0046502E" w14:textId="3FC74BE3" w:rsidR="007E665C" w:rsidRPr="003B56D6" w:rsidRDefault="007E665C" w:rsidP="00750162">
      <w:pPr>
        <w:pStyle w:val="Heading2"/>
        <w:rPr>
          <w:noProof/>
          <w:color w:val="1F3864" w:themeColor="accent1" w:themeShade="80"/>
        </w:rPr>
      </w:pPr>
      <w:bookmarkStart w:id="130" w:name="_Toc517455480"/>
      <w:r w:rsidRPr="003B56D6">
        <w:rPr>
          <w:noProof/>
          <w:color w:val="1F3864" w:themeColor="accent1" w:themeShade="80"/>
        </w:rPr>
        <w:lastRenderedPageBreak/>
        <w:t>De presentatie van de resultaten op de faciliterende variabelen</w:t>
      </w:r>
      <w:bookmarkEnd w:id="130"/>
      <w:r w:rsidRPr="003B56D6">
        <w:rPr>
          <w:noProof/>
          <w:color w:val="1F3864" w:themeColor="accent1" w:themeShade="80"/>
        </w:rPr>
        <w:t xml:space="preserve"> </w:t>
      </w:r>
    </w:p>
    <w:p w14:paraId="247EB2AE" w14:textId="0ECDC518" w:rsidR="007E665C" w:rsidRPr="00E42062" w:rsidRDefault="007E665C" w:rsidP="007E665C">
      <w:pPr>
        <w:pStyle w:val="NoSpacing"/>
        <w:spacing w:line="276" w:lineRule="auto"/>
        <w:rPr>
          <w:noProof/>
        </w:rPr>
      </w:pPr>
      <w:r w:rsidRPr="00E42062">
        <w:rPr>
          <w:noProof/>
        </w:rPr>
        <w:t xml:space="preserve">De drie variabelen, gezamenlijk inkoop, professionalisering en opdrachtgever-opdrachtnemer relatie, die volgens de theoretische verwachting efficiënt inkoop positief beïnvloed wordt weergegeven in tabel </w:t>
      </w:r>
      <w:r w:rsidR="0040657F">
        <w:rPr>
          <w:noProof/>
        </w:rPr>
        <w:t>10</w:t>
      </w:r>
      <w:r w:rsidRPr="00E42062">
        <w:rPr>
          <w:noProof/>
        </w:rPr>
        <w:t xml:space="preserve">. Evenals tabel </w:t>
      </w:r>
      <w:r w:rsidR="0040657F">
        <w:rPr>
          <w:noProof/>
        </w:rPr>
        <w:t>9</w:t>
      </w:r>
      <w:r w:rsidRPr="00E42062">
        <w:rPr>
          <w:noProof/>
        </w:rPr>
        <w:t xml:space="preserve"> worden er in tabel </w:t>
      </w:r>
      <w:r w:rsidR="0040657F">
        <w:rPr>
          <w:noProof/>
        </w:rPr>
        <w:t>10</w:t>
      </w:r>
      <w:r w:rsidRPr="00E42062">
        <w:rPr>
          <w:noProof/>
        </w:rPr>
        <w:t xml:space="preserve"> de antwoorden per respondenten weergegeven in de kolommen 2, 3 en 4. Ook hier is er voor gekozen om de antwoorden in kernpunten op te nemen.      </w:t>
      </w:r>
    </w:p>
    <w:p w14:paraId="2B997902" w14:textId="77777777" w:rsidR="007E665C" w:rsidRPr="00E42062" w:rsidRDefault="007E665C" w:rsidP="007E665C">
      <w:pPr>
        <w:pStyle w:val="NoSpacing"/>
        <w:spacing w:line="276" w:lineRule="auto"/>
        <w:rPr>
          <w:noProof/>
        </w:rPr>
      </w:pPr>
    </w:p>
    <w:tbl>
      <w:tblPr>
        <w:tblStyle w:val="GridTable1Light"/>
        <w:tblW w:w="0" w:type="auto"/>
        <w:tblLook w:val="04A0" w:firstRow="1" w:lastRow="0" w:firstColumn="1" w:lastColumn="0" w:noHBand="0" w:noVBand="1"/>
      </w:tblPr>
      <w:tblGrid>
        <w:gridCol w:w="1316"/>
        <w:gridCol w:w="2725"/>
        <w:gridCol w:w="3085"/>
        <w:gridCol w:w="3330"/>
      </w:tblGrid>
      <w:tr w:rsidR="007E665C" w:rsidRPr="00E42062" w14:paraId="0DC31168" w14:textId="77777777" w:rsidTr="00965AF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16" w:type="dxa"/>
          </w:tcPr>
          <w:p w14:paraId="39C401A4" w14:textId="77777777" w:rsidR="007E665C" w:rsidRPr="00B027C5" w:rsidRDefault="007E665C" w:rsidP="007E665C">
            <w:pPr>
              <w:rPr>
                <w:rFonts w:asciiTheme="minorHAnsi" w:hAnsiTheme="minorHAnsi" w:cstheme="minorHAnsi"/>
                <w:noProof/>
                <w:sz w:val="22"/>
                <w:szCs w:val="22"/>
              </w:rPr>
            </w:pPr>
            <w:r w:rsidRPr="00B027C5">
              <w:rPr>
                <w:rFonts w:asciiTheme="minorHAnsi" w:hAnsiTheme="minorHAnsi" w:cstheme="minorHAnsi"/>
                <w:noProof/>
                <w:sz w:val="22"/>
                <w:szCs w:val="22"/>
              </w:rPr>
              <w:t>Codering Respondent</w:t>
            </w:r>
          </w:p>
        </w:tc>
        <w:tc>
          <w:tcPr>
            <w:tcW w:w="2748" w:type="dxa"/>
            <w:shd w:val="clear" w:color="auto" w:fill="auto"/>
          </w:tcPr>
          <w:p w14:paraId="2F7FC819" w14:textId="77777777" w:rsidR="007E665C" w:rsidRPr="00B027C5" w:rsidRDefault="007E665C" w:rsidP="007E665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Variabele 1: Gezamenlijk inkopen</w:t>
            </w:r>
          </w:p>
        </w:tc>
        <w:tc>
          <w:tcPr>
            <w:tcW w:w="3119" w:type="dxa"/>
            <w:shd w:val="clear" w:color="auto" w:fill="auto"/>
          </w:tcPr>
          <w:p w14:paraId="542C208D" w14:textId="77777777" w:rsidR="007E665C" w:rsidRPr="00B027C5" w:rsidRDefault="007E665C" w:rsidP="007E665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Variabele 2: Mate van professionalisering</w:t>
            </w:r>
          </w:p>
        </w:tc>
        <w:tc>
          <w:tcPr>
            <w:tcW w:w="3373" w:type="dxa"/>
            <w:shd w:val="clear" w:color="auto" w:fill="auto"/>
          </w:tcPr>
          <w:p w14:paraId="3BE9A747" w14:textId="77777777" w:rsidR="007E665C" w:rsidRPr="00B027C5" w:rsidRDefault="007E665C" w:rsidP="007E665C">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Variabele 3: Opdrachtgever-opdrachtnemer relatie</w:t>
            </w:r>
          </w:p>
        </w:tc>
      </w:tr>
      <w:tr w:rsidR="007E665C" w:rsidRPr="00533BF3" w14:paraId="369A72D6" w14:textId="77777777" w:rsidTr="007E665C">
        <w:tc>
          <w:tcPr>
            <w:cnfStyle w:val="001000000000" w:firstRow="0" w:lastRow="0" w:firstColumn="1" w:lastColumn="0" w:oddVBand="0" w:evenVBand="0" w:oddHBand="0" w:evenHBand="0" w:firstRowFirstColumn="0" w:firstRowLastColumn="0" w:lastRowFirstColumn="0" w:lastRowLastColumn="0"/>
            <w:tcW w:w="1216" w:type="dxa"/>
          </w:tcPr>
          <w:p w14:paraId="0F7F889E" w14:textId="77777777" w:rsidR="007E665C" w:rsidRPr="00B027C5" w:rsidRDefault="007E665C" w:rsidP="007E665C">
            <w:pPr>
              <w:rPr>
                <w:rFonts w:asciiTheme="minorHAnsi" w:hAnsiTheme="minorHAnsi" w:cstheme="minorHAnsi"/>
                <w:noProof/>
                <w:sz w:val="22"/>
                <w:szCs w:val="22"/>
              </w:rPr>
            </w:pPr>
            <w:r w:rsidRPr="00B027C5">
              <w:rPr>
                <w:rFonts w:asciiTheme="minorHAnsi" w:hAnsiTheme="minorHAnsi" w:cstheme="minorHAnsi"/>
                <w:noProof/>
                <w:sz w:val="22"/>
                <w:szCs w:val="22"/>
              </w:rPr>
              <w:t>R1</w:t>
            </w:r>
          </w:p>
        </w:tc>
        <w:tc>
          <w:tcPr>
            <w:tcW w:w="2748" w:type="dxa"/>
          </w:tcPr>
          <w:p w14:paraId="2AA8D3F7"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Gezamenlijk inkoop met andere vestigingen</w:t>
            </w:r>
          </w:p>
          <w:p w14:paraId="29D877E9"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Producten met een lage kostprijs worden zelfstandig door de schoen gekocht</w:t>
            </w:r>
          </w:p>
          <w:p w14:paraId="707CDC90"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Geen volledige afstemming van inkoopactiviteiten binnen de scholengemeenschap</w:t>
            </w:r>
          </w:p>
          <w:p w14:paraId="012685FD"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Behoefte aan kennisdeling over efficiënt inkopen</w:t>
            </w:r>
          </w:p>
        </w:tc>
        <w:tc>
          <w:tcPr>
            <w:tcW w:w="3119" w:type="dxa"/>
          </w:tcPr>
          <w:p w14:paraId="3DEEF02F"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Scholing binnen een eigen academie</w:t>
            </w:r>
          </w:p>
          <w:p w14:paraId="12811A8A"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Productinhoudelijk cursussen van buitenaf</w:t>
            </w:r>
          </w:p>
          <w:p w14:paraId="7DE3C871"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Geen evaluatie van de leverancier, wel jaarlijks overleg</w:t>
            </w:r>
          </w:p>
          <w:p w14:paraId="268D8C9D"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xml:space="preserve">▪ Geen gebruik van externe deskundigheid bij inkoop </w:t>
            </w:r>
          </w:p>
        </w:tc>
        <w:tc>
          <w:tcPr>
            <w:tcW w:w="3373" w:type="dxa"/>
          </w:tcPr>
          <w:p w14:paraId="1F583CBA"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Relatie verschilt per leverancier</w:t>
            </w:r>
          </w:p>
          <w:p w14:paraId="171E6F4F"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Behoefte aan meer service en support bij complexe en maatgerichte producten</w:t>
            </w:r>
          </w:p>
          <w:p w14:paraId="05A0E4F9"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Respondent heeft een voorkeur voor stabiele en duurzame leveranciers</w:t>
            </w:r>
          </w:p>
          <w:p w14:paraId="087CCB93"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p>
        </w:tc>
      </w:tr>
      <w:tr w:rsidR="007E665C" w:rsidRPr="00533BF3" w14:paraId="35CA0034" w14:textId="77777777" w:rsidTr="007E665C">
        <w:tc>
          <w:tcPr>
            <w:cnfStyle w:val="001000000000" w:firstRow="0" w:lastRow="0" w:firstColumn="1" w:lastColumn="0" w:oddVBand="0" w:evenVBand="0" w:oddHBand="0" w:evenHBand="0" w:firstRowFirstColumn="0" w:firstRowLastColumn="0" w:lastRowFirstColumn="0" w:lastRowLastColumn="0"/>
            <w:tcW w:w="1216" w:type="dxa"/>
          </w:tcPr>
          <w:p w14:paraId="5E344A91" w14:textId="77777777" w:rsidR="007E665C" w:rsidRPr="00B027C5" w:rsidRDefault="007E665C" w:rsidP="007E665C">
            <w:pPr>
              <w:rPr>
                <w:rFonts w:asciiTheme="minorHAnsi" w:hAnsiTheme="minorHAnsi" w:cstheme="minorHAnsi"/>
                <w:noProof/>
                <w:sz w:val="22"/>
                <w:szCs w:val="22"/>
              </w:rPr>
            </w:pPr>
            <w:r w:rsidRPr="00B027C5">
              <w:rPr>
                <w:rFonts w:asciiTheme="minorHAnsi" w:hAnsiTheme="minorHAnsi" w:cstheme="minorHAnsi"/>
                <w:noProof/>
                <w:sz w:val="22"/>
                <w:szCs w:val="22"/>
              </w:rPr>
              <w:t>R2</w:t>
            </w:r>
          </w:p>
        </w:tc>
        <w:tc>
          <w:tcPr>
            <w:tcW w:w="2748" w:type="dxa"/>
          </w:tcPr>
          <w:p w14:paraId="171D79D1"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Gemeenschappelijk inkoop is niet altijd uit te voeren vanwege verschillen in doelstellingen en vraag van de vestigingen</w:t>
            </w:r>
          </w:p>
          <w:p w14:paraId="60D6F1EF"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Volgens de respondent neemt wendbaarheid af bij gezamenlijk inkoop</w:t>
            </w:r>
          </w:p>
          <w:p w14:paraId="310C41B4"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xml:space="preserve">▪ Gezamenlijk inkoop vergt veel onderlinge afstemming </w:t>
            </w:r>
          </w:p>
        </w:tc>
        <w:tc>
          <w:tcPr>
            <w:tcW w:w="3119" w:type="dxa"/>
          </w:tcPr>
          <w:p w14:paraId="3E41751A"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Medewerkers kunnen zich vrijwillig aanmelden voor cursussen</w:t>
            </w:r>
          </w:p>
          <w:p w14:paraId="703630B2"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Informatiesessies twee keer per jaar</w:t>
            </w:r>
          </w:p>
          <w:p w14:paraId="69F71D17"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Evaluatie van de leverancier wanneer producten niet functioneren</w:t>
            </w:r>
          </w:p>
          <w:p w14:paraId="4823E215"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A priori geen clausules en garantstellingen opgenomen in contracten (wel SLA’s)</w:t>
            </w:r>
          </w:p>
          <w:p w14:paraId="23A51A98"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Aanwezigheid van kernteams</w:t>
            </w:r>
          </w:p>
        </w:tc>
        <w:tc>
          <w:tcPr>
            <w:tcW w:w="3373" w:type="dxa"/>
          </w:tcPr>
          <w:p w14:paraId="0FFA0054"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Meerdere partijen betrokken bij de vraag</w:t>
            </w:r>
          </w:p>
          <w:p w14:paraId="04EB5875"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Voorkeur voor lokale bedrijven vanwege korte communicatielijnen</w:t>
            </w:r>
          </w:p>
          <w:p w14:paraId="53AD2DFC"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Minder rationeel wanneer er maar één leverancier op de markt is</w:t>
            </w:r>
          </w:p>
        </w:tc>
      </w:tr>
      <w:tr w:rsidR="007E665C" w:rsidRPr="00533BF3" w14:paraId="77FE5076" w14:textId="77777777" w:rsidTr="007E665C">
        <w:tc>
          <w:tcPr>
            <w:cnfStyle w:val="001000000000" w:firstRow="0" w:lastRow="0" w:firstColumn="1" w:lastColumn="0" w:oddVBand="0" w:evenVBand="0" w:oddHBand="0" w:evenHBand="0" w:firstRowFirstColumn="0" w:firstRowLastColumn="0" w:lastRowFirstColumn="0" w:lastRowLastColumn="0"/>
            <w:tcW w:w="1216" w:type="dxa"/>
          </w:tcPr>
          <w:p w14:paraId="217694B2" w14:textId="77777777" w:rsidR="007E665C" w:rsidRPr="00B027C5" w:rsidRDefault="007E665C" w:rsidP="007E665C">
            <w:pPr>
              <w:rPr>
                <w:rFonts w:asciiTheme="minorHAnsi" w:hAnsiTheme="minorHAnsi" w:cstheme="minorHAnsi"/>
                <w:noProof/>
                <w:sz w:val="22"/>
                <w:szCs w:val="22"/>
              </w:rPr>
            </w:pPr>
            <w:r w:rsidRPr="00B027C5">
              <w:rPr>
                <w:rFonts w:asciiTheme="minorHAnsi" w:hAnsiTheme="minorHAnsi" w:cstheme="minorHAnsi"/>
                <w:noProof/>
                <w:sz w:val="22"/>
                <w:szCs w:val="22"/>
              </w:rPr>
              <w:t>R3</w:t>
            </w:r>
          </w:p>
        </w:tc>
        <w:tc>
          <w:tcPr>
            <w:tcW w:w="2748" w:type="dxa"/>
          </w:tcPr>
          <w:p w14:paraId="5D334748"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Coördinatie van inkoop door scholengemeenschap</w:t>
            </w:r>
          </w:p>
          <w:p w14:paraId="13426E19"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Mate van autonomie bij de scholen</w:t>
            </w:r>
          </w:p>
          <w:p w14:paraId="76867FDC"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xml:space="preserve">▪ Respondent heeft behoefte aan decentraal inkoop, omdat centraal inkoop minimale toegevoegde waarde heeft </w:t>
            </w:r>
          </w:p>
          <w:p w14:paraId="20E3FF67"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xml:space="preserve">▪ Voorkeur om de eigen serviceconcept toe te passen </w:t>
            </w:r>
          </w:p>
          <w:p w14:paraId="65C9DC38"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lastRenderedPageBreak/>
              <w:t xml:space="preserve">▪ Volgens respondent is bij centraal inkoop prijs doorslaggevend </w:t>
            </w:r>
          </w:p>
        </w:tc>
        <w:tc>
          <w:tcPr>
            <w:tcW w:w="3119" w:type="dxa"/>
          </w:tcPr>
          <w:p w14:paraId="0C124D54"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lastRenderedPageBreak/>
              <w:t>▪ Aanwezigheid van ICT-ambassadeurs</w:t>
            </w:r>
          </w:p>
          <w:p w14:paraId="352D4218"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Gebruik van externe deskundigheid bij aanbestedingen</w:t>
            </w:r>
          </w:p>
          <w:p w14:paraId="244D5D80"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Evaluatie van de leverancier vindt ad hoc plaats</w:t>
            </w:r>
          </w:p>
        </w:tc>
        <w:tc>
          <w:tcPr>
            <w:tcW w:w="3373" w:type="dxa"/>
          </w:tcPr>
          <w:p w14:paraId="4708B59E"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Leveranciers worden als partners gezien en worden nauw betrokken in het proces</w:t>
            </w:r>
          </w:p>
          <w:p w14:paraId="342C3821"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Grote vertrouwensband tussen de partijen</w:t>
            </w:r>
          </w:p>
          <w:p w14:paraId="1F7219A4"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Leverancier worden gekozen op basis van expertise en geboden after-service</w:t>
            </w:r>
          </w:p>
          <w:p w14:paraId="774E5F46"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Respondent heeft voorkeur voor leveranciers waarmee lang wordt samengewerkt</w:t>
            </w:r>
          </w:p>
          <w:p w14:paraId="14A9F133"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lastRenderedPageBreak/>
              <w:t>▪ Relatie met de leverancier wordt bepaald door de geboden service</w:t>
            </w:r>
          </w:p>
          <w:p w14:paraId="5696F33D"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p>
        </w:tc>
      </w:tr>
      <w:tr w:rsidR="007E665C" w:rsidRPr="00533BF3" w14:paraId="0BFAA85F" w14:textId="77777777" w:rsidTr="007E665C">
        <w:tc>
          <w:tcPr>
            <w:cnfStyle w:val="001000000000" w:firstRow="0" w:lastRow="0" w:firstColumn="1" w:lastColumn="0" w:oddVBand="0" w:evenVBand="0" w:oddHBand="0" w:evenHBand="0" w:firstRowFirstColumn="0" w:firstRowLastColumn="0" w:lastRowFirstColumn="0" w:lastRowLastColumn="0"/>
            <w:tcW w:w="1216" w:type="dxa"/>
          </w:tcPr>
          <w:p w14:paraId="7261AEE2" w14:textId="77777777" w:rsidR="007E665C" w:rsidRPr="00B027C5" w:rsidRDefault="007E665C" w:rsidP="007E665C">
            <w:pPr>
              <w:rPr>
                <w:rFonts w:asciiTheme="minorHAnsi" w:hAnsiTheme="minorHAnsi" w:cstheme="minorHAnsi"/>
                <w:noProof/>
                <w:sz w:val="22"/>
                <w:szCs w:val="22"/>
              </w:rPr>
            </w:pPr>
            <w:r w:rsidRPr="00B027C5">
              <w:rPr>
                <w:rFonts w:asciiTheme="minorHAnsi" w:hAnsiTheme="minorHAnsi" w:cstheme="minorHAnsi"/>
                <w:noProof/>
                <w:sz w:val="22"/>
                <w:szCs w:val="22"/>
              </w:rPr>
              <w:lastRenderedPageBreak/>
              <w:t>R4</w:t>
            </w:r>
          </w:p>
        </w:tc>
        <w:tc>
          <w:tcPr>
            <w:tcW w:w="2748" w:type="dxa"/>
          </w:tcPr>
          <w:p w14:paraId="287F0339"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Gezamenlijk via overkoepelden organisatie</w:t>
            </w:r>
          </w:p>
          <w:p w14:paraId="2BAB6392"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Respondent ziet voordelen in bundeling van krachten: specificatie koopvraag, bescherming eigen voorwaarden en lagere prijs per product</w:t>
            </w:r>
          </w:p>
        </w:tc>
        <w:tc>
          <w:tcPr>
            <w:tcW w:w="3119" w:type="dxa"/>
          </w:tcPr>
          <w:p w14:paraId="6917A4EA"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Bijeenkomsten om ICT vraagstukken te bespreken</w:t>
            </w:r>
          </w:p>
          <w:p w14:paraId="4B1E8CC8"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Geen vaste evaluatie, reactief wanneer iets niet goed gaat</w:t>
            </w:r>
          </w:p>
          <w:p w14:paraId="6E0BC472"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Het managementteam werkt volgens duidelijke procedures bij inkoop</w:t>
            </w:r>
          </w:p>
          <w:p w14:paraId="547C49EA"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p>
        </w:tc>
        <w:tc>
          <w:tcPr>
            <w:tcW w:w="3373" w:type="dxa"/>
          </w:tcPr>
          <w:p w14:paraId="3F2C83A1"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Respondent wil dat beide partijen elkaar kennen en direct communiceren</w:t>
            </w:r>
          </w:p>
          <w:p w14:paraId="29C2875D"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Voorkeur voor persoonlijke benadering met één contactpersoon</w:t>
            </w:r>
          </w:p>
          <w:p w14:paraId="26CFC664"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Meer waarde gehecht aan de dienstverlening na de levering dan aan de kostprijs</w:t>
            </w:r>
          </w:p>
        </w:tc>
      </w:tr>
      <w:tr w:rsidR="007E665C" w:rsidRPr="00533BF3" w14:paraId="2B13C499" w14:textId="77777777" w:rsidTr="007E665C">
        <w:tc>
          <w:tcPr>
            <w:cnfStyle w:val="001000000000" w:firstRow="0" w:lastRow="0" w:firstColumn="1" w:lastColumn="0" w:oddVBand="0" w:evenVBand="0" w:oddHBand="0" w:evenHBand="0" w:firstRowFirstColumn="0" w:firstRowLastColumn="0" w:lastRowFirstColumn="0" w:lastRowLastColumn="0"/>
            <w:tcW w:w="1216" w:type="dxa"/>
          </w:tcPr>
          <w:p w14:paraId="2A1A0746" w14:textId="77777777" w:rsidR="007E665C" w:rsidRPr="00B027C5" w:rsidRDefault="007E665C" w:rsidP="007E665C">
            <w:pPr>
              <w:rPr>
                <w:rFonts w:asciiTheme="minorHAnsi" w:hAnsiTheme="minorHAnsi" w:cstheme="minorHAnsi"/>
                <w:noProof/>
                <w:sz w:val="22"/>
                <w:szCs w:val="22"/>
              </w:rPr>
            </w:pPr>
            <w:r w:rsidRPr="00B027C5">
              <w:rPr>
                <w:rFonts w:asciiTheme="minorHAnsi" w:hAnsiTheme="minorHAnsi" w:cstheme="minorHAnsi"/>
                <w:noProof/>
                <w:sz w:val="22"/>
                <w:szCs w:val="22"/>
              </w:rPr>
              <w:t>R5</w:t>
            </w:r>
          </w:p>
        </w:tc>
        <w:tc>
          <w:tcPr>
            <w:tcW w:w="2748" w:type="dxa"/>
            <w:shd w:val="clear" w:color="auto" w:fill="FFFFFF" w:themeFill="background1"/>
          </w:tcPr>
          <w:p w14:paraId="4395DC33"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Geen gezamenlijk inkoop</w:t>
            </w:r>
          </w:p>
          <w:p w14:paraId="672D6D36"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Inkoop van routineproducten bij select aantal aanbieders</w:t>
            </w:r>
          </w:p>
          <w:p w14:paraId="54C3A4E8"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Behoefte aan zelfstandigheid, eigen strategie en netwerk</w:t>
            </w:r>
          </w:p>
        </w:tc>
        <w:tc>
          <w:tcPr>
            <w:tcW w:w="3119" w:type="dxa"/>
          </w:tcPr>
          <w:p w14:paraId="709A2E85"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Erkenning van kennisasymmetrie, maar wordt niet als een probleem gezien</w:t>
            </w:r>
          </w:p>
          <w:p w14:paraId="65F7A724"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Geen sprake van inkoopmodellen, evaluatiemomenten, inschakeling van externe deskundigheid en lange termijnplanning.</w:t>
            </w:r>
          </w:p>
          <w:p w14:paraId="68D3EF9C"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Koopvraag komt in veel gevallen tot stand door beperkt aantal mensen</w:t>
            </w:r>
          </w:p>
          <w:p w14:paraId="259C2437"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xml:space="preserve">▪ Wegens forse investering in ICT zijn vier medewerkers opgeleid tot vakgroepen </w:t>
            </w:r>
          </w:p>
        </w:tc>
        <w:tc>
          <w:tcPr>
            <w:tcW w:w="3373" w:type="dxa"/>
          </w:tcPr>
          <w:p w14:paraId="72262513"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Relatie met de leverancier is goed wanneer de producten aan de vraag voldoen en de dienstverlening in orde is</w:t>
            </w:r>
          </w:p>
          <w:p w14:paraId="3C69349A"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xml:space="preserve">▪ Respondent noemt communicatie en wederzijdse vertrouwen als de belangrijkste pilaren van zijn relatie met de leverancier.   </w:t>
            </w:r>
          </w:p>
        </w:tc>
      </w:tr>
      <w:tr w:rsidR="007E665C" w:rsidRPr="00533BF3" w14:paraId="5CAAB366" w14:textId="77777777" w:rsidTr="007E665C">
        <w:tc>
          <w:tcPr>
            <w:cnfStyle w:val="001000000000" w:firstRow="0" w:lastRow="0" w:firstColumn="1" w:lastColumn="0" w:oddVBand="0" w:evenVBand="0" w:oddHBand="0" w:evenHBand="0" w:firstRowFirstColumn="0" w:firstRowLastColumn="0" w:lastRowFirstColumn="0" w:lastRowLastColumn="0"/>
            <w:tcW w:w="1216" w:type="dxa"/>
          </w:tcPr>
          <w:p w14:paraId="3069F474" w14:textId="77777777" w:rsidR="007E665C" w:rsidRPr="00B027C5" w:rsidRDefault="007E665C" w:rsidP="007E665C">
            <w:pPr>
              <w:rPr>
                <w:rFonts w:asciiTheme="minorHAnsi" w:hAnsiTheme="minorHAnsi" w:cstheme="minorHAnsi"/>
                <w:noProof/>
                <w:sz w:val="22"/>
                <w:szCs w:val="22"/>
              </w:rPr>
            </w:pPr>
            <w:r w:rsidRPr="00B027C5">
              <w:rPr>
                <w:rFonts w:asciiTheme="minorHAnsi" w:hAnsiTheme="minorHAnsi" w:cstheme="minorHAnsi"/>
                <w:noProof/>
                <w:sz w:val="22"/>
                <w:szCs w:val="22"/>
              </w:rPr>
              <w:t>R6</w:t>
            </w:r>
          </w:p>
        </w:tc>
        <w:tc>
          <w:tcPr>
            <w:tcW w:w="2748" w:type="dxa"/>
            <w:shd w:val="clear" w:color="auto" w:fill="FFFFFF" w:themeFill="background1"/>
          </w:tcPr>
          <w:p w14:paraId="6BD3DBEE"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Inkoop wordt hoofdzakelijk centraal geregeld door de overkoepelende organisatie</w:t>
            </w:r>
          </w:p>
          <w:p w14:paraId="39A938D7"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Geen bundeling van krachten met scholen in de omgeving, vanwege verschil in visie</w:t>
            </w:r>
          </w:p>
        </w:tc>
        <w:tc>
          <w:tcPr>
            <w:tcW w:w="3119" w:type="dxa"/>
          </w:tcPr>
          <w:p w14:paraId="2BF661DB"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Aanwezigheid van specialismeteam voor inkoop ICT</w:t>
            </w:r>
          </w:p>
          <w:p w14:paraId="2614C88E"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Cursussen bij invoering nieuwe producten</w:t>
            </w:r>
          </w:p>
          <w:p w14:paraId="065EB9B2"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Sporadisch wordt er gebruik gemaakt van externe deskundigheid</w:t>
            </w:r>
          </w:p>
          <w:p w14:paraId="7B06876D"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Inkoper hanteert raamovereenkomsten en boeteclausules</w:t>
            </w:r>
          </w:p>
          <w:p w14:paraId="44864F6B"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Vooraf afspraken gemaakt over moment van evaluatie</w:t>
            </w:r>
          </w:p>
        </w:tc>
        <w:tc>
          <w:tcPr>
            <w:tcW w:w="3373" w:type="dxa"/>
          </w:tcPr>
          <w:p w14:paraId="6FA18838"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Voorkeur voor een lokaal bedrijf vanwege de nauwe contact</w:t>
            </w:r>
          </w:p>
          <w:p w14:paraId="22F3D012"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Respondent vindt toegankelijkheid van de leverancier belangrijk, met name bij inkopen met een hoog risicoprofiel</w:t>
            </w:r>
          </w:p>
          <w:p w14:paraId="7E820299"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p>
        </w:tc>
      </w:tr>
      <w:tr w:rsidR="007E665C" w:rsidRPr="00533BF3" w14:paraId="706030B5" w14:textId="77777777" w:rsidTr="007E665C">
        <w:tc>
          <w:tcPr>
            <w:cnfStyle w:val="001000000000" w:firstRow="0" w:lastRow="0" w:firstColumn="1" w:lastColumn="0" w:oddVBand="0" w:evenVBand="0" w:oddHBand="0" w:evenHBand="0" w:firstRowFirstColumn="0" w:firstRowLastColumn="0" w:lastRowFirstColumn="0" w:lastRowLastColumn="0"/>
            <w:tcW w:w="1216" w:type="dxa"/>
          </w:tcPr>
          <w:p w14:paraId="1BB127CC" w14:textId="77777777" w:rsidR="007E665C" w:rsidRPr="00B027C5" w:rsidRDefault="007E665C" w:rsidP="007E665C">
            <w:pPr>
              <w:rPr>
                <w:rFonts w:asciiTheme="minorHAnsi" w:hAnsiTheme="minorHAnsi" w:cstheme="minorHAnsi"/>
                <w:noProof/>
                <w:sz w:val="22"/>
                <w:szCs w:val="22"/>
              </w:rPr>
            </w:pPr>
            <w:r w:rsidRPr="00B027C5">
              <w:rPr>
                <w:rFonts w:asciiTheme="minorHAnsi" w:hAnsiTheme="minorHAnsi" w:cstheme="minorHAnsi"/>
                <w:noProof/>
                <w:sz w:val="22"/>
                <w:szCs w:val="22"/>
              </w:rPr>
              <w:t>R7</w:t>
            </w:r>
          </w:p>
        </w:tc>
        <w:tc>
          <w:tcPr>
            <w:tcW w:w="2748" w:type="dxa"/>
            <w:shd w:val="clear" w:color="auto" w:fill="FFFFFF" w:themeFill="background1"/>
          </w:tcPr>
          <w:p w14:paraId="76508B7B"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Geen gemeenschappelijk inkoop, omdat de inkoper niet overtuigd is van de voordelen</w:t>
            </w:r>
          </w:p>
          <w:p w14:paraId="0B03EDBD"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lastRenderedPageBreak/>
              <w:t>▪ Samenwerking met één school</w:t>
            </w:r>
          </w:p>
          <w:p w14:paraId="30C42F79"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Er wordt veel waarde gehecht aan autonomie</w:t>
            </w:r>
          </w:p>
        </w:tc>
        <w:tc>
          <w:tcPr>
            <w:tcW w:w="3119" w:type="dxa"/>
          </w:tcPr>
          <w:p w14:paraId="715DF731"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lastRenderedPageBreak/>
              <w:t>▪ Klein team verantwoordelijk voor de inkoop</w:t>
            </w:r>
          </w:p>
          <w:p w14:paraId="3CE10285"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lastRenderedPageBreak/>
              <w:t>▪ Op dit moment weinig middelen beschikbaar voor professionalisering</w:t>
            </w:r>
          </w:p>
          <w:p w14:paraId="1F2A7B90"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Docenten worden betrokken in de totstandkoming van de koopvraag</w:t>
            </w:r>
          </w:p>
          <w:p w14:paraId="3BD31596"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xml:space="preserve">▪ Er wordt geen gebruik gemaakt van inkoopmodellen, ook bestaan er geen standaardregels voor evaluatie van inkooptrajecten.  </w:t>
            </w:r>
          </w:p>
        </w:tc>
        <w:tc>
          <w:tcPr>
            <w:tcW w:w="3373" w:type="dxa"/>
          </w:tcPr>
          <w:p w14:paraId="2BEFDFE7"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lastRenderedPageBreak/>
              <w:t>▪ Respondent geeft aan een goede relatie te hebben met de leveranciers op basis van vertrouwen en expertise</w:t>
            </w:r>
          </w:p>
          <w:p w14:paraId="2C6D748A"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lastRenderedPageBreak/>
              <w:t>▪ Geen voorkeur voor Europese aanbestedingen omdat er ook onbekende leverancier meedoen</w:t>
            </w:r>
          </w:p>
          <w:p w14:paraId="7E1CA0E1"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Twee vaste leveranciers voor aanschaf van ICT</w:t>
            </w:r>
          </w:p>
          <w:p w14:paraId="2B54D445"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Persoonlijke contact met leverancier zorgt voor vertrouwen</w:t>
            </w:r>
          </w:p>
        </w:tc>
      </w:tr>
      <w:tr w:rsidR="007E665C" w:rsidRPr="00533BF3" w14:paraId="1FC7F9F0" w14:textId="77777777" w:rsidTr="007E665C">
        <w:tc>
          <w:tcPr>
            <w:cnfStyle w:val="001000000000" w:firstRow="0" w:lastRow="0" w:firstColumn="1" w:lastColumn="0" w:oddVBand="0" w:evenVBand="0" w:oddHBand="0" w:evenHBand="0" w:firstRowFirstColumn="0" w:firstRowLastColumn="0" w:lastRowFirstColumn="0" w:lastRowLastColumn="0"/>
            <w:tcW w:w="1216" w:type="dxa"/>
          </w:tcPr>
          <w:p w14:paraId="35398132" w14:textId="77777777" w:rsidR="007E665C" w:rsidRPr="00B027C5" w:rsidRDefault="007E665C" w:rsidP="007E665C">
            <w:pPr>
              <w:rPr>
                <w:rFonts w:asciiTheme="minorHAnsi" w:hAnsiTheme="minorHAnsi" w:cstheme="minorHAnsi"/>
                <w:noProof/>
                <w:sz w:val="22"/>
                <w:szCs w:val="22"/>
              </w:rPr>
            </w:pPr>
            <w:r w:rsidRPr="00B027C5">
              <w:rPr>
                <w:rFonts w:asciiTheme="minorHAnsi" w:hAnsiTheme="minorHAnsi" w:cstheme="minorHAnsi"/>
                <w:noProof/>
                <w:sz w:val="22"/>
                <w:szCs w:val="22"/>
              </w:rPr>
              <w:lastRenderedPageBreak/>
              <w:t>R8</w:t>
            </w:r>
          </w:p>
        </w:tc>
        <w:tc>
          <w:tcPr>
            <w:tcW w:w="2748" w:type="dxa"/>
          </w:tcPr>
          <w:p w14:paraId="7A1E354D"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Gecentraliseerde inkoop met oog voor professionalisering, efficiëntie en ontzorgen van de scholen</w:t>
            </w:r>
          </w:p>
          <w:p w14:paraId="73EFB884"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xml:space="preserve">▪ Individueel inkoop wordt als inefficiënt en tijdrovend gezien </w:t>
            </w:r>
          </w:p>
        </w:tc>
        <w:tc>
          <w:tcPr>
            <w:tcW w:w="3119" w:type="dxa"/>
          </w:tcPr>
          <w:p w14:paraId="4E868F5F"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Aanwezigheid van een stafbureau voor inkoop</w:t>
            </w:r>
          </w:p>
          <w:p w14:paraId="1B370D40"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Continu verbetering en optimalisatie van het werkproces</w:t>
            </w:r>
          </w:p>
          <w:p w14:paraId="2A040CA5"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Gebruik van inkoopmodellen om risico’s in kaart te brengen</w:t>
            </w:r>
          </w:p>
          <w:p w14:paraId="7865D8D9"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Standaard tweemaal evaluatie van het inkooptraject</w:t>
            </w:r>
          </w:p>
        </w:tc>
        <w:tc>
          <w:tcPr>
            <w:tcW w:w="3373" w:type="dxa"/>
          </w:tcPr>
          <w:p w14:paraId="763D04E6"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Rationele houding, geleverde dienst of product is leidend in de relatie</w:t>
            </w:r>
          </w:p>
          <w:p w14:paraId="1DF1E65D"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De koopvraag wordt zo ruim mogelijk gedefinieerd om meerdere leveranciers uit te nodigen</w:t>
            </w:r>
          </w:p>
          <w:p w14:paraId="641F4C88"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Voorkeur voor concurrentie tussen leveranciers</w:t>
            </w:r>
          </w:p>
        </w:tc>
      </w:tr>
      <w:tr w:rsidR="007E665C" w:rsidRPr="00533BF3" w14:paraId="3B7E1AF6" w14:textId="77777777" w:rsidTr="007E665C">
        <w:tc>
          <w:tcPr>
            <w:cnfStyle w:val="001000000000" w:firstRow="0" w:lastRow="0" w:firstColumn="1" w:lastColumn="0" w:oddVBand="0" w:evenVBand="0" w:oddHBand="0" w:evenHBand="0" w:firstRowFirstColumn="0" w:firstRowLastColumn="0" w:lastRowFirstColumn="0" w:lastRowLastColumn="0"/>
            <w:tcW w:w="1216" w:type="dxa"/>
          </w:tcPr>
          <w:p w14:paraId="55CC41AE" w14:textId="77777777" w:rsidR="007E665C" w:rsidRPr="00B027C5" w:rsidRDefault="007E665C" w:rsidP="007E665C">
            <w:pPr>
              <w:rPr>
                <w:rFonts w:asciiTheme="minorHAnsi" w:hAnsiTheme="minorHAnsi" w:cstheme="minorHAnsi"/>
                <w:noProof/>
                <w:sz w:val="22"/>
                <w:szCs w:val="22"/>
              </w:rPr>
            </w:pPr>
            <w:r w:rsidRPr="00B027C5">
              <w:rPr>
                <w:rFonts w:asciiTheme="minorHAnsi" w:hAnsiTheme="minorHAnsi" w:cstheme="minorHAnsi"/>
                <w:noProof/>
                <w:sz w:val="22"/>
                <w:szCs w:val="22"/>
              </w:rPr>
              <w:t>R9</w:t>
            </w:r>
          </w:p>
        </w:tc>
        <w:tc>
          <w:tcPr>
            <w:tcW w:w="2748" w:type="dxa"/>
          </w:tcPr>
          <w:p w14:paraId="180093B8"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Gemeenschappelijk inkoop binnen de scholengemeenschap</w:t>
            </w:r>
          </w:p>
          <w:p w14:paraId="692FB5B6"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Gericht op het verlagen van de transactiekosten</w:t>
            </w:r>
          </w:p>
          <w:p w14:paraId="665AE5F9"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Respondent geeft aan dat de inkoopactiviteiten zo min mogelijk last moeten zijn voor de scholen</w:t>
            </w:r>
          </w:p>
        </w:tc>
        <w:tc>
          <w:tcPr>
            <w:tcW w:w="3119" w:type="dxa"/>
          </w:tcPr>
          <w:p w14:paraId="48358003"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Organisatie is constant op zoek naar optimalisatie van processen, ook op het gebied van inkoop</w:t>
            </w:r>
          </w:p>
          <w:p w14:paraId="477CC4E9"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Wanneer nodig volgt de inkoper cursussen op het gebied van digitalisering</w:t>
            </w:r>
          </w:p>
          <w:p w14:paraId="189B05F9"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Er wordt geen gebruik gemaakt van externe consultatie</w:t>
            </w:r>
          </w:p>
          <w:p w14:paraId="0E40E772"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Er bestaan geen vaste evaluatieprocedures van inkoopactiviteiten en de leverancier. Output van inkoop wordt achteraf met de leverancier besproken wanneer er complicaties worden geconstateerd</w:t>
            </w:r>
          </w:p>
        </w:tc>
        <w:tc>
          <w:tcPr>
            <w:tcW w:w="3373" w:type="dxa"/>
          </w:tcPr>
          <w:p w14:paraId="6AFBA68D"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xml:space="preserve">▪ Relatie met de leverancier is afhankelijk van eerdere ervaringen. Bij Europese aanbestedingen is de relatie afstandelijk. </w:t>
            </w:r>
          </w:p>
          <w:p w14:paraId="53315A85"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p>
          <w:p w14:paraId="276A7E5A"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xml:space="preserve">▪ </w:t>
            </w:r>
            <w:r w:rsidRPr="00B027C5">
              <w:rPr>
                <w:rFonts w:asciiTheme="minorHAnsi" w:eastAsia="Calibri" w:hAnsiTheme="minorHAnsi" w:cstheme="minorHAnsi"/>
                <w:noProof/>
                <w:sz w:val="22"/>
                <w:szCs w:val="22"/>
              </w:rPr>
              <w:t>Een vertrouwensband met de leverancier wordt geprefereerd, echter weegt dit niet zwaarder dan inkopen tegen de meest gunstige voorwaarden</w:t>
            </w:r>
          </w:p>
        </w:tc>
      </w:tr>
      <w:tr w:rsidR="007E665C" w:rsidRPr="00533BF3" w14:paraId="72A97491" w14:textId="77777777" w:rsidTr="007E665C">
        <w:tc>
          <w:tcPr>
            <w:cnfStyle w:val="001000000000" w:firstRow="0" w:lastRow="0" w:firstColumn="1" w:lastColumn="0" w:oddVBand="0" w:evenVBand="0" w:oddHBand="0" w:evenHBand="0" w:firstRowFirstColumn="0" w:firstRowLastColumn="0" w:lastRowFirstColumn="0" w:lastRowLastColumn="0"/>
            <w:tcW w:w="1216" w:type="dxa"/>
          </w:tcPr>
          <w:p w14:paraId="6FDD2828" w14:textId="77777777" w:rsidR="007E665C" w:rsidRPr="00B027C5" w:rsidRDefault="007E665C" w:rsidP="007E665C">
            <w:pPr>
              <w:rPr>
                <w:rFonts w:asciiTheme="minorHAnsi" w:hAnsiTheme="minorHAnsi" w:cstheme="minorHAnsi"/>
                <w:noProof/>
                <w:sz w:val="22"/>
                <w:szCs w:val="22"/>
              </w:rPr>
            </w:pPr>
            <w:r w:rsidRPr="00B027C5">
              <w:rPr>
                <w:rFonts w:asciiTheme="minorHAnsi" w:hAnsiTheme="minorHAnsi" w:cstheme="minorHAnsi"/>
                <w:noProof/>
                <w:sz w:val="22"/>
                <w:szCs w:val="22"/>
              </w:rPr>
              <w:t>R10</w:t>
            </w:r>
          </w:p>
        </w:tc>
        <w:tc>
          <w:tcPr>
            <w:tcW w:w="2748" w:type="dxa"/>
          </w:tcPr>
          <w:p w14:paraId="125A69BD"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Centralisatie van de inkoopactiviteiten vanwege complexiteit van het passend onderwijs</w:t>
            </w:r>
          </w:p>
          <w:p w14:paraId="31973E05"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xml:space="preserve">▪ Centraal inkoop vanwege de beperkte mankracht per school om het </w:t>
            </w:r>
            <w:r w:rsidRPr="00B027C5">
              <w:rPr>
                <w:rFonts w:asciiTheme="minorHAnsi" w:hAnsiTheme="minorHAnsi" w:cstheme="minorHAnsi"/>
                <w:noProof/>
                <w:sz w:val="22"/>
                <w:szCs w:val="22"/>
              </w:rPr>
              <w:lastRenderedPageBreak/>
              <w:t>inkoopproces efficiënt te laten verlopen</w:t>
            </w:r>
          </w:p>
        </w:tc>
        <w:tc>
          <w:tcPr>
            <w:tcW w:w="3119" w:type="dxa"/>
          </w:tcPr>
          <w:p w14:paraId="12330ECD"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lastRenderedPageBreak/>
              <w:t>▪ Kennis wordt binnen de organisatie op peil gehouden door cursussen, seminars en contact met andere scholen</w:t>
            </w:r>
          </w:p>
          <w:p w14:paraId="4BCB7ECD"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Indien nodig wordt er externe deskundigheid ingeschakeld</w:t>
            </w:r>
          </w:p>
          <w:p w14:paraId="58CC5E61"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lastRenderedPageBreak/>
              <w:t>▪ Evaluatie van de geleverde producten maakt een vaste onderdeel van de inkoopactiviteiten; dit wordt echter niet systematisch gedocumenteerd.</w:t>
            </w:r>
          </w:p>
          <w:p w14:paraId="334D9C43"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p>
        </w:tc>
        <w:tc>
          <w:tcPr>
            <w:tcW w:w="3373" w:type="dxa"/>
          </w:tcPr>
          <w:p w14:paraId="437074D5"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lastRenderedPageBreak/>
              <w:t>▪ Respondent heeft een voorkeur voor persoonlijk contact met leveranciers</w:t>
            </w:r>
          </w:p>
          <w:p w14:paraId="4C3ED596"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Niet de prijs per product maar de continuïteit op de lange termijn is belangrijk voor de inkoper</w:t>
            </w:r>
          </w:p>
          <w:p w14:paraId="2194BCE7"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lastRenderedPageBreak/>
              <w:t>▪ Respondent heeft meer zekerheid bij leveranciers waar al eerder succesvol mee is samengewerkt</w:t>
            </w:r>
          </w:p>
          <w:p w14:paraId="621FA27D"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p>
        </w:tc>
      </w:tr>
      <w:tr w:rsidR="007E665C" w:rsidRPr="00533BF3" w14:paraId="7E564151" w14:textId="77777777" w:rsidTr="007E665C">
        <w:tc>
          <w:tcPr>
            <w:cnfStyle w:val="001000000000" w:firstRow="0" w:lastRow="0" w:firstColumn="1" w:lastColumn="0" w:oddVBand="0" w:evenVBand="0" w:oddHBand="0" w:evenHBand="0" w:firstRowFirstColumn="0" w:firstRowLastColumn="0" w:lastRowFirstColumn="0" w:lastRowLastColumn="0"/>
            <w:tcW w:w="1216" w:type="dxa"/>
          </w:tcPr>
          <w:p w14:paraId="69E9D2BD" w14:textId="77777777" w:rsidR="007E665C" w:rsidRPr="00B027C5" w:rsidRDefault="007E665C" w:rsidP="007E665C">
            <w:pPr>
              <w:rPr>
                <w:rFonts w:asciiTheme="minorHAnsi" w:hAnsiTheme="minorHAnsi" w:cstheme="minorHAnsi"/>
                <w:noProof/>
                <w:sz w:val="22"/>
                <w:szCs w:val="22"/>
              </w:rPr>
            </w:pPr>
            <w:r w:rsidRPr="00B027C5">
              <w:rPr>
                <w:rFonts w:asciiTheme="minorHAnsi" w:hAnsiTheme="minorHAnsi" w:cstheme="minorHAnsi"/>
                <w:noProof/>
                <w:sz w:val="22"/>
                <w:szCs w:val="22"/>
              </w:rPr>
              <w:lastRenderedPageBreak/>
              <w:t>R11</w:t>
            </w:r>
          </w:p>
        </w:tc>
        <w:tc>
          <w:tcPr>
            <w:tcW w:w="2748" w:type="dxa"/>
          </w:tcPr>
          <w:p w14:paraId="4A46846F"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Volgens de respondent vergroot centralisatie van de inkoop de efficiëntie</w:t>
            </w:r>
          </w:p>
          <w:p w14:paraId="0E53861F"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xml:space="preserve">▪ Stafbureau voor inkoop is buiten de scholen gevestigd </w:t>
            </w:r>
          </w:p>
        </w:tc>
        <w:tc>
          <w:tcPr>
            <w:tcW w:w="3119" w:type="dxa"/>
          </w:tcPr>
          <w:p w14:paraId="354D070A"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Respondent is bewust van de winsten die behaald kunnen worden met professionalisering van de inkoop</w:t>
            </w:r>
          </w:p>
          <w:p w14:paraId="6713D1D0"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Respondent geeft aan dat er binnen de organisatie veel kennis bestaat en zij daarom sterk staan in onderhandelingen</w:t>
            </w:r>
          </w:p>
          <w:p w14:paraId="7E6507D4"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xml:space="preserve">▪ Evaluatie wordt sporadisch gedaan, enkel wanneer het nodig is. De risico’s van aankoop worden volgens een theoretische matrix in kaart gebracht. </w:t>
            </w:r>
          </w:p>
          <w:p w14:paraId="04EA461B"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xml:space="preserve">▪ Er wordt geen gebruik gemaakt van externe advies, wel is er in het verleden een adviesbureau ingeschakeld om de transitie van het stafbureau te begeleiden.  </w:t>
            </w:r>
          </w:p>
        </w:tc>
        <w:tc>
          <w:tcPr>
            <w:tcW w:w="3373" w:type="dxa"/>
          </w:tcPr>
          <w:p w14:paraId="2A90377A"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Respondent heeft een aantal voorkeursleveranciers</w:t>
            </w:r>
          </w:p>
          <w:p w14:paraId="79AD099A" w14:textId="77777777" w:rsidR="007E665C" w:rsidRPr="00B027C5" w:rsidRDefault="007E665C" w:rsidP="007E665C">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noProof/>
                <w:sz w:val="22"/>
                <w:szCs w:val="22"/>
              </w:rPr>
            </w:pPr>
            <w:r w:rsidRPr="00B027C5">
              <w:rPr>
                <w:rFonts w:asciiTheme="minorHAnsi" w:hAnsiTheme="minorHAnsi" w:cstheme="minorHAnsi"/>
                <w:noProof/>
                <w:sz w:val="22"/>
                <w:szCs w:val="22"/>
              </w:rPr>
              <w:t xml:space="preserve">▪ Voorkeur voor soort relatie gaat uit naar nauwe samenwerking gebaseerd op wederzijdse vertrouwen </w:t>
            </w:r>
          </w:p>
        </w:tc>
      </w:tr>
    </w:tbl>
    <w:p w14:paraId="765DC45F" w14:textId="63B83143" w:rsidR="00494D11" w:rsidRDefault="007E665C" w:rsidP="00494D11">
      <w:pPr>
        <w:pStyle w:val="Caption"/>
      </w:pPr>
      <w:r w:rsidRPr="00750162">
        <w:t xml:space="preserve">Tabel </w:t>
      </w:r>
      <w:r w:rsidR="00750162" w:rsidRPr="00750162">
        <w:t>1</w:t>
      </w:r>
      <w:r w:rsidR="0040657F">
        <w:t>0</w:t>
      </w:r>
      <w:r w:rsidRPr="00750162">
        <w:t xml:space="preserve">: De antwoorden van de respondenten op de variabelen ‘gezamenlijk inkopen’, ‘professionalisering’ en ‘opdrachtgever-opdrachtnemer relatie’. </w:t>
      </w:r>
    </w:p>
    <w:p w14:paraId="256D02DB" w14:textId="77777777" w:rsidR="00494D11" w:rsidRPr="00494D11" w:rsidRDefault="00494D11" w:rsidP="00494D11"/>
    <w:p w14:paraId="0038937A" w14:textId="7DC47F8A" w:rsidR="007E665C" w:rsidRPr="00494D11" w:rsidRDefault="007E665C" w:rsidP="00494D11">
      <w:pPr>
        <w:pStyle w:val="Heading2"/>
        <w:rPr>
          <w:rFonts w:ascii="Calibri" w:eastAsia="Calibri" w:hAnsi="Calibri"/>
          <w:noProof/>
          <w:color w:val="1F3864" w:themeColor="accent1" w:themeShade="80"/>
        </w:rPr>
      </w:pPr>
      <w:bookmarkStart w:id="131" w:name="_Toc517455481"/>
      <w:r w:rsidRPr="00494D11">
        <w:rPr>
          <w:noProof/>
          <w:color w:val="1F3864" w:themeColor="accent1" w:themeShade="80"/>
        </w:rPr>
        <w:t xml:space="preserve">Reflectie op de resultaten </w:t>
      </w:r>
      <w:bookmarkStart w:id="132" w:name="_Hlk515461507"/>
      <w:r w:rsidRPr="00494D11">
        <w:rPr>
          <w:noProof/>
          <w:color w:val="1F3864" w:themeColor="accent1" w:themeShade="80"/>
        </w:rPr>
        <w:t>‘gezamenlijk inkopen’, ‘professionalisering’ en ‘opdrachtgever-opdrachtnemer relatie’.</w:t>
      </w:r>
      <w:bookmarkEnd w:id="131"/>
      <w:r w:rsidRPr="00494D11">
        <w:rPr>
          <w:noProof/>
          <w:color w:val="1F3864" w:themeColor="accent1" w:themeShade="80"/>
        </w:rPr>
        <w:t xml:space="preserve"> </w:t>
      </w:r>
      <w:bookmarkEnd w:id="132"/>
    </w:p>
    <w:p w14:paraId="157E7083" w14:textId="77777777" w:rsidR="007E665C" w:rsidRPr="00E42062" w:rsidRDefault="007E665C" w:rsidP="007E665C">
      <w:pPr>
        <w:pStyle w:val="NoSpacing"/>
        <w:spacing w:line="276" w:lineRule="auto"/>
        <w:rPr>
          <w:noProof/>
        </w:rPr>
      </w:pPr>
      <w:r w:rsidRPr="00E42062">
        <w:rPr>
          <w:noProof/>
        </w:rPr>
        <w:t xml:space="preserve">De verzamelende data uit de interviews zegt enerzijds iets over de afzonderlijke scholen of scholengemeenschappen. Anderzijds toont het ook patronen die tussen deze onderzochte scholen aanwezig is. Deze patronen worden per variabele besproken. </w:t>
      </w:r>
    </w:p>
    <w:p w14:paraId="2EAF061E" w14:textId="77777777" w:rsidR="007E665C" w:rsidRPr="00E42062" w:rsidRDefault="007E665C" w:rsidP="007E665C">
      <w:pPr>
        <w:pStyle w:val="NoSpacing"/>
        <w:spacing w:line="276" w:lineRule="auto"/>
        <w:rPr>
          <w:noProof/>
        </w:rPr>
      </w:pPr>
    </w:p>
    <w:p w14:paraId="0B8A7B68" w14:textId="4D3BBAC7" w:rsidR="007E665C" w:rsidRPr="00494D11" w:rsidRDefault="00494D11" w:rsidP="00494D11">
      <w:pPr>
        <w:pStyle w:val="Heading3"/>
        <w:rPr>
          <w:noProof/>
          <w:color w:val="1F3864" w:themeColor="accent1" w:themeShade="80"/>
          <w:sz w:val="20"/>
        </w:rPr>
      </w:pPr>
      <w:bookmarkStart w:id="133" w:name="_Toc517455482"/>
      <w:r w:rsidRPr="00494D11">
        <w:rPr>
          <w:noProof/>
          <w:color w:val="1F3864" w:themeColor="accent1" w:themeShade="80"/>
        </w:rPr>
        <w:t xml:space="preserve">5.5.1 </w:t>
      </w:r>
      <w:r w:rsidR="007E665C" w:rsidRPr="00494D11">
        <w:rPr>
          <w:noProof/>
          <w:color w:val="1F3864" w:themeColor="accent1" w:themeShade="80"/>
        </w:rPr>
        <w:t>Gezamenlijk inkopen</w:t>
      </w:r>
      <w:bookmarkEnd w:id="133"/>
    </w:p>
    <w:p w14:paraId="5AAD0DE9" w14:textId="7FEBF455" w:rsidR="007E665C" w:rsidRPr="00E42062" w:rsidRDefault="007E665C" w:rsidP="007E665C">
      <w:pPr>
        <w:pStyle w:val="NoSpacing"/>
        <w:spacing w:line="276" w:lineRule="auto"/>
        <w:rPr>
          <w:noProof/>
        </w:rPr>
      </w:pPr>
      <w:r w:rsidRPr="00E42062">
        <w:rPr>
          <w:noProof/>
        </w:rPr>
        <w:t>Geconcludeerd kan worden dat de mate waarin gezamenlijk ingekocht wordt mede afhankelijk is van de structuur van de onderwijsinstelling. Binnen centraal georganiseerde schoolbesturen is het bestuur taakstellend. In decentraal georganiseerde schoolbesturen zijn de rectoren en/of locatie- en vestigingsdirecteuren van de autonome vestigingen richtinggevend. Bij de eerste groep voert het schoolbestuur (of het bestuursbureau) een strakke regie over de bedrijfsvoering van de aangesloten scholen, stelt kaders</w:t>
      </w:r>
      <w:r w:rsidR="005047C6">
        <w:rPr>
          <w:noProof/>
        </w:rPr>
        <w:t xml:space="preserve"> vast</w:t>
      </w:r>
      <w:r w:rsidRPr="00E42062">
        <w:rPr>
          <w:noProof/>
        </w:rPr>
        <w:t xml:space="preserve"> en monitort deze. Bij de tweede groep vervult het schoolbestuur vooral een faciliterende, stimulerende en coördinerende rol. Er is met name veel aandacht voor kennisdeling en het verbeteren van de efficiëntie bij de inkoop. De mate waarin er gezamenlijk met andere scholen wordt ingekocht, hangt er sterk af van de inrichting van de inkoopafdeling. Scholen die deel uitmaken van een </w:t>
      </w:r>
      <w:r w:rsidRPr="00E42062">
        <w:rPr>
          <w:noProof/>
        </w:rPr>
        <w:lastRenderedPageBreak/>
        <w:t>scholengemeenschap geven aan kapitaalintensieve investeringen gezamenlijk te verrichten (R1, R3, R4, R6, R8, R9, R10 en R11). Binnen deze scholen zijn de inkoopactiviteiten sterk op elkaar afgestemd en valt inkoop onder de verantwoordelijkheid van een centrale directie. Respondenten geven aan dat bundeling van krachten e</w:t>
      </w:r>
      <w:r w:rsidR="002103E4">
        <w:rPr>
          <w:noProof/>
        </w:rPr>
        <w:t xml:space="preserve">n </w:t>
      </w:r>
      <w:r w:rsidRPr="00E42062">
        <w:rPr>
          <w:noProof/>
        </w:rPr>
        <w:t>verlagen</w:t>
      </w:r>
      <w:r w:rsidR="002103E4">
        <w:rPr>
          <w:noProof/>
        </w:rPr>
        <w:t xml:space="preserve"> of </w:t>
      </w:r>
      <w:r w:rsidRPr="00E42062">
        <w:rPr>
          <w:noProof/>
        </w:rPr>
        <w:t>wegnemen van administratieve lasten bij de scholen, de belangrijkste redenen zijn om gezamenlijk in te kopen. De respondenten zijn</w:t>
      </w:r>
      <w:r w:rsidR="002103E4">
        <w:rPr>
          <w:noProof/>
        </w:rPr>
        <w:t xml:space="preserve"> </w:t>
      </w:r>
      <w:r w:rsidRPr="00E42062">
        <w:rPr>
          <w:noProof/>
        </w:rPr>
        <w:t xml:space="preserve">ook van overtuigd dat de verhoging van het volume meer macht oplevert ten opzichte van de leverancier. Echter hechten deze respondenten ook veel waarde aan autonomie. De mogelijkheid om zelf beslissingen te nemen. Kleine aankopen worden nog steeds decentraal gedaan en op een ad hoc basis. Uit de interviews blijkt dat hierin weinig structuur en vastigheid zit. Ook is er weinig bekend over de totale kosten wat met deze aankopen gemoeid is. </w:t>
      </w:r>
    </w:p>
    <w:p w14:paraId="3BFB8846" w14:textId="4B1DDAAB" w:rsidR="007E665C" w:rsidRPr="00E42062" w:rsidRDefault="007E665C" w:rsidP="007E665C">
      <w:pPr>
        <w:pStyle w:val="NoSpacing"/>
        <w:spacing w:line="276" w:lineRule="auto"/>
        <w:rPr>
          <w:noProof/>
        </w:rPr>
      </w:pPr>
      <w:r w:rsidRPr="00E42062">
        <w:rPr>
          <w:noProof/>
        </w:rPr>
        <w:tab/>
        <w:t>Binnen St. Bonifatiuscollege is er geen sprake van gezamenlijke inkoop. Deze school maakt geen deel uit van een breder scholengemeenschap en heeft een eigen inkoopafdeling ingericht. De</w:t>
      </w:r>
      <w:r w:rsidR="002103E4">
        <w:rPr>
          <w:noProof/>
        </w:rPr>
        <w:t>ze</w:t>
      </w:r>
      <w:r w:rsidRPr="00E42062">
        <w:rPr>
          <w:noProof/>
        </w:rPr>
        <w:t xml:space="preserve"> scho</w:t>
      </w:r>
      <w:r w:rsidR="002103E4">
        <w:rPr>
          <w:noProof/>
        </w:rPr>
        <w:t>ol</w:t>
      </w:r>
      <w:r w:rsidRPr="00E42062">
        <w:rPr>
          <w:noProof/>
        </w:rPr>
        <w:t xml:space="preserve"> hecht veel belang aan hun identiteit. “Gezamenlijke inkoop heeft in de theorie zeker voordelen, maar is niet altijd uit te voeren. Wij merken op dat de scholen in de omgeving een eigen koers varen met eigen doelstellingen en vraag” (Tayyeb, 2017).  Ook wordt er door respondent R7 niet gezocht naar samenwerking met scholen die geografische in de buurt liggen, omdat de visies soms uiteenlopen. “We hebben gezamenlijke inkoop besproken met andere scholen, maar daarvoor liggen de visies ver uit elkaar” (Olde Riekerink, 2017). Dit zou een potentieel gevaar kunnen vormen voor de identiteit van de onderwijsinstellingen. De meerwaarde van gezamenlijk inkoop wordt niet altijd erkend. Respondent R3 geeft aan dat “gezamenlijke inkoop minimale toegevoegde waarde heeft” (Zwan, 2017).</w:t>
      </w:r>
    </w:p>
    <w:p w14:paraId="3BA7BD19" w14:textId="5E833D0A" w:rsidR="007E665C" w:rsidRPr="00E42062" w:rsidRDefault="007E665C" w:rsidP="007E665C">
      <w:pPr>
        <w:pStyle w:val="NoSpacing"/>
        <w:spacing w:line="276" w:lineRule="auto"/>
        <w:rPr>
          <w:noProof/>
        </w:rPr>
      </w:pPr>
      <w:r w:rsidRPr="00E42062">
        <w:rPr>
          <w:noProof/>
        </w:rPr>
        <w:tab/>
        <w:t>Indien het een scholengemeenschap betreft, wordt er centraal ingekocht voor alle vestigingen. Respondenten geven aan hiermee voordeel te behalen doordat de administratieve lasten worden weggenomen of verlaagd en dat bundeling van krachten een sterke positie geeft tegenover de leverancier. Daarentegen kopen scholen onderling niet gezamenlijk in. Respondenten hebben hier verschillende redenen voor. Zo bestaat er twijfel over de voordelen dat gezamenlijk inkoop met zich mee brengt. Een andere reden om niet gezamenlijk in te kopen is dat de visies van de scholen onderling te verschillend zijn. Dit maakt gezamenlijk</w:t>
      </w:r>
      <w:r w:rsidR="002103E4">
        <w:rPr>
          <w:noProof/>
        </w:rPr>
        <w:t>e</w:t>
      </w:r>
      <w:r w:rsidRPr="00E42062">
        <w:rPr>
          <w:noProof/>
        </w:rPr>
        <w:t xml:space="preserve"> inkoop onwenselijk.  </w:t>
      </w:r>
    </w:p>
    <w:p w14:paraId="2D0E2F7D" w14:textId="6BC98ED5" w:rsidR="007E665C" w:rsidRPr="00E42062" w:rsidRDefault="007E665C" w:rsidP="007E665C">
      <w:pPr>
        <w:pStyle w:val="NoSpacing"/>
        <w:spacing w:line="276" w:lineRule="auto"/>
        <w:rPr>
          <w:noProof/>
        </w:rPr>
      </w:pPr>
      <w:r w:rsidRPr="00E42062">
        <w:rPr>
          <w:noProof/>
        </w:rPr>
        <w:tab/>
        <w:t>Bij het vergelijken van de antwoorden blijkt dat dat gezamenlijk</w:t>
      </w:r>
      <w:r w:rsidR="002103E4">
        <w:rPr>
          <w:noProof/>
        </w:rPr>
        <w:t>e</w:t>
      </w:r>
      <w:r w:rsidRPr="00E42062">
        <w:rPr>
          <w:noProof/>
        </w:rPr>
        <w:t xml:space="preserve"> inkoop met name speelt binnen scholen R1 t/m R3, R4, R6, R8 t/m R11. Respondent R5 en R7 geven aan hier geen voordelen in te zien. D</w:t>
      </w:r>
      <w:r>
        <w:rPr>
          <w:noProof/>
        </w:rPr>
        <w:t xml:space="preserve">it </w:t>
      </w:r>
      <w:r w:rsidRPr="00E42062">
        <w:rPr>
          <w:noProof/>
        </w:rPr>
        <w:t xml:space="preserve">onderscheid </w:t>
      </w:r>
      <w:r>
        <w:rPr>
          <w:noProof/>
        </w:rPr>
        <w:t xml:space="preserve">heeft geen verband </w:t>
      </w:r>
      <w:r w:rsidRPr="00E42062">
        <w:rPr>
          <w:noProof/>
        </w:rPr>
        <w:t xml:space="preserve">de denominatie, functie van de respondent of de onderwijsvorm. Wel valt op te maken dat deze twee scholen </w:t>
      </w:r>
      <w:r>
        <w:rPr>
          <w:noProof/>
        </w:rPr>
        <w:t xml:space="preserve">aangeven </w:t>
      </w:r>
      <w:r w:rsidRPr="00E42062">
        <w:rPr>
          <w:noProof/>
        </w:rPr>
        <w:t>in het bijzonder gericht</w:t>
      </w:r>
      <w:r>
        <w:rPr>
          <w:noProof/>
        </w:rPr>
        <w:t xml:space="preserve"> te</w:t>
      </w:r>
      <w:r w:rsidRPr="00E42062">
        <w:rPr>
          <w:noProof/>
        </w:rPr>
        <w:t xml:space="preserve"> zijn op het individu.  </w:t>
      </w:r>
    </w:p>
    <w:p w14:paraId="1440AC39" w14:textId="77777777" w:rsidR="007E665C" w:rsidRPr="00E42062" w:rsidRDefault="007E665C" w:rsidP="007E665C">
      <w:pPr>
        <w:pStyle w:val="NoSpacing"/>
        <w:rPr>
          <w:noProof/>
        </w:rPr>
      </w:pPr>
    </w:p>
    <w:p w14:paraId="101BCA12" w14:textId="05E29D57" w:rsidR="007E665C" w:rsidRPr="00494D11" w:rsidRDefault="00494D11" w:rsidP="00494D11">
      <w:pPr>
        <w:pStyle w:val="Heading3"/>
        <w:rPr>
          <w:noProof/>
          <w:color w:val="1F3864" w:themeColor="accent1" w:themeShade="80"/>
        </w:rPr>
      </w:pPr>
      <w:bookmarkStart w:id="134" w:name="_Toc517455483"/>
      <w:r w:rsidRPr="00494D11">
        <w:rPr>
          <w:noProof/>
          <w:color w:val="1F3864" w:themeColor="accent1" w:themeShade="80"/>
        </w:rPr>
        <w:t xml:space="preserve">5.5.2 </w:t>
      </w:r>
      <w:r w:rsidR="007E665C" w:rsidRPr="00494D11">
        <w:rPr>
          <w:noProof/>
          <w:color w:val="1F3864" w:themeColor="accent1" w:themeShade="80"/>
        </w:rPr>
        <w:t>Mate van professionalisering</w:t>
      </w:r>
      <w:bookmarkEnd w:id="134"/>
    </w:p>
    <w:p w14:paraId="1523D355" w14:textId="77777777" w:rsidR="007E665C" w:rsidRPr="00E42062" w:rsidRDefault="007E665C" w:rsidP="007E665C">
      <w:pPr>
        <w:pStyle w:val="NoSpacing"/>
        <w:spacing w:line="276" w:lineRule="auto"/>
        <w:rPr>
          <w:noProof/>
        </w:rPr>
      </w:pPr>
      <w:r w:rsidRPr="00E42062">
        <w:rPr>
          <w:noProof/>
        </w:rPr>
        <w:t xml:space="preserve">Geconcludeerd kan worden dat scholen bewust zijn van het feit dat de markt voortdurend in beweging is. De dynamiek en de onvoorspelbaarheid is met name van toepassing op ICT in de vorm van digitale (hulp)leermiddelen. De onderzoeksvragen naar de mate van professionalisering hebben betrekking op de huidige staat van de inkoopafdeling, wijze waarop inkoop plaats vindt en in hoeverre er aandacht is voor verbeterinitiatieven.  </w:t>
      </w:r>
    </w:p>
    <w:p w14:paraId="1A6F1F99" w14:textId="69FE6347" w:rsidR="007E665C" w:rsidRPr="00E42062" w:rsidRDefault="007E665C" w:rsidP="007E665C">
      <w:pPr>
        <w:pStyle w:val="NoSpacing"/>
        <w:spacing w:line="276" w:lineRule="auto"/>
        <w:rPr>
          <w:noProof/>
        </w:rPr>
      </w:pPr>
      <w:r w:rsidRPr="00E42062">
        <w:rPr>
          <w:noProof/>
        </w:rPr>
        <w:t xml:space="preserve">Tijdens de dataverzameling is gebleken dat inkopers bewust zijn van het feit dat er efficiëntie </w:t>
      </w:r>
      <w:r w:rsidR="008B31E7">
        <w:rPr>
          <w:noProof/>
        </w:rPr>
        <w:t xml:space="preserve">te </w:t>
      </w:r>
      <w:r w:rsidRPr="00E42062">
        <w:rPr>
          <w:noProof/>
        </w:rPr>
        <w:t>behalen valt. Een concreet voorbeeld uit het veld is</w:t>
      </w:r>
      <w:r w:rsidR="008B31E7">
        <w:rPr>
          <w:noProof/>
        </w:rPr>
        <w:t xml:space="preserve"> de kennisvergaring</w:t>
      </w:r>
      <w:r w:rsidRPr="00E42062">
        <w:rPr>
          <w:noProof/>
        </w:rPr>
        <w:t xml:space="preserve"> door respondenten op het gebied van digitalisering. Ook worden er op sommige scholen seminars gehouden voor de rest van het personeel (R1, R2, R3, R6, R9 en R10). </w:t>
      </w:r>
    </w:p>
    <w:p w14:paraId="341C0181" w14:textId="38FA651C" w:rsidR="007E665C" w:rsidRPr="00E42062" w:rsidRDefault="007E665C" w:rsidP="007E665C">
      <w:pPr>
        <w:pStyle w:val="NoSpacing"/>
        <w:spacing w:line="276" w:lineRule="auto"/>
        <w:rPr>
          <w:noProof/>
        </w:rPr>
      </w:pPr>
      <w:r w:rsidRPr="00E42062">
        <w:rPr>
          <w:noProof/>
        </w:rPr>
        <w:tab/>
        <w:t xml:space="preserve">Opvallend is dat evaluatie van het afgenomen product in een merendeel van de scholen op ad hoc basis plaatsvindt (R1, R2, R3, R4, R9, R10 en R11). “We leggen de evaluatie niet vast, maar de meldingen gaan wel naar de grote organisatie. Daarnaast reageren wij als er dingen niet juist gaan” (Meulenbeld, 2017). Indien er problemen ontstaan wordt er geëvalueerd. In de rest van de gevallen blijft de evaluatie vaak achterwege. Er vindt hoogstens een jaarlijks overleg met de leveranciers plaats om de plannen en visie op elkaar af te stemmen. Een grondige analyse van het inkooptraject, alsmede de evaluatie van de leverancier en het contract is binnen de onderzochte scholen niet waar te nemen. Problemen bij levering of gebruik zijn doorgaans de aanleiding tot evaluatie. Respondenten spelen de problemen meteen door naar de leverancier waarna gezamenlijk de evaluatie plaats vindt. Slechts een respondent (R6) geeft aan dat er een evaluatiebepaling in de overeenkomst is vastgelegd: “Evaluatie </w:t>
      </w:r>
      <w:r w:rsidRPr="00E42062">
        <w:rPr>
          <w:noProof/>
        </w:rPr>
        <w:lastRenderedPageBreak/>
        <w:t xml:space="preserve">vindt plaats nadat er oplevering heeft plaatsgevonden. In de overeenkomst zijn afspraken gemaakt over evaluaties” (Olde Riekerink, 2017). </w:t>
      </w:r>
    </w:p>
    <w:p w14:paraId="3172924C" w14:textId="77777777" w:rsidR="007E665C" w:rsidRPr="00E42062" w:rsidRDefault="007E665C" w:rsidP="007E665C">
      <w:pPr>
        <w:pStyle w:val="NoSpacing"/>
        <w:spacing w:line="276" w:lineRule="auto"/>
        <w:rPr>
          <w:noProof/>
        </w:rPr>
      </w:pPr>
      <w:r w:rsidRPr="00E42062">
        <w:rPr>
          <w:noProof/>
        </w:rPr>
        <w:t xml:space="preserve">Om toch enige zekerheid te hebben wordt er veelal gewerkt met SLA’s en raamovereenkomsten. Twee van de elf respondenten geeft altijd te kiezen voor een SLA’s (R2 en R11). “Onze SLA’s zijn doorslaggevend, hierin worden duidelijke afspraken genoteerd en hierin worden onze voorwaarden gewaarborgd. Zonder duidelijke SLA’s doen wij geen zaken met partijen” (Aalberts, 2017). Bij het aanbesteden maken een aantal respondenten gebruik van externe bureaus (R3, R6 en R10). “Om te voldoen aan de wetgeving en het ontwikkelen van duurzame voorwaarden, vragen wij hulp aan een adviesbureau” (Van der Hoeven, 2017). </w:t>
      </w:r>
    </w:p>
    <w:p w14:paraId="13633EAF" w14:textId="77777777" w:rsidR="007E665C" w:rsidRPr="00E42062" w:rsidRDefault="007E665C" w:rsidP="007E665C">
      <w:pPr>
        <w:pStyle w:val="NoSpacing"/>
        <w:rPr>
          <w:b/>
          <w:noProof/>
          <w:sz w:val="24"/>
        </w:rPr>
      </w:pPr>
    </w:p>
    <w:p w14:paraId="61688794" w14:textId="141FE019" w:rsidR="007E665C" w:rsidRPr="003B56D6" w:rsidRDefault="00494D11" w:rsidP="00494D11">
      <w:pPr>
        <w:pStyle w:val="Heading3"/>
        <w:rPr>
          <w:noProof/>
        </w:rPr>
      </w:pPr>
      <w:bookmarkStart w:id="135" w:name="_Toc517455484"/>
      <w:r w:rsidRPr="00494D11">
        <w:rPr>
          <w:noProof/>
          <w:color w:val="1F3864" w:themeColor="accent1" w:themeShade="80"/>
        </w:rPr>
        <w:t xml:space="preserve">5.5.3 </w:t>
      </w:r>
      <w:r w:rsidR="007E665C" w:rsidRPr="00494D11">
        <w:rPr>
          <w:noProof/>
          <w:color w:val="1F3864" w:themeColor="accent1" w:themeShade="80"/>
        </w:rPr>
        <w:t>Opdrachtgever-opdrachtnemer relatie</w:t>
      </w:r>
      <w:bookmarkEnd w:id="135"/>
    </w:p>
    <w:p w14:paraId="022627F7" w14:textId="77777777" w:rsidR="007E665C" w:rsidRPr="00E42062" w:rsidRDefault="007E665C" w:rsidP="007E665C">
      <w:pPr>
        <w:pStyle w:val="NoSpacing"/>
        <w:spacing w:line="276" w:lineRule="auto"/>
        <w:rPr>
          <w:noProof/>
        </w:rPr>
      </w:pPr>
      <w:r w:rsidRPr="00E42062">
        <w:rPr>
          <w:noProof/>
        </w:rPr>
        <w:t xml:space="preserve">Geconcludeerd kan worden dat vertrouwen ontstaat door eerdere positieve samenwerkingen. Echter, indien deze vertrouwen geschaad wordt, is de opdrachtgever bereid om de samenwerking te beëindigen. De relatie met de opdrachtgever bepaalt in zeer sterke mate bij wie er ingekocht wordt.  Respondenten hechten veel waarde aan de relatie wat gebaseerd is op wederzijdse vertrouwen. Vertrouwen in de leverancier groeit indien de dienstverlening na de levering naar wens is (R1, R3, R4, R5, R7, R9, R10 en R11): “Ik heb goede relaties met onze leveranciers. Met de meeste leveranciers werken wij al een geruime tijd samen op basis van vertrouwen en expertise” (Tayyeb, 2017). </w:t>
      </w:r>
    </w:p>
    <w:p w14:paraId="0CD7D120" w14:textId="77777777" w:rsidR="007E665C" w:rsidRPr="00E42062" w:rsidRDefault="007E665C" w:rsidP="007E665C">
      <w:pPr>
        <w:pStyle w:val="NoSpacing"/>
        <w:spacing w:line="276" w:lineRule="auto"/>
        <w:rPr>
          <w:noProof/>
        </w:rPr>
      </w:pPr>
      <w:r w:rsidRPr="00E42062">
        <w:rPr>
          <w:noProof/>
        </w:rPr>
        <w:t xml:space="preserve">Wat opvalt is dat een aantal respondenten aangeven dat zij een leverancier, waarmee ze een vertrouwensband hebben gecreëerd, prefereren boven een onbekende leverancier. “Natuurlijk wil ik een goede relatie met mijn leveranciers. Als ik de gevraagde diensten geleverd krijg en er is sprake van een goed support dan is mijn relatie heel goed. Ik moet een goede relatie hebben met mijn leverancier wil ik diensten afnemen, we moeten weten wat we aan elkaar hebben” (van Putten, 2017). Wat tevens kenmerkend is, is het feit dat er een sterke voorkeur bestaat voor partnerschap met een regionaal opererend bedrijf. De korte lijnen zorgen ervoor dat er de leverancier goed bereikbaar is wanneer dit nodig is. De geografische ligging van deze bedrijven wordt als gunstig gezien. Respondent (R2, R4, en R6) geven aan dat de aftersales en het support beter en sneller gaan indien het bedrijf goed en snel bereikbaar is.  Indien deze vertrouwen wordt geschaad door het niet nakomen van de gemaakte afspraken of door het onvoldoende bieden van support, dan geven respondenten aan dat zij op zoek gaan naar nieuwe leveranciers. Deze vertrouwensband binnen de opdrachtgever-opdrachtnemer relatie verandert indien het Europese aanbestedingen betreft. De afstand tussen de school en de leverancier is dan relatief groot (R6, R7 en R9). “Je weet niet helemaal wat je aan elkaar hebt, wat je uiteindelijk kan verwachten. Er doen grote partijen mee die hun eigen manier van werken en communiceren hebben” (Buijtendorp, 2017). Uit de afgenomen interviews wordt duidelijk dat geen van de respondenten de voorkeur geeft aan inkoop middels Europese aanbestedingsprocedures. Dit leidt tot verlies aan keuzevrijheid van de scholen. De respondenten erkennen dat de regels die opgesteld zijn voor de Europese aanbestedingen zich te sterk richten op de prijs. Volgens hen komt dit niet ten goede van de inkoop. Vanwege de strenge regels kunnen regionale bedrijven niet mee met de grote bedrijven, zij zien zich genoodzaakt om uit dit deel van de markt te treden. Deze ontwikkelingen dringen de keuzemogelijkheden terug. Respondenten geven aan dat zij hierdoor keuzevrijheid inleveren, wat als ongunstig wordt ervaren. </w:t>
      </w:r>
    </w:p>
    <w:p w14:paraId="4E7E7A6A" w14:textId="77777777" w:rsidR="007E665C" w:rsidRDefault="007E665C" w:rsidP="007E665C">
      <w:pPr>
        <w:pStyle w:val="NoSpacing"/>
        <w:spacing w:line="276" w:lineRule="auto"/>
        <w:rPr>
          <w:noProof/>
        </w:rPr>
      </w:pPr>
      <w:r w:rsidRPr="00E42062">
        <w:rPr>
          <w:noProof/>
        </w:rPr>
        <w:tab/>
        <w:t xml:space="preserve">Het nakomen van gemaakte afspraken, het bieden van ondersteuning en probleemoplossend handelen zijn belangrijke aspecten voor het opbouwen van een goede vertrouwensband. Uit de onderzoeksgegevens blijkt dat er significant meer vertrouwen is in lokale of regionale leveranciers, omdat de communicatielijnen in het algemeen korter zijn. Deze partijen worden als bereik bereikbaar ervaren en vergroten hiermee het vertrouwen. Bij calamiteiten of andere ongewenste situaties worden de problemen sneller opgelost door de lokale leveranciers. Deze vertrouwensband is minder aanwezig indien het Europese aanbestedingen betreft. Dit komt mede omdat de keuzemogelijkheid minder is en omdat zich onbekende partijen aandienen. Daarnaast worden de leveranciers met name op basis van de laagste prijs geselecteerd en minder op basis van de kwaliteit van de levering. Mede hierom hebben de respondenten in dit onderzoek minder voorkeur voor Europese aanbestedingen. </w:t>
      </w:r>
    </w:p>
    <w:p w14:paraId="652B1168" w14:textId="77777777" w:rsidR="007E665C" w:rsidRDefault="007E665C" w:rsidP="007E665C">
      <w:pPr>
        <w:pStyle w:val="NoSpacing"/>
        <w:rPr>
          <w:b/>
          <w:noProof/>
        </w:rPr>
      </w:pPr>
    </w:p>
    <w:p w14:paraId="3AA47EC3" w14:textId="77777777" w:rsidR="00494D11" w:rsidRDefault="00494D11">
      <w:pPr>
        <w:kinsoku/>
        <w:autoSpaceDE/>
        <w:autoSpaceDN/>
        <w:adjustRightInd/>
        <w:spacing w:after="160" w:line="259" w:lineRule="auto"/>
        <w:rPr>
          <w:rFonts w:asciiTheme="minorHAnsi" w:eastAsiaTheme="minorHAnsi" w:hAnsiTheme="minorHAnsi"/>
          <w:b/>
          <w:noProof/>
          <w:color w:val="1F3864" w:themeColor="accent1" w:themeShade="80"/>
          <w:sz w:val="24"/>
        </w:rPr>
      </w:pPr>
      <w:r>
        <w:rPr>
          <w:noProof/>
          <w:color w:val="1F3864" w:themeColor="accent1" w:themeShade="80"/>
        </w:rPr>
        <w:br w:type="page"/>
      </w:r>
    </w:p>
    <w:p w14:paraId="4047BCB1" w14:textId="339D7529" w:rsidR="007E665C" w:rsidRPr="00D46CDC" w:rsidRDefault="007E665C" w:rsidP="008B6DDD">
      <w:pPr>
        <w:pStyle w:val="Heading2"/>
        <w:rPr>
          <w:noProof/>
        </w:rPr>
      </w:pPr>
      <w:bookmarkStart w:id="136" w:name="_Toc517455485"/>
      <w:r w:rsidRPr="003B56D6">
        <w:rPr>
          <w:noProof/>
          <w:color w:val="1F3864" w:themeColor="accent1" w:themeShade="80"/>
        </w:rPr>
        <w:lastRenderedPageBreak/>
        <w:t>Zichtbare patronen in de antwoorden van de 11 respondenten</w:t>
      </w:r>
      <w:bookmarkEnd w:id="136"/>
    </w:p>
    <w:p w14:paraId="1B1E9A16" w14:textId="127B8D2D" w:rsidR="007E665C" w:rsidRPr="00E42062" w:rsidRDefault="007E665C" w:rsidP="00D46CDC">
      <w:pPr>
        <w:pStyle w:val="NoSpacing"/>
        <w:spacing w:line="276" w:lineRule="auto"/>
        <w:rPr>
          <w:noProof/>
        </w:rPr>
      </w:pPr>
      <w:r w:rsidRPr="00E42062">
        <w:rPr>
          <w:noProof/>
        </w:rPr>
        <w:t xml:space="preserve">In de twee voorgaande paragrafen zijn de empirische bevindingen uiteengezet en is er gereflecteerd op de besproken variabelen. Tevens is er gezocht naar algemene zichtbare patroneren in de antwoorden van de 11 respondenten. Deze patronen worden ter verduidelijking schematisch weergegeven in figuur </w:t>
      </w:r>
      <w:r w:rsidR="0052756E">
        <w:rPr>
          <w:noProof/>
        </w:rPr>
        <w:t>8</w:t>
      </w:r>
      <w:r w:rsidRPr="00E42062">
        <w:rPr>
          <w:noProof/>
        </w:rPr>
        <w:t xml:space="preserve">. De meest zichtbare patronen zijn per variabele weergegeven. </w:t>
      </w:r>
    </w:p>
    <w:bookmarkEnd w:id="112"/>
    <w:p w14:paraId="0009F1EC" w14:textId="77777777" w:rsidR="007E665C" w:rsidRPr="00E42062" w:rsidRDefault="007E665C" w:rsidP="007E665C">
      <w:pPr>
        <w:pStyle w:val="NoSpacing"/>
        <w:keepNext/>
        <w:rPr>
          <w:noProof/>
        </w:rPr>
      </w:pPr>
      <w:r w:rsidRPr="00E42062">
        <w:rPr>
          <w:noProof/>
          <w:lang w:eastAsia="nl-NL"/>
        </w:rPr>
        <w:drawing>
          <wp:inline distT="0" distB="0" distL="0" distR="0" wp14:anchorId="3223F9F0" wp14:editId="3DB6B82F">
            <wp:extent cx="6996223" cy="5386897"/>
            <wp:effectExtent l="0" t="0" r="0" b="23495"/>
            <wp:docPr id="8" name="Diagram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 r:lo="rId39" r:qs="rId40" r:cs="rId41"/>
              </a:graphicData>
            </a:graphic>
          </wp:inline>
        </w:drawing>
      </w:r>
    </w:p>
    <w:p w14:paraId="1892997E" w14:textId="7517E1D5" w:rsidR="007E665C" w:rsidRPr="00BD37CE" w:rsidRDefault="007E665C" w:rsidP="00BD37CE">
      <w:pPr>
        <w:pStyle w:val="Caption"/>
      </w:pPr>
      <w:r w:rsidRPr="00BD37CE">
        <w:t>Figuur</w:t>
      </w:r>
      <w:r w:rsidR="008E479A" w:rsidRPr="00BD37CE">
        <w:t xml:space="preserve"> </w:t>
      </w:r>
      <w:r w:rsidR="0052756E">
        <w:t>8</w:t>
      </w:r>
      <w:r w:rsidRPr="00BD37CE">
        <w:t xml:space="preserve">: Schematische weergave van de antwoorden van respondenten op </w:t>
      </w:r>
      <w:r w:rsidR="00BD37CE" w:rsidRPr="00BD37CE">
        <w:t>de gemeten variabelen</w:t>
      </w:r>
    </w:p>
    <w:p w14:paraId="4B173770" w14:textId="77777777" w:rsidR="007E665C" w:rsidRPr="00E42062" w:rsidRDefault="007E665C" w:rsidP="007E665C">
      <w:pPr>
        <w:pStyle w:val="NoSpacing"/>
        <w:rPr>
          <w:noProof/>
        </w:rPr>
      </w:pPr>
      <w:r w:rsidRPr="00E42062">
        <w:rPr>
          <w:noProof/>
        </w:rPr>
        <w:br w:type="page"/>
      </w:r>
    </w:p>
    <w:p w14:paraId="318C3863" w14:textId="77777777" w:rsidR="000A78AA" w:rsidRDefault="000A78AA">
      <w:pPr>
        <w:kinsoku/>
        <w:autoSpaceDE/>
        <w:autoSpaceDN/>
        <w:adjustRightInd/>
        <w:spacing w:after="160" w:line="259" w:lineRule="auto"/>
        <w:rPr>
          <w:noProof/>
        </w:rPr>
        <w:sectPr w:rsidR="000A78AA" w:rsidSect="006018E4">
          <w:pgSz w:w="11906" w:h="16838"/>
          <w:pgMar w:top="720" w:right="720" w:bottom="720" w:left="720" w:header="709" w:footer="709" w:gutter="0"/>
          <w:cols w:space="708"/>
          <w:docGrid w:linePitch="360"/>
        </w:sectPr>
      </w:pPr>
    </w:p>
    <w:p w14:paraId="65BE491D" w14:textId="77777777" w:rsidR="00B70654" w:rsidRDefault="007C2C8C">
      <w:pPr>
        <w:kinsoku/>
        <w:autoSpaceDE/>
        <w:autoSpaceDN/>
        <w:adjustRightInd/>
        <w:spacing w:after="160" w:line="259" w:lineRule="auto"/>
        <w:rPr>
          <w:noProof/>
        </w:rPr>
        <w:sectPr w:rsidR="00B70654" w:rsidSect="00B70654">
          <w:pgSz w:w="11906" w:h="16838"/>
          <w:pgMar w:top="720" w:right="454" w:bottom="720" w:left="454" w:header="709" w:footer="709" w:gutter="0"/>
          <w:cols w:space="708"/>
          <w:docGrid w:linePitch="360"/>
        </w:sectPr>
      </w:pPr>
      <w:r>
        <w:rPr>
          <w:noProof/>
        </w:rPr>
        <w:lastRenderedPageBreak/>
        <w:drawing>
          <wp:inline distT="0" distB="0" distL="0" distR="0" wp14:anchorId="27FD988B" wp14:editId="69CA91AC">
            <wp:extent cx="7040880" cy="3958504"/>
            <wp:effectExtent l="0" t="0" r="7620" b="444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7060507" cy="3969539"/>
                    </a:xfrm>
                    <a:prstGeom prst="roundRect">
                      <a:avLst>
                        <a:gd name="adj" fmla="val 8594"/>
                      </a:avLst>
                    </a:prstGeom>
                    <a:solidFill>
                      <a:srgbClr val="FFFFFF">
                        <a:shade val="85000"/>
                      </a:srgbClr>
                    </a:solidFill>
                    <a:ln>
                      <a:noFill/>
                    </a:ln>
                    <a:effectLst/>
                  </pic:spPr>
                </pic:pic>
              </a:graphicData>
            </a:graphic>
          </wp:inline>
        </w:drawing>
      </w:r>
    </w:p>
    <w:p w14:paraId="54B6A1D1" w14:textId="1B6B811E" w:rsidR="007E665C" w:rsidRPr="00E42062" w:rsidRDefault="007E665C" w:rsidP="00B02295">
      <w:pPr>
        <w:pStyle w:val="Heading1"/>
        <w:rPr>
          <w:noProof/>
          <w:sz w:val="28"/>
        </w:rPr>
      </w:pPr>
      <w:bookmarkStart w:id="137" w:name="_Toc517455486"/>
      <w:r w:rsidRPr="00E42062">
        <w:rPr>
          <w:noProof/>
        </w:rPr>
        <w:lastRenderedPageBreak/>
        <w:t>6. Analyse</w:t>
      </w:r>
      <w:bookmarkEnd w:id="137"/>
      <w:r w:rsidRPr="00E42062">
        <w:rPr>
          <w:noProof/>
        </w:rPr>
        <w:tab/>
      </w:r>
      <w:r w:rsidRPr="00E42062">
        <w:rPr>
          <w:noProof/>
          <w:sz w:val="28"/>
        </w:rPr>
        <w:tab/>
      </w:r>
      <w:r w:rsidRPr="00E42062">
        <w:rPr>
          <w:noProof/>
          <w:sz w:val="28"/>
        </w:rPr>
        <w:tab/>
      </w:r>
      <w:r w:rsidRPr="00E42062">
        <w:rPr>
          <w:noProof/>
          <w:sz w:val="28"/>
        </w:rPr>
        <w:tab/>
      </w:r>
      <w:r w:rsidRPr="00E42062">
        <w:rPr>
          <w:noProof/>
          <w:sz w:val="28"/>
        </w:rPr>
        <w:tab/>
      </w:r>
    </w:p>
    <w:p w14:paraId="7D6AA64A" w14:textId="77777777" w:rsidR="007E665C" w:rsidRPr="00E42062" w:rsidRDefault="007E665C" w:rsidP="007E665C">
      <w:pPr>
        <w:pStyle w:val="NoSpacing"/>
        <w:rPr>
          <w:b/>
          <w:noProof/>
          <w:sz w:val="24"/>
        </w:rPr>
      </w:pPr>
    </w:p>
    <w:p w14:paraId="79D430AE" w14:textId="2C13AD3E" w:rsidR="007E665C" w:rsidRPr="00E42062" w:rsidRDefault="007E665C" w:rsidP="007E665C">
      <w:pPr>
        <w:pStyle w:val="NoSpacing"/>
        <w:spacing w:line="276" w:lineRule="auto"/>
        <w:rPr>
          <w:b/>
          <w:noProof/>
        </w:rPr>
      </w:pPr>
      <w:r w:rsidRPr="00E42062">
        <w:rPr>
          <w:noProof/>
        </w:rPr>
        <w:t>Afhankelijkheid in de opdrachtg</w:t>
      </w:r>
      <w:r>
        <w:rPr>
          <w:noProof/>
        </w:rPr>
        <w:t>ever-opdrachtnemer relatie neemt</w:t>
      </w:r>
      <w:r w:rsidRPr="00E42062">
        <w:rPr>
          <w:noProof/>
        </w:rPr>
        <w:t xml:space="preserve"> in dit empirisch onderzoek een centrale plaats</w:t>
      </w:r>
      <w:r>
        <w:rPr>
          <w:noProof/>
        </w:rPr>
        <w:t xml:space="preserve"> in</w:t>
      </w:r>
      <w:r w:rsidRPr="00E42062">
        <w:rPr>
          <w:noProof/>
        </w:rPr>
        <w:t xml:space="preserve">. Afhankelijkheid ontstaat volgens de theorie voornamelijk door de aanwezige kennisasymmetrie tussen enerzijds de koper en anderzijds de leverancier. De vragen over de mate van afhankelijkheid in het interview zijn gebaseerd op de onderverdeling van Hartley en Parker (1997). Zij geven een drietal factoren weer die van invloed zijn op de mate waarin een inkooporganisatie afhankelijk is van de leverancier, namelijk de (1) beschikbaarheid van informatie en kennis, (2) vertrouwen in de leverancier en (3) de institutionele setting van het openbaar bestuur. </w:t>
      </w:r>
    </w:p>
    <w:p w14:paraId="5C5C794C" w14:textId="77777777" w:rsidR="007E665C" w:rsidRDefault="007E665C" w:rsidP="007E665C">
      <w:pPr>
        <w:pStyle w:val="NoSpacing"/>
        <w:rPr>
          <w:b/>
          <w:noProof/>
        </w:rPr>
      </w:pPr>
    </w:p>
    <w:p w14:paraId="77873850" w14:textId="77777777" w:rsidR="00B02295" w:rsidRPr="00B02295" w:rsidRDefault="00B02295" w:rsidP="00B02295">
      <w:pPr>
        <w:pStyle w:val="ListParagraph"/>
        <w:numPr>
          <w:ilvl w:val="0"/>
          <w:numId w:val="8"/>
        </w:numPr>
        <w:spacing w:after="0" w:line="276" w:lineRule="auto"/>
        <w:contextualSpacing w:val="0"/>
        <w:outlineLvl w:val="1"/>
        <w:rPr>
          <w:rFonts w:asciiTheme="minorHAnsi" w:eastAsiaTheme="minorHAnsi" w:hAnsiTheme="minorHAnsi"/>
          <w:b/>
          <w:noProof/>
          <w:vanish/>
          <w:sz w:val="24"/>
        </w:rPr>
      </w:pPr>
      <w:bookmarkStart w:id="138" w:name="_Toc516315376"/>
      <w:bookmarkStart w:id="139" w:name="_Toc517357637"/>
      <w:bookmarkStart w:id="140" w:name="_Toc517360483"/>
      <w:bookmarkStart w:id="141" w:name="_Toc517360549"/>
      <w:bookmarkStart w:id="142" w:name="_Toc517450752"/>
      <w:bookmarkStart w:id="143" w:name="_Toc517450827"/>
      <w:bookmarkStart w:id="144" w:name="_Toc517451022"/>
      <w:bookmarkStart w:id="145" w:name="_Toc517451096"/>
      <w:bookmarkStart w:id="146" w:name="_Toc517451170"/>
      <w:bookmarkStart w:id="147" w:name="_Toc517455487"/>
      <w:bookmarkEnd w:id="138"/>
      <w:bookmarkEnd w:id="139"/>
      <w:bookmarkEnd w:id="140"/>
      <w:bookmarkEnd w:id="141"/>
      <w:bookmarkEnd w:id="142"/>
      <w:bookmarkEnd w:id="143"/>
      <w:bookmarkEnd w:id="144"/>
      <w:bookmarkEnd w:id="145"/>
      <w:bookmarkEnd w:id="146"/>
      <w:bookmarkEnd w:id="147"/>
    </w:p>
    <w:p w14:paraId="62A63CA3" w14:textId="0A9929C6" w:rsidR="007E665C" w:rsidRPr="00CA1607" w:rsidRDefault="00D35A3A" w:rsidP="00B02295">
      <w:pPr>
        <w:pStyle w:val="Heading2"/>
        <w:rPr>
          <w:noProof/>
        </w:rPr>
      </w:pPr>
      <w:bookmarkStart w:id="148" w:name="_Toc517455488"/>
      <w:r w:rsidRPr="00C24C65">
        <w:rPr>
          <w:noProof/>
          <w:color w:val="1F3864" w:themeColor="accent1" w:themeShade="80"/>
        </w:rPr>
        <w:t>Variabele ‘</w:t>
      </w:r>
      <w:r w:rsidR="007E665C" w:rsidRPr="00C24C65">
        <w:rPr>
          <w:noProof/>
          <w:color w:val="1F3864" w:themeColor="accent1" w:themeShade="80"/>
        </w:rPr>
        <w:t>beschikbaarheid van informatie en kennis</w:t>
      </w:r>
      <w:r w:rsidRPr="00C24C65">
        <w:rPr>
          <w:noProof/>
          <w:color w:val="1F3864" w:themeColor="accent1" w:themeShade="80"/>
        </w:rPr>
        <w:t>’</w:t>
      </w:r>
      <w:bookmarkEnd w:id="148"/>
    </w:p>
    <w:p w14:paraId="1E7125DD" w14:textId="77777777" w:rsidR="007E665C" w:rsidRPr="00E42062" w:rsidRDefault="007E665C" w:rsidP="007E665C">
      <w:pPr>
        <w:pStyle w:val="NoSpacing"/>
        <w:rPr>
          <w:noProof/>
        </w:rPr>
      </w:pPr>
    </w:p>
    <w:p w14:paraId="75C6514B" w14:textId="77D6A942" w:rsidR="007E665C" w:rsidRPr="00190722" w:rsidRDefault="00FC3371" w:rsidP="00FC3371">
      <w:pPr>
        <w:pStyle w:val="Heading3"/>
        <w:rPr>
          <w:noProof/>
          <w:highlight w:val="yellow"/>
        </w:rPr>
      </w:pPr>
      <w:bookmarkStart w:id="149" w:name="_Toc517455489"/>
      <w:r w:rsidRPr="00FC3371">
        <w:rPr>
          <w:noProof/>
          <w:color w:val="1F3864" w:themeColor="accent1" w:themeShade="80"/>
        </w:rPr>
        <w:t xml:space="preserve">6.1.1 </w:t>
      </w:r>
      <w:r w:rsidR="007E665C" w:rsidRPr="00FC3371">
        <w:rPr>
          <w:noProof/>
          <w:color w:val="1F3864" w:themeColor="accent1" w:themeShade="80"/>
        </w:rPr>
        <w:t>De bevindingen uit de empirie</w:t>
      </w:r>
      <w:bookmarkEnd w:id="149"/>
    </w:p>
    <w:p w14:paraId="5429AB6C" w14:textId="286E2F45" w:rsidR="007E665C" w:rsidRPr="00E42062" w:rsidRDefault="007E665C" w:rsidP="007E665C">
      <w:pPr>
        <w:pStyle w:val="NoSpacing"/>
        <w:spacing w:line="276" w:lineRule="auto"/>
        <w:rPr>
          <w:noProof/>
        </w:rPr>
      </w:pPr>
      <w:r w:rsidRPr="00E42062">
        <w:rPr>
          <w:noProof/>
        </w:rPr>
        <w:t>Respondenten</w:t>
      </w:r>
      <w:r w:rsidR="00FC3371">
        <w:rPr>
          <w:noProof/>
        </w:rPr>
        <w:t xml:space="preserve"> </w:t>
      </w:r>
      <w:r w:rsidRPr="00E42062">
        <w:rPr>
          <w:noProof/>
        </w:rPr>
        <w:t xml:space="preserve">geven aan dat de ervaren informatieasymmetrie in de praktijk beperkt is. Er wordt erkend dat de specialistische kennis bij de leverancier ligt. Geconcludeerd kan worden dat alle respondenten aangeven de benodigde kennis en expertise bezitten voor een sterke onderhandelingspositie. Deze stelling wordt onderbouwd door te verwijzen naar de eigen achtergrond en ervaringen uit de eerdere aanbestedingen. In de interviews wordt door alle respondenten aangegeven dat zij vinden dat zij voldoende mate </w:t>
      </w:r>
      <w:r w:rsidR="00CA3900">
        <w:rPr>
          <w:noProof/>
        </w:rPr>
        <w:t xml:space="preserve">van </w:t>
      </w:r>
      <w:r w:rsidRPr="00E42062">
        <w:rPr>
          <w:noProof/>
        </w:rPr>
        <w:t xml:space="preserve">kennis hebben van producten die zij inkopen. Een aantal respondenten is van mening dat de kennis die zij bezitten evenredig is aan de kennis van de leverancier. “Globaal is de kennisverhouding in balans, op specificatieniveau weet de leverancier meer dan wij” (Zwan, 2017). Respondenten hebben deze kennis opgebouwd door hun achtergrond of eerdere ervaringen met soortgelijke diensten. Deze ervaring komt voort uit in gesprek gaan met leveranciers en het volgen van verschillende cursussen. Maar het merendeel van de respondenten heeft een technische achtergrond of heeft zich gespecialiseerd in de digitalisering. In dit onderzoek gaat het om in totaal zes van de 11 respondenten. Dit komt met name ten goede bij aankoop van ICT en digitale leermiddelen. Respondent R2 geeft aan: “Ik heb een technische achtergrond, ik ben voorheen systeembeheerder geweest. Ik beschik over algemene kennis, voor diepgaande kennis moet ik wel uitwijken naar een specialist” (Martens, 2017). Deze achtergrond stelt de inkopers in de gelegenheid om kritische vragen te stellen, prestatieafspraken te maken en de koopvraag duidelijk te omvatten binnen een SLA of een koopovereenkomst. </w:t>
      </w:r>
    </w:p>
    <w:p w14:paraId="5DA22DC4" w14:textId="77777777" w:rsidR="007E665C" w:rsidRPr="00E42062" w:rsidRDefault="007E665C" w:rsidP="007E665C">
      <w:pPr>
        <w:pStyle w:val="NoSpacing"/>
        <w:spacing w:line="276" w:lineRule="auto"/>
        <w:rPr>
          <w:noProof/>
        </w:rPr>
      </w:pPr>
      <w:r w:rsidRPr="00E42062">
        <w:rPr>
          <w:noProof/>
        </w:rPr>
        <w:tab/>
      </w:r>
      <w:r>
        <w:rPr>
          <w:noProof/>
        </w:rPr>
        <w:t>Respondeten</w:t>
      </w:r>
      <w:r w:rsidRPr="00E42062">
        <w:rPr>
          <w:noProof/>
        </w:rPr>
        <w:t xml:space="preserve"> R1, R3, R8, en R9 </w:t>
      </w:r>
      <w:r>
        <w:rPr>
          <w:noProof/>
        </w:rPr>
        <w:t xml:space="preserve">bundelen hun kennis en specialismen </w:t>
      </w:r>
      <w:r w:rsidRPr="00E42062">
        <w:rPr>
          <w:noProof/>
        </w:rPr>
        <w:t xml:space="preserve">in </w:t>
      </w:r>
      <w:r>
        <w:rPr>
          <w:noProof/>
        </w:rPr>
        <w:t>kern</w:t>
      </w:r>
      <w:r w:rsidRPr="00E42062">
        <w:rPr>
          <w:noProof/>
        </w:rPr>
        <w:t>teams bij het inkopen van complexe producten, zoals de ICT. Volgens respondenten R1, R5, R6 en R11 heeft een eventuele kennisasymmetrie geen invloed op de prijs-kwaliteit verhouding. Bij inkoop van specialistische producten, zoals digitale leermiddelen en ondersteunde ICT is de afhankelijkheid van de scholen relatief groot. Echter, uit de interviews blijkt dat de scholen wel in staat zijn om bij slechte prestaties van leverancier te veranderen. Dit wordt met name overwogen wanneer het vertrouwen en de relatie geschaad wordt.</w:t>
      </w:r>
    </w:p>
    <w:p w14:paraId="31C2A8BF" w14:textId="0B1776C9" w:rsidR="007E665C" w:rsidRPr="00E42062" w:rsidRDefault="007E665C" w:rsidP="007E665C">
      <w:pPr>
        <w:pStyle w:val="NoSpacing"/>
        <w:spacing w:line="276" w:lineRule="auto"/>
        <w:rPr>
          <w:noProof/>
        </w:rPr>
      </w:pPr>
      <w:r w:rsidRPr="00E42062">
        <w:rPr>
          <w:noProof/>
        </w:rPr>
        <w:tab/>
        <w:t xml:space="preserve">Bij de inkoop van ICT wordt er door de meerderheid van de respondenten onderscheid gemaakt tussen materialen voor de korte termijn en diensten </w:t>
      </w:r>
      <w:r>
        <w:rPr>
          <w:noProof/>
        </w:rPr>
        <w:t>en producten die langere tijd</w:t>
      </w:r>
      <w:r w:rsidRPr="00E42062">
        <w:rPr>
          <w:noProof/>
        </w:rPr>
        <w:t xml:space="preserve"> meegaan. “Je verwacht bij een apparaat dat maatgerichter is meer service” (Knol, 2017). Bij de aanschaf van laptops, tablets en computerschermen is de prijs doorslaggevend, terwijl bij aanschaf van leermiddelen en programma’s nadrukkelijker op de servicegerichtheid van de leverancier wordt gel</w:t>
      </w:r>
      <w:r w:rsidR="000B47A7">
        <w:rPr>
          <w:noProof/>
        </w:rPr>
        <w:t>et</w:t>
      </w:r>
      <w:r w:rsidR="00CA3900">
        <w:rPr>
          <w:noProof/>
        </w:rPr>
        <w:t>.</w:t>
      </w:r>
      <w:r w:rsidRPr="00E42062">
        <w:rPr>
          <w:noProof/>
        </w:rPr>
        <w:t xml:space="preserve"> Dit is een essentieel verschil in de opdrachtgever-opdrachtnemer</w:t>
      </w:r>
      <w:r>
        <w:rPr>
          <w:noProof/>
        </w:rPr>
        <w:t xml:space="preserve"> relatie</w:t>
      </w:r>
      <w:r w:rsidRPr="00E42062">
        <w:rPr>
          <w:noProof/>
        </w:rPr>
        <w:t>.</w:t>
      </w:r>
      <w:r>
        <w:rPr>
          <w:noProof/>
        </w:rPr>
        <w:t xml:space="preserve"> Echter wordt er door de responten geen expliciet onderscheid gemaakt tussen aankoop van ICT en ander materiaal.</w:t>
      </w:r>
      <w:r w:rsidRPr="00E42062">
        <w:rPr>
          <w:noProof/>
        </w:rPr>
        <w:t xml:space="preserve"> </w:t>
      </w:r>
      <w:r>
        <w:rPr>
          <w:noProof/>
        </w:rPr>
        <w:t>In het geval van (verbruiks) materialen met een korte levensduur, geven de respondeten aan genoeg kennis in huis te hebben om tot de beste keuze te komen. Hierin lijkt de</w:t>
      </w:r>
      <w:r w:rsidRPr="00E42062">
        <w:rPr>
          <w:noProof/>
        </w:rPr>
        <w:t xml:space="preserve"> afhankelijkheid van de respon</w:t>
      </w:r>
      <w:r>
        <w:rPr>
          <w:noProof/>
        </w:rPr>
        <w:t>denten jegens de leverancier klein te zijn.</w:t>
      </w:r>
      <w:r w:rsidRPr="00E42062">
        <w:rPr>
          <w:noProof/>
        </w:rPr>
        <w:t xml:space="preserve"> Dit wijk</w:t>
      </w:r>
      <w:r>
        <w:rPr>
          <w:noProof/>
        </w:rPr>
        <w:t>t af van producten en diensten voor de lange termijn, zoals</w:t>
      </w:r>
      <w:r w:rsidRPr="00E42062">
        <w:rPr>
          <w:noProof/>
        </w:rPr>
        <w:t xml:space="preserve"> </w:t>
      </w:r>
      <w:r>
        <w:rPr>
          <w:noProof/>
        </w:rPr>
        <w:t>ICT-</w:t>
      </w:r>
      <w:r w:rsidRPr="00E42062">
        <w:rPr>
          <w:noProof/>
        </w:rPr>
        <w:t>infrastructuur of netwerke</w:t>
      </w:r>
      <w:r>
        <w:rPr>
          <w:noProof/>
        </w:rPr>
        <w:t>n. Doorgaans vergt aankoop hiervan specialistische kennis</w:t>
      </w:r>
      <w:r w:rsidRPr="00E42062">
        <w:rPr>
          <w:noProof/>
        </w:rPr>
        <w:t xml:space="preserve">. </w:t>
      </w:r>
      <w:r>
        <w:rPr>
          <w:noProof/>
        </w:rPr>
        <w:t xml:space="preserve">De afhankelijkheidskwestie is hierbij in potentie groot. Binnen de onderzochte scholen is er behoefte aan ondersteuning en service ná de levering. </w:t>
      </w:r>
      <w:r w:rsidRPr="00E42062">
        <w:rPr>
          <w:noProof/>
        </w:rPr>
        <w:t xml:space="preserve"> </w:t>
      </w:r>
    </w:p>
    <w:p w14:paraId="13D07A7C" w14:textId="77777777" w:rsidR="007E665C" w:rsidRPr="00E42062" w:rsidRDefault="007E665C" w:rsidP="007E665C">
      <w:pPr>
        <w:pStyle w:val="NoSpacing"/>
        <w:spacing w:line="276" w:lineRule="auto"/>
        <w:rPr>
          <w:noProof/>
        </w:rPr>
      </w:pPr>
      <w:r w:rsidRPr="00E42062">
        <w:rPr>
          <w:noProof/>
        </w:rPr>
        <w:lastRenderedPageBreak/>
        <w:tab/>
      </w:r>
      <w:r>
        <w:rPr>
          <w:noProof/>
        </w:rPr>
        <w:t>Het is opvallend de noemen dat b</w:t>
      </w:r>
      <w:r w:rsidRPr="00E42062">
        <w:rPr>
          <w:noProof/>
        </w:rPr>
        <w:t>ij de inkoop van leermiddelen, zoals complete lesprogramma’s,</w:t>
      </w:r>
      <w:r>
        <w:rPr>
          <w:noProof/>
        </w:rPr>
        <w:t xml:space="preserve"> </w:t>
      </w:r>
      <w:r w:rsidRPr="00E42062">
        <w:rPr>
          <w:noProof/>
        </w:rPr>
        <w:t xml:space="preserve">een leeuwendeel (R2, R4 t/m R8, R10) van de respondenten van overtuigd </w:t>
      </w:r>
      <w:r>
        <w:rPr>
          <w:noProof/>
        </w:rPr>
        <w:t xml:space="preserve">is </w:t>
      </w:r>
      <w:r w:rsidRPr="00E42062">
        <w:rPr>
          <w:noProof/>
        </w:rPr>
        <w:t>dat zij rationele keuzes kunnen maken op basis van kennis en ervaring die zij</w:t>
      </w:r>
      <w:r>
        <w:rPr>
          <w:noProof/>
        </w:rPr>
        <w:t xml:space="preserve"> in huis</w:t>
      </w:r>
      <w:r w:rsidRPr="00E42062">
        <w:rPr>
          <w:noProof/>
        </w:rPr>
        <w:t xml:space="preserve"> hebben. Hierin zien zij zich dan ook als een partner voor de leverancier: “…samen worden er beslissingen genomen waar we als school ook daadwerkelijk iets aan hebben” (Tayeb, 2017). </w:t>
      </w:r>
    </w:p>
    <w:p w14:paraId="3FF7AB62" w14:textId="36B62710" w:rsidR="007E665C" w:rsidRPr="00E42062" w:rsidRDefault="007E665C" w:rsidP="007E665C">
      <w:pPr>
        <w:pStyle w:val="NoSpacing"/>
        <w:spacing w:line="276" w:lineRule="auto"/>
        <w:rPr>
          <w:b/>
          <w:i/>
          <w:noProof/>
        </w:rPr>
      </w:pPr>
      <w:r w:rsidRPr="00E42062">
        <w:rPr>
          <w:noProof/>
        </w:rPr>
        <w:t>Ondanks dat de</w:t>
      </w:r>
      <w:r>
        <w:rPr>
          <w:noProof/>
        </w:rPr>
        <w:t xml:space="preserve"> specialistische kennis doorgaans enkel bij</w:t>
      </w:r>
      <w:r w:rsidRPr="00E42062">
        <w:rPr>
          <w:noProof/>
        </w:rPr>
        <w:t xml:space="preserve"> </w:t>
      </w:r>
      <w:r w:rsidR="00CA3900">
        <w:rPr>
          <w:noProof/>
        </w:rPr>
        <w:t xml:space="preserve">de </w:t>
      </w:r>
      <w:r w:rsidRPr="00E42062">
        <w:rPr>
          <w:noProof/>
        </w:rPr>
        <w:t>leverancier</w:t>
      </w:r>
      <w:r>
        <w:rPr>
          <w:noProof/>
        </w:rPr>
        <w:t xml:space="preserve"> ligt, zijn de respondeten in het onderzoek van overtuigd dat zij tot gunstige voorwaarden kunnen komen. </w:t>
      </w:r>
    </w:p>
    <w:p w14:paraId="1B769B41" w14:textId="77777777" w:rsidR="007E665C" w:rsidRPr="00E42062" w:rsidRDefault="007E665C" w:rsidP="007E665C">
      <w:pPr>
        <w:pStyle w:val="NoSpacing"/>
        <w:rPr>
          <w:b/>
          <w:i/>
          <w:noProof/>
        </w:rPr>
      </w:pPr>
    </w:p>
    <w:p w14:paraId="302EDF7C" w14:textId="015C84C4" w:rsidR="007E665C" w:rsidRPr="00E42062" w:rsidRDefault="00FC3371" w:rsidP="00FC3371">
      <w:pPr>
        <w:pStyle w:val="Heading3"/>
        <w:rPr>
          <w:noProof/>
        </w:rPr>
      </w:pPr>
      <w:bookmarkStart w:id="150" w:name="_Toc517455490"/>
      <w:r>
        <w:rPr>
          <w:noProof/>
          <w:color w:val="1F3864" w:themeColor="accent1" w:themeShade="80"/>
        </w:rPr>
        <w:t xml:space="preserve">6.1.2 </w:t>
      </w:r>
      <w:r w:rsidR="007E665C" w:rsidRPr="00FC3371">
        <w:rPr>
          <w:noProof/>
          <w:color w:val="1F3864" w:themeColor="accent1" w:themeShade="80"/>
        </w:rPr>
        <w:t>Toetsing van de empirie aan de theoretische verwachting</w:t>
      </w:r>
      <w:bookmarkEnd w:id="150"/>
    </w:p>
    <w:p w14:paraId="11406DD8" w14:textId="13255C8E" w:rsidR="007E665C" w:rsidRPr="00E42062" w:rsidRDefault="007E665C" w:rsidP="007E665C">
      <w:pPr>
        <w:pStyle w:val="NoSpacing"/>
        <w:spacing w:line="276" w:lineRule="auto"/>
        <w:rPr>
          <w:noProof/>
        </w:rPr>
      </w:pPr>
      <w:r>
        <w:rPr>
          <w:noProof/>
        </w:rPr>
        <w:t>De theoretische verwachting is dat kennis en expertise de mate meet</w:t>
      </w:r>
      <w:r w:rsidRPr="00E42062">
        <w:rPr>
          <w:noProof/>
        </w:rPr>
        <w:t xml:space="preserve"> waarop de inkooporganisatie informatie heeft over de kosten van de leverancier en de prijs kan berekenen waarop onder bepaalde omstandigheden winst kan worden behaald. Om strategische redenen kunnen de actoren hun ambities en belangrijke informatie verborgen houden (Edelenbos &amp; Klijn, 2007). Het is dus voor de leverancier aantrekkelijk om de koper niet van accurate informatie te voorzien over de efficiëntie van de producten. Hierdoor kan de leverancier de kosten hoger doen lijken dan in werkelijk het geval is. In praktijk blijk echter dat de inkopers voldoende kennis beschikken om een inschatting te maken van de kosten voor een bepaalde dienst. Dit gebeurt door offertes aan te vragen bij meerdere leveranciers en zich te laten inlichten door de markt. Indien de aangeboden kosten hoger uitvallen, dan zullen de inkopers zich wenden tot andere leveranciers. Indien de leverancier de kosten hoger doet blijken dan in werkelijkheid </w:t>
      </w:r>
      <w:r w:rsidR="00CA3900">
        <w:rPr>
          <w:noProof/>
        </w:rPr>
        <w:t>het geval is</w:t>
      </w:r>
      <w:r w:rsidRPr="00E42062">
        <w:rPr>
          <w:noProof/>
        </w:rPr>
        <w:t xml:space="preserve">, en de inkoper merkt dit op, dan is het vertrouwen geschaad. Bijna alle respondenten geven aan dat indien het vertrouwen eenmaal geschaad is, de respondenten op zoek gaan naar een andere leverancier. Tevens geven de respondenten aan dat zij de overstapkosten naar een andere leverancier niet als een belemmering zien. </w:t>
      </w:r>
    </w:p>
    <w:p w14:paraId="6FC2AA1E" w14:textId="131EA35D" w:rsidR="007E665C" w:rsidRPr="00E42062" w:rsidRDefault="007E665C" w:rsidP="007E665C">
      <w:pPr>
        <w:pStyle w:val="NoSpacing"/>
        <w:spacing w:line="276" w:lineRule="auto"/>
        <w:ind w:firstLine="720"/>
        <w:rPr>
          <w:rFonts w:cstheme="minorHAnsi"/>
          <w:noProof/>
        </w:rPr>
      </w:pPr>
      <w:r>
        <w:rPr>
          <w:noProof/>
        </w:rPr>
        <w:t>De theorie stelt verder dat k</w:t>
      </w:r>
      <w:r w:rsidRPr="00E42062">
        <w:rPr>
          <w:rFonts w:cstheme="minorHAnsi"/>
          <w:noProof/>
        </w:rPr>
        <w:t>ennisachterstand en</w:t>
      </w:r>
      <w:r>
        <w:rPr>
          <w:rFonts w:cstheme="minorHAnsi"/>
          <w:noProof/>
        </w:rPr>
        <w:t xml:space="preserve"> onzekerheid bij de inkoper </w:t>
      </w:r>
      <w:r w:rsidRPr="00E42062">
        <w:rPr>
          <w:rFonts w:cstheme="minorHAnsi"/>
          <w:noProof/>
        </w:rPr>
        <w:t xml:space="preserve">er tevens voor </w:t>
      </w:r>
      <w:r>
        <w:rPr>
          <w:rFonts w:cstheme="minorHAnsi"/>
          <w:noProof/>
        </w:rPr>
        <w:t xml:space="preserve">zorgen </w:t>
      </w:r>
      <w:r w:rsidRPr="00E42062">
        <w:rPr>
          <w:rFonts w:cstheme="minorHAnsi"/>
          <w:noProof/>
        </w:rPr>
        <w:t>dat er geen volledige rationale beslissingen genomen kunnen worden vanwege de begrensde rationaliteit bij de opdrachtgever (Reeves, 2008</w:t>
      </w:r>
      <w:r>
        <w:rPr>
          <w:rFonts w:cstheme="minorHAnsi"/>
          <w:noProof/>
        </w:rPr>
        <w:t>; Simon, 19</w:t>
      </w:r>
      <w:r w:rsidR="00CA3900">
        <w:rPr>
          <w:rFonts w:cstheme="minorHAnsi"/>
          <w:noProof/>
        </w:rPr>
        <w:t>5</w:t>
      </w:r>
      <w:r>
        <w:rPr>
          <w:rFonts w:cstheme="minorHAnsi"/>
          <w:noProof/>
        </w:rPr>
        <w:t>5</w:t>
      </w:r>
      <w:r w:rsidRPr="00E42062">
        <w:rPr>
          <w:rFonts w:cstheme="minorHAnsi"/>
          <w:noProof/>
        </w:rPr>
        <w:t xml:space="preserve">). </w:t>
      </w:r>
      <w:r>
        <w:rPr>
          <w:rFonts w:cstheme="minorHAnsi"/>
          <w:noProof/>
        </w:rPr>
        <w:t>Hier lijkt inderdaad sprake van</w:t>
      </w:r>
      <w:r w:rsidR="00D02778">
        <w:rPr>
          <w:rFonts w:cstheme="minorHAnsi"/>
          <w:noProof/>
        </w:rPr>
        <w:t xml:space="preserve">. </w:t>
      </w:r>
      <w:r w:rsidRPr="00E42062">
        <w:rPr>
          <w:rFonts w:cstheme="minorHAnsi"/>
          <w:noProof/>
        </w:rPr>
        <w:t xml:space="preserve">Het pleidooi van Tribe (1949) voor een vergelijking van de alternatieven op basis van hun efficiëntie is </w:t>
      </w:r>
      <w:r>
        <w:rPr>
          <w:rFonts w:cstheme="minorHAnsi"/>
          <w:noProof/>
        </w:rPr>
        <w:t xml:space="preserve">tevens niet mogelijk </w:t>
      </w:r>
      <w:r w:rsidRPr="00E42062">
        <w:rPr>
          <w:rFonts w:cstheme="minorHAnsi"/>
          <w:noProof/>
        </w:rPr>
        <w:t xml:space="preserve">in de praktijk. In een ideale rationele proces zou de inkoper over alle informatie beschikken en zodoende bij de meest gunstige leverancier uitkomen. </w:t>
      </w:r>
      <w:r>
        <w:rPr>
          <w:rFonts w:cstheme="minorHAnsi"/>
          <w:noProof/>
        </w:rPr>
        <w:t>Echter geven de r</w:t>
      </w:r>
      <w:r w:rsidRPr="00E42062">
        <w:rPr>
          <w:rFonts w:cstheme="minorHAnsi"/>
          <w:noProof/>
        </w:rPr>
        <w:t>esp</w:t>
      </w:r>
      <w:r>
        <w:rPr>
          <w:rFonts w:cstheme="minorHAnsi"/>
          <w:noProof/>
        </w:rPr>
        <w:t xml:space="preserve">ondenten in het onderzoek aan </w:t>
      </w:r>
      <w:r w:rsidRPr="00E42062">
        <w:rPr>
          <w:rFonts w:cstheme="minorHAnsi"/>
          <w:noProof/>
        </w:rPr>
        <w:t>over voldoende kennis en in</w:t>
      </w:r>
      <w:r>
        <w:rPr>
          <w:rFonts w:cstheme="minorHAnsi"/>
          <w:noProof/>
        </w:rPr>
        <w:t xml:space="preserve">formatie beschikken voor </w:t>
      </w:r>
      <w:r w:rsidRPr="0067137F">
        <w:rPr>
          <w:rFonts w:cstheme="minorHAnsi"/>
          <w:noProof/>
        </w:rPr>
        <w:t xml:space="preserve">efficiënte </w:t>
      </w:r>
      <w:r w:rsidRPr="00E42062">
        <w:rPr>
          <w:rFonts w:cstheme="minorHAnsi"/>
          <w:noProof/>
        </w:rPr>
        <w:t>beslissing</w:t>
      </w:r>
      <w:r>
        <w:rPr>
          <w:rFonts w:cstheme="minorHAnsi"/>
          <w:noProof/>
        </w:rPr>
        <w:t>en</w:t>
      </w:r>
      <w:r w:rsidRPr="00E42062">
        <w:rPr>
          <w:rFonts w:cstheme="minorHAnsi"/>
          <w:noProof/>
        </w:rPr>
        <w:t xml:space="preserve">. </w:t>
      </w:r>
      <w:r>
        <w:rPr>
          <w:rFonts w:cstheme="minorHAnsi"/>
          <w:noProof/>
        </w:rPr>
        <w:t xml:space="preserve">Een uitzondering hierop zijn </w:t>
      </w:r>
      <w:r w:rsidRPr="00E42062">
        <w:rPr>
          <w:rFonts w:cstheme="minorHAnsi"/>
          <w:noProof/>
        </w:rPr>
        <w:t>respondenten (R3 t/m R5, R7 t/m R1)</w:t>
      </w:r>
      <w:r>
        <w:rPr>
          <w:rFonts w:cstheme="minorHAnsi"/>
          <w:noProof/>
        </w:rPr>
        <w:t xml:space="preserve">, die aangeven </w:t>
      </w:r>
      <w:r w:rsidRPr="00E42062">
        <w:rPr>
          <w:rFonts w:cstheme="minorHAnsi"/>
          <w:noProof/>
        </w:rPr>
        <w:t>dat de diepgaande en specialistische</w:t>
      </w:r>
      <w:r>
        <w:rPr>
          <w:rFonts w:cstheme="minorHAnsi"/>
          <w:noProof/>
        </w:rPr>
        <w:t xml:space="preserve"> kennis bij de leverancier ligt. Dit beperkt hen in het nemen van</w:t>
      </w:r>
      <w:r w:rsidRPr="00E42062">
        <w:rPr>
          <w:rFonts w:cstheme="minorHAnsi"/>
          <w:noProof/>
        </w:rPr>
        <w:t xml:space="preserve"> zuiver rationele b</w:t>
      </w:r>
      <w:r>
        <w:rPr>
          <w:rFonts w:cstheme="minorHAnsi"/>
          <w:noProof/>
        </w:rPr>
        <w:t>eslissing</w:t>
      </w:r>
      <w:r w:rsidRPr="00E42062">
        <w:rPr>
          <w:rFonts w:cstheme="minorHAnsi"/>
          <w:noProof/>
        </w:rPr>
        <w:t xml:space="preserve">. </w:t>
      </w:r>
    </w:p>
    <w:p w14:paraId="1A053903" w14:textId="0BD2223A" w:rsidR="007E665C" w:rsidRPr="00E42062" w:rsidRDefault="007E665C" w:rsidP="007E665C">
      <w:pPr>
        <w:pStyle w:val="NoSpacing"/>
        <w:spacing w:line="276" w:lineRule="auto"/>
        <w:rPr>
          <w:noProof/>
        </w:rPr>
      </w:pPr>
      <w:r w:rsidRPr="00E42062">
        <w:rPr>
          <w:noProof/>
        </w:rPr>
        <w:tab/>
      </w:r>
      <w:r>
        <w:rPr>
          <w:noProof/>
        </w:rPr>
        <w:t xml:space="preserve">De theorie biedt ook uitkomst. </w:t>
      </w:r>
      <w:r w:rsidRPr="00E42062">
        <w:rPr>
          <w:rFonts w:cstheme="minorHAnsi"/>
          <w:noProof/>
          <w:color w:val="000000" w:themeColor="text1"/>
        </w:rPr>
        <w:t xml:space="preserve">De opdrachtgever kan volgens Waterman &amp; Meijer (1998) naleving van de contractuele afspraken waarborgen door controlemechanismen in te zetten. De opdrachtgever kan de leverancier monitoren via verschillende controlemechanismen, zoals audits, prestatiemetingen of periodieke rapportages (Van Slyke, 2006; Davis </w:t>
      </w:r>
      <w:r>
        <w:rPr>
          <w:rFonts w:cstheme="minorHAnsi"/>
          <w:noProof/>
          <w:color w:val="000000" w:themeColor="text1"/>
        </w:rPr>
        <w:t xml:space="preserve">et </w:t>
      </w:r>
      <w:r w:rsidR="000B47A7">
        <w:rPr>
          <w:rFonts w:cstheme="minorHAnsi"/>
          <w:noProof/>
          <w:color w:val="000000" w:themeColor="text1"/>
        </w:rPr>
        <w:t>al.</w:t>
      </w:r>
      <w:r>
        <w:rPr>
          <w:rFonts w:cstheme="minorHAnsi"/>
          <w:noProof/>
          <w:color w:val="000000" w:themeColor="text1"/>
        </w:rPr>
        <w:t xml:space="preserve"> 1997). In de empirie worden deze mechanismen niet waargenomen. </w:t>
      </w:r>
      <w:r w:rsidRPr="00E42062">
        <w:rPr>
          <w:rFonts w:cstheme="minorHAnsi"/>
          <w:noProof/>
          <w:color w:val="000000" w:themeColor="text1"/>
        </w:rPr>
        <w:t>Behalve SLA’s hebben de scholen geen andere controlemechanismen. Er is geen sprake van audits en eindevaluaties. De meeste respondenten geven aan dat zij mondelinge afspraken maken over de levering en de kwaliteit van het product. Wanneer zij van mening zijn dat hier niet aan voldaan wordt, doen zij een beroep op de leverancier. Echter blijft het onduidelijk op welke wijze en in welke frequentie de prestatie van de leverancier gecontroleerd wordt. Er vinden namelijk ad hoc evaluaties plaats. Deze evaluaties zijn niet vastgelegd in de overeenkomst. Dit aspect is niet gedocumenteerd en dus niet te verifiëren.</w:t>
      </w:r>
      <w:r>
        <w:rPr>
          <w:rFonts w:cstheme="minorHAnsi"/>
          <w:noProof/>
          <w:color w:val="000000" w:themeColor="text1"/>
        </w:rPr>
        <w:t xml:space="preserve"> </w:t>
      </w:r>
      <w:r w:rsidRPr="00E42062">
        <w:rPr>
          <w:rFonts w:cstheme="minorHAnsi"/>
          <w:noProof/>
          <w:color w:val="000000" w:themeColor="text1"/>
        </w:rPr>
        <w:t xml:space="preserve">    </w:t>
      </w:r>
    </w:p>
    <w:p w14:paraId="5568E229" w14:textId="4540F07E" w:rsidR="007E665C" w:rsidRPr="00F41831" w:rsidRDefault="007E665C" w:rsidP="007E665C">
      <w:pPr>
        <w:pStyle w:val="NoSpacing"/>
        <w:spacing w:line="276" w:lineRule="auto"/>
        <w:rPr>
          <w:rFonts w:cstheme="minorHAnsi"/>
          <w:noProof/>
        </w:rPr>
      </w:pPr>
      <w:r w:rsidRPr="00E42062">
        <w:rPr>
          <w:noProof/>
        </w:rPr>
        <w:tab/>
      </w:r>
      <w:r>
        <w:rPr>
          <w:rFonts w:cstheme="minorHAnsi"/>
          <w:noProof/>
        </w:rPr>
        <w:t>Naast de kennisasymmetrie</w:t>
      </w:r>
      <w:r w:rsidRPr="00E42062">
        <w:rPr>
          <w:rFonts w:cstheme="minorHAnsi"/>
          <w:noProof/>
        </w:rPr>
        <w:t xml:space="preserve"> speelt de beschikbaarheid van alternatieve leveranciers een belangrijke rol in de mate waarin een school afhankelijk is van de opdrachtnemer. </w:t>
      </w:r>
      <w:r>
        <w:rPr>
          <w:rFonts w:cstheme="minorHAnsi"/>
          <w:noProof/>
        </w:rPr>
        <w:t>De theoretische verwachting is dat i</w:t>
      </w:r>
      <w:r w:rsidRPr="00E42062">
        <w:rPr>
          <w:rFonts w:cstheme="minorHAnsi"/>
          <w:noProof/>
        </w:rPr>
        <w:t xml:space="preserve">ndien er weinig alternatieve leveranciers op </w:t>
      </w:r>
      <w:r>
        <w:rPr>
          <w:rFonts w:cstheme="minorHAnsi"/>
          <w:noProof/>
        </w:rPr>
        <w:t xml:space="preserve">de markt aanwezig zijn, dit </w:t>
      </w:r>
      <w:r w:rsidRPr="00E42062">
        <w:rPr>
          <w:rFonts w:cstheme="minorHAnsi"/>
          <w:noProof/>
        </w:rPr>
        <w:t xml:space="preserve">ongunstig </w:t>
      </w:r>
      <w:r>
        <w:rPr>
          <w:rFonts w:cstheme="minorHAnsi"/>
          <w:noProof/>
        </w:rPr>
        <w:t xml:space="preserve">kan </w:t>
      </w:r>
      <w:r w:rsidRPr="00E42062">
        <w:rPr>
          <w:rFonts w:cstheme="minorHAnsi"/>
          <w:noProof/>
        </w:rPr>
        <w:t xml:space="preserve">uitpakken voor de opdrachtnemer (Ditters </w:t>
      </w:r>
      <w:r w:rsidR="000B47A7">
        <w:rPr>
          <w:rFonts w:cstheme="minorHAnsi"/>
          <w:noProof/>
        </w:rPr>
        <w:t>et</w:t>
      </w:r>
      <w:r w:rsidRPr="00E42062">
        <w:rPr>
          <w:rFonts w:cstheme="minorHAnsi"/>
          <w:noProof/>
        </w:rPr>
        <w:t xml:space="preserve"> </w:t>
      </w:r>
      <w:r w:rsidR="000B47A7">
        <w:rPr>
          <w:rFonts w:cstheme="minorHAnsi"/>
          <w:noProof/>
        </w:rPr>
        <w:t>al.</w:t>
      </w:r>
      <w:r w:rsidRPr="00E42062">
        <w:rPr>
          <w:rFonts w:cstheme="minorHAnsi"/>
          <w:noProof/>
        </w:rPr>
        <w:t>2012). De afhankelijkheid van de opdrachtgever aan de opdrachtnemer groeit, indien geen andere partij hetzelfde product kan aanbieden. Uit de interviews komt naar voren dat de respondenten op de hoogte zijn van alternati</w:t>
      </w:r>
      <w:r>
        <w:rPr>
          <w:rFonts w:cstheme="minorHAnsi"/>
          <w:noProof/>
        </w:rPr>
        <w:t>eve leveranciers. Respondenten R5 en R10</w:t>
      </w:r>
      <w:r w:rsidRPr="00E42062">
        <w:rPr>
          <w:rFonts w:cstheme="minorHAnsi"/>
          <w:noProof/>
        </w:rPr>
        <w:t xml:space="preserve"> geven aan dat zij makkelijk in staat zijn om van leverancier te veranderen indien, de huidige leverancier afspraken niet nakomt of hun vertrouwen schaadt. Uit de praktijk blijkt dat deze afweging doorgaans achteraf gemaakt wordt. Binnen het inkooptraject is er van rationele leveranciersafweging </w:t>
      </w:r>
      <w:r w:rsidRPr="00E42062">
        <w:rPr>
          <w:rFonts w:cstheme="minorHAnsi"/>
          <w:noProof/>
        </w:rPr>
        <w:lastRenderedPageBreak/>
        <w:t xml:space="preserve">nauwelijks sprake. Er worden een beperkt aantal (bekende) leveranciers uitgenodigd om een offerte in te dienen. De levering en de kwaliteit van de service </w:t>
      </w:r>
      <w:r>
        <w:rPr>
          <w:rFonts w:cstheme="minorHAnsi"/>
          <w:noProof/>
        </w:rPr>
        <w:t xml:space="preserve">zijn bepalend in de eindkeuze. </w:t>
      </w:r>
      <w:r w:rsidRPr="00E42062">
        <w:rPr>
          <w:rFonts w:cstheme="minorHAnsi"/>
          <w:noProof/>
        </w:rPr>
        <w:t xml:space="preserve">De respondenten zijn zich ervan bewust dat de beschikbaarheid van alternatieve leveranciers laag is in het geval van onderwijs specifieke producten. In Nederland zijn dat met name Wolters Noordhoff, Malmberg, en ThiemeMeulenhof. </w:t>
      </w:r>
      <w:r w:rsidRPr="00E42062">
        <w:rPr>
          <w:noProof/>
        </w:rPr>
        <w:t>Centraal georganiseerde schoolbesturen</w:t>
      </w:r>
      <w:r w:rsidRPr="00E42062">
        <w:rPr>
          <w:rFonts w:cstheme="minorHAnsi"/>
          <w:noProof/>
        </w:rPr>
        <w:t xml:space="preserve"> hebben vaste afspraken met deze uitgeverijen. Uitwijking naar een andere leverancier is praktisch</w:t>
      </w:r>
      <w:r>
        <w:rPr>
          <w:rFonts w:cstheme="minorHAnsi"/>
          <w:noProof/>
        </w:rPr>
        <w:t xml:space="preserve"> en financieel niet altijd </w:t>
      </w:r>
      <w:r w:rsidRPr="00E42062">
        <w:rPr>
          <w:rFonts w:cstheme="minorHAnsi"/>
          <w:noProof/>
        </w:rPr>
        <w:t>aantrekkelijk. Wat ICT be</w:t>
      </w:r>
      <w:r>
        <w:rPr>
          <w:rFonts w:cstheme="minorHAnsi"/>
          <w:noProof/>
        </w:rPr>
        <w:t>treft zijn de mogelijkheden ruimer</w:t>
      </w:r>
      <w:r w:rsidRPr="00E42062">
        <w:rPr>
          <w:rFonts w:cstheme="minorHAnsi"/>
          <w:noProof/>
        </w:rPr>
        <w:t>.</w:t>
      </w:r>
      <w:r>
        <w:rPr>
          <w:rFonts w:cstheme="minorHAnsi"/>
          <w:noProof/>
        </w:rPr>
        <w:t xml:space="preserve"> De emprie laat echter zien dat een</w:t>
      </w:r>
      <w:r w:rsidRPr="00E42062">
        <w:rPr>
          <w:rFonts w:cstheme="minorHAnsi"/>
          <w:noProof/>
        </w:rPr>
        <w:t xml:space="preserve"> merend</w:t>
      </w:r>
      <w:r>
        <w:rPr>
          <w:rFonts w:cstheme="minorHAnsi"/>
          <w:noProof/>
        </w:rPr>
        <w:t xml:space="preserve">eel van de respondenten </w:t>
      </w:r>
      <w:r w:rsidRPr="00E42062">
        <w:rPr>
          <w:rFonts w:cstheme="minorHAnsi"/>
          <w:noProof/>
        </w:rPr>
        <w:t>bij goede prestatie de huidige leverancier trouw blijven. De beschikbaarheid van alternatieve leverancie</w:t>
      </w:r>
      <w:r>
        <w:rPr>
          <w:rFonts w:cstheme="minorHAnsi"/>
          <w:noProof/>
        </w:rPr>
        <w:t>rs wordt wel door respondenten R2 en R6</w:t>
      </w:r>
      <w:r w:rsidRPr="00E42062">
        <w:rPr>
          <w:rFonts w:cstheme="minorHAnsi"/>
          <w:noProof/>
        </w:rPr>
        <w:t xml:space="preserve"> als instrument </w:t>
      </w:r>
      <w:r w:rsidRPr="00F41831">
        <w:rPr>
          <w:rFonts w:cstheme="minorHAnsi"/>
          <w:noProof/>
        </w:rPr>
        <w:t xml:space="preserve">gebruikt om de inkoopvoorwaarden naar eigen hand te zetten. </w:t>
      </w:r>
    </w:p>
    <w:p w14:paraId="33B90FF8" w14:textId="76A93F0E" w:rsidR="007E665C" w:rsidRPr="00E42062" w:rsidRDefault="007E665C" w:rsidP="007E665C">
      <w:pPr>
        <w:pStyle w:val="NoSpacing"/>
        <w:spacing w:line="276" w:lineRule="auto"/>
        <w:rPr>
          <w:rFonts w:cstheme="minorHAnsi"/>
          <w:noProof/>
        </w:rPr>
      </w:pPr>
      <w:r w:rsidRPr="00F41831">
        <w:rPr>
          <w:rFonts w:cstheme="minorHAnsi"/>
          <w:noProof/>
        </w:rPr>
        <w:t xml:space="preserve">De rode lijn in deze variabele is dat organisaties vaak te maken hebben met </w:t>
      </w:r>
      <w:r w:rsidR="007E4A9D">
        <w:rPr>
          <w:rFonts w:cstheme="minorHAnsi"/>
          <w:noProof/>
        </w:rPr>
        <w:t xml:space="preserve">een </w:t>
      </w:r>
      <w:r w:rsidRPr="00F41831">
        <w:rPr>
          <w:rFonts w:cstheme="minorHAnsi"/>
          <w:noProof/>
        </w:rPr>
        <w:t>select aantal leveranciers, met name wanneer het onderwijs specifieke producten betreft. Respondenten R2, R3, R6, R7, R8 geven aan dat zij weinig ruimte zien om af te wijken van het aanbod van de leverancier en steeds meer volgens een catalogusmodel producten en diensten leveren. Hierin is de macht van de leverancier om de eigen voorwaarden bovengeschikt te stellen, sterker dan die van de opdrachtgever.</w:t>
      </w:r>
    </w:p>
    <w:p w14:paraId="5DA66519" w14:textId="55E4ECA1" w:rsidR="007E665C" w:rsidRPr="00E42062" w:rsidRDefault="007E665C" w:rsidP="007E665C">
      <w:pPr>
        <w:pStyle w:val="NoSpacing"/>
        <w:spacing w:line="276" w:lineRule="auto"/>
        <w:rPr>
          <w:rFonts w:cstheme="minorHAnsi"/>
          <w:noProof/>
        </w:rPr>
      </w:pPr>
      <w:r w:rsidRPr="00E42062">
        <w:rPr>
          <w:noProof/>
        </w:rPr>
        <w:tab/>
      </w:r>
      <w:r>
        <w:rPr>
          <w:rFonts w:cstheme="minorHAnsi"/>
          <w:noProof/>
        </w:rPr>
        <w:t>Tot slot</w:t>
      </w:r>
      <w:r w:rsidRPr="00E42062">
        <w:rPr>
          <w:rFonts w:cstheme="minorHAnsi"/>
          <w:noProof/>
        </w:rPr>
        <w:t xml:space="preserve"> speelt volgens de theorie het ‘lock in’ effect een rol op de mate van afhankelijkheid. Hier is sprake van wanneer de eenmaal genomen beslissingen in het verleden, in grote mate bepalend zijn voor de condities in de toekomst. Veranderingen kunnen immers gepaard gaan met hoge kosten en grote inspanningen. Opdrachtgevers prefereren in dat geval doorgaans de status quo boven een alternatief met gunstigere voorwaarden. In de literatuur wordt dit ook ‘pad afhankelijkheid’ genoemd (North, 1990). Uit de </w:t>
      </w:r>
      <w:r>
        <w:rPr>
          <w:rFonts w:cstheme="minorHAnsi"/>
          <w:noProof/>
        </w:rPr>
        <w:t>empirie</w:t>
      </w:r>
      <w:r w:rsidRPr="00E42062">
        <w:rPr>
          <w:rFonts w:cstheme="minorHAnsi"/>
          <w:noProof/>
        </w:rPr>
        <w:t xml:space="preserve"> blijkt dat ‘lock in’ effect en pad afhankelijkheid </w:t>
      </w:r>
      <w:r>
        <w:rPr>
          <w:rFonts w:cstheme="minorHAnsi"/>
          <w:noProof/>
        </w:rPr>
        <w:t xml:space="preserve">aanwezig is binnen de scholen. Er wordt langdurig met select aantal bekende leveranciers samenwerkt, die zichzelf bewezen hebben en die een breed pakket aan producten leveren. Naast deze praktische argumentatie is ook een sociologisch. Inkopers hebben sterke vertrouwen in de leverancier en vrezen </w:t>
      </w:r>
      <w:r w:rsidRPr="00E42062">
        <w:rPr>
          <w:rFonts w:cstheme="minorHAnsi"/>
          <w:noProof/>
        </w:rPr>
        <w:t>nadelige financiële of administratieve effecten</w:t>
      </w:r>
      <w:r>
        <w:rPr>
          <w:rFonts w:cstheme="minorHAnsi"/>
          <w:noProof/>
        </w:rPr>
        <w:t xml:space="preserve"> bij overstap naar een onbekende leverancier. Daarnaast is overstap ingewikkelder in</w:t>
      </w:r>
      <w:r w:rsidRPr="00E42062">
        <w:rPr>
          <w:rFonts w:cstheme="minorHAnsi"/>
          <w:noProof/>
        </w:rPr>
        <w:t xml:space="preserve"> het geval van in</w:t>
      </w:r>
      <w:r>
        <w:rPr>
          <w:rFonts w:cstheme="minorHAnsi"/>
          <w:noProof/>
        </w:rPr>
        <w:t xml:space="preserve">vesteringen op de lange termijn, </w:t>
      </w:r>
      <w:r w:rsidRPr="00E42062">
        <w:rPr>
          <w:rFonts w:cstheme="minorHAnsi"/>
          <w:noProof/>
        </w:rPr>
        <w:t>zoals</w:t>
      </w:r>
      <w:r>
        <w:rPr>
          <w:rFonts w:cstheme="minorHAnsi"/>
          <w:noProof/>
        </w:rPr>
        <w:t xml:space="preserve"> aangegeven door respondent R8. </w:t>
      </w:r>
      <w:r w:rsidRPr="00E42062">
        <w:rPr>
          <w:rFonts w:cstheme="minorHAnsi"/>
          <w:noProof/>
        </w:rPr>
        <w:t xml:space="preserve">Contractueel zijn er afspraken gemaakt voor levering van diensten op de lange termijn, waar tussentijd niet van afgeweken kan worden. Hier is duidelijk sprake van afhankelijkheid op basis van ‘lock in’ effecten.   </w:t>
      </w:r>
    </w:p>
    <w:p w14:paraId="53815F46" w14:textId="77777777" w:rsidR="007E665C" w:rsidRPr="00E42062" w:rsidRDefault="007E665C" w:rsidP="007E665C">
      <w:pPr>
        <w:pStyle w:val="NoSpacing"/>
        <w:rPr>
          <w:noProof/>
        </w:rPr>
      </w:pPr>
    </w:p>
    <w:p w14:paraId="297BBE94" w14:textId="77777777" w:rsidR="00D35A3A" w:rsidRDefault="00D35A3A" w:rsidP="00D35A3A">
      <w:pPr>
        <w:pStyle w:val="NoSpacing"/>
        <w:spacing w:line="276" w:lineRule="auto"/>
        <w:rPr>
          <w:b/>
          <w:noProof/>
          <w:sz w:val="24"/>
        </w:rPr>
      </w:pPr>
    </w:p>
    <w:p w14:paraId="2530EF8D" w14:textId="0854A1BB" w:rsidR="007E665C" w:rsidRPr="00190722" w:rsidRDefault="00D35A3A" w:rsidP="00742253">
      <w:pPr>
        <w:pStyle w:val="Heading2"/>
        <w:rPr>
          <w:noProof/>
          <w:color w:val="1F3864" w:themeColor="accent1" w:themeShade="80"/>
          <w:sz w:val="28"/>
        </w:rPr>
      </w:pPr>
      <w:bookmarkStart w:id="151" w:name="_Toc517455491"/>
      <w:r w:rsidRPr="00190722">
        <w:rPr>
          <w:noProof/>
          <w:color w:val="1F3864" w:themeColor="accent1" w:themeShade="80"/>
        </w:rPr>
        <w:t>Variabele ‘v</w:t>
      </w:r>
      <w:r w:rsidR="007E665C" w:rsidRPr="00190722">
        <w:rPr>
          <w:noProof/>
          <w:color w:val="1F3864" w:themeColor="accent1" w:themeShade="80"/>
        </w:rPr>
        <w:t>ertrouwen</w:t>
      </w:r>
      <w:r w:rsidRPr="00190722">
        <w:rPr>
          <w:noProof/>
          <w:color w:val="1F3864" w:themeColor="accent1" w:themeShade="80"/>
        </w:rPr>
        <w:t>’</w:t>
      </w:r>
      <w:bookmarkEnd w:id="151"/>
    </w:p>
    <w:p w14:paraId="3111ECF5" w14:textId="77777777" w:rsidR="00D35A3A" w:rsidRDefault="00D35A3A" w:rsidP="00D35A3A">
      <w:pPr>
        <w:pStyle w:val="NoSpacing"/>
        <w:spacing w:line="276" w:lineRule="auto"/>
        <w:rPr>
          <w:b/>
          <w:i/>
          <w:noProof/>
        </w:rPr>
      </w:pPr>
    </w:p>
    <w:p w14:paraId="22ED5700" w14:textId="31852F63" w:rsidR="007E665C" w:rsidRPr="00F37A7D" w:rsidRDefault="00F37A7D" w:rsidP="00F37A7D">
      <w:pPr>
        <w:pStyle w:val="Heading3"/>
        <w:rPr>
          <w:noProof/>
          <w:color w:val="1F3864" w:themeColor="accent1" w:themeShade="80"/>
          <w:highlight w:val="yellow"/>
        </w:rPr>
      </w:pPr>
      <w:bookmarkStart w:id="152" w:name="_Toc517455492"/>
      <w:r w:rsidRPr="00F37A7D">
        <w:rPr>
          <w:noProof/>
          <w:color w:val="1F3864" w:themeColor="accent1" w:themeShade="80"/>
        </w:rPr>
        <w:t xml:space="preserve">6.2.1 </w:t>
      </w:r>
      <w:r w:rsidR="007E665C" w:rsidRPr="00F37A7D">
        <w:rPr>
          <w:noProof/>
          <w:color w:val="1F3864" w:themeColor="accent1" w:themeShade="80"/>
        </w:rPr>
        <w:t>De bevindingen uit de empirie</w:t>
      </w:r>
      <w:bookmarkEnd w:id="152"/>
    </w:p>
    <w:p w14:paraId="062F608A" w14:textId="77777777" w:rsidR="007E665C" w:rsidRPr="00E42062" w:rsidRDefault="007E665C" w:rsidP="00D35A3A">
      <w:pPr>
        <w:pStyle w:val="NoSpacing"/>
        <w:spacing w:line="276" w:lineRule="auto"/>
        <w:rPr>
          <w:noProof/>
        </w:rPr>
      </w:pPr>
      <w:r>
        <w:rPr>
          <w:noProof/>
        </w:rPr>
        <w:t xml:space="preserve">Deze empirisch studie laat zien dat vertrouwen in de leverancier belangrijk is voor de inkopers. </w:t>
      </w:r>
      <w:r w:rsidRPr="00E42062">
        <w:rPr>
          <w:noProof/>
        </w:rPr>
        <w:t xml:space="preserve">Vertrouwen kan op verschillende manieren tot stand komen. Een veelvuldig genoemde indicator voor vertrouwen zijn de ervaringen uit eerdere samenwerkingen (R2, R3, R5, R7, R10 en R11). Daarbij wordt door de respondenten aangegeven dat indien het vertrouwen geschaad wordt, zij op zoek gaan naar een andere leverancier (R5, R8 en R10). “Vertrouwen in externe partijen is dynamisch, wij kunnen onze beslissingen niet enkel op het verleden baseren. Echter speelt het zeker een rol. Als een partij ons een slechte dienst levert, dan doen we daar geen zaken meer mee” (Van der Hoeven, 2017). Respondenten vinden van zichzelf dat zij voldoende kennis bezitten om een goede overstap naar een andere leverancier te bewerkstelligen. Respondent R9 gaat elk traject in met vertrouwen zonder te refereren naar eerdere ervaringen. “Onze ervaring is dat je elkaar niet per se hoeft te kennen om samen te kunnen werken” (Buijtendorp, 2017). Gereflecteerd naar de antwoorden van de andere respondenten is deze uitspraak opvallend te noemen. Een groot deel van de respondenten geeft aan vertrouwen te baseren op de eerdere ervaringen met de leverancier. </w:t>
      </w:r>
    </w:p>
    <w:p w14:paraId="629730D3" w14:textId="0CB13646" w:rsidR="007E665C" w:rsidRPr="00E42062" w:rsidRDefault="007E665C" w:rsidP="00D35A3A">
      <w:pPr>
        <w:pStyle w:val="NoSpacing"/>
        <w:spacing w:line="276" w:lineRule="auto"/>
        <w:rPr>
          <w:noProof/>
        </w:rPr>
      </w:pPr>
      <w:r w:rsidRPr="00E42062">
        <w:rPr>
          <w:noProof/>
        </w:rPr>
        <w:tab/>
        <w:t xml:space="preserve">Naast ervaring speelt ook de nabijheid van (lokale) leveranciers een belangrijke rol in het tot stand komen van vertrouwen. Zo geven respondenten R1 en R6 de voorkeur aan een lokale of regionaal opererend leverancier boven een partij die wellicht voordeliger in de prijs is maar ver van hen afstaat. “Op dit moment zijn wij echt op zoek </w:t>
      </w:r>
      <w:r w:rsidRPr="00E42062">
        <w:rPr>
          <w:noProof/>
        </w:rPr>
        <w:lastRenderedPageBreak/>
        <w:t xml:space="preserve">geweest naar een bedrijf dat regionaal opereert, waarmee je een relatie mee kan opbouwen en in stand kan houden (Olde Riekerink, 2017). Vanuit de praktische overweging is dit te verklaren. Leveranciers die zich in de nabije omgeving van de school bevinden kunnen sneller direct hulp bieden bij calamiteiten en zijn over het algemeen beter bereikbaar voor de inkopers. Vanuit de sociologische perspectief is dit te verklaren door het belang dat de respondent hecht aan vertrouwen. Respondent R6 hecht veel belang aan vertrouwen binnen de opdrachtgever-opdrachtnemer relatie. Dit is een minimale eis voor goede en duurzame samenwerking.   </w:t>
      </w:r>
    </w:p>
    <w:p w14:paraId="5D38EC50" w14:textId="77777777" w:rsidR="007E665C" w:rsidRPr="00E42062" w:rsidRDefault="007E665C" w:rsidP="007E665C">
      <w:pPr>
        <w:pStyle w:val="NoSpacing"/>
        <w:spacing w:line="276" w:lineRule="auto"/>
        <w:rPr>
          <w:strike/>
          <w:noProof/>
        </w:rPr>
      </w:pPr>
      <w:r w:rsidRPr="00E42062">
        <w:rPr>
          <w:noProof/>
        </w:rPr>
        <w:tab/>
        <w:t xml:space="preserve">Bij het Europees aanbesteden ligt het vertrouwen tussen scholen en de leveranciers anders. Respondenten R2 en R9 geven aan dat onderlinge vertrouwen een minder sterkere rol speelt wanneer er ingekocht moet worden volgens Europese aanbestedingsregels. “Je weet niet helemaal wat je aan elkaar hebt, wat je uiteindelijk kan verwachten. Er doen grote partijen mee die hun eigen manier van werken en communiceren hebben” (Buijtendorp, 2017). Voor de inkoop betekent dit meer aandacht bij de leveranciersselectie. De deelnemende leveranciers worden tegen elkaar afgewogen op vooraf gestelde criteria. De inkopers zijn meer rationeel. Hierbij valt het op dat er veel meer geformaliseerd en geformuleerd wordt. Risico’s worden in kaart gebracht en afspraken worden opgenomen in het contracten en SLA’s. Waar de samenwerking met de vertrouwde leverancier op de onderlinge vertrouwen is gebaseerd, is dat bij de Europese aanbestedingen meer op contractuele afspraken.   </w:t>
      </w:r>
      <w:r w:rsidRPr="00E42062">
        <w:rPr>
          <w:strike/>
          <w:noProof/>
        </w:rPr>
        <w:t xml:space="preserve"> </w:t>
      </w:r>
    </w:p>
    <w:p w14:paraId="6BCE94D9" w14:textId="77777777" w:rsidR="007E665C" w:rsidRPr="00E42062" w:rsidRDefault="007E665C" w:rsidP="007E665C">
      <w:pPr>
        <w:pStyle w:val="NoSpacing"/>
        <w:rPr>
          <w:noProof/>
        </w:rPr>
      </w:pPr>
    </w:p>
    <w:p w14:paraId="6F31363A" w14:textId="211122B4" w:rsidR="007E665C" w:rsidRPr="00190722" w:rsidRDefault="00F37A7D" w:rsidP="00F37A7D">
      <w:pPr>
        <w:pStyle w:val="Heading3"/>
        <w:rPr>
          <w:noProof/>
        </w:rPr>
      </w:pPr>
      <w:bookmarkStart w:id="153" w:name="_Toc517455493"/>
      <w:r w:rsidRPr="00F37A7D">
        <w:rPr>
          <w:noProof/>
          <w:color w:val="1F3864" w:themeColor="accent1" w:themeShade="80"/>
        </w:rPr>
        <w:t xml:space="preserve">6.2.2 </w:t>
      </w:r>
      <w:r w:rsidR="007E665C" w:rsidRPr="00F37A7D">
        <w:rPr>
          <w:noProof/>
          <w:color w:val="1F3864" w:themeColor="accent1" w:themeShade="80"/>
        </w:rPr>
        <w:t>Toetsing van de empirie aan de theoretische verwachting</w:t>
      </w:r>
      <w:bookmarkEnd w:id="153"/>
      <w:r w:rsidR="007E665C" w:rsidRPr="00F37A7D">
        <w:rPr>
          <w:noProof/>
          <w:color w:val="1F3864" w:themeColor="accent1" w:themeShade="80"/>
        </w:rPr>
        <w:t xml:space="preserve"> </w:t>
      </w:r>
    </w:p>
    <w:p w14:paraId="4DFA3067" w14:textId="2C970571" w:rsidR="007E665C" w:rsidRPr="00E42062" w:rsidRDefault="007E665C" w:rsidP="007E665C">
      <w:pPr>
        <w:pStyle w:val="NoSpacing"/>
        <w:spacing w:line="276" w:lineRule="auto"/>
        <w:rPr>
          <w:noProof/>
        </w:rPr>
      </w:pPr>
      <w:r>
        <w:rPr>
          <w:noProof/>
        </w:rPr>
        <w:t xml:space="preserve">De empirie laat zien dat vertrouwen een belangrijke factor is </w:t>
      </w:r>
      <w:r w:rsidRPr="00E42062">
        <w:rPr>
          <w:noProof/>
        </w:rPr>
        <w:t>in de relatie tussen opdrachtgever en de opdrachtnemer. Vertrouwen wordt in de theorie gedefinieerd als “de positieve verwachting dat de andere actoren zich onthouden van opportunistisch gedrag, zelfs wanneer zij voor die mogelijkheid komen te staan” (Edelenbos &amp; Eshuis, 2012, p.652). Het gaat om een conditie waarin een partij zich kwetsbaar opstelt gebaseerd op de positieve verwachtingen ten opzichte van het gedrag van de ander</w:t>
      </w:r>
      <w:r>
        <w:rPr>
          <w:noProof/>
        </w:rPr>
        <w:t xml:space="preserve"> </w:t>
      </w:r>
      <w:r w:rsidRPr="00E42062">
        <w:rPr>
          <w:noProof/>
        </w:rPr>
        <w:t>(Lane &amp; Bachmann, 1998). Afspraken tussen partijen creëren een situatie waarin een of meer partijen schade ondervinden wanneer het vertrouwen wordt geschonden. Bewaking hiervan heeft dus een wederzijds voord</w:t>
      </w:r>
      <w:r>
        <w:rPr>
          <w:noProof/>
        </w:rPr>
        <w:t xml:space="preserve">eel. </w:t>
      </w:r>
      <w:r w:rsidR="00A708B7">
        <w:rPr>
          <w:noProof/>
        </w:rPr>
        <w:t>Het</w:t>
      </w:r>
      <w:r>
        <w:rPr>
          <w:noProof/>
        </w:rPr>
        <w:t xml:space="preserve"> begrip vertrouwen beschrijft</w:t>
      </w:r>
      <w:r w:rsidRPr="00E42062">
        <w:rPr>
          <w:noProof/>
        </w:rPr>
        <w:t xml:space="preserve"> in dit onder</w:t>
      </w:r>
      <w:r>
        <w:rPr>
          <w:noProof/>
        </w:rPr>
        <w:t xml:space="preserve">zoek </w:t>
      </w:r>
      <w:r w:rsidRPr="00E42062">
        <w:rPr>
          <w:noProof/>
        </w:rPr>
        <w:t>de voorgeschiedenis van de eerdere samenwerkingen en de mate waarin er gezamenlijk gebouwd is aan vertrouwen. Vertrouwen is een invloedrijke factor binnen het samenwerkingsproces. Volgens Ansell &amp; Gash (2008) duidt een laag wederzijds</w:t>
      </w:r>
      <w:r w:rsidR="00A708B7">
        <w:rPr>
          <w:noProof/>
        </w:rPr>
        <w:t>e</w:t>
      </w:r>
      <w:r w:rsidRPr="00E42062">
        <w:rPr>
          <w:noProof/>
        </w:rPr>
        <w:t xml:space="preserve"> vertrouwen en verbondenheid op een conflict in het verleden. Deze eerdere ervaring verkleint de kans op slagen in een tweede poging. Wel kan een hoge mate van wederzijdse afhankelijkheid het vertrouwen in elkaar vergroten (Ansell &amp; Gash, 2008). </w:t>
      </w:r>
    </w:p>
    <w:p w14:paraId="121FB776" w14:textId="55896EA5" w:rsidR="007E665C" w:rsidRPr="00E42062" w:rsidRDefault="007E665C" w:rsidP="007E665C">
      <w:pPr>
        <w:pStyle w:val="NoSpacing"/>
        <w:spacing w:line="276" w:lineRule="auto"/>
        <w:rPr>
          <w:noProof/>
        </w:rPr>
      </w:pPr>
      <w:r w:rsidRPr="00E42062">
        <w:rPr>
          <w:noProof/>
        </w:rPr>
        <w:tab/>
        <w:t>Alle respondenten geven aan dat vertrouwen een belangrijke rol speelt bij het kiezen van een leverancier. In lijn met de theorie van Ansell &amp; Gash (2008) is dit gebouwd op eerdere ervaringen</w:t>
      </w:r>
      <w:r>
        <w:rPr>
          <w:noProof/>
        </w:rPr>
        <w:t xml:space="preserve"> </w:t>
      </w:r>
      <w:r w:rsidRPr="00E42062">
        <w:rPr>
          <w:noProof/>
        </w:rPr>
        <w:t xml:space="preserve">(R2, R3, R5, R7, R10 en R11). Eenmaal schade aan het vertrouwen betekent ook in de praktijk dat er niet meer wordt samengewerkt. </w:t>
      </w:r>
      <w:r>
        <w:rPr>
          <w:noProof/>
        </w:rPr>
        <w:t>Het is van</w:t>
      </w:r>
      <w:r w:rsidRPr="00E42062">
        <w:rPr>
          <w:noProof/>
        </w:rPr>
        <w:t xml:space="preserve"> belang dat de levera</w:t>
      </w:r>
      <w:r>
        <w:rPr>
          <w:noProof/>
        </w:rPr>
        <w:t>ncier de afspraken nakomt</w:t>
      </w:r>
      <w:r w:rsidRPr="00E42062">
        <w:rPr>
          <w:noProof/>
        </w:rPr>
        <w:t>, ondersteuning biedt en probleemoplossend handelt</w:t>
      </w:r>
      <w:r>
        <w:rPr>
          <w:noProof/>
        </w:rPr>
        <w:t xml:space="preserve"> bij incidenten</w:t>
      </w:r>
      <w:r w:rsidRPr="00E42062">
        <w:rPr>
          <w:noProof/>
        </w:rPr>
        <w:t xml:space="preserve">. Slechts een respondent geeft aan dat hij elk traject in gaat met vertrouwen en dat vertrouwen niet afhankelijk is van een eerdere samenwerking (R9). “Onze ervaring is dat je elkaar niet per se hoeft te kennen om samen te kunnen werken” (Buijtendorp, 2017). Respondent R4 geeft aan dat vertrouwen belangrijk is maar niet leidend. De locatie van een leverancier kan mede bepalend zijn voor het opbouwen van een vertrouwensband. Zo geven respondenten R1 en R6 een voorkeur aan een lokale of regionale leverancier. Zij zijn overtuigd dat de korte communicatielijnen meedragen aan vertrouwen. “Ik vind het prettig als ik de organisatie ken, maar ook vooral wanneer zij ons ook kennen. Ik wil de lijnen graag korthouden” (Meulenbeld, 2017). Vertrouwen krijgt een andere invulling indien het Europees aanbesteden betreft (R2 en R9). Hier speelt vertrouwen geen grote rol, omdat zich hier andere partijen voordoen en keuzemogelijkheid ingeperkt wordt. </w:t>
      </w:r>
    </w:p>
    <w:p w14:paraId="65CDEDC0" w14:textId="4D73C972" w:rsidR="007E665C" w:rsidRDefault="007E665C" w:rsidP="007E665C">
      <w:pPr>
        <w:pStyle w:val="NoSpacing"/>
        <w:spacing w:line="276" w:lineRule="auto"/>
        <w:ind w:firstLine="720"/>
        <w:rPr>
          <w:noProof/>
        </w:rPr>
      </w:pPr>
      <w:r>
        <w:rPr>
          <w:noProof/>
        </w:rPr>
        <w:t xml:space="preserve">In dit onderzoek is de uiteenzetting van </w:t>
      </w:r>
      <w:r w:rsidRPr="00E42062">
        <w:rPr>
          <w:noProof/>
        </w:rPr>
        <w:t>Ro</w:t>
      </w:r>
      <w:r>
        <w:rPr>
          <w:noProof/>
        </w:rPr>
        <w:t xml:space="preserve">usseau </w:t>
      </w:r>
      <w:r w:rsidR="000B47A7">
        <w:rPr>
          <w:noProof/>
        </w:rPr>
        <w:t>et</w:t>
      </w:r>
      <w:r>
        <w:rPr>
          <w:noProof/>
        </w:rPr>
        <w:t xml:space="preserve"> al. (1998) gebruikt, waarin vertrouwen drie componenten kent.</w:t>
      </w:r>
      <w:r w:rsidRPr="00E42062">
        <w:rPr>
          <w:noProof/>
        </w:rPr>
        <w:t xml:space="preserve"> Ten eerste gaat het om initieel vertrouwen, </w:t>
      </w:r>
      <w:r>
        <w:rPr>
          <w:noProof/>
        </w:rPr>
        <w:t>wat</w:t>
      </w:r>
      <w:r w:rsidRPr="00E42062">
        <w:rPr>
          <w:noProof/>
        </w:rPr>
        <w:t xml:space="preserve"> </w:t>
      </w:r>
      <w:r>
        <w:rPr>
          <w:noProof/>
        </w:rPr>
        <w:t xml:space="preserve">inhoudt </w:t>
      </w:r>
      <w:r w:rsidRPr="00E42062">
        <w:rPr>
          <w:noProof/>
        </w:rPr>
        <w:t>dat er bij de eerste kennismaking vertrouwen bestaat in de tegenpartij</w:t>
      </w:r>
      <w:r>
        <w:rPr>
          <w:noProof/>
        </w:rPr>
        <w:t xml:space="preserve"> zonder intensieve verdieping in elkaar</w:t>
      </w:r>
      <w:r w:rsidRPr="00E42062">
        <w:rPr>
          <w:noProof/>
        </w:rPr>
        <w:t xml:space="preserve"> (McKnight et </w:t>
      </w:r>
      <w:r w:rsidR="000B47A7">
        <w:rPr>
          <w:noProof/>
        </w:rPr>
        <w:t>al.</w:t>
      </w:r>
      <w:r w:rsidRPr="00E42062">
        <w:rPr>
          <w:noProof/>
        </w:rPr>
        <w:t xml:space="preserve"> 1998).</w:t>
      </w:r>
      <w:r>
        <w:rPr>
          <w:noProof/>
        </w:rPr>
        <w:t xml:space="preserve"> initiele vertrouwen is zwak in de empirie.</w:t>
      </w:r>
      <w:r w:rsidRPr="00E42062">
        <w:rPr>
          <w:noProof/>
        </w:rPr>
        <w:t xml:space="preserve"> Nieuwe en onbekende leveranciers worden met enige voorzichtigheid benaderd. De inkopers hebben geen weinig geen eerdere ervaringen om op terug te vallen. Bijna alle respondenten geven aan </w:t>
      </w:r>
      <w:r w:rsidRPr="00E42062">
        <w:rPr>
          <w:noProof/>
        </w:rPr>
        <w:lastRenderedPageBreak/>
        <w:t xml:space="preserve">dat vertrouwen groeit naarmate de afgenomen producten functioneren en de service en ondersteuning in orde zijn. Er dient een eerdere prettige samenwerking te hebben plaatsgevonden alvorens er vertrouwensband ontstaat. </w:t>
      </w:r>
      <w:r w:rsidRPr="00E42062">
        <w:rPr>
          <w:rFonts w:cstheme="minorHAnsi"/>
          <w:noProof/>
        </w:rPr>
        <w:t xml:space="preserve">Ten tweede gaat het om gecalculeerd vertrouwen, d.w.z. er wordt eerst een afweging gemaakt (Rousseau, 1998; Mayer </w:t>
      </w:r>
      <w:r w:rsidR="000B47A7">
        <w:rPr>
          <w:rFonts w:cstheme="minorHAnsi"/>
          <w:noProof/>
        </w:rPr>
        <w:t>et</w:t>
      </w:r>
      <w:r w:rsidRPr="00E42062">
        <w:rPr>
          <w:rFonts w:cstheme="minorHAnsi"/>
          <w:noProof/>
        </w:rPr>
        <w:t xml:space="preserve"> </w:t>
      </w:r>
      <w:r w:rsidR="000B47A7">
        <w:rPr>
          <w:rFonts w:cstheme="minorHAnsi"/>
          <w:noProof/>
        </w:rPr>
        <w:t>al.</w:t>
      </w:r>
      <w:r w:rsidRPr="00E42062">
        <w:rPr>
          <w:rFonts w:cstheme="minorHAnsi"/>
          <w:noProof/>
        </w:rPr>
        <w:t xml:space="preserve"> 1995) Indien een partij ervan uitgaat dat het aangaan van een samenwerkingsrelatie meer voordeel gaat opleveren en de tegenpartij een goede reputatie heeft en als betrouwbaar wordt ingeschat, kan een relatie worden opgebouwd. In deze fase zal de afweging voortdurend worden herhaald. Hierbij vinden er regelmatig afwegingen </w:t>
      </w:r>
      <w:r>
        <w:rPr>
          <w:rFonts w:cstheme="minorHAnsi"/>
          <w:noProof/>
        </w:rPr>
        <w:t>(van risico’s) plaats</w:t>
      </w:r>
      <w:r w:rsidRPr="00E42062">
        <w:rPr>
          <w:rFonts w:cstheme="minorHAnsi"/>
          <w:noProof/>
        </w:rPr>
        <w:t xml:space="preserve">. Uit de interviews komt naar voren dat gecalculeerd vertrouwen sterk aanwezig is binnen de onderzochte scholen. Bij respondent R1 speelt duurzaamheid een grote rol. Indien partij betrouwbaar wordt geacht die tevens duurzaam is zal er een samenwerking plaatsvinden. </w:t>
      </w:r>
      <w:r>
        <w:rPr>
          <w:rFonts w:cstheme="minorHAnsi"/>
          <w:noProof/>
        </w:rPr>
        <w:t>Binnen school R4 speelt de mate waarin de voorwaarden als gunstig worden ervaren de boventoon.</w:t>
      </w:r>
      <w:r w:rsidRPr="00E42062">
        <w:rPr>
          <w:rFonts w:cstheme="minorHAnsi"/>
          <w:noProof/>
        </w:rPr>
        <w:t xml:space="preserve"> Respondent R5 geeft als voorbeeld het zelf benaderen van verschillende leveranciers, offertes opvragen en deze tegen elkaar afwegen: “...</w:t>
      </w:r>
      <w:r w:rsidRPr="00E42062">
        <w:rPr>
          <w:noProof/>
        </w:rPr>
        <w:t xml:space="preserve">als onze vaste leverancier niet met de juiste prijs en service komt, dan geef ik dat aan en kijk </w:t>
      </w:r>
      <w:r>
        <w:rPr>
          <w:noProof/>
        </w:rPr>
        <w:t xml:space="preserve">ik verder” (Van Putten, 2017). </w:t>
      </w:r>
      <w:r w:rsidRPr="00E42062">
        <w:rPr>
          <w:noProof/>
        </w:rPr>
        <w:t>In praktijk blijkt dat indien eenmaal het vertrouwen van de respondent is geschaad, deze op zoek gaat naar een nieuwe leverancier (R5, R7, R8 en R10). “Vertrouwen is heel belangrijk aangezien je afhankelijk bent van je leverancier. De kennis ligt bij de leverancier. Indien ik geen problemen ondervind groeit het vertrouwen in mijn leverancier” (Tayyeb, 2017). “Vertrouwen in externe partijen is dynamisch, wij kunnen onze beslissingen niet enkel op het verleden baseren. Echter nemen we dit wel mee in de overweging. Als een partij ons een slechte dienst levert, dan doen we daar geen zaken meer mee” (Van der Hoeven, 2017).</w:t>
      </w:r>
    </w:p>
    <w:p w14:paraId="2826CE52" w14:textId="1B48EA86" w:rsidR="007E665C" w:rsidRPr="00E42062" w:rsidRDefault="007E665C" w:rsidP="007E665C">
      <w:pPr>
        <w:pStyle w:val="NoSpacing"/>
        <w:spacing w:line="276" w:lineRule="auto"/>
        <w:rPr>
          <w:noProof/>
        </w:rPr>
      </w:pPr>
      <w:r w:rsidRPr="00E42062">
        <w:rPr>
          <w:noProof/>
        </w:rPr>
        <w:t>Ten derde gaat het om relatione</w:t>
      </w:r>
      <w:r w:rsidR="008F61B7">
        <w:rPr>
          <w:noProof/>
        </w:rPr>
        <w:t>le</w:t>
      </w:r>
      <w:r w:rsidRPr="00E42062">
        <w:rPr>
          <w:noProof/>
        </w:rPr>
        <w:t xml:space="preserve"> vertrouwen, d.w.z. dat er sprake is van een persoonlijke relatie tussen partijen. Doordat er veel contactmomenten plaatsvinden en er positieve ervaringen worden opgebouwd wordt dit bestempeld als de sterkste soort vertrouwen. Wanneer er herhaaldelijk wordt bevestigd dat de partijen elkaar kunnen vertrouwen, wordt het relationeel vertrouwen versterkt. In tegenstelling tot gecalculeerd</w:t>
      </w:r>
      <w:r w:rsidR="008F61B7">
        <w:rPr>
          <w:noProof/>
        </w:rPr>
        <w:t>e</w:t>
      </w:r>
      <w:r w:rsidRPr="00E42062">
        <w:rPr>
          <w:noProof/>
        </w:rPr>
        <w:t xml:space="preserve"> vertrouwen is relatione</w:t>
      </w:r>
      <w:r w:rsidR="008F61B7">
        <w:rPr>
          <w:noProof/>
        </w:rPr>
        <w:t>le</w:t>
      </w:r>
      <w:r w:rsidRPr="00E42062">
        <w:rPr>
          <w:noProof/>
        </w:rPr>
        <w:t xml:space="preserve"> vertrouwen sterker en minder kwetsbaar voor verstoringen (Rousseau e</w:t>
      </w:r>
      <w:r w:rsidR="008F61B7">
        <w:rPr>
          <w:noProof/>
        </w:rPr>
        <w:t xml:space="preserve">t </w:t>
      </w:r>
      <w:r w:rsidRPr="00E42062">
        <w:rPr>
          <w:noProof/>
        </w:rPr>
        <w:t>a</w:t>
      </w:r>
      <w:r w:rsidR="008F61B7">
        <w:rPr>
          <w:noProof/>
        </w:rPr>
        <w:t>l.</w:t>
      </w:r>
      <w:r w:rsidRPr="00E42062">
        <w:rPr>
          <w:noProof/>
        </w:rPr>
        <w:t xml:space="preserve"> 1998).</w:t>
      </w:r>
      <w:r>
        <w:rPr>
          <w:noProof/>
        </w:rPr>
        <w:t xml:space="preserve"> Deze assumpties is in lijn met de emprie. De scholen hechten veel waarde aan de relatie die zij hebben opgebouwd met de leverancier. Het vertrouwen in goede afloop en effecientie is sterker naarmate de samenwerking toeneemt. Deze conclusie is tevens in lijn met de theoretische verachting uit theorie van Hung </w:t>
      </w:r>
      <w:r w:rsidR="000B47A7">
        <w:rPr>
          <w:noProof/>
        </w:rPr>
        <w:t>et</w:t>
      </w:r>
      <w:r>
        <w:rPr>
          <w:noProof/>
        </w:rPr>
        <w:t xml:space="preserve"> </w:t>
      </w:r>
      <w:r w:rsidR="000B47A7">
        <w:rPr>
          <w:noProof/>
        </w:rPr>
        <w:t>al.</w:t>
      </w:r>
      <w:r>
        <w:rPr>
          <w:noProof/>
        </w:rPr>
        <w:t xml:space="preserve"> (2004). </w:t>
      </w:r>
    </w:p>
    <w:p w14:paraId="73C5E505" w14:textId="77777777" w:rsidR="007E665C" w:rsidRDefault="007E665C" w:rsidP="007E665C">
      <w:pPr>
        <w:pStyle w:val="NoSpacing"/>
        <w:spacing w:line="276" w:lineRule="auto"/>
        <w:rPr>
          <w:noProof/>
        </w:rPr>
      </w:pPr>
    </w:p>
    <w:p w14:paraId="09EFEABA" w14:textId="64C76DAA" w:rsidR="007E665C" w:rsidRPr="00E42062" w:rsidRDefault="007E665C" w:rsidP="007E665C">
      <w:pPr>
        <w:pStyle w:val="NoSpacing"/>
        <w:spacing w:line="276" w:lineRule="auto"/>
        <w:rPr>
          <w:noProof/>
        </w:rPr>
      </w:pPr>
      <w:r w:rsidRPr="009C049C">
        <w:rPr>
          <w:noProof/>
        </w:rPr>
        <w:t xml:space="preserve">Tabel </w:t>
      </w:r>
      <w:r w:rsidR="00742253" w:rsidRPr="009C049C">
        <w:rPr>
          <w:noProof/>
        </w:rPr>
        <w:t>1</w:t>
      </w:r>
      <w:r w:rsidR="0040657F">
        <w:rPr>
          <w:noProof/>
        </w:rPr>
        <w:t>1</w:t>
      </w:r>
      <w:r w:rsidRPr="009C049C">
        <w:rPr>
          <w:noProof/>
        </w:rPr>
        <w:t xml:space="preserve"> geeft</w:t>
      </w:r>
      <w:r w:rsidRPr="00E42062">
        <w:rPr>
          <w:noProof/>
        </w:rPr>
        <w:t xml:space="preserve"> een schematische weergave van de drie soorten vertrouwen per onderzochte onderwijsinstelling. De respondenten worden aangeduid middels de identificatiecodes in kolom 1 van tabel </w:t>
      </w:r>
      <w:r w:rsidR="009C049C">
        <w:rPr>
          <w:noProof/>
        </w:rPr>
        <w:t>1</w:t>
      </w:r>
      <w:r w:rsidR="0040657F">
        <w:rPr>
          <w:noProof/>
        </w:rPr>
        <w:t>1</w:t>
      </w:r>
      <w:r w:rsidRPr="00E42062">
        <w:rPr>
          <w:noProof/>
        </w:rPr>
        <w:t>.</w:t>
      </w:r>
    </w:p>
    <w:p w14:paraId="540CA96D" w14:textId="77777777" w:rsidR="007E665C" w:rsidRPr="00E42062" w:rsidRDefault="007E665C" w:rsidP="007E665C">
      <w:pPr>
        <w:pStyle w:val="NoSpacing"/>
        <w:rPr>
          <w:noProof/>
        </w:rPr>
      </w:pPr>
    </w:p>
    <w:tbl>
      <w:tblPr>
        <w:tblStyle w:val="GridTable1Light"/>
        <w:tblpPr w:leftFromText="141" w:rightFromText="141" w:vertAnchor="text" w:horzAnchor="margin" w:tblpY="23"/>
        <w:tblW w:w="7650" w:type="dxa"/>
        <w:tblLook w:val="04A0" w:firstRow="1" w:lastRow="0" w:firstColumn="1" w:lastColumn="0" w:noHBand="0" w:noVBand="1"/>
      </w:tblPr>
      <w:tblGrid>
        <w:gridCol w:w="583"/>
        <w:gridCol w:w="1964"/>
        <w:gridCol w:w="2693"/>
        <w:gridCol w:w="2410"/>
      </w:tblGrid>
      <w:tr w:rsidR="007E665C" w:rsidRPr="00A5164A" w14:paraId="3145D7AB" w14:textId="77777777" w:rsidTr="00A5164A">
        <w:trPr>
          <w:cnfStyle w:val="100000000000" w:firstRow="1" w:lastRow="0" w:firstColumn="0" w:lastColumn="0" w:oddVBand="0" w:evenVBand="0" w:oddHBand="0"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583" w:type="dxa"/>
          </w:tcPr>
          <w:p w14:paraId="04CC9BDC" w14:textId="77777777" w:rsidR="007E665C" w:rsidRPr="00A5164A" w:rsidRDefault="007E665C" w:rsidP="00836A75">
            <w:pPr>
              <w:pStyle w:val="NoSpacing"/>
              <w:rPr>
                <w:noProof/>
              </w:rPr>
            </w:pPr>
          </w:p>
        </w:tc>
        <w:tc>
          <w:tcPr>
            <w:tcW w:w="1964" w:type="dxa"/>
          </w:tcPr>
          <w:p w14:paraId="3883F18F" w14:textId="77777777" w:rsidR="007E665C" w:rsidRPr="00A5164A" w:rsidRDefault="007E665C" w:rsidP="00836A75">
            <w:pPr>
              <w:pStyle w:val="NoSpacing"/>
              <w:cnfStyle w:val="100000000000" w:firstRow="1" w:lastRow="0" w:firstColumn="0" w:lastColumn="0" w:oddVBand="0" w:evenVBand="0" w:oddHBand="0" w:evenHBand="0" w:firstRowFirstColumn="0" w:firstRowLastColumn="0" w:lastRowFirstColumn="0" w:lastRowLastColumn="0"/>
              <w:rPr>
                <w:noProof/>
              </w:rPr>
            </w:pPr>
            <w:r w:rsidRPr="00A5164A">
              <w:rPr>
                <w:noProof/>
              </w:rPr>
              <w:t>Initiële vertrouwen</w:t>
            </w:r>
          </w:p>
        </w:tc>
        <w:tc>
          <w:tcPr>
            <w:tcW w:w="2693" w:type="dxa"/>
          </w:tcPr>
          <w:p w14:paraId="38D6BBFD" w14:textId="77777777" w:rsidR="007E665C" w:rsidRPr="00A5164A" w:rsidRDefault="007E665C" w:rsidP="00836A75">
            <w:pPr>
              <w:pStyle w:val="NoSpacing"/>
              <w:cnfStyle w:val="100000000000" w:firstRow="1" w:lastRow="0" w:firstColumn="0" w:lastColumn="0" w:oddVBand="0" w:evenVBand="0" w:oddHBand="0" w:evenHBand="0" w:firstRowFirstColumn="0" w:firstRowLastColumn="0" w:lastRowFirstColumn="0" w:lastRowLastColumn="0"/>
              <w:rPr>
                <w:noProof/>
              </w:rPr>
            </w:pPr>
            <w:r w:rsidRPr="00A5164A">
              <w:rPr>
                <w:noProof/>
              </w:rPr>
              <w:t>Gecalculeerde vertrouwen</w:t>
            </w:r>
          </w:p>
        </w:tc>
        <w:tc>
          <w:tcPr>
            <w:tcW w:w="2410" w:type="dxa"/>
          </w:tcPr>
          <w:p w14:paraId="20F6A5DD" w14:textId="77777777" w:rsidR="007E665C" w:rsidRPr="00A5164A" w:rsidRDefault="007E665C" w:rsidP="00836A75">
            <w:pPr>
              <w:pStyle w:val="NoSpacing"/>
              <w:cnfStyle w:val="100000000000" w:firstRow="1" w:lastRow="0" w:firstColumn="0" w:lastColumn="0" w:oddVBand="0" w:evenVBand="0" w:oddHBand="0" w:evenHBand="0" w:firstRowFirstColumn="0" w:firstRowLastColumn="0" w:lastRowFirstColumn="0" w:lastRowLastColumn="0"/>
              <w:rPr>
                <w:noProof/>
              </w:rPr>
            </w:pPr>
            <w:r w:rsidRPr="00A5164A">
              <w:rPr>
                <w:noProof/>
              </w:rPr>
              <w:t>Relationele vertrouwen</w:t>
            </w:r>
          </w:p>
        </w:tc>
      </w:tr>
      <w:tr w:rsidR="007E665C" w:rsidRPr="00A5164A" w14:paraId="00F5626F" w14:textId="77777777" w:rsidTr="00A5164A">
        <w:trPr>
          <w:trHeight w:val="176"/>
        </w:trPr>
        <w:tc>
          <w:tcPr>
            <w:cnfStyle w:val="001000000000" w:firstRow="0" w:lastRow="0" w:firstColumn="1" w:lastColumn="0" w:oddVBand="0" w:evenVBand="0" w:oddHBand="0" w:evenHBand="0" w:firstRowFirstColumn="0" w:firstRowLastColumn="0" w:lastRowFirstColumn="0" w:lastRowLastColumn="0"/>
            <w:tcW w:w="583" w:type="dxa"/>
          </w:tcPr>
          <w:p w14:paraId="5F6F806E" w14:textId="77777777" w:rsidR="007E665C" w:rsidRPr="00A5164A" w:rsidRDefault="007E665C" w:rsidP="00836A75">
            <w:pPr>
              <w:pStyle w:val="NoSpacing"/>
              <w:rPr>
                <w:noProof/>
              </w:rPr>
            </w:pPr>
            <w:r w:rsidRPr="00A5164A">
              <w:rPr>
                <w:noProof/>
              </w:rPr>
              <w:t>R1</w:t>
            </w:r>
          </w:p>
        </w:tc>
        <w:tc>
          <w:tcPr>
            <w:tcW w:w="1964" w:type="dxa"/>
          </w:tcPr>
          <w:p w14:paraId="539ED679" w14:textId="77777777" w:rsidR="007E665C" w:rsidRPr="00A5164A" w:rsidRDefault="007E665C" w:rsidP="00836A75">
            <w:pPr>
              <w:pStyle w:val="NoSpacing"/>
              <w:cnfStyle w:val="000000000000" w:firstRow="0" w:lastRow="0" w:firstColumn="0" w:lastColumn="0" w:oddVBand="0" w:evenVBand="0" w:oddHBand="0" w:evenHBand="0" w:firstRowFirstColumn="0" w:firstRowLastColumn="0" w:lastRowFirstColumn="0" w:lastRowLastColumn="0"/>
              <w:rPr>
                <w:noProof/>
              </w:rPr>
            </w:pPr>
            <w:r w:rsidRPr="00A5164A">
              <w:rPr>
                <w:noProof/>
              </w:rPr>
              <w:t>Zwak</w:t>
            </w:r>
          </w:p>
        </w:tc>
        <w:tc>
          <w:tcPr>
            <w:tcW w:w="2693" w:type="dxa"/>
          </w:tcPr>
          <w:p w14:paraId="0F96C9FC" w14:textId="77777777" w:rsidR="007E665C" w:rsidRPr="00A5164A" w:rsidRDefault="007E665C" w:rsidP="00836A75">
            <w:pPr>
              <w:pStyle w:val="NoSpacing"/>
              <w:cnfStyle w:val="000000000000" w:firstRow="0" w:lastRow="0" w:firstColumn="0" w:lastColumn="0" w:oddVBand="0" w:evenVBand="0" w:oddHBand="0" w:evenHBand="0" w:firstRowFirstColumn="0" w:firstRowLastColumn="0" w:lastRowFirstColumn="0" w:lastRowLastColumn="0"/>
              <w:rPr>
                <w:noProof/>
              </w:rPr>
            </w:pPr>
            <w:r w:rsidRPr="00A5164A">
              <w:rPr>
                <w:noProof/>
              </w:rPr>
              <w:t>Sterk</w:t>
            </w:r>
          </w:p>
        </w:tc>
        <w:tc>
          <w:tcPr>
            <w:tcW w:w="2410" w:type="dxa"/>
          </w:tcPr>
          <w:p w14:paraId="26CF7CD9" w14:textId="77777777" w:rsidR="007E665C" w:rsidRPr="00A5164A" w:rsidRDefault="007E665C" w:rsidP="00836A75">
            <w:pPr>
              <w:pStyle w:val="NoSpacing"/>
              <w:cnfStyle w:val="000000000000" w:firstRow="0" w:lastRow="0" w:firstColumn="0" w:lastColumn="0" w:oddVBand="0" w:evenVBand="0" w:oddHBand="0" w:evenHBand="0" w:firstRowFirstColumn="0" w:firstRowLastColumn="0" w:lastRowFirstColumn="0" w:lastRowLastColumn="0"/>
              <w:rPr>
                <w:noProof/>
              </w:rPr>
            </w:pPr>
            <w:r w:rsidRPr="00A5164A">
              <w:rPr>
                <w:noProof/>
              </w:rPr>
              <w:t>Sterk</w:t>
            </w:r>
          </w:p>
        </w:tc>
      </w:tr>
      <w:tr w:rsidR="007E665C" w:rsidRPr="00A5164A" w14:paraId="73F28FCD" w14:textId="77777777" w:rsidTr="00A5164A">
        <w:trPr>
          <w:trHeight w:val="186"/>
        </w:trPr>
        <w:tc>
          <w:tcPr>
            <w:cnfStyle w:val="001000000000" w:firstRow="0" w:lastRow="0" w:firstColumn="1" w:lastColumn="0" w:oddVBand="0" w:evenVBand="0" w:oddHBand="0" w:evenHBand="0" w:firstRowFirstColumn="0" w:firstRowLastColumn="0" w:lastRowFirstColumn="0" w:lastRowLastColumn="0"/>
            <w:tcW w:w="583" w:type="dxa"/>
          </w:tcPr>
          <w:p w14:paraId="60CDE861" w14:textId="77777777" w:rsidR="007E665C" w:rsidRPr="00A5164A" w:rsidRDefault="007E665C" w:rsidP="00836A75">
            <w:pPr>
              <w:pStyle w:val="NoSpacing"/>
              <w:rPr>
                <w:noProof/>
              </w:rPr>
            </w:pPr>
            <w:r w:rsidRPr="00A5164A">
              <w:rPr>
                <w:noProof/>
              </w:rPr>
              <w:t>R2</w:t>
            </w:r>
          </w:p>
        </w:tc>
        <w:tc>
          <w:tcPr>
            <w:tcW w:w="1964" w:type="dxa"/>
          </w:tcPr>
          <w:p w14:paraId="5658C9F3" w14:textId="77777777" w:rsidR="007E665C" w:rsidRPr="00A5164A" w:rsidRDefault="007E665C" w:rsidP="00836A75">
            <w:pPr>
              <w:pStyle w:val="NoSpacing"/>
              <w:cnfStyle w:val="000000000000" w:firstRow="0" w:lastRow="0" w:firstColumn="0" w:lastColumn="0" w:oddVBand="0" w:evenVBand="0" w:oddHBand="0" w:evenHBand="0" w:firstRowFirstColumn="0" w:firstRowLastColumn="0" w:lastRowFirstColumn="0" w:lastRowLastColumn="0"/>
              <w:rPr>
                <w:noProof/>
              </w:rPr>
            </w:pPr>
            <w:r w:rsidRPr="00A5164A">
              <w:rPr>
                <w:noProof/>
              </w:rPr>
              <w:t>Sterk</w:t>
            </w:r>
          </w:p>
        </w:tc>
        <w:tc>
          <w:tcPr>
            <w:tcW w:w="2693" w:type="dxa"/>
          </w:tcPr>
          <w:p w14:paraId="2748461F" w14:textId="77777777" w:rsidR="007E665C" w:rsidRPr="00A5164A" w:rsidRDefault="007E665C" w:rsidP="00836A75">
            <w:pPr>
              <w:pStyle w:val="NoSpacing"/>
              <w:cnfStyle w:val="000000000000" w:firstRow="0" w:lastRow="0" w:firstColumn="0" w:lastColumn="0" w:oddVBand="0" w:evenVBand="0" w:oddHBand="0" w:evenHBand="0" w:firstRowFirstColumn="0" w:firstRowLastColumn="0" w:lastRowFirstColumn="0" w:lastRowLastColumn="0"/>
              <w:rPr>
                <w:noProof/>
              </w:rPr>
            </w:pPr>
            <w:r w:rsidRPr="00A5164A">
              <w:rPr>
                <w:noProof/>
              </w:rPr>
              <w:t>Neutraal</w:t>
            </w:r>
          </w:p>
        </w:tc>
        <w:tc>
          <w:tcPr>
            <w:tcW w:w="2410" w:type="dxa"/>
          </w:tcPr>
          <w:p w14:paraId="1AB6DABF" w14:textId="77777777" w:rsidR="007E665C" w:rsidRPr="00A5164A" w:rsidRDefault="007E665C" w:rsidP="00836A75">
            <w:pPr>
              <w:pStyle w:val="NoSpacing"/>
              <w:cnfStyle w:val="000000000000" w:firstRow="0" w:lastRow="0" w:firstColumn="0" w:lastColumn="0" w:oddVBand="0" w:evenVBand="0" w:oddHBand="0" w:evenHBand="0" w:firstRowFirstColumn="0" w:firstRowLastColumn="0" w:lastRowFirstColumn="0" w:lastRowLastColumn="0"/>
              <w:rPr>
                <w:noProof/>
              </w:rPr>
            </w:pPr>
            <w:r w:rsidRPr="00A5164A">
              <w:rPr>
                <w:noProof/>
              </w:rPr>
              <w:t>Sterk</w:t>
            </w:r>
          </w:p>
        </w:tc>
      </w:tr>
      <w:tr w:rsidR="007E665C" w:rsidRPr="00A5164A" w14:paraId="03FB69F2" w14:textId="77777777" w:rsidTr="00A5164A">
        <w:trPr>
          <w:trHeight w:val="176"/>
        </w:trPr>
        <w:tc>
          <w:tcPr>
            <w:cnfStyle w:val="001000000000" w:firstRow="0" w:lastRow="0" w:firstColumn="1" w:lastColumn="0" w:oddVBand="0" w:evenVBand="0" w:oddHBand="0" w:evenHBand="0" w:firstRowFirstColumn="0" w:firstRowLastColumn="0" w:lastRowFirstColumn="0" w:lastRowLastColumn="0"/>
            <w:tcW w:w="583" w:type="dxa"/>
          </w:tcPr>
          <w:p w14:paraId="3B839113" w14:textId="77777777" w:rsidR="007E665C" w:rsidRPr="00A5164A" w:rsidRDefault="007E665C" w:rsidP="00836A75">
            <w:pPr>
              <w:pStyle w:val="NoSpacing"/>
              <w:rPr>
                <w:noProof/>
              </w:rPr>
            </w:pPr>
            <w:r w:rsidRPr="00A5164A">
              <w:rPr>
                <w:noProof/>
              </w:rPr>
              <w:t>R3</w:t>
            </w:r>
          </w:p>
        </w:tc>
        <w:tc>
          <w:tcPr>
            <w:tcW w:w="1964" w:type="dxa"/>
          </w:tcPr>
          <w:p w14:paraId="41616B6E" w14:textId="77777777" w:rsidR="007E665C" w:rsidRPr="00A5164A" w:rsidRDefault="007E665C" w:rsidP="00836A75">
            <w:pPr>
              <w:pStyle w:val="NoSpacing"/>
              <w:cnfStyle w:val="000000000000" w:firstRow="0" w:lastRow="0" w:firstColumn="0" w:lastColumn="0" w:oddVBand="0" w:evenVBand="0" w:oddHBand="0" w:evenHBand="0" w:firstRowFirstColumn="0" w:firstRowLastColumn="0" w:lastRowFirstColumn="0" w:lastRowLastColumn="0"/>
              <w:rPr>
                <w:noProof/>
              </w:rPr>
            </w:pPr>
            <w:r w:rsidRPr="00A5164A">
              <w:rPr>
                <w:noProof/>
              </w:rPr>
              <w:t>Zwak</w:t>
            </w:r>
          </w:p>
        </w:tc>
        <w:tc>
          <w:tcPr>
            <w:tcW w:w="2693" w:type="dxa"/>
          </w:tcPr>
          <w:p w14:paraId="51633985" w14:textId="77777777" w:rsidR="007E665C" w:rsidRPr="00A5164A" w:rsidRDefault="007E665C" w:rsidP="00836A75">
            <w:pPr>
              <w:pStyle w:val="NoSpacing"/>
              <w:cnfStyle w:val="000000000000" w:firstRow="0" w:lastRow="0" w:firstColumn="0" w:lastColumn="0" w:oddVBand="0" w:evenVBand="0" w:oddHBand="0" w:evenHBand="0" w:firstRowFirstColumn="0" w:firstRowLastColumn="0" w:lastRowFirstColumn="0" w:lastRowLastColumn="0"/>
              <w:rPr>
                <w:noProof/>
              </w:rPr>
            </w:pPr>
            <w:r w:rsidRPr="00A5164A">
              <w:rPr>
                <w:noProof/>
              </w:rPr>
              <w:t>Sterk</w:t>
            </w:r>
          </w:p>
        </w:tc>
        <w:tc>
          <w:tcPr>
            <w:tcW w:w="2410" w:type="dxa"/>
          </w:tcPr>
          <w:p w14:paraId="66A285FF" w14:textId="77777777" w:rsidR="007E665C" w:rsidRPr="00A5164A" w:rsidRDefault="007E665C" w:rsidP="00836A75">
            <w:pPr>
              <w:pStyle w:val="NoSpacing"/>
              <w:cnfStyle w:val="000000000000" w:firstRow="0" w:lastRow="0" w:firstColumn="0" w:lastColumn="0" w:oddVBand="0" w:evenVBand="0" w:oddHBand="0" w:evenHBand="0" w:firstRowFirstColumn="0" w:firstRowLastColumn="0" w:lastRowFirstColumn="0" w:lastRowLastColumn="0"/>
              <w:rPr>
                <w:noProof/>
              </w:rPr>
            </w:pPr>
            <w:r w:rsidRPr="00A5164A">
              <w:rPr>
                <w:noProof/>
              </w:rPr>
              <w:t>Sterk</w:t>
            </w:r>
          </w:p>
        </w:tc>
      </w:tr>
      <w:tr w:rsidR="007E665C" w:rsidRPr="00A5164A" w14:paraId="58BA5360" w14:textId="77777777" w:rsidTr="00A5164A">
        <w:trPr>
          <w:trHeight w:val="180"/>
        </w:trPr>
        <w:tc>
          <w:tcPr>
            <w:cnfStyle w:val="001000000000" w:firstRow="0" w:lastRow="0" w:firstColumn="1" w:lastColumn="0" w:oddVBand="0" w:evenVBand="0" w:oddHBand="0" w:evenHBand="0" w:firstRowFirstColumn="0" w:firstRowLastColumn="0" w:lastRowFirstColumn="0" w:lastRowLastColumn="0"/>
            <w:tcW w:w="583" w:type="dxa"/>
          </w:tcPr>
          <w:p w14:paraId="5F1C2860" w14:textId="77777777" w:rsidR="007E665C" w:rsidRPr="00A5164A" w:rsidRDefault="007E665C" w:rsidP="00836A75">
            <w:pPr>
              <w:pStyle w:val="NoSpacing"/>
              <w:rPr>
                <w:noProof/>
              </w:rPr>
            </w:pPr>
            <w:r w:rsidRPr="00A5164A">
              <w:rPr>
                <w:noProof/>
              </w:rPr>
              <w:t>R4</w:t>
            </w:r>
          </w:p>
        </w:tc>
        <w:tc>
          <w:tcPr>
            <w:tcW w:w="1964" w:type="dxa"/>
          </w:tcPr>
          <w:p w14:paraId="5645E54F" w14:textId="77777777" w:rsidR="007E665C" w:rsidRPr="00A5164A" w:rsidRDefault="007E665C" w:rsidP="00836A75">
            <w:pPr>
              <w:pStyle w:val="NoSpacing"/>
              <w:cnfStyle w:val="000000000000" w:firstRow="0" w:lastRow="0" w:firstColumn="0" w:lastColumn="0" w:oddVBand="0" w:evenVBand="0" w:oddHBand="0" w:evenHBand="0" w:firstRowFirstColumn="0" w:firstRowLastColumn="0" w:lastRowFirstColumn="0" w:lastRowLastColumn="0"/>
              <w:rPr>
                <w:noProof/>
              </w:rPr>
            </w:pPr>
            <w:r w:rsidRPr="00A5164A">
              <w:rPr>
                <w:noProof/>
              </w:rPr>
              <w:t>Zwak</w:t>
            </w:r>
          </w:p>
        </w:tc>
        <w:tc>
          <w:tcPr>
            <w:tcW w:w="2693" w:type="dxa"/>
          </w:tcPr>
          <w:p w14:paraId="527AD9E5" w14:textId="77777777" w:rsidR="007E665C" w:rsidRPr="00A5164A" w:rsidRDefault="007E665C" w:rsidP="00836A75">
            <w:pPr>
              <w:pStyle w:val="NoSpacing"/>
              <w:cnfStyle w:val="000000000000" w:firstRow="0" w:lastRow="0" w:firstColumn="0" w:lastColumn="0" w:oddVBand="0" w:evenVBand="0" w:oddHBand="0" w:evenHBand="0" w:firstRowFirstColumn="0" w:firstRowLastColumn="0" w:lastRowFirstColumn="0" w:lastRowLastColumn="0"/>
              <w:rPr>
                <w:noProof/>
              </w:rPr>
            </w:pPr>
            <w:r w:rsidRPr="00A5164A">
              <w:rPr>
                <w:noProof/>
              </w:rPr>
              <w:t>Sterk</w:t>
            </w:r>
          </w:p>
        </w:tc>
        <w:tc>
          <w:tcPr>
            <w:tcW w:w="2410" w:type="dxa"/>
          </w:tcPr>
          <w:p w14:paraId="4E0609FF" w14:textId="77777777" w:rsidR="007E665C" w:rsidRPr="00A5164A" w:rsidRDefault="007E665C" w:rsidP="00836A75">
            <w:pPr>
              <w:pStyle w:val="NoSpacing"/>
              <w:cnfStyle w:val="000000000000" w:firstRow="0" w:lastRow="0" w:firstColumn="0" w:lastColumn="0" w:oddVBand="0" w:evenVBand="0" w:oddHBand="0" w:evenHBand="0" w:firstRowFirstColumn="0" w:firstRowLastColumn="0" w:lastRowFirstColumn="0" w:lastRowLastColumn="0"/>
              <w:rPr>
                <w:noProof/>
              </w:rPr>
            </w:pPr>
            <w:r w:rsidRPr="00A5164A">
              <w:rPr>
                <w:noProof/>
              </w:rPr>
              <w:t>Neutraal</w:t>
            </w:r>
          </w:p>
        </w:tc>
      </w:tr>
      <w:tr w:rsidR="007E665C" w:rsidRPr="00A5164A" w14:paraId="6EA5C775" w14:textId="77777777" w:rsidTr="00A5164A">
        <w:trPr>
          <w:trHeight w:val="199"/>
        </w:trPr>
        <w:tc>
          <w:tcPr>
            <w:cnfStyle w:val="001000000000" w:firstRow="0" w:lastRow="0" w:firstColumn="1" w:lastColumn="0" w:oddVBand="0" w:evenVBand="0" w:oddHBand="0" w:evenHBand="0" w:firstRowFirstColumn="0" w:firstRowLastColumn="0" w:lastRowFirstColumn="0" w:lastRowLastColumn="0"/>
            <w:tcW w:w="583" w:type="dxa"/>
          </w:tcPr>
          <w:p w14:paraId="7F1D7E9C" w14:textId="77777777" w:rsidR="007E665C" w:rsidRPr="00A5164A" w:rsidRDefault="007E665C" w:rsidP="00836A75">
            <w:pPr>
              <w:pStyle w:val="NoSpacing"/>
              <w:rPr>
                <w:noProof/>
              </w:rPr>
            </w:pPr>
            <w:r w:rsidRPr="00A5164A">
              <w:rPr>
                <w:noProof/>
              </w:rPr>
              <w:t>R5</w:t>
            </w:r>
          </w:p>
        </w:tc>
        <w:tc>
          <w:tcPr>
            <w:tcW w:w="1964" w:type="dxa"/>
          </w:tcPr>
          <w:p w14:paraId="298F26BA" w14:textId="77777777" w:rsidR="007E665C" w:rsidRPr="00A5164A" w:rsidRDefault="007E665C" w:rsidP="00836A75">
            <w:pPr>
              <w:pStyle w:val="NoSpacing"/>
              <w:cnfStyle w:val="000000000000" w:firstRow="0" w:lastRow="0" w:firstColumn="0" w:lastColumn="0" w:oddVBand="0" w:evenVBand="0" w:oddHBand="0" w:evenHBand="0" w:firstRowFirstColumn="0" w:firstRowLastColumn="0" w:lastRowFirstColumn="0" w:lastRowLastColumn="0"/>
              <w:rPr>
                <w:noProof/>
              </w:rPr>
            </w:pPr>
            <w:r w:rsidRPr="00A5164A">
              <w:rPr>
                <w:noProof/>
              </w:rPr>
              <w:t>Neutraal</w:t>
            </w:r>
          </w:p>
        </w:tc>
        <w:tc>
          <w:tcPr>
            <w:tcW w:w="2693" w:type="dxa"/>
          </w:tcPr>
          <w:p w14:paraId="73CD7161" w14:textId="77777777" w:rsidR="007E665C" w:rsidRPr="00A5164A" w:rsidRDefault="007E665C" w:rsidP="00836A75">
            <w:pPr>
              <w:pStyle w:val="NoSpacing"/>
              <w:cnfStyle w:val="000000000000" w:firstRow="0" w:lastRow="0" w:firstColumn="0" w:lastColumn="0" w:oddVBand="0" w:evenVBand="0" w:oddHBand="0" w:evenHBand="0" w:firstRowFirstColumn="0" w:firstRowLastColumn="0" w:lastRowFirstColumn="0" w:lastRowLastColumn="0"/>
              <w:rPr>
                <w:noProof/>
              </w:rPr>
            </w:pPr>
            <w:r w:rsidRPr="00A5164A">
              <w:rPr>
                <w:noProof/>
              </w:rPr>
              <w:t>Sterk</w:t>
            </w:r>
          </w:p>
        </w:tc>
        <w:tc>
          <w:tcPr>
            <w:tcW w:w="2410" w:type="dxa"/>
          </w:tcPr>
          <w:p w14:paraId="2B837ED7" w14:textId="77777777" w:rsidR="007E665C" w:rsidRPr="00A5164A" w:rsidRDefault="007E665C" w:rsidP="00836A75">
            <w:pPr>
              <w:pStyle w:val="NoSpacing"/>
              <w:cnfStyle w:val="000000000000" w:firstRow="0" w:lastRow="0" w:firstColumn="0" w:lastColumn="0" w:oddVBand="0" w:evenVBand="0" w:oddHBand="0" w:evenHBand="0" w:firstRowFirstColumn="0" w:firstRowLastColumn="0" w:lastRowFirstColumn="0" w:lastRowLastColumn="0"/>
              <w:rPr>
                <w:noProof/>
              </w:rPr>
            </w:pPr>
            <w:r w:rsidRPr="00A5164A">
              <w:rPr>
                <w:noProof/>
              </w:rPr>
              <w:t>Sterk</w:t>
            </w:r>
          </w:p>
        </w:tc>
      </w:tr>
      <w:tr w:rsidR="007E665C" w:rsidRPr="00A5164A" w14:paraId="1EADB909" w14:textId="77777777" w:rsidTr="00A5164A">
        <w:trPr>
          <w:trHeight w:val="202"/>
        </w:trPr>
        <w:tc>
          <w:tcPr>
            <w:cnfStyle w:val="001000000000" w:firstRow="0" w:lastRow="0" w:firstColumn="1" w:lastColumn="0" w:oddVBand="0" w:evenVBand="0" w:oddHBand="0" w:evenHBand="0" w:firstRowFirstColumn="0" w:firstRowLastColumn="0" w:lastRowFirstColumn="0" w:lastRowLastColumn="0"/>
            <w:tcW w:w="583" w:type="dxa"/>
          </w:tcPr>
          <w:p w14:paraId="68E1CD09" w14:textId="77777777" w:rsidR="007E665C" w:rsidRPr="00A5164A" w:rsidRDefault="007E665C" w:rsidP="00836A75">
            <w:pPr>
              <w:pStyle w:val="NoSpacing"/>
              <w:rPr>
                <w:noProof/>
              </w:rPr>
            </w:pPr>
            <w:r w:rsidRPr="00A5164A">
              <w:rPr>
                <w:noProof/>
              </w:rPr>
              <w:t>R6</w:t>
            </w:r>
          </w:p>
        </w:tc>
        <w:tc>
          <w:tcPr>
            <w:tcW w:w="1964" w:type="dxa"/>
          </w:tcPr>
          <w:p w14:paraId="3983C416" w14:textId="77777777" w:rsidR="007E665C" w:rsidRPr="00A5164A" w:rsidRDefault="007E665C" w:rsidP="00836A75">
            <w:pPr>
              <w:pStyle w:val="NoSpacing"/>
              <w:cnfStyle w:val="000000000000" w:firstRow="0" w:lastRow="0" w:firstColumn="0" w:lastColumn="0" w:oddVBand="0" w:evenVBand="0" w:oddHBand="0" w:evenHBand="0" w:firstRowFirstColumn="0" w:firstRowLastColumn="0" w:lastRowFirstColumn="0" w:lastRowLastColumn="0"/>
              <w:rPr>
                <w:noProof/>
              </w:rPr>
            </w:pPr>
            <w:r w:rsidRPr="00A5164A">
              <w:rPr>
                <w:noProof/>
              </w:rPr>
              <w:t>Zwak</w:t>
            </w:r>
          </w:p>
        </w:tc>
        <w:tc>
          <w:tcPr>
            <w:tcW w:w="2693" w:type="dxa"/>
          </w:tcPr>
          <w:p w14:paraId="0F065676" w14:textId="77777777" w:rsidR="007E665C" w:rsidRPr="00A5164A" w:rsidRDefault="007E665C" w:rsidP="00836A75">
            <w:pPr>
              <w:pStyle w:val="NoSpacing"/>
              <w:cnfStyle w:val="000000000000" w:firstRow="0" w:lastRow="0" w:firstColumn="0" w:lastColumn="0" w:oddVBand="0" w:evenVBand="0" w:oddHBand="0" w:evenHBand="0" w:firstRowFirstColumn="0" w:firstRowLastColumn="0" w:lastRowFirstColumn="0" w:lastRowLastColumn="0"/>
              <w:rPr>
                <w:noProof/>
              </w:rPr>
            </w:pPr>
            <w:r w:rsidRPr="00A5164A">
              <w:rPr>
                <w:noProof/>
              </w:rPr>
              <w:t>Neutraal</w:t>
            </w:r>
          </w:p>
        </w:tc>
        <w:tc>
          <w:tcPr>
            <w:tcW w:w="2410" w:type="dxa"/>
          </w:tcPr>
          <w:p w14:paraId="012FB7E0" w14:textId="77777777" w:rsidR="007E665C" w:rsidRPr="00A5164A" w:rsidRDefault="007E665C" w:rsidP="00836A75">
            <w:pPr>
              <w:pStyle w:val="NoSpacing"/>
              <w:cnfStyle w:val="000000000000" w:firstRow="0" w:lastRow="0" w:firstColumn="0" w:lastColumn="0" w:oddVBand="0" w:evenVBand="0" w:oddHBand="0" w:evenHBand="0" w:firstRowFirstColumn="0" w:firstRowLastColumn="0" w:lastRowFirstColumn="0" w:lastRowLastColumn="0"/>
              <w:rPr>
                <w:noProof/>
              </w:rPr>
            </w:pPr>
            <w:r w:rsidRPr="00A5164A">
              <w:rPr>
                <w:noProof/>
              </w:rPr>
              <w:t>Sterk</w:t>
            </w:r>
          </w:p>
        </w:tc>
      </w:tr>
      <w:tr w:rsidR="007E665C" w:rsidRPr="00A5164A" w14:paraId="1B306867" w14:textId="77777777" w:rsidTr="00A5164A">
        <w:trPr>
          <w:trHeight w:val="206"/>
        </w:trPr>
        <w:tc>
          <w:tcPr>
            <w:cnfStyle w:val="001000000000" w:firstRow="0" w:lastRow="0" w:firstColumn="1" w:lastColumn="0" w:oddVBand="0" w:evenVBand="0" w:oddHBand="0" w:evenHBand="0" w:firstRowFirstColumn="0" w:firstRowLastColumn="0" w:lastRowFirstColumn="0" w:lastRowLastColumn="0"/>
            <w:tcW w:w="583" w:type="dxa"/>
          </w:tcPr>
          <w:p w14:paraId="09A04BA4" w14:textId="77777777" w:rsidR="007E665C" w:rsidRPr="00A5164A" w:rsidRDefault="007E665C" w:rsidP="00836A75">
            <w:pPr>
              <w:pStyle w:val="NoSpacing"/>
              <w:rPr>
                <w:noProof/>
              </w:rPr>
            </w:pPr>
            <w:r w:rsidRPr="00A5164A">
              <w:rPr>
                <w:noProof/>
              </w:rPr>
              <w:t>R7</w:t>
            </w:r>
          </w:p>
        </w:tc>
        <w:tc>
          <w:tcPr>
            <w:tcW w:w="1964" w:type="dxa"/>
          </w:tcPr>
          <w:p w14:paraId="6582887D" w14:textId="77777777" w:rsidR="007E665C" w:rsidRPr="00A5164A" w:rsidRDefault="007E665C" w:rsidP="00836A75">
            <w:pPr>
              <w:pStyle w:val="NoSpacing"/>
              <w:cnfStyle w:val="000000000000" w:firstRow="0" w:lastRow="0" w:firstColumn="0" w:lastColumn="0" w:oddVBand="0" w:evenVBand="0" w:oddHBand="0" w:evenHBand="0" w:firstRowFirstColumn="0" w:firstRowLastColumn="0" w:lastRowFirstColumn="0" w:lastRowLastColumn="0"/>
              <w:rPr>
                <w:noProof/>
              </w:rPr>
            </w:pPr>
            <w:r w:rsidRPr="00A5164A">
              <w:rPr>
                <w:noProof/>
              </w:rPr>
              <w:t>Sterk</w:t>
            </w:r>
          </w:p>
        </w:tc>
        <w:tc>
          <w:tcPr>
            <w:tcW w:w="2693" w:type="dxa"/>
          </w:tcPr>
          <w:p w14:paraId="5BBB048E" w14:textId="77777777" w:rsidR="007E665C" w:rsidRPr="00A5164A" w:rsidRDefault="007E665C" w:rsidP="00836A75">
            <w:pPr>
              <w:pStyle w:val="NoSpacing"/>
              <w:cnfStyle w:val="000000000000" w:firstRow="0" w:lastRow="0" w:firstColumn="0" w:lastColumn="0" w:oddVBand="0" w:evenVBand="0" w:oddHBand="0" w:evenHBand="0" w:firstRowFirstColumn="0" w:firstRowLastColumn="0" w:lastRowFirstColumn="0" w:lastRowLastColumn="0"/>
              <w:rPr>
                <w:noProof/>
              </w:rPr>
            </w:pPr>
            <w:r w:rsidRPr="00A5164A">
              <w:rPr>
                <w:noProof/>
              </w:rPr>
              <w:t>Sterk</w:t>
            </w:r>
          </w:p>
        </w:tc>
        <w:tc>
          <w:tcPr>
            <w:tcW w:w="2410" w:type="dxa"/>
          </w:tcPr>
          <w:p w14:paraId="30AA955A" w14:textId="77777777" w:rsidR="007E665C" w:rsidRPr="00A5164A" w:rsidRDefault="007E665C" w:rsidP="00836A75">
            <w:pPr>
              <w:pStyle w:val="NoSpacing"/>
              <w:cnfStyle w:val="000000000000" w:firstRow="0" w:lastRow="0" w:firstColumn="0" w:lastColumn="0" w:oddVBand="0" w:evenVBand="0" w:oddHBand="0" w:evenHBand="0" w:firstRowFirstColumn="0" w:firstRowLastColumn="0" w:lastRowFirstColumn="0" w:lastRowLastColumn="0"/>
              <w:rPr>
                <w:noProof/>
              </w:rPr>
            </w:pPr>
            <w:r w:rsidRPr="00A5164A">
              <w:rPr>
                <w:noProof/>
              </w:rPr>
              <w:t>Sterk</w:t>
            </w:r>
          </w:p>
        </w:tc>
      </w:tr>
      <w:tr w:rsidR="007E665C" w:rsidRPr="00A5164A" w14:paraId="08706FBD" w14:textId="77777777" w:rsidTr="00A5164A">
        <w:trPr>
          <w:trHeight w:val="196"/>
        </w:trPr>
        <w:tc>
          <w:tcPr>
            <w:cnfStyle w:val="001000000000" w:firstRow="0" w:lastRow="0" w:firstColumn="1" w:lastColumn="0" w:oddVBand="0" w:evenVBand="0" w:oddHBand="0" w:evenHBand="0" w:firstRowFirstColumn="0" w:firstRowLastColumn="0" w:lastRowFirstColumn="0" w:lastRowLastColumn="0"/>
            <w:tcW w:w="583" w:type="dxa"/>
          </w:tcPr>
          <w:p w14:paraId="2B21EE91" w14:textId="77777777" w:rsidR="007E665C" w:rsidRPr="00A5164A" w:rsidRDefault="007E665C" w:rsidP="00836A75">
            <w:pPr>
              <w:pStyle w:val="NoSpacing"/>
              <w:rPr>
                <w:noProof/>
              </w:rPr>
            </w:pPr>
            <w:r w:rsidRPr="00A5164A">
              <w:rPr>
                <w:noProof/>
              </w:rPr>
              <w:t>R8</w:t>
            </w:r>
          </w:p>
        </w:tc>
        <w:tc>
          <w:tcPr>
            <w:tcW w:w="1964" w:type="dxa"/>
          </w:tcPr>
          <w:p w14:paraId="4FC9FE87" w14:textId="77777777" w:rsidR="007E665C" w:rsidRPr="00A5164A" w:rsidRDefault="007E665C" w:rsidP="00836A75">
            <w:pPr>
              <w:pStyle w:val="NoSpacing"/>
              <w:cnfStyle w:val="000000000000" w:firstRow="0" w:lastRow="0" w:firstColumn="0" w:lastColumn="0" w:oddVBand="0" w:evenVBand="0" w:oddHBand="0" w:evenHBand="0" w:firstRowFirstColumn="0" w:firstRowLastColumn="0" w:lastRowFirstColumn="0" w:lastRowLastColumn="0"/>
              <w:rPr>
                <w:noProof/>
              </w:rPr>
            </w:pPr>
            <w:r w:rsidRPr="00A5164A">
              <w:rPr>
                <w:noProof/>
              </w:rPr>
              <w:t>Sterk</w:t>
            </w:r>
          </w:p>
        </w:tc>
        <w:tc>
          <w:tcPr>
            <w:tcW w:w="2693" w:type="dxa"/>
          </w:tcPr>
          <w:p w14:paraId="13365052" w14:textId="77777777" w:rsidR="007E665C" w:rsidRPr="00A5164A" w:rsidRDefault="007E665C" w:rsidP="00836A75">
            <w:pPr>
              <w:pStyle w:val="NoSpacing"/>
              <w:cnfStyle w:val="000000000000" w:firstRow="0" w:lastRow="0" w:firstColumn="0" w:lastColumn="0" w:oddVBand="0" w:evenVBand="0" w:oddHBand="0" w:evenHBand="0" w:firstRowFirstColumn="0" w:firstRowLastColumn="0" w:lastRowFirstColumn="0" w:lastRowLastColumn="0"/>
              <w:rPr>
                <w:noProof/>
              </w:rPr>
            </w:pPr>
            <w:r w:rsidRPr="00A5164A">
              <w:rPr>
                <w:noProof/>
              </w:rPr>
              <w:t>Zwak</w:t>
            </w:r>
          </w:p>
        </w:tc>
        <w:tc>
          <w:tcPr>
            <w:tcW w:w="2410" w:type="dxa"/>
          </w:tcPr>
          <w:p w14:paraId="25B41403" w14:textId="77777777" w:rsidR="007E665C" w:rsidRPr="00A5164A" w:rsidRDefault="007E665C" w:rsidP="00836A75">
            <w:pPr>
              <w:pStyle w:val="NoSpacing"/>
              <w:cnfStyle w:val="000000000000" w:firstRow="0" w:lastRow="0" w:firstColumn="0" w:lastColumn="0" w:oddVBand="0" w:evenVBand="0" w:oddHBand="0" w:evenHBand="0" w:firstRowFirstColumn="0" w:firstRowLastColumn="0" w:lastRowFirstColumn="0" w:lastRowLastColumn="0"/>
              <w:rPr>
                <w:noProof/>
              </w:rPr>
            </w:pPr>
            <w:r w:rsidRPr="00A5164A">
              <w:rPr>
                <w:noProof/>
              </w:rPr>
              <w:t>Sterk</w:t>
            </w:r>
          </w:p>
        </w:tc>
      </w:tr>
      <w:tr w:rsidR="007E665C" w:rsidRPr="00A5164A" w14:paraId="7ECF21C9" w14:textId="77777777" w:rsidTr="00A5164A">
        <w:trPr>
          <w:trHeight w:val="214"/>
        </w:trPr>
        <w:tc>
          <w:tcPr>
            <w:cnfStyle w:val="001000000000" w:firstRow="0" w:lastRow="0" w:firstColumn="1" w:lastColumn="0" w:oddVBand="0" w:evenVBand="0" w:oddHBand="0" w:evenHBand="0" w:firstRowFirstColumn="0" w:firstRowLastColumn="0" w:lastRowFirstColumn="0" w:lastRowLastColumn="0"/>
            <w:tcW w:w="583" w:type="dxa"/>
          </w:tcPr>
          <w:p w14:paraId="5C7B656C" w14:textId="77777777" w:rsidR="007E665C" w:rsidRPr="00A5164A" w:rsidRDefault="007E665C" w:rsidP="00836A75">
            <w:pPr>
              <w:pStyle w:val="NoSpacing"/>
              <w:rPr>
                <w:noProof/>
              </w:rPr>
            </w:pPr>
            <w:r w:rsidRPr="00A5164A">
              <w:rPr>
                <w:noProof/>
              </w:rPr>
              <w:t>R9</w:t>
            </w:r>
          </w:p>
        </w:tc>
        <w:tc>
          <w:tcPr>
            <w:tcW w:w="1964" w:type="dxa"/>
          </w:tcPr>
          <w:p w14:paraId="04EED02E" w14:textId="77777777" w:rsidR="007E665C" w:rsidRPr="00A5164A" w:rsidRDefault="007E665C" w:rsidP="00836A75">
            <w:pPr>
              <w:pStyle w:val="NoSpacing"/>
              <w:cnfStyle w:val="000000000000" w:firstRow="0" w:lastRow="0" w:firstColumn="0" w:lastColumn="0" w:oddVBand="0" w:evenVBand="0" w:oddHBand="0" w:evenHBand="0" w:firstRowFirstColumn="0" w:firstRowLastColumn="0" w:lastRowFirstColumn="0" w:lastRowLastColumn="0"/>
              <w:rPr>
                <w:noProof/>
              </w:rPr>
            </w:pPr>
            <w:r w:rsidRPr="00A5164A">
              <w:rPr>
                <w:noProof/>
              </w:rPr>
              <w:t>Sterk</w:t>
            </w:r>
          </w:p>
        </w:tc>
        <w:tc>
          <w:tcPr>
            <w:tcW w:w="2693" w:type="dxa"/>
          </w:tcPr>
          <w:p w14:paraId="58B5366C" w14:textId="77777777" w:rsidR="007E665C" w:rsidRPr="00A5164A" w:rsidRDefault="007E665C" w:rsidP="00836A75">
            <w:pPr>
              <w:pStyle w:val="NoSpacing"/>
              <w:cnfStyle w:val="000000000000" w:firstRow="0" w:lastRow="0" w:firstColumn="0" w:lastColumn="0" w:oddVBand="0" w:evenVBand="0" w:oddHBand="0" w:evenHBand="0" w:firstRowFirstColumn="0" w:firstRowLastColumn="0" w:lastRowFirstColumn="0" w:lastRowLastColumn="0"/>
              <w:rPr>
                <w:noProof/>
              </w:rPr>
            </w:pPr>
            <w:r w:rsidRPr="00A5164A">
              <w:rPr>
                <w:noProof/>
              </w:rPr>
              <w:t>Neutraal</w:t>
            </w:r>
          </w:p>
        </w:tc>
        <w:tc>
          <w:tcPr>
            <w:tcW w:w="2410" w:type="dxa"/>
          </w:tcPr>
          <w:p w14:paraId="3AF5B28A" w14:textId="77777777" w:rsidR="007E665C" w:rsidRPr="00A5164A" w:rsidRDefault="007E665C" w:rsidP="00836A75">
            <w:pPr>
              <w:pStyle w:val="NoSpacing"/>
              <w:cnfStyle w:val="000000000000" w:firstRow="0" w:lastRow="0" w:firstColumn="0" w:lastColumn="0" w:oddVBand="0" w:evenVBand="0" w:oddHBand="0" w:evenHBand="0" w:firstRowFirstColumn="0" w:firstRowLastColumn="0" w:lastRowFirstColumn="0" w:lastRowLastColumn="0"/>
              <w:rPr>
                <w:noProof/>
              </w:rPr>
            </w:pPr>
            <w:r w:rsidRPr="00A5164A">
              <w:rPr>
                <w:noProof/>
              </w:rPr>
              <w:t>Zwak</w:t>
            </w:r>
          </w:p>
        </w:tc>
      </w:tr>
      <w:tr w:rsidR="007E665C" w:rsidRPr="00A5164A" w14:paraId="7AB78AE6" w14:textId="77777777" w:rsidTr="00A5164A">
        <w:trPr>
          <w:trHeight w:val="218"/>
        </w:trPr>
        <w:tc>
          <w:tcPr>
            <w:cnfStyle w:val="001000000000" w:firstRow="0" w:lastRow="0" w:firstColumn="1" w:lastColumn="0" w:oddVBand="0" w:evenVBand="0" w:oddHBand="0" w:evenHBand="0" w:firstRowFirstColumn="0" w:firstRowLastColumn="0" w:lastRowFirstColumn="0" w:lastRowLastColumn="0"/>
            <w:tcW w:w="583" w:type="dxa"/>
          </w:tcPr>
          <w:p w14:paraId="6B500B10" w14:textId="77777777" w:rsidR="007E665C" w:rsidRPr="00A5164A" w:rsidRDefault="007E665C" w:rsidP="00836A75">
            <w:pPr>
              <w:pStyle w:val="NoSpacing"/>
              <w:rPr>
                <w:noProof/>
              </w:rPr>
            </w:pPr>
            <w:r w:rsidRPr="00A5164A">
              <w:rPr>
                <w:noProof/>
              </w:rPr>
              <w:t>R10</w:t>
            </w:r>
          </w:p>
        </w:tc>
        <w:tc>
          <w:tcPr>
            <w:tcW w:w="1964" w:type="dxa"/>
          </w:tcPr>
          <w:p w14:paraId="78C54624" w14:textId="77777777" w:rsidR="007E665C" w:rsidRPr="00A5164A" w:rsidRDefault="007E665C" w:rsidP="00836A75">
            <w:pPr>
              <w:pStyle w:val="NoSpacing"/>
              <w:cnfStyle w:val="000000000000" w:firstRow="0" w:lastRow="0" w:firstColumn="0" w:lastColumn="0" w:oddVBand="0" w:evenVBand="0" w:oddHBand="0" w:evenHBand="0" w:firstRowFirstColumn="0" w:firstRowLastColumn="0" w:lastRowFirstColumn="0" w:lastRowLastColumn="0"/>
              <w:rPr>
                <w:noProof/>
              </w:rPr>
            </w:pPr>
            <w:r w:rsidRPr="00A5164A">
              <w:rPr>
                <w:noProof/>
              </w:rPr>
              <w:t>Zwak</w:t>
            </w:r>
          </w:p>
        </w:tc>
        <w:tc>
          <w:tcPr>
            <w:tcW w:w="2693" w:type="dxa"/>
          </w:tcPr>
          <w:p w14:paraId="4320D17B" w14:textId="77777777" w:rsidR="007E665C" w:rsidRPr="00A5164A" w:rsidRDefault="007E665C" w:rsidP="00836A75">
            <w:pPr>
              <w:pStyle w:val="NoSpacing"/>
              <w:cnfStyle w:val="000000000000" w:firstRow="0" w:lastRow="0" w:firstColumn="0" w:lastColumn="0" w:oddVBand="0" w:evenVBand="0" w:oddHBand="0" w:evenHBand="0" w:firstRowFirstColumn="0" w:firstRowLastColumn="0" w:lastRowFirstColumn="0" w:lastRowLastColumn="0"/>
              <w:rPr>
                <w:noProof/>
              </w:rPr>
            </w:pPr>
            <w:r w:rsidRPr="00A5164A">
              <w:rPr>
                <w:noProof/>
              </w:rPr>
              <w:t>Sterk</w:t>
            </w:r>
          </w:p>
        </w:tc>
        <w:tc>
          <w:tcPr>
            <w:tcW w:w="2410" w:type="dxa"/>
          </w:tcPr>
          <w:p w14:paraId="5D114601" w14:textId="77777777" w:rsidR="007E665C" w:rsidRPr="00A5164A" w:rsidRDefault="007E665C" w:rsidP="00836A75">
            <w:pPr>
              <w:pStyle w:val="NoSpacing"/>
              <w:cnfStyle w:val="000000000000" w:firstRow="0" w:lastRow="0" w:firstColumn="0" w:lastColumn="0" w:oddVBand="0" w:evenVBand="0" w:oddHBand="0" w:evenHBand="0" w:firstRowFirstColumn="0" w:firstRowLastColumn="0" w:lastRowFirstColumn="0" w:lastRowLastColumn="0"/>
              <w:rPr>
                <w:noProof/>
              </w:rPr>
            </w:pPr>
            <w:r w:rsidRPr="00A5164A">
              <w:rPr>
                <w:noProof/>
              </w:rPr>
              <w:t>Neutraal</w:t>
            </w:r>
          </w:p>
        </w:tc>
      </w:tr>
      <w:tr w:rsidR="007E665C" w:rsidRPr="00A5164A" w14:paraId="0C03FE69" w14:textId="77777777" w:rsidTr="00A5164A">
        <w:trPr>
          <w:trHeight w:val="223"/>
        </w:trPr>
        <w:tc>
          <w:tcPr>
            <w:cnfStyle w:val="001000000000" w:firstRow="0" w:lastRow="0" w:firstColumn="1" w:lastColumn="0" w:oddVBand="0" w:evenVBand="0" w:oddHBand="0" w:evenHBand="0" w:firstRowFirstColumn="0" w:firstRowLastColumn="0" w:lastRowFirstColumn="0" w:lastRowLastColumn="0"/>
            <w:tcW w:w="583" w:type="dxa"/>
          </w:tcPr>
          <w:p w14:paraId="6E588107" w14:textId="77777777" w:rsidR="007E665C" w:rsidRPr="00A5164A" w:rsidRDefault="007E665C" w:rsidP="00836A75">
            <w:pPr>
              <w:pStyle w:val="NoSpacing"/>
              <w:rPr>
                <w:noProof/>
              </w:rPr>
            </w:pPr>
            <w:r w:rsidRPr="00A5164A">
              <w:rPr>
                <w:noProof/>
              </w:rPr>
              <w:t>R11</w:t>
            </w:r>
          </w:p>
        </w:tc>
        <w:tc>
          <w:tcPr>
            <w:tcW w:w="1964" w:type="dxa"/>
          </w:tcPr>
          <w:p w14:paraId="545AE3E6" w14:textId="77777777" w:rsidR="007E665C" w:rsidRPr="00A5164A" w:rsidRDefault="007E665C" w:rsidP="00836A75">
            <w:pPr>
              <w:pStyle w:val="NoSpacing"/>
              <w:cnfStyle w:val="000000000000" w:firstRow="0" w:lastRow="0" w:firstColumn="0" w:lastColumn="0" w:oddVBand="0" w:evenVBand="0" w:oddHBand="0" w:evenHBand="0" w:firstRowFirstColumn="0" w:firstRowLastColumn="0" w:lastRowFirstColumn="0" w:lastRowLastColumn="0"/>
              <w:rPr>
                <w:noProof/>
              </w:rPr>
            </w:pPr>
            <w:r w:rsidRPr="00A5164A">
              <w:rPr>
                <w:noProof/>
              </w:rPr>
              <w:t>Zwak</w:t>
            </w:r>
          </w:p>
        </w:tc>
        <w:tc>
          <w:tcPr>
            <w:tcW w:w="2693" w:type="dxa"/>
          </w:tcPr>
          <w:p w14:paraId="3DE5E039" w14:textId="77777777" w:rsidR="007E665C" w:rsidRPr="00A5164A" w:rsidRDefault="007E665C" w:rsidP="00836A75">
            <w:pPr>
              <w:pStyle w:val="NoSpacing"/>
              <w:cnfStyle w:val="000000000000" w:firstRow="0" w:lastRow="0" w:firstColumn="0" w:lastColumn="0" w:oddVBand="0" w:evenVBand="0" w:oddHBand="0" w:evenHBand="0" w:firstRowFirstColumn="0" w:firstRowLastColumn="0" w:lastRowFirstColumn="0" w:lastRowLastColumn="0"/>
              <w:rPr>
                <w:noProof/>
              </w:rPr>
            </w:pPr>
            <w:r w:rsidRPr="00A5164A">
              <w:rPr>
                <w:noProof/>
              </w:rPr>
              <w:t>Sterk</w:t>
            </w:r>
          </w:p>
        </w:tc>
        <w:tc>
          <w:tcPr>
            <w:tcW w:w="2410" w:type="dxa"/>
          </w:tcPr>
          <w:p w14:paraId="36D7B33D" w14:textId="77777777" w:rsidR="007E665C" w:rsidRPr="00A5164A" w:rsidRDefault="007E665C" w:rsidP="00836A75">
            <w:pPr>
              <w:pStyle w:val="NoSpacing"/>
              <w:cnfStyle w:val="000000000000" w:firstRow="0" w:lastRow="0" w:firstColumn="0" w:lastColumn="0" w:oddVBand="0" w:evenVBand="0" w:oddHBand="0" w:evenHBand="0" w:firstRowFirstColumn="0" w:firstRowLastColumn="0" w:lastRowFirstColumn="0" w:lastRowLastColumn="0"/>
              <w:rPr>
                <w:noProof/>
              </w:rPr>
            </w:pPr>
            <w:r w:rsidRPr="00A5164A">
              <w:rPr>
                <w:noProof/>
              </w:rPr>
              <w:t>Neutraal</w:t>
            </w:r>
          </w:p>
        </w:tc>
      </w:tr>
    </w:tbl>
    <w:p w14:paraId="1043AE0E" w14:textId="77777777" w:rsidR="007E665C" w:rsidRPr="00E42062" w:rsidRDefault="007E665C" w:rsidP="007E665C">
      <w:pPr>
        <w:pStyle w:val="NoSpacing"/>
        <w:rPr>
          <w:noProof/>
        </w:rPr>
      </w:pPr>
    </w:p>
    <w:p w14:paraId="0F791380" w14:textId="77777777" w:rsidR="007E665C" w:rsidRPr="00E42062" w:rsidRDefault="007E665C" w:rsidP="007E665C">
      <w:pPr>
        <w:pStyle w:val="NoSpacing"/>
        <w:rPr>
          <w:noProof/>
        </w:rPr>
      </w:pPr>
    </w:p>
    <w:p w14:paraId="32EDC2C2" w14:textId="77777777" w:rsidR="007E665C" w:rsidRPr="00E42062" w:rsidRDefault="007E665C" w:rsidP="007E665C">
      <w:pPr>
        <w:pStyle w:val="NoSpacing"/>
        <w:rPr>
          <w:b/>
          <w:noProof/>
          <w:sz w:val="20"/>
        </w:rPr>
      </w:pPr>
    </w:p>
    <w:p w14:paraId="66555B39" w14:textId="77777777" w:rsidR="007E665C" w:rsidRPr="00E42062" w:rsidRDefault="007E665C" w:rsidP="007E665C">
      <w:pPr>
        <w:pStyle w:val="NoSpacing"/>
        <w:rPr>
          <w:b/>
          <w:noProof/>
          <w:sz w:val="20"/>
        </w:rPr>
      </w:pPr>
    </w:p>
    <w:p w14:paraId="7399963C" w14:textId="77777777" w:rsidR="007E665C" w:rsidRPr="00E42062" w:rsidRDefault="007E665C" w:rsidP="007E665C">
      <w:pPr>
        <w:pStyle w:val="NoSpacing"/>
        <w:rPr>
          <w:b/>
          <w:noProof/>
          <w:sz w:val="20"/>
        </w:rPr>
      </w:pPr>
    </w:p>
    <w:p w14:paraId="662577A7" w14:textId="77777777" w:rsidR="007E665C" w:rsidRPr="00E42062" w:rsidRDefault="007E665C" w:rsidP="007E665C">
      <w:pPr>
        <w:pStyle w:val="NoSpacing"/>
        <w:rPr>
          <w:b/>
          <w:noProof/>
          <w:sz w:val="20"/>
        </w:rPr>
      </w:pPr>
    </w:p>
    <w:p w14:paraId="466C253F" w14:textId="77777777" w:rsidR="007E665C" w:rsidRPr="00E42062" w:rsidRDefault="007E665C" w:rsidP="007E665C">
      <w:pPr>
        <w:pStyle w:val="NoSpacing"/>
        <w:rPr>
          <w:b/>
          <w:noProof/>
          <w:sz w:val="20"/>
        </w:rPr>
      </w:pPr>
    </w:p>
    <w:p w14:paraId="3DDDCB16" w14:textId="77777777" w:rsidR="007E665C" w:rsidRPr="00E42062" w:rsidRDefault="007E665C" w:rsidP="007E665C">
      <w:pPr>
        <w:pStyle w:val="NoSpacing"/>
        <w:rPr>
          <w:b/>
          <w:noProof/>
          <w:sz w:val="20"/>
        </w:rPr>
      </w:pPr>
    </w:p>
    <w:p w14:paraId="00C4E5BC" w14:textId="77777777" w:rsidR="007E665C" w:rsidRPr="00E42062" w:rsidRDefault="007E665C" w:rsidP="007E665C">
      <w:pPr>
        <w:pStyle w:val="NoSpacing"/>
        <w:rPr>
          <w:b/>
          <w:noProof/>
          <w:sz w:val="20"/>
        </w:rPr>
      </w:pPr>
    </w:p>
    <w:p w14:paraId="1CAE0F80" w14:textId="77777777" w:rsidR="007E665C" w:rsidRPr="00E42062" w:rsidRDefault="007E665C" w:rsidP="007E665C">
      <w:pPr>
        <w:pStyle w:val="NoSpacing"/>
        <w:rPr>
          <w:b/>
          <w:noProof/>
          <w:sz w:val="20"/>
        </w:rPr>
      </w:pPr>
    </w:p>
    <w:p w14:paraId="5C956FCD" w14:textId="77777777" w:rsidR="007E665C" w:rsidRPr="00E42062" w:rsidRDefault="007E665C" w:rsidP="007E665C">
      <w:pPr>
        <w:pStyle w:val="NoSpacing"/>
        <w:rPr>
          <w:b/>
          <w:noProof/>
          <w:sz w:val="20"/>
        </w:rPr>
      </w:pPr>
    </w:p>
    <w:p w14:paraId="6BEEE9B1" w14:textId="77777777" w:rsidR="007E665C" w:rsidRPr="00E42062" w:rsidRDefault="007E665C" w:rsidP="007E665C">
      <w:pPr>
        <w:pStyle w:val="NoSpacing"/>
        <w:rPr>
          <w:b/>
          <w:noProof/>
          <w:sz w:val="20"/>
        </w:rPr>
      </w:pPr>
    </w:p>
    <w:p w14:paraId="47882822" w14:textId="77777777" w:rsidR="007E665C" w:rsidRPr="00E42062" w:rsidRDefault="007E665C" w:rsidP="007E665C">
      <w:pPr>
        <w:pStyle w:val="NoSpacing"/>
        <w:rPr>
          <w:b/>
          <w:noProof/>
          <w:sz w:val="20"/>
        </w:rPr>
      </w:pPr>
    </w:p>
    <w:p w14:paraId="7AB18010" w14:textId="77777777" w:rsidR="00A5164A" w:rsidRDefault="00A5164A" w:rsidP="007E665C">
      <w:pPr>
        <w:pStyle w:val="Caption"/>
        <w:rPr>
          <w:rFonts w:ascii="Verdana" w:hAnsi="Verdana"/>
          <w:b w:val="0"/>
          <w:noProof/>
          <w:sz w:val="20"/>
        </w:rPr>
      </w:pPr>
    </w:p>
    <w:p w14:paraId="4D786B81" w14:textId="582772FA" w:rsidR="007E665C" w:rsidRPr="00742253" w:rsidRDefault="007E665C" w:rsidP="00742253">
      <w:pPr>
        <w:pStyle w:val="Caption"/>
      </w:pPr>
      <w:r w:rsidRPr="00742253">
        <w:t xml:space="preserve">Tabel </w:t>
      </w:r>
      <w:r w:rsidR="00742253" w:rsidRPr="00742253">
        <w:t>1</w:t>
      </w:r>
      <w:r w:rsidR="0040657F">
        <w:t>1</w:t>
      </w:r>
      <w:r w:rsidRPr="00742253">
        <w:t>: Schematische weergave van de mate waarin de drie verschillende soorten vertrouwen een rol spelen bij de inkoop door de scholen.</w:t>
      </w:r>
    </w:p>
    <w:p w14:paraId="1FC114D3" w14:textId="77777777" w:rsidR="007E665C" w:rsidRDefault="007E665C" w:rsidP="007E665C">
      <w:pPr>
        <w:rPr>
          <w:b/>
          <w:noProof/>
        </w:rPr>
      </w:pPr>
    </w:p>
    <w:p w14:paraId="1D36ADBD" w14:textId="77777777" w:rsidR="00836A75" w:rsidRDefault="00836A75">
      <w:pPr>
        <w:kinsoku/>
        <w:autoSpaceDE/>
        <w:autoSpaceDN/>
        <w:adjustRightInd/>
        <w:spacing w:after="160" w:line="259" w:lineRule="auto"/>
        <w:rPr>
          <w:rFonts w:asciiTheme="minorHAnsi" w:eastAsiaTheme="minorHAnsi" w:hAnsiTheme="minorHAnsi"/>
          <w:b/>
          <w:noProof/>
          <w:color w:val="1F3864" w:themeColor="accent1" w:themeShade="80"/>
          <w:sz w:val="24"/>
        </w:rPr>
      </w:pPr>
      <w:r>
        <w:rPr>
          <w:noProof/>
          <w:color w:val="1F3864" w:themeColor="accent1" w:themeShade="80"/>
        </w:rPr>
        <w:br w:type="page"/>
      </w:r>
    </w:p>
    <w:p w14:paraId="4D4897C7" w14:textId="7511D26C" w:rsidR="007E665C" w:rsidRPr="00190722" w:rsidRDefault="0063417C" w:rsidP="0004389C">
      <w:pPr>
        <w:pStyle w:val="Heading2"/>
        <w:rPr>
          <w:noProof/>
          <w:color w:val="1F3864" w:themeColor="accent1" w:themeShade="80"/>
        </w:rPr>
      </w:pPr>
      <w:bookmarkStart w:id="154" w:name="_Toc517455494"/>
      <w:r w:rsidRPr="00190722">
        <w:rPr>
          <w:noProof/>
          <w:color w:val="1F3864" w:themeColor="accent1" w:themeShade="80"/>
        </w:rPr>
        <w:lastRenderedPageBreak/>
        <w:t>Variabele</w:t>
      </w:r>
      <w:r w:rsidR="007E665C" w:rsidRPr="00190722">
        <w:rPr>
          <w:noProof/>
          <w:color w:val="1F3864" w:themeColor="accent1" w:themeShade="80"/>
        </w:rPr>
        <w:t xml:space="preserve"> </w:t>
      </w:r>
      <w:r w:rsidRPr="00190722">
        <w:rPr>
          <w:noProof/>
          <w:color w:val="1F3864" w:themeColor="accent1" w:themeShade="80"/>
        </w:rPr>
        <w:t>‘</w:t>
      </w:r>
      <w:r w:rsidR="007E665C" w:rsidRPr="00190722">
        <w:rPr>
          <w:noProof/>
          <w:color w:val="1F3864" w:themeColor="accent1" w:themeShade="80"/>
        </w:rPr>
        <w:t>Institutionele setting van de publieke sector</w:t>
      </w:r>
      <w:r w:rsidRPr="00190722">
        <w:rPr>
          <w:noProof/>
          <w:color w:val="1F3864" w:themeColor="accent1" w:themeShade="80"/>
        </w:rPr>
        <w:t>’</w:t>
      </w:r>
      <w:bookmarkEnd w:id="154"/>
    </w:p>
    <w:p w14:paraId="1AB3A02F" w14:textId="77777777" w:rsidR="0004389C" w:rsidRDefault="0004389C" w:rsidP="007E665C">
      <w:pPr>
        <w:pStyle w:val="NoSpacing"/>
        <w:spacing w:line="276" w:lineRule="auto"/>
        <w:rPr>
          <w:b/>
          <w:i/>
          <w:noProof/>
        </w:rPr>
      </w:pPr>
    </w:p>
    <w:p w14:paraId="74F37ED0" w14:textId="3F94F2BE" w:rsidR="007E665C" w:rsidRPr="00190722" w:rsidRDefault="000215C1" w:rsidP="000215C1">
      <w:pPr>
        <w:pStyle w:val="Heading3"/>
        <w:rPr>
          <w:noProof/>
          <w:highlight w:val="yellow"/>
        </w:rPr>
      </w:pPr>
      <w:bookmarkStart w:id="155" w:name="_Toc517455495"/>
      <w:r w:rsidRPr="000215C1">
        <w:rPr>
          <w:noProof/>
          <w:color w:val="1F3864" w:themeColor="accent1" w:themeShade="80"/>
        </w:rPr>
        <w:t xml:space="preserve">6.3.1 </w:t>
      </w:r>
      <w:r w:rsidR="007E665C" w:rsidRPr="000215C1">
        <w:rPr>
          <w:noProof/>
          <w:color w:val="1F3864" w:themeColor="accent1" w:themeShade="80"/>
        </w:rPr>
        <w:t>De bevindingen uit de empirie</w:t>
      </w:r>
      <w:bookmarkEnd w:id="155"/>
    </w:p>
    <w:p w14:paraId="3C54E361" w14:textId="479CDA8B" w:rsidR="007E665C" w:rsidRPr="00E42062" w:rsidRDefault="007E665C" w:rsidP="007E665C">
      <w:pPr>
        <w:pStyle w:val="NoSpacing"/>
        <w:spacing w:line="276" w:lineRule="auto"/>
        <w:rPr>
          <w:noProof/>
        </w:rPr>
      </w:pPr>
      <w:r>
        <w:rPr>
          <w:noProof/>
        </w:rPr>
        <w:t>De emprie laat zien</w:t>
      </w:r>
      <w:r w:rsidRPr="00E42062">
        <w:rPr>
          <w:noProof/>
        </w:rPr>
        <w:t xml:space="preserve"> dat </w:t>
      </w:r>
      <w:r>
        <w:rPr>
          <w:noProof/>
        </w:rPr>
        <w:t>scholen niet worden beinvloedt door hun institutionele setting</w:t>
      </w:r>
      <w:r w:rsidRPr="00E42062">
        <w:rPr>
          <w:noProof/>
        </w:rPr>
        <w:t xml:space="preserve">. </w:t>
      </w:r>
      <w:r>
        <w:rPr>
          <w:noProof/>
        </w:rPr>
        <w:t>Er wordt veel waarde gehecht aan de vrijheid om een eigen koers te varen.</w:t>
      </w:r>
      <w:r w:rsidRPr="00E42062">
        <w:rPr>
          <w:noProof/>
        </w:rPr>
        <w:t xml:space="preserve"> Politieke- en omgevingsfactoren spelen nauwelijks een rol in</w:t>
      </w:r>
      <w:r>
        <w:rPr>
          <w:noProof/>
        </w:rPr>
        <w:t xml:space="preserve"> het inkooptraject</w:t>
      </w:r>
      <w:r w:rsidRPr="00E42062">
        <w:rPr>
          <w:noProof/>
        </w:rPr>
        <w:t xml:space="preserve">: “De school kent ruime mate van autonomie om de eigen keuze te maken” (Buijtendorp, 2017). </w:t>
      </w:r>
      <w:r>
        <w:rPr>
          <w:noProof/>
        </w:rPr>
        <w:t>Binnen een aantal scholen</w:t>
      </w:r>
      <w:r w:rsidRPr="00E42062">
        <w:rPr>
          <w:noProof/>
        </w:rPr>
        <w:t xml:space="preserve"> geven </w:t>
      </w:r>
      <w:r>
        <w:rPr>
          <w:noProof/>
        </w:rPr>
        <w:t>l</w:t>
      </w:r>
      <w:r w:rsidRPr="00E42062">
        <w:rPr>
          <w:noProof/>
        </w:rPr>
        <w:t xml:space="preserve">eerkrachten </w:t>
      </w:r>
      <w:r>
        <w:rPr>
          <w:noProof/>
        </w:rPr>
        <w:t xml:space="preserve">en medewerkers input voor de inkoop, met goede aansluiting van de functionaliteiten als doel. </w:t>
      </w:r>
      <w:r w:rsidRPr="00E42062">
        <w:rPr>
          <w:noProof/>
        </w:rPr>
        <w:t xml:space="preserve">Invloed vanuit andere actoren of organisaties is marginaal. </w:t>
      </w:r>
      <w:r>
        <w:rPr>
          <w:noProof/>
        </w:rPr>
        <w:t>De inkopers erkennen h</w:t>
      </w:r>
      <w:r w:rsidRPr="00E42062">
        <w:rPr>
          <w:noProof/>
        </w:rPr>
        <w:t xml:space="preserve">et bijzondere karakter van de </w:t>
      </w:r>
      <w:r>
        <w:rPr>
          <w:noProof/>
        </w:rPr>
        <w:t>onderwijsinstelling</w:t>
      </w:r>
      <w:r w:rsidRPr="00E42062">
        <w:rPr>
          <w:noProof/>
        </w:rPr>
        <w:t>, maar dit heeft weinig invloed op de wijze w</w:t>
      </w:r>
      <w:r>
        <w:rPr>
          <w:noProof/>
        </w:rPr>
        <w:t>aarop zij</w:t>
      </w:r>
      <w:r w:rsidRPr="00E42062">
        <w:rPr>
          <w:noProof/>
        </w:rPr>
        <w:t xml:space="preserve"> handelen.</w:t>
      </w:r>
      <w:r>
        <w:rPr>
          <w:noProof/>
        </w:rPr>
        <w:t xml:space="preserve"> Echter wordt de werkwijze van de respondeten beinvloedt door de regels uit de Aanbestedingsw</w:t>
      </w:r>
      <w:r w:rsidR="000B47A7">
        <w:rPr>
          <w:noProof/>
        </w:rPr>
        <w:t>et</w:t>
      </w:r>
      <w:r>
        <w:rPr>
          <w:noProof/>
        </w:rPr>
        <w:t xml:space="preserve"> </w:t>
      </w:r>
      <w:r w:rsidRPr="00E42062">
        <w:rPr>
          <w:noProof/>
        </w:rPr>
        <w:t>Zo moet er bij een aanbesteding minimaal drie offertes opgevraagd worden (R3 en R7). Volgens een aantal respondenten is er geen verschil tussen inkoop bij publieke en private instellingen (R4, R5 en R8) “Ik denk niet dat er veel verschil zit tussen een private en publieke instelling. Beide organisaties willen zo efficiënt mogelijk werken” (Van Putten, 2017). Echter wordt door vrijwel alle respondenten erkent dat zij verantwoord moete</w:t>
      </w:r>
      <w:r>
        <w:rPr>
          <w:noProof/>
        </w:rPr>
        <w:t>n omgaan met het aangereikte budget om financieel gezond te blijven</w:t>
      </w:r>
      <w:r w:rsidRPr="00E42062">
        <w:rPr>
          <w:noProof/>
        </w:rPr>
        <w:t xml:space="preserve">. </w:t>
      </w:r>
      <w:r>
        <w:rPr>
          <w:noProof/>
        </w:rPr>
        <w:t xml:space="preserve">In de interviews wordt expliciet genoemd dat elke euro naar de leerlingen moet gaan. </w:t>
      </w:r>
      <w:r w:rsidRPr="00E42062">
        <w:rPr>
          <w:noProof/>
        </w:rPr>
        <w:t xml:space="preserve">Respondenten geven aan mede hierom zo efficiënt mogelijk in te kopen (R3, R4, R5, R6, R7, R9 en R10), zodat het ten goede komt aan de individuele leerlingen (R1, R4, R5, R6, R7 en R8). </w:t>
      </w:r>
    </w:p>
    <w:p w14:paraId="1FA3D6C8" w14:textId="77777777" w:rsidR="007E665C" w:rsidRPr="00E42062" w:rsidRDefault="007E665C" w:rsidP="007E665C">
      <w:pPr>
        <w:pStyle w:val="NoSpacing"/>
        <w:rPr>
          <w:i/>
          <w:noProof/>
          <w:highlight w:val="yellow"/>
        </w:rPr>
      </w:pPr>
    </w:p>
    <w:p w14:paraId="6B7388A0" w14:textId="6F2821DB" w:rsidR="007E665C" w:rsidRPr="000215C1" w:rsidRDefault="000215C1" w:rsidP="000215C1">
      <w:pPr>
        <w:pStyle w:val="Heading3"/>
        <w:rPr>
          <w:noProof/>
          <w:color w:val="1F3864" w:themeColor="accent1" w:themeShade="80"/>
        </w:rPr>
      </w:pPr>
      <w:bookmarkStart w:id="156" w:name="_Toc517455496"/>
      <w:r w:rsidRPr="000215C1">
        <w:rPr>
          <w:noProof/>
          <w:color w:val="1F3864" w:themeColor="accent1" w:themeShade="80"/>
        </w:rPr>
        <w:t xml:space="preserve">6.3.2 </w:t>
      </w:r>
      <w:r w:rsidR="007E665C" w:rsidRPr="000215C1">
        <w:rPr>
          <w:noProof/>
          <w:color w:val="1F3864" w:themeColor="accent1" w:themeShade="80"/>
        </w:rPr>
        <w:t>Toetsing van de empirie aan de theoretische verwachting</w:t>
      </w:r>
      <w:bookmarkEnd w:id="156"/>
      <w:r w:rsidR="007E665C" w:rsidRPr="000215C1">
        <w:rPr>
          <w:noProof/>
          <w:color w:val="1F3864" w:themeColor="accent1" w:themeShade="80"/>
        </w:rPr>
        <w:t xml:space="preserve"> </w:t>
      </w:r>
    </w:p>
    <w:p w14:paraId="4A4D5763" w14:textId="3E60CB6D" w:rsidR="007E665C" w:rsidRPr="00E42062" w:rsidRDefault="007E665C" w:rsidP="007E665C">
      <w:pPr>
        <w:pStyle w:val="NoSpacing"/>
        <w:spacing w:line="276" w:lineRule="auto"/>
        <w:rPr>
          <w:rFonts w:cstheme="minorHAnsi"/>
          <w:noProof/>
        </w:rPr>
      </w:pPr>
      <w:r w:rsidRPr="00E42062">
        <w:rPr>
          <w:rFonts w:cstheme="minorHAnsi"/>
          <w:noProof/>
          <w:color w:val="000000" w:themeColor="text1"/>
        </w:rPr>
        <w:t xml:space="preserve">Onderwijsinstellingen hebben de bestuurlijke </w:t>
      </w:r>
      <w:r>
        <w:rPr>
          <w:rFonts w:cstheme="minorHAnsi"/>
          <w:noProof/>
          <w:color w:val="000000" w:themeColor="text1"/>
        </w:rPr>
        <w:t>vrijheid</w:t>
      </w:r>
      <w:r w:rsidRPr="00E42062">
        <w:rPr>
          <w:rFonts w:cstheme="minorHAnsi"/>
          <w:noProof/>
          <w:color w:val="000000" w:themeColor="text1"/>
        </w:rPr>
        <w:t xml:space="preserve"> om de eigen huishouden te beheren. Echter hebben zij als maatschappelijke onderneming ook de plicht om verantwoord met publieke middelen om te gaan. In de opdrachtgever-opdrachtnemer relatie opereren scholen vanuit andere waarden dan de marktpartijen. </w:t>
      </w:r>
      <w:r>
        <w:rPr>
          <w:rFonts w:cstheme="minorHAnsi"/>
          <w:noProof/>
          <w:color w:val="000000" w:themeColor="text1"/>
        </w:rPr>
        <w:t>De theoretische verwachting was dat er sprake is van onverenigbare werelden</w:t>
      </w:r>
      <w:r w:rsidRPr="00E42062">
        <w:rPr>
          <w:rFonts w:cstheme="minorHAnsi"/>
          <w:noProof/>
          <w:color w:val="000000" w:themeColor="text1"/>
        </w:rPr>
        <w:t xml:space="preserve"> (Boyne, 2002; Jacobs, 1992). </w:t>
      </w:r>
      <w:r>
        <w:rPr>
          <w:rFonts w:cstheme="minorHAnsi"/>
          <w:noProof/>
          <w:color w:val="000000" w:themeColor="text1"/>
        </w:rPr>
        <w:t>Deze</w:t>
      </w:r>
      <w:r w:rsidRPr="00E42062">
        <w:rPr>
          <w:rFonts w:cstheme="minorHAnsi"/>
          <w:noProof/>
          <w:color w:val="000000" w:themeColor="text1"/>
        </w:rPr>
        <w:t xml:space="preserve"> verschillen komen voort uit de externe omgeving, de interne organisatiestructuur en de doelen en de waarden</w:t>
      </w:r>
      <w:r>
        <w:rPr>
          <w:rFonts w:cstheme="minorHAnsi"/>
          <w:noProof/>
          <w:color w:val="000000" w:themeColor="text1"/>
        </w:rPr>
        <w:t xml:space="preserve"> (Klijn &amp;</w:t>
      </w:r>
      <w:r w:rsidRPr="00E42062">
        <w:rPr>
          <w:rFonts w:cstheme="minorHAnsi"/>
          <w:noProof/>
          <w:color w:val="000000" w:themeColor="text1"/>
        </w:rPr>
        <w:t xml:space="preserve"> </w:t>
      </w:r>
      <w:r>
        <w:rPr>
          <w:rFonts w:cstheme="minorHAnsi"/>
          <w:noProof/>
        </w:rPr>
        <w:t xml:space="preserve">Teisman, </w:t>
      </w:r>
      <w:r w:rsidRPr="00E42062">
        <w:rPr>
          <w:rFonts w:cstheme="minorHAnsi"/>
          <w:noProof/>
        </w:rPr>
        <w:t>2003)</w:t>
      </w:r>
      <w:r w:rsidRPr="00E42062">
        <w:rPr>
          <w:rFonts w:cstheme="minorHAnsi"/>
          <w:noProof/>
          <w:color w:val="000000" w:themeColor="text1"/>
        </w:rPr>
        <w:t>. In de publieke sector opereren organisaties binnen een politiek domein, waarin ze door verschillende factoren worden aangestuurd</w:t>
      </w:r>
      <w:r>
        <w:rPr>
          <w:rFonts w:cstheme="minorHAnsi"/>
          <w:noProof/>
          <w:color w:val="000000" w:themeColor="text1"/>
        </w:rPr>
        <w:t xml:space="preserve"> en beslissingen gereguleerd en politiek onderbouw zijn (Laing en Lian, </w:t>
      </w:r>
      <w:r w:rsidRPr="00E42062">
        <w:rPr>
          <w:rFonts w:cstheme="minorHAnsi"/>
          <w:noProof/>
          <w:color w:val="000000" w:themeColor="text1"/>
        </w:rPr>
        <w:t>2003)</w:t>
      </w:r>
      <w:r>
        <w:rPr>
          <w:rFonts w:cstheme="minorHAnsi"/>
          <w:noProof/>
          <w:color w:val="000000" w:themeColor="text1"/>
        </w:rPr>
        <w:t>.</w:t>
      </w:r>
      <w:r w:rsidRPr="00E42062">
        <w:rPr>
          <w:rFonts w:cstheme="minorHAnsi"/>
          <w:noProof/>
          <w:color w:val="000000" w:themeColor="text1"/>
        </w:rPr>
        <w:t xml:space="preserve"> </w:t>
      </w:r>
      <w:r w:rsidRPr="00E42062">
        <w:rPr>
          <w:rFonts w:cstheme="minorHAnsi"/>
          <w:noProof/>
        </w:rPr>
        <w:t xml:space="preserve">Kortom, de omgevingsfactoren hebben volgende de theorie een belangrijke invloed op de wijze waarop scholen opereren. </w:t>
      </w:r>
    </w:p>
    <w:p w14:paraId="141E5526" w14:textId="77777777" w:rsidR="007E665C" w:rsidRPr="00E42062" w:rsidRDefault="007E665C" w:rsidP="007E665C">
      <w:pPr>
        <w:pStyle w:val="NoSpacing"/>
        <w:spacing w:line="276" w:lineRule="auto"/>
        <w:ind w:firstLine="720"/>
        <w:rPr>
          <w:rFonts w:cstheme="minorHAnsi"/>
          <w:noProof/>
        </w:rPr>
      </w:pPr>
      <w:r>
        <w:rPr>
          <w:rFonts w:cstheme="minorHAnsi"/>
          <w:noProof/>
        </w:rPr>
        <w:t xml:space="preserve">Echter laat de empirie een ander beeld zien. </w:t>
      </w:r>
      <w:r w:rsidRPr="00E42062">
        <w:rPr>
          <w:rFonts w:cstheme="minorHAnsi"/>
          <w:noProof/>
        </w:rPr>
        <w:t>Er wordt geen of nauwelijks druk van buitenaf ervaren op de wijze waarop scholen producten en diensten inkopen. Tevens kan er op basis van dit onderzoek niet worden aangenomen dat de twee werelden onverenigbaar zijn. Drie van de elf respondenten geven expliciet aan dat er geen verschil zit in de wijze waarop zij inkopen en de wijze waarop een private onderneming inkoopt (R4, R5, R8). In alle gevallen gaat het om zo efficiënt mogelijk werken, zodat het ten goede komt aan de kernactiviteiten: “Ik denk niet dat er veel verschil zit tussen een private en publieke instelling. Beide organisaties willen zo efficiënt mogelijk werken” (Van Putten, 2017). “Mijn werk is in essentie niet anders dan die van een inkoper binnen een private onderneming” (Roffel, 2017). Verantwoord inkopen binnen een budget staat hoog in het vaandel, aangezien het publiek geld betreft. De respondenten zijn zich ervan bewust dat de financiering vanuit publieke middelen tot stand komt én dit direct invloed heeft op de kwaliteit van het onderwijs. Het geld moet primair naar de leerlingen gaan. “Als een openbare school worden wij in eerste instantie aangestuurd door de behoefte van onze leerlingen” (Roffel, 2017).</w:t>
      </w:r>
    </w:p>
    <w:p w14:paraId="6AB540A9" w14:textId="2268FCD3" w:rsidR="007E665C" w:rsidRPr="00E42062" w:rsidRDefault="007E665C" w:rsidP="007E665C">
      <w:pPr>
        <w:pStyle w:val="NoSpacing"/>
        <w:spacing w:line="276" w:lineRule="auto"/>
        <w:ind w:firstLine="720"/>
        <w:rPr>
          <w:rFonts w:cstheme="minorHAnsi"/>
          <w:noProof/>
        </w:rPr>
      </w:pPr>
      <w:r>
        <w:rPr>
          <w:rFonts w:cstheme="minorHAnsi"/>
          <w:noProof/>
        </w:rPr>
        <w:t xml:space="preserve">De tweede theoretische verwachting was dat </w:t>
      </w:r>
      <w:r w:rsidRPr="00E42062">
        <w:rPr>
          <w:rFonts w:cstheme="minorHAnsi"/>
          <w:noProof/>
        </w:rPr>
        <w:t>publieke organisaties te maken hebben met formele procedures en risico vermijdend</w:t>
      </w:r>
      <w:r w:rsidRPr="00E42062">
        <w:rPr>
          <w:rFonts w:cstheme="minorHAnsi"/>
          <w:b/>
          <w:noProof/>
        </w:rPr>
        <w:t xml:space="preserve"> </w:t>
      </w:r>
      <w:r>
        <w:rPr>
          <w:rFonts w:cstheme="minorHAnsi"/>
          <w:noProof/>
        </w:rPr>
        <w:t>cultuur. P</w:t>
      </w:r>
      <w:r w:rsidRPr="00E42062">
        <w:rPr>
          <w:rFonts w:cstheme="minorHAnsi"/>
          <w:noProof/>
        </w:rPr>
        <w:t xml:space="preserve">ublieke organisaties </w:t>
      </w:r>
      <w:r>
        <w:rPr>
          <w:rFonts w:cstheme="minorHAnsi"/>
          <w:noProof/>
        </w:rPr>
        <w:t xml:space="preserve">zouden </w:t>
      </w:r>
      <w:r w:rsidRPr="00E42062">
        <w:rPr>
          <w:rFonts w:cstheme="minorHAnsi"/>
          <w:noProof/>
        </w:rPr>
        <w:t>waarden als gelijkheid en to</w:t>
      </w:r>
      <w:r>
        <w:rPr>
          <w:rFonts w:cstheme="minorHAnsi"/>
          <w:noProof/>
        </w:rPr>
        <w:t>egankelijkheid belangrijker achten</w:t>
      </w:r>
      <w:r w:rsidRPr="00E42062">
        <w:rPr>
          <w:rFonts w:cstheme="minorHAnsi"/>
          <w:noProof/>
        </w:rPr>
        <w:t xml:space="preserve"> dan efficiëntie en kostenbeheersing (Boyne, 2002; Smit &amp; Van Thiel, 2002; WRR, 2000</w:t>
      </w:r>
      <w:r>
        <w:rPr>
          <w:rFonts w:cstheme="minorHAnsi"/>
          <w:noProof/>
        </w:rPr>
        <w:t>;</w:t>
      </w:r>
      <w:r w:rsidRPr="000422E9">
        <w:rPr>
          <w:rFonts w:cstheme="minorHAnsi"/>
          <w:noProof/>
        </w:rPr>
        <w:t xml:space="preserve"> </w:t>
      </w:r>
      <w:r>
        <w:rPr>
          <w:rFonts w:cstheme="minorHAnsi"/>
          <w:noProof/>
        </w:rPr>
        <w:t xml:space="preserve">Erridge, </w:t>
      </w:r>
      <w:r w:rsidRPr="00E42062">
        <w:rPr>
          <w:rFonts w:cstheme="minorHAnsi"/>
          <w:noProof/>
        </w:rPr>
        <w:t>2007). Ook deze bewering kan weerlegd worden aan de hand van bevindingen uit de empirie. Naast de rege</w:t>
      </w:r>
      <w:r>
        <w:rPr>
          <w:rFonts w:cstheme="minorHAnsi"/>
          <w:noProof/>
        </w:rPr>
        <w:t xml:space="preserve">ls uit de Aanbestedingswet </w:t>
      </w:r>
      <w:r w:rsidRPr="00E42062">
        <w:rPr>
          <w:rFonts w:cstheme="minorHAnsi"/>
          <w:noProof/>
        </w:rPr>
        <w:t>zijn er geen bijzondere procedures die met name betrekking hebben op publieke organisaties. Uit de interviews komt naar voren dat de scholen zich autonoom voelen in de keuze voor een leverancier en product.</w:t>
      </w:r>
      <w:r w:rsidRPr="00E42062">
        <w:rPr>
          <w:noProof/>
        </w:rPr>
        <w:t xml:space="preserve"> </w:t>
      </w:r>
      <w:r w:rsidRPr="00E42062">
        <w:rPr>
          <w:rFonts w:cstheme="minorHAnsi"/>
          <w:noProof/>
        </w:rPr>
        <w:lastRenderedPageBreak/>
        <w:t>“De school kent ruime mate van autonomie om de eigen keuze te maken” (Buijtendorp, 2017). Dit geldt teven</w:t>
      </w:r>
      <w:r>
        <w:rPr>
          <w:rFonts w:cstheme="minorHAnsi"/>
          <w:noProof/>
        </w:rPr>
        <w:t>s</w:t>
      </w:r>
      <w:r w:rsidRPr="00E42062">
        <w:rPr>
          <w:rFonts w:cstheme="minorHAnsi"/>
          <w:noProof/>
        </w:rPr>
        <w:t xml:space="preserve"> voor de aanwezig van een risico vermijdend cultuur. De respondenten geven de continuïteit van kwaliteit goed onderwijs de meest leidende principe is bij inkoop van lesmaterialen. Echter, naast oog voor duurzaamheid van de leverancier spelen geen andere factoren een rol die een eventueel risico vermijdend cultuur zouden aanduiden. Afwezigheid van leveranciersevaluaties, contractmanager, gedocumenteerde overeenkomsten en marktconsultatie duiden op een hoog risicogehalte en daarmee tot lager risico vermijdend cultuur. </w:t>
      </w:r>
    </w:p>
    <w:p w14:paraId="467E7387" w14:textId="1C9FDDD2" w:rsidR="007E665C" w:rsidRPr="00E42062" w:rsidRDefault="007E665C" w:rsidP="007E665C">
      <w:pPr>
        <w:pStyle w:val="NoSpacing"/>
        <w:spacing w:line="276" w:lineRule="auto"/>
        <w:ind w:firstLine="720"/>
        <w:rPr>
          <w:rFonts w:cstheme="minorHAnsi"/>
          <w:noProof/>
        </w:rPr>
      </w:pPr>
      <w:r w:rsidRPr="00E42062">
        <w:rPr>
          <w:rFonts w:cstheme="minorHAnsi"/>
          <w:noProof/>
        </w:rPr>
        <w:t xml:space="preserve">De derde </w:t>
      </w:r>
      <w:r>
        <w:rPr>
          <w:rFonts w:cstheme="minorHAnsi"/>
          <w:noProof/>
        </w:rPr>
        <w:t>theretische verwachting</w:t>
      </w:r>
      <w:r w:rsidRPr="00E42062">
        <w:rPr>
          <w:rFonts w:cstheme="minorHAnsi"/>
          <w:noProof/>
        </w:rPr>
        <w:t xml:space="preserve"> over het verschil in inkoop tussen publieke en private organisaties komt voort uit het werk van Laing en Lian (2003). Zij concluderen dat manager van publieke organisaties druk ervaren vanuit zowel het publiek als vanuit de hun bovengeschikten in de overheid bij het besteden van publiek geld (Laing &amp; Lian, 2003). Deze assumpties kunnen worden weerlegd vanuit de empirie. In praktijk blijkt dat geen van de respondenten druk voelt vanuit hun bovengeschikten of van externen. Respondenten (R1, R2, R6, R7 en R9) geven aan bewust te zijn van de kaders waarbinnen zij autonoom mogen handelen. Onderwijsinstellingen werken als een zelfstandig opererend bedrijf waarin de eindverantwoordelijkheid intern belegd</w:t>
      </w:r>
      <w:r>
        <w:rPr>
          <w:rFonts w:cstheme="minorHAnsi"/>
          <w:noProof/>
        </w:rPr>
        <w:t xml:space="preserve"> is. </w:t>
      </w:r>
    </w:p>
    <w:p w14:paraId="698489A8" w14:textId="6AB64AA3" w:rsidR="00682B1C" w:rsidRDefault="00682B1C">
      <w:pPr>
        <w:kinsoku/>
        <w:autoSpaceDE/>
        <w:autoSpaceDN/>
        <w:adjustRightInd/>
        <w:spacing w:after="160" w:line="259" w:lineRule="auto"/>
        <w:rPr>
          <w:rFonts w:asciiTheme="minorHAnsi" w:eastAsiaTheme="minorHAnsi" w:hAnsiTheme="minorHAnsi" w:cstheme="minorHAnsi"/>
          <w:noProof/>
          <w:color w:val="000000" w:themeColor="text1"/>
          <w:sz w:val="22"/>
          <w:highlight w:val="yellow"/>
        </w:rPr>
      </w:pPr>
    </w:p>
    <w:p w14:paraId="609C5BCC" w14:textId="261E6271" w:rsidR="007E665C" w:rsidRPr="00190722" w:rsidRDefault="007E665C" w:rsidP="0004389C">
      <w:pPr>
        <w:pStyle w:val="Heading2"/>
        <w:rPr>
          <w:noProof/>
          <w:color w:val="1F3864" w:themeColor="accent1" w:themeShade="80"/>
          <w:sz w:val="28"/>
        </w:rPr>
      </w:pPr>
      <w:bookmarkStart w:id="157" w:name="_Toc517455497"/>
      <w:r w:rsidRPr="00190722">
        <w:rPr>
          <w:noProof/>
          <w:color w:val="1F3864" w:themeColor="accent1" w:themeShade="80"/>
        </w:rPr>
        <w:t>Variabelen die bijdragen aan efficiënt inkoop</w:t>
      </w:r>
      <w:bookmarkEnd w:id="157"/>
    </w:p>
    <w:p w14:paraId="1DC82B8D" w14:textId="77777777" w:rsidR="007E665C" w:rsidRPr="00E42062" w:rsidRDefault="007E665C" w:rsidP="007E665C">
      <w:pPr>
        <w:pStyle w:val="NoSpacing"/>
        <w:spacing w:line="276" w:lineRule="auto"/>
        <w:rPr>
          <w:noProof/>
        </w:rPr>
      </w:pPr>
      <w:r w:rsidRPr="00E42062">
        <w:rPr>
          <w:noProof/>
        </w:rPr>
        <w:t xml:space="preserve">De hiervoor besproken variabelen geven een beschrijving van de mate waarin de onderzochte scholen afhankelijk zijn van de leverancier. In doet onderzoek wordt de mate van afhankelijkheid binnen de opdrachtgeverschap vastgesteld door de mate van kennisasymmetrie, vertrouwen in de leverancier en invloeden vanuit de institutionele setting van het openbaar bestuur. </w:t>
      </w:r>
    </w:p>
    <w:p w14:paraId="233B8396" w14:textId="77777777" w:rsidR="007E665C" w:rsidRPr="00E42062" w:rsidRDefault="007E665C" w:rsidP="007E665C">
      <w:pPr>
        <w:pStyle w:val="NoSpacing"/>
        <w:spacing w:line="276" w:lineRule="auto"/>
        <w:rPr>
          <w:noProof/>
        </w:rPr>
      </w:pPr>
      <w:r w:rsidRPr="00E42062">
        <w:rPr>
          <w:noProof/>
        </w:rPr>
        <w:t xml:space="preserve">Ter </w:t>
      </w:r>
      <w:r>
        <w:rPr>
          <w:noProof/>
        </w:rPr>
        <w:t>behoeve</w:t>
      </w:r>
      <w:r w:rsidRPr="00E42062">
        <w:rPr>
          <w:noProof/>
        </w:rPr>
        <w:t xml:space="preserve"> van efficiënt inkoop dient de afhankelijkheid van de opdrachtgever gereduceerd te worden. In de besproken literatuur worden hiervoor drie handvaten aangereikt: (1) gezamenlijk inkopen, (2) professionalisering van de inkoopafdeling en</w:t>
      </w:r>
      <w:r>
        <w:rPr>
          <w:noProof/>
        </w:rPr>
        <w:t xml:space="preserve"> (3) de opdrachtgever en </w:t>
      </w:r>
      <w:r w:rsidRPr="00E42062">
        <w:rPr>
          <w:noProof/>
        </w:rPr>
        <w:t>opdrachtnemer</w:t>
      </w:r>
      <w:r>
        <w:rPr>
          <w:noProof/>
        </w:rPr>
        <w:t xml:space="preserve"> relatie</w:t>
      </w:r>
      <w:r w:rsidRPr="00E42062">
        <w:rPr>
          <w:noProof/>
        </w:rPr>
        <w:t xml:space="preserve">. In de volgende paragrafen worden </w:t>
      </w:r>
      <w:r>
        <w:rPr>
          <w:noProof/>
        </w:rPr>
        <w:t>de theretische verwachtingen</w:t>
      </w:r>
      <w:r w:rsidRPr="00E42062">
        <w:rPr>
          <w:noProof/>
        </w:rPr>
        <w:t xml:space="preserve"> getoetst aan de bevindingen uit de empirie.    </w:t>
      </w:r>
    </w:p>
    <w:p w14:paraId="3D33D048" w14:textId="77777777" w:rsidR="007E665C" w:rsidRPr="00E42062" w:rsidRDefault="007E665C" w:rsidP="007E665C">
      <w:pPr>
        <w:pStyle w:val="NoSpacing"/>
        <w:spacing w:line="276" w:lineRule="auto"/>
        <w:rPr>
          <w:noProof/>
        </w:rPr>
      </w:pPr>
    </w:p>
    <w:p w14:paraId="07CA3C3E" w14:textId="32724964" w:rsidR="007E665C" w:rsidRPr="00190722" w:rsidRDefault="007E665C" w:rsidP="0004389C">
      <w:pPr>
        <w:pStyle w:val="Heading3"/>
        <w:rPr>
          <w:noProof/>
          <w:color w:val="1F3864" w:themeColor="accent1" w:themeShade="80"/>
        </w:rPr>
      </w:pPr>
      <w:bookmarkStart w:id="158" w:name="_Toc517455498"/>
      <w:r w:rsidRPr="00190722">
        <w:rPr>
          <w:noProof/>
          <w:color w:val="1F3864" w:themeColor="accent1" w:themeShade="80"/>
        </w:rPr>
        <w:t>6.</w:t>
      </w:r>
      <w:r w:rsidR="00682B1C" w:rsidRPr="00190722">
        <w:rPr>
          <w:noProof/>
          <w:color w:val="1F3864" w:themeColor="accent1" w:themeShade="80"/>
        </w:rPr>
        <w:t>4</w:t>
      </w:r>
      <w:r w:rsidRPr="00190722">
        <w:rPr>
          <w:noProof/>
          <w:color w:val="1F3864" w:themeColor="accent1" w:themeShade="80"/>
        </w:rPr>
        <w:t>.</w:t>
      </w:r>
      <w:r w:rsidR="004C2021">
        <w:rPr>
          <w:noProof/>
          <w:color w:val="1F3864" w:themeColor="accent1" w:themeShade="80"/>
        </w:rPr>
        <w:t>1</w:t>
      </w:r>
      <w:r w:rsidRPr="00190722">
        <w:rPr>
          <w:noProof/>
          <w:color w:val="1F3864" w:themeColor="accent1" w:themeShade="80"/>
        </w:rPr>
        <w:t xml:space="preserve"> Gezamenlijk inkopen</w:t>
      </w:r>
      <w:bookmarkEnd w:id="158"/>
    </w:p>
    <w:p w14:paraId="7475C114" w14:textId="0C2E3410" w:rsidR="007E665C" w:rsidRPr="00E42062" w:rsidRDefault="007E665C" w:rsidP="00682B1C">
      <w:pPr>
        <w:pStyle w:val="NoSpacing"/>
        <w:spacing w:line="276" w:lineRule="auto"/>
        <w:rPr>
          <w:noProof/>
        </w:rPr>
      </w:pPr>
      <w:r>
        <w:rPr>
          <w:noProof/>
        </w:rPr>
        <w:t xml:space="preserve">De theorie stelt dat bundeling van krachten een antwoord biedt op de afhankelijkheidskwestie. </w:t>
      </w:r>
      <w:r w:rsidRPr="00E42062">
        <w:rPr>
          <w:noProof/>
        </w:rPr>
        <w:t>Binnen centraal georganiseerde schoolbesturen dient in dit geval de inkoopactiviteiten op elkaar afgestemd te</w:t>
      </w:r>
      <w:r>
        <w:rPr>
          <w:noProof/>
        </w:rPr>
        <w:t xml:space="preserve"> worden en collectief in volume worden </w:t>
      </w:r>
      <w:r w:rsidRPr="00E42062">
        <w:rPr>
          <w:noProof/>
        </w:rPr>
        <w:t>ingekocht. Dit is met name interessant voor kleine tot middelgrote scholen die individueel veelal te klein zijn om echt inzicht te hebben in de mogelijkheden van de markt en in de eigen wensen. Centralisatie</w:t>
      </w:r>
      <w:r>
        <w:rPr>
          <w:noProof/>
        </w:rPr>
        <w:t xml:space="preserve"> en/of coordinatie</w:t>
      </w:r>
      <w:r w:rsidRPr="00E42062">
        <w:rPr>
          <w:noProof/>
        </w:rPr>
        <w:t xml:space="preserve"> van inkoop biedt </w:t>
      </w:r>
      <w:r>
        <w:rPr>
          <w:noProof/>
        </w:rPr>
        <w:t>dan uitkomst</w:t>
      </w:r>
      <w:r w:rsidRPr="00E42062">
        <w:rPr>
          <w:noProof/>
        </w:rPr>
        <w:t xml:space="preserve">. </w:t>
      </w:r>
      <w:r>
        <w:rPr>
          <w:noProof/>
        </w:rPr>
        <w:t>De verwachting is dat c</w:t>
      </w:r>
      <w:r w:rsidRPr="00E42062">
        <w:rPr>
          <w:noProof/>
        </w:rPr>
        <w:t>entraal georganiseerde schoolbesturen met een strakke regie over de bedrijfsvoering van de aan</w:t>
      </w:r>
      <w:r>
        <w:rPr>
          <w:noProof/>
        </w:rPr>
        <w:t xml:space="preserve">gesloten scholen, een sterke </w:t>
      </w:r>
      <w:r w:rsidRPr="00E42062">
        <w:rPr>
          <w:noProof/>
        </w:rPr>
        <w:t>positie</w:t>
      </w:r>
      <w:r>
        <w:rPr>
          <w:noProof/>
        </w:rPr>
        <w:t xml:space="preserve"> en meer slagkracht hebben. Dit leidt tot </w:t>
      </w:r>
      <w:r w:rsidRPr="00E42062">
        <w:rPr>
          <w:noProof/>
        </w:rPr>
        <w:t>‘</w:t>
      </w:r>
      <w:r w:rsidRPr="00E42062">
        <w:rPr>
          <w:i/>
          <w:noProof/>
        </w:rPr>
        <w:t>economies of scale</w:t>
      </w:r>
      <w:r w:rsidRPr="00E42062">
        <w:rPr>
          <w:noProof/>
        </w:rPr>
        <w:t xml:space="preserve">’, ofwel schaalvoordelen </w:t>
      </w:r>
      <w:r>
        <w:rPr>
          <w:noProof/>
        </w:rPr>
        <w:t xml:space="preserve">en daarmee tot verbeterde onderhandelingspositie en betere condities </w:t>
      </w:r>
      <w:r w:rsidRPr="00E42062">
        <w:rPr>
          <w:noProof/>
        </w:rPr>
        <w:t>(Harrison, 2001; Boyen, 1995</w:t>
      </w:r>
      <w:r>
        <w:rPr>
          <w:noProof/>
        </w:rPr>
        <w:t xml:space="preserve">; </w:t>
      </w:r>
      <w:r w:rsidRPr="00E42062">
        <w:rPr>
          <w:noProof/>
        </w:rPr>
        <w:t>Contractor &amp; Lorange, 1988). Deze voordelen van centralisatie worden ook in de praktijk zo gezien. Respondent</w:t>
      </w:r>
      <w:r>
        <w:rPr>
          <w:noProof/>
        </w:rPr>
        <w:t xml:space="preserve"> R9</w:t>
      </w:r>
      <w:r w:rsidRPr="00E42062">
        <w:rPr>
          <w:noProof/>
        </w:rPr>
        <w:t xml:space="preserve"> geeft aan dat er d.m.v. gezamenlijk inkoop financieel voordeel wordt behaald. Er kan namelijk een lagere prijs per product worden afgedwongen. Daarnaast heeft samengevoegde onderhandelingsruimte ook invloed op de transactiekosten. “Centralisatie bij inkoop heeft als een belangrijk voordeel dat de transactiekosten marginaal blijven. We hebben situaties gekend waarbij we mensen moesten inzetten om enkel de administratie van inkoopactiviteiten in orde te brengen. Dat is niet wenselijk, dat is niet waar een school zich mee bezig moet houden. De weg wat we aantal jaren geleden zijn ingeslagen voorkomt die problemen” (Buijtendorp, 2017).</w:t>
      </w:r>
    </w:p>
    <w:p w14:paraId="647D230F" w14:textId="1CF289B3" w:rsidR="007E665C" w:rsidRPr="00E42062" w:rsidRDefault="007E665C" w:rsidP="007E665C">
      <w:pPr>
        <w:pStyle w:val="NoSpacing"/>
        <w:spacing w:line="276" w:lineRule="auto"/>
        <w:rPr>
          <w:noProof/>
          <w:color w:val="000000" w:themeColor="text1"/>
        </w:rPr>
      </w:pPr>
      <w:r w:rsidRPr="00E42062">
        <w:rPr>
          <w:noProof/>
          <w:color w:val="000000" w:themeColor="text1"/>
        </w:rPr>
        <w:tab/>
        <w:t xml:space="preserve">Het aangaan van synergiën maakt tevens de deling van middelen mogelijk. Enerzijds gaat het om gedeelde immateriële middelen. Dit betreft voornamelijk kennis- en informatiedeling. De veronderstelling dat veel organisaties waarde hechten aan het uitwisselen van ‘best practices’ en kennis over de kerncompetenties, reflecteert op het belang van kennisdeling. Respondent R9 geeft aan dat bundeling van krachten tussen verschillende scholen ook als bundeling van kennis wordt geacht. Hierdoor zijn zij in staat om expertise en ervaringen uit te wisselen. Dit stelt hun in staat om beter te onderhandelen met de leverancier. Anderzijds gaat het </w:t>
      </w:r>
      <w:r w:rsidRPr="00E42062">
        <w:rPr>
          <w:noProof/>
          <w:color w:val="000000" w:themeColor="text1"/>
        </w:rPr>
        <w:lastRenderedPageBreak/>
        <w:t xml:space="preserve">om gedeelde materiele middelen met als voordeel dat organisaties schaalvoordelen (‘economies of scale’) kunnen realiseren en voorkomen dat er dubbele inspanning geleverd wordt. Door het aan elkaar verbinden van inkoopspecialisten, communicatiesystemen, fysieke (werk)plekken en andere faciliteiten, zijn de taken en verantwoordelijkheden duidelijk belegd. Dit aspect komt duidelijk naar voren binnen de scholen R1, R3, R4, R6 t/m R11. Binnen deze scholen wordt er intensief met elkaar samengewerkt op het domein van inkoop onder de paraplu van de scholengemeenschap. Het delen van materiele en ander overheadkosten wordt als een argument voor de samenwerking gebruikt door Roffel (R4) en Zwan (R3). </w:t>
      </w:r>
      <w:r>
        <w:rPr>
          <w:noProof/>
          <w:color w:val="000000" w:themeColor="text1"/>
        </w:rPr>
        <w:t>Dit is in lijn met de beschreven ‘economies of scale’.</w:t>
      </w:r>
      <w:r w:rsidRPr="00E42062">
        <w:rPr>
          <w:noProof/>
          <w:color w:val="000000" w:themeColor="text1"/>
        </w:rPr>
        <w:t xml:space="preserve">  </w:t>
      </w:r>
    </w:p>
    <w:p w14:paraId="2FB6EDF6" w14:textId="568C8D7B" w:rsidR="007E665C" w:rsidRDefault="007E665C" w:rsidP="007E665C">
      <w:pPr>
        <w:pStyle w:val="NoSpacing"/>
        <w:spacing w:line="276" w:lineRule="auto"/>
        <w:ind w:firstLine="720"/>
        <w:rPr>
          <w:noProof/>
          <w:color w:val="000000" w:themeColor="text1"/>
        </w:rPr>
      </w:pPr>
      <w:r>
        <w:rPr>
          <w:noProof/>
          <w:color w:val="000000" w:themeColor="text1"/>
        </w:rPr>
        <w:t xml:space="preserve">Centralisatie </w:t>
      </w:r>
      <w:r w:rsidR="008F61B7">
        <w:rPr>
          <w:noProof/>
          <w:color w:val="000000" w:themeColor="text1"/>
        </w:rPr>
        <w:t xml:space="preserve">kent </w:t>
      </w:r>
      <w:r>
        <w:rPr>
          <w:noProof/>
          <w:color w:val="000000" w:themeColor="text1"/>
        </w:rPr>
        <w:t>in de theorie ook nadelen. Volgens Boyne (</w:t>
      </w:r>
      <w:r w:rsidRPr="00E42062">
        <w:rPr>
          <w:noProof/>
          <w:color w:val="000000" w:themeColor="text1"/>
        </w:rPr>
        <w:t xml:space="preserve">1996) gaat het dan om de </w:t>
      </w:r>
      <w:r w:rsidRPr="00E42062">
        <w:rPr>
          <w:i/>
          <w:noProof/>
          <w:color w:val="000000" w:themeColor="text1"/>
        </w:rPr>
        <w:t>wet van afnemende opbrengsten</w:t>
      </w:r>
      <w:r w:rsidRPr="00E42062">
        <w:rPr>
          <w:noProof/>
          <w:color w:val="000000" w:themeColor="text1"/>
        </w:rPr>
        <w:t xml:space="preserve"> en (2) </w:t>
      </w:r>
      <w:r w:rsidRPr="00E42062">
        <w:rPr>
          <w:i/>
          <w:noProof/>
          <w:color w:val="000000" w:themeColor="text1"/>
        </w:rPr>
        <w:t>toenemende bureaucratische congestie</w:t>
      </w:r>
      <w:r w:rsidRPr="00E42062">
        <w:rPr>
          <w:noProof/>
          <w:color w:val="000000" w:themeColor="text1"/>
        </w:rPr>
        <w:t xml:space="preserve">. </w:t>
      </w:r>
      <w:r>
        <w:rPr>
          <w:noProof/>
          <w:color w:val="000000" w:themeColor="text1"/>
        </w:rPr>
        <w:t>Hierbij dalen de e</w:t>
      </w:r>
      <w:r w:rsidRPr="00E42062">
        <w:rPr>
          <w:noProof/>
          <w:color w:val="000000" w:themeColor="text1"/>
        </w:rPr>
        <w:t>xtr</w:t>
      </w:r>
      <w:r>
        <w:rPr>
          <w:noProof/>
          <w:color w:val="000000" w:themeColor="text1"/>
        </w:rPr>
        <w:t xml:space="preserve">a opbrengsten per product </w:t>
      </w:r>
      <w:r w:rsidRPr="00E42062">
        <w:rPr>
          <w:noProof/>
          <w:color w:val="000000" w:themeColor="text1"/>
        </w:rPr>
        <w:t>bij stijgende kosten van communicatie en kosten van coördinatie van activiteiten.</w:t>
      </w:r>
      <w:r>
        <w:rPr>
          <w:noProof/>
          <w:color w:val="000000" w:themeColor="text1"/>
        </w:rPr>
        <w:t xml:space="preserve"> De emprie laat zien dit gevolg moeilijk te meten is. Het concept opbrengsten</w:t>
      </w:r>
      <w:r w:rsidRPr="00E42062">
        <w:rPr>
          <w:noProof/>
          <w:color w:val="000000" w:themeColor="text1"/>
        </w:rPr>
        <w:t xml:space="preserve"> zijn niet van toepassing op scholen omdat de output van het onderwijs niet te herleiden is tot opbrengsten per product. Daarentegen wordt het tweede aspect, toenemende bureaucratische congesties, wel als een nadeel van de centralisatie van de inkoop ervaren. Dit wordt aangeven door respondent R11: “…in het verleden moesten wij elk soort aankoop administreren en doorgeven aan onze inkoopafdeling. Zelfs bij aankopen van enkele euro’s moest er toestemming worden gevraagd, het declaratieformulier worden ingevuld waarna deze gegevens op een centrale plek moesten worden geborgd. Dit was niet wenselijk voor een efficiënte werkwijze. Daarom hebben we met elkaar afgesproken om dit soort kleine, operationele aankoop binnen onze school af te handelen” (Aalberts, 2017). Binnen de andere onderzochte scholen is er geen sprake van</w:t>
      </w:r>
      <w:r>
        <w:rPr>
          <w:noProof/>
          <w:color w:val="000000" w:themeColor="text1"/>
        </w:rPr>
        <w:t xml:space="preserve"> wet op afnemende opbrengsten</w:t>
      </w:r>
      <w:r w:rsidRPr="00E42062">
        <w:rPr>
          <w:noProof/>
          <w:color w:val="000000" w:themeColor="text1"/>
        </w:rPr>
        <w:t xml:space="preserve">. Echter moet hierbij wel worden vermeld dat de scholen dit nog niet hebben onderzocht. Centralisatie en vergroten van het volume is niet afgezet tegen efficiëntie van kleinschalig inkoop op lokaal niveau. Dit geldt eveneens voor de bureaucratische congestie. Respondenten ervaren geen nadelige effecten van de wijze waarop de inkoop momenteel ingericht is. Enkele scholen (R3, R4, R11) hebben duidelijke kaders en richtlijnen opgesteld om inkoop zo efficiënt mogelijk in te richten.  </w:t>
      </w:r>
    </w:p>
    <w:p w14:paraId="17D3C558" w14:textId="3BE7855E" w:rsidR="007E665C" w:rsidRPr="00E42062" w:rsidRDefault="007E665C" w:rsidP="007E665C">
      <w:pPr>
        <w:pStyle w:val="NoSpacing"/>
        <w:spacing w:line="276" w:lineRule="auto"/>
        <w:rPr>
          <w:noProof/>
          <w:color w:val="000000" w:themeColor="text1"/>
        </w:rPr>
      </w:pPr>
      <w:r w:rsidRPr="00E42062">
        <w:rPr>
          <w:noProof/>
          <w:color w:val="000000" w:themeColor="text1"/>
        </w:rPr>
        <w:tab/>
      </w:r>
      <w:r>
        <w:rPr>
          <w:noProof/>
          <w:color w:val="000000" w:themeColor="text1"/>
        </w:rPr>
        <w:t>De theorie van dit onderzoek kent ook</w:t>
      </w:r>
      <w:r w:rsidRPr="00E42062">
        <w:rPr>
          <w:noProof/>
          <w:color w:val="000000" w:themeColor="text1"/>
        </w:rPr>
        <w:t xml:space="preserve"> een derde potentieel nadelige </w:t>
      </w:r>
      <w:r>
        <w:rPr>
          <w:noProof/>
          <w:color w:val="000000" w:themeColor="text1"/>
        </w:rPr>
        <w:t>effect van centralisatie</w:t>
      </w:r>
      <w:r w:rsidRPr="00E42062">
        <w:rPr>
          <w:noProof/>
          <w:color w:val="000000" w:themeColor="text1"/>
        </w:rPr>
        <w:t>: ‘</w:t>
      </w:r>
      <w:r w:rsidRPr="00E42062">
        <w:rPr>
          <w:i/>
          <w:noProof/>
          <w:color w:val="000000" w:themeColor="text1"/>
        </w:rPr>
        <w:t>span of control</w:t>
      </w:r>
      <w:r w:rsidRPr="00E42062">
        <w:rPr>
          <w:noProof/>
          <w:color w:val="000000" w:themeColor="text1"/>
        </w:rPr>
        <w:t xml:space="preserve">’, wat vrij vertaald de spanwijdte van toezicht aangeeft (Brun </w:t>
      </w:r>
      <w:r w:rsidR="000B47A7">
        <w:rPr>
          <w:noProof/>
          <w:color w:val="000000" w:themeColor="text1"/>
        </w:rPr>
        <w:t>et</w:t>
      </w:r>
      <w:r w:rsidRPr="00E42062">
        <w:rPr>
          <w:noProof/>
          <w:color w:val="000000" w:themeColor="text1"/>
        </w:rPr>
        <w:t xml:space="preserve"> </w:t>
      </w:r>
      <w:r w:rsidR="000B47A7">
        <w:rPr>
          <w:noProof/>
          <w:color w:val="000000" w:themeColor="text1"/>
        </w:rPr>
        <w:t>al.</w:t>
      </w:r>
      <w:r w:rsidRPr="00E42062">
        <w:rPr>
          <w:noProof/>
          <w:color w:val="000000" w:themeColor="text1"/>
        </w:rPr>
        <w:t xml:space="preserve"> 2013). Het refereert naar de mate waarin de inkoopafdeling formeel verantwoordelijk is voor inkoopactiviteiten en de functies die hieronder vallen. Uit de empirie komt naar voren dat de spanwijdte van de centrale inkoopafdeling breed is. Acht van de elf onderzochte scholen hebben een centraal gereguleerde inkoopafdeling die verantwoordelijk is alle inkoopactiviteiten. De wensen en behoeften van de afzonderlijke scholen worden geïntegreerd in een pakket van eisen waaraan nieuwe producten en diensten aan moeten voldoen. Uit de interviews komt niet naar voren dat de span of control een potentieel gevaar vormt voor de efficiëntie van inkoop binnen deze acht scholen.  </w:t>
      </w:r>
    </w:p>
    <w:p w14:paraId="324685AE" w14:textId="398D6EFD" w:rsidR="007E665C" w:rsidRPr="00E42062" w:rsidRDefault="007E665C" w:rsidP="007E665C">
      <w:pPr>
        <w:pStyle w:val="NoSpacing"/>
        <w:spacing w:line="276" w:lineRule="auto"/>
        <w:rPr>
          <w:noProof/>
          <w:color w:val="000000" w:themeColor="text1"/>
        </w:rPr>
      </w:pPr>
      <w:r w:rsidRPr="00E42062">
        <w:rPr>
          <w:noProof/>
          <w:color w:val="000000" w:themeColor="text1"/>
        </w:rPr>
        <w:tab/>
      </w:r>
      <w:r>
        <w:rPr>
          <w:noProof/>
          <w:color w:val="000000" w:themeColor="text1"/>
        </w:rPr>
        <w:t xml:space="preserve">Tot slot was de verwachting dat centralisatie afbreuk doet aan de autonomie </w:t>
      </w:r>
      <w:r w:rsidRPr="00E42062">
        <w:rPr>
          <w:noProof/>
          <w:color w:val="000000" w:themeColor="text1"/>
        </w:rPr>
        <w:t xml:space="preserve">(Goold &amp; Campbell, aangehaald in Rozemeijer, 2000). </w:t>
      </w:r>
      <w:r>
        <w:rPr>
          <w:noProof/>
          <w:color w:val="000000" w:themeColor="text1"/>
        </w:rPr>
        <w:t>De emprie laat zien</w:t>
      </w:r>
      <w:r w:rsidRPr="00E42062">
        <w:rPr>
          <w:noProof/>
          <w:color w:val="000000" w:themeColor="text1"/>
        </w:rPr>
        <w:t xml:space="preserve"> dat een groot deel van de respondenten waarde hecht aan de vrijh</w:t>
      </w:r>
      <w:r>
        <w:rPr>
          <w:noProof/>
          <w:color w:val="000000" w:themeColor="text1"/>
        </w:rPr>
        <w:t>eid om inkoopbeslissingen te nemen. Dit is in het geding bij centraal gereguleerde inkoop. De beslissingsbevoegheid is ruimer gedefinieerd bij lage inkoopwaarde en bij verbruiksartikelen.</w:t>
      </w:r>
      <w:r w:rsidRPr="00E42062">
        <w:rPr>
          <w:noProof/>
          <w:color w:val="000000" w:themeColor="text1"/>
        </w:rPr>
        <w:t xml:space="preserve"> Deze autonomie wordt echter ingeperkt indien het producten betreft voor op de lange termijn of producten met een relatief hoge inkoopwaarde. Inkoop zal dan doorgaans centraal plaats vinden (R1, R3, R4, R6, R8 t/m R11). Hierdoor zijn scholengemeenschappen minder flexibel in hun handelingen. “Er zijn producten die zich goed lenen voor inkoop op grote schaal, maar dit vereist veel onderlinge afstemming” (Martens, 2017). Er gelden immers andere regels bij de gezamenlijke inkoop. </w:t>
      </w:r>
    </w:p>
    <w:p w14:paraId="56832D57" w14:textId="77777777" w:rsidR="007E665C" w:rsidRPr="00E42062" w:rsidRDefault="007E665C" w:rsidP="007E665C">
      <w:pPr>
        <w:pStyle w:val="NoSpacing"/>
        <w:spacing w:line="276" w:lineRule="auto"/>
        <w:rPr>
          <w:noProof/>
          <w:color w:val="000000" w:themeColor="text1"/>
        </w:rPr>
      </w:pPr>
      <w:r w:rsidRPr="00E42062">
        <w:rPr>
          <w:noProof/>
          <w:color w:val="000000" w:themeColor="text1"/>
        </w:rPr>
        <w:tab/>
      </w:r>
    </w:p>
    <w:p w14:paraId="016F473D" w14:textId="77777777" w:rsidR="007E665C" w:rsidRPr="00E42062" w:rsidRDefault="007E665C" w:rsidP="007E665C">
      <w:pPr>
        <w:pStyle w:val="NoSpacing"/>
        <w:spacing w:line="276" w:lineRule="auto"/>
        <w:rPr>
          <w:noProof/>
          <w:color w:val="000000" w:themeColor="text1"/>
        </w:rPr>
      </w:pPr>
    </w:p>
    <w:p w14:paraId="0CC80F09" w14:textId="77777777" w:rsidR="00C45E24" w:rsidRDefault="00C45E24">
      <w:pPr>
        <w:kinsoku/>
        <w:autoSpaceDE/>
        <w:autoSpaceDN/>
        <w:adjustRightInd/>
        <w:spacing w:after="160" w:line="259" w:lineRule="auto"/>
        <w:rPr>
          <w:rFonts w:asciiTheme="minorHAnsi" w:eastAsiaTheme="minorHAnsi" w:hAnsiTheme="minorHAnsi"/>
          <w:b/>
          <w:noProof/>
          <w:color w:val="1F3864" w:themeColor="accent1" w:themeShade="80"/>
          <w:sz w:val="22"/>
        </w:rPr>
      </w:pPr>
      <w:r>
        <w:rPr>
          <w:noProof/>
          <w:color w:val="1F3864" w:themeColor="accent1" w:themeShade="80"/>
        </w:rPr>
        <w:br w:type="page"/>
      </w:r>
    </w:p>
    <w:p w14:paraId="250CA077" w14:textId="3CD73C5A" w:rsidR="007E665C" w:rsidRPr="00190722" w:rsidRDefault="007E665C" w:rsidP="0004389C">
      <w:pPr>
        <w:pStyle w:val="Heading3"/>
        <w:rPr>
          <w:noProof/>
          <w:color w:val="1F3864" w:themeColor="accent1" w:themeShade="80"/>
        </w:rPr>
      </w:pPr>
      <w:bookmarkStart w:id="159" w:name="_Toc517455499"/>
      <w:r w:rsidRPr="00190722">
        <w:rPr>
          <w:noProof/>
          <w:color w:val="1F3864" w:themeColor="accent1" w:themeShade="80"/>
        </w:rPr>
        <w:lastRenderedPageBreak/>
        <w:t>6.</w:t>
      </w:r>
      <w:r w:rsidR="00682B1C" w:rsidRPr="00190722">
        <w:rPr>
          <w:noProof/>
          <w:color w:val="1F3864" w:themeColor="accent1" w:themeShade="80"/>
        </w:rPr>
        <w:t>4</w:t>
      </w:r>
      <w:r w:rsidRPr="00190722">
        <w:rPr>
          <w:noProof/>
          <w:color w:val="1F3864" w:themeColor="accent1" w:themeShade="80"/>
        </w:rPr>
        <w:t>.</w:t>
      </w:r>
      <w:r w:rsidR="00C45E24">
        <w:rPr>
          <w:noProof/>
          <w:color w:val="1F3864" w:themeColor="accent1" w:themeShade="80"/>
        </w:rPr>
        <w:t>2</w:t>
      </w:r>
      <w:r w:rsidRPr="00190722">
        <w:rPr>
          <w:noProof/>
          <w:color w:val="1F3864" w:themeColor="accent1" w:themeShade="80"/>
        </w:rPr>
        <w:t xml:space="preserve"> Mate van professionalisering en het inkoopproces van Van Weele</w:t>
      </w:r>
      <w:bookmarkEnd w:id="159"/>
    </w:p>
    <w:p w14:paraId="4975A287" w14:textId="01E7BD93" w:rsidR="007E665C" w:rsidRPr="00E42062" w:rsidRDefault="007E665C" w:rsidP="007E665C">
      <w:pPr>
        <w:pStyle w:val="NoSpacing"/>
        <w:spacing w:line="276" w:lineRule="auto"/>
        <w:rPr>
          <w:noProof/>
        </w:rPr>
      </w:pPr>
      <w:r w:rsidRPr="00E42062">
        <w:rPr>
          <w:noProof/>
        </w:rPr>
        <w:t>De derde faciliterende factor voor een efficiënt inkoop betreft de professionalisering van de inkoopfunctie. In de theoretische kader is uiteengezet dat wanneer er aandacht is voor het professionaliseren van de inkoop, er hier grote voordelen mee te behalen zijn. Het toegenomen volwassenheidsniveau van de inkoopfunctie leidt tot slimmer en efficiënter inkoop. In dit onderzoek staat het inkoopmodel van Van Weele (1992)</w:t>
      </w:r>
      <w:r>
        <w:rPr>
          <w:noProof/>
        </w:rPr>
        <w:t xml:space="preserve"> </w:t>
      </w:r>
      <w:r w:rsidRPr="00E42062">
        <w:rPr>
          <w:noProof/>
        </w:rPr>
        <w:t xml:space="preserve">centraal. </w:t>
      </w:r>
    </w:p>
    <w:p w14:paraId="40E8E717" w14:textId="40056628" w:rsidR="007E665C" w:rsidRPr="00E42062" w:rsidRDefault="007E665C" w:rsidP="007E665C">
      <w:pPr>
        <w:pStyle w:val="NoSpacing"/>
        <w:spacing w:line="276" w:lineRule="auto"/>
        <w:rPr>
          <w:noProof/>
        </w:rPr>
      </w:pPr>
      <w:r>
        <w:rPr>
          <w:noProof/>
        </w:rPr>
        <w:t xml:space="preserve">In deze </w:t>
      </w:r>
      <w:r w:rsidR="008D1D33">
        <w:t>empirische</w:t>
      </w:r>
      <w:r>
        <w:rPr>
          <w:noProof/>
        </w:rPr>
        <w:t xml:space="preserve"> studie is onderzocht</w:t>
      </w:r>
      <w:r w:rsidRPr="00E42062">
        <w:rPr>
          <w:noProof/>
        </w:rPr>
        <w:t xml:space="preserve"> in hoeverre de inkoopafdelingen professioneel handelen en in hoeverre er aandacht is voor</w:t>
      </w:r>
      <w:r w:rsidR="008F61B7">
        <w:rPr>
          <w:noProof/>
        </w:rPr>
        <w:t xml:space="preserve"> </w:t>
      </w:r>
      <w:r w:rsidRPr="00E42062">
        <w:rPr>
          <w:noProof/>
        </w:rPr>
        <w:t>verder</w:t>
      </w:r>
      <w:r w:rsidR="008F61B7">
        <w:rPr>
          <w:noProof/>
        </w:rPr>
        <w:t>e</w:t>
      </w:r>
      <w:r w:rsidRPr="00E42062">
        <w:rPr>
          <w:noProof/>
        </w:rPr>
        <w:t xml:space="preserve"> professionalisering. </w:t>
      </w:r>
      <w:r w:rsidRPr="00E42062">
        <w:rPr>
          <w:rFonts w:cstheme="minorHAnsi"/>
          <w:noProof/>
          <w:color w:val="000000" w:themeColor="text1"/>
        </w:rPr>
        <w:t>Het blijft in de praktijk een complex en langdurig proces.</w:t>
      </w:r>
      <w:r w:rsidRPr="00E42062">
        <w:rPr>
          <w:noProof/>
        </w:rPr>
        <w:t xml:space="preserve"> </w:t>
      </w:r>
      <w:r w:rsidRPr="00E42062">
        <w:rPr>
          <w:rFonts w:ascii="Calibri" w:eastAsia="Calibri" w:hAnsi="Calibri" w:cs="Calibri"/>
          <w:noProof/>
          <w:color w:val="000000"/>
        </w:rPr>
        <w:t>De mate van professionalisme van de inkoopfunctie en de inkoper is volgens Rozemeijer et al. (2003) gerelateerd aan de rol en status van de inkoopfunctie, aan de status van de organisatie, de beschikbaarheid van informatiesystemen over inkoop, de kwaliteit van de mensen die betrokken zijn bij de inkoop en de mate van samenwerking met de leveranciers.</w:t>
      </w:r>
      <w:r w:rsidRPr="00E42062">
        <w:rPr>
          <w:rFonts w:cstheme="minorHAnsi"/>
          <w:noProof/>
          <w:color w:val="000000" w:themeColor="text1"/>
        </w:rPr>
        <w:t xml:space="preserve"> </w:t>
      </w:r>
      <w:r w:rsidRPr="00E42062">
        <w:rPr>
          <w:noProof/>
        </w:rPr>
        <w:t xml:space="preserve">Professionalisering reflecteert </w:t>
      </w:r>
      <w:r w:rsidR="008F61B7">
        <w:rPr>
          <w:noProof/>
        </w:rPr>
        <w:t xml:space="preserve">naar </w:t>
      </w:r>
      <w:r w:rsidRPr="00E42062">
        <w:rPr>
          <w:noProof/>
        </w:rPr>
        <w:t>de mate waarin de inkoopfunctie geïntegreerd is binnen het strategische besluitvormingsproces (</w:t>
      </w:r>
      <w:r w:rsidR="00AE1D71">
        <w:rPr>
          <w:rFonts w:cstheme="minorHAnsi"/>
          <w:color w:val="000000" w:themeColor="text1"/>
          <w:szCs w:val="22"/>
        </w:rPr>
        <w:t xml:space="preserve">Bemelmans </w:t>
      </w:r>
      <w:r w:rsidR="000B47A7">
        <w:rPr>
          <w:rFonts w:cstheme="minorHAnsi"/>
          <w:color w:val="000000" w:themeColor="text1"/>
          <w:szCs w:val="22"/>
        </w:rPr>
        <w:t>et</w:t>
      </w:r>
      <w:r w:rsidR="00AE1D71">
        <w:rPr>
          <w:rFonts w:cstheme="minorHAnsi"/>
          <w:color w:val="000000" w:themeColor="text1"/>
          <w:szCs w:val="22"/>
        </w:rPr>
        <w:t xml:space="preserve"> al. 2013</w:t>
      </w:r>
      <w:r w:rsidRPr="00E42062">
        <w:rPr>
          <w:noProof/>
        </w:rPr>
        <w:t>). Een laag niveau van professionalisme duidt op inkoopfunctie wat zich enkel op het operationeel niveau bevindt. Producten en diensten worden ingekocht zonder dat dit te herleiden is tot</w:t>
      </w:r>
      <w:r w:rsidR="0042678D">
        <w:rPr>
          <w:noProof/>
        </w:rPr>
        <w:t xml:space="preserve"> </w:t>
      </w:r>
      <w:r w:rsidRPr="00E42062">
        <w:rPr>
          <w:noProof/>
        </w:rPr>
        <w:t xml:space="preserve">meerjarenplannen of strategische propositie van de organisatie. </w:t>
      </w:r>
    </w:p>
    <w:p w14:paraId="41F63339" w14:textId="2A45EDB2" w:rsidR="007E665C" w:rsidRPr="00E42062" w:rsidRDefault="007E665C" w:rsidP="007E665C">
      <w:pPr>
        <w:pStyle w:val="NoSpacing"/>
        <w:spacing w:line="276" w:lineRule="auto"/>
        <w:rPr>
          <w:noProof/>
        </w:rPr>
      </w:pPr>
      <w:r w:rsidRPr="00E42062">
        <w:rPr>
          <w:noProof/>
        </w:rPr>
        <w:t xml:space="preserve">De bevindingen op het gebied van professionalsering zijn in hoofdstuk ‘Resultaten’ aan bod gekomen. In deze paragraaf worden de bevindingen uit de praktijk getoetst aan het inkoopmodel van Van Weele (1992). Aan de hand van deze toetsing kan een uitspraak worden gedaan over de mate waarin onderwijsinstellingen hun inkoopfunctie hebben geprofessionaliseerd en in hoeverre er hier ruimte voor bestaat. Het inkoopproces wordt, in lijn met de theoretische kader, per fase beschreven. </w:t>
      </w:r>
    </w:p>
    <w:p w14:paraId="1D17F1B1" w14:textId="77777777" w:rsidR="007E665C" w:rsidRPr="00E42062" w:rsidRDefault="007E665C" w:rsidP="007E665C">
      <w:pPr>
        <w:pStyle w:val="NoSpacing"/>
        <w:spacing w:line="276" w:lineRule="auto"/>
        <w:rPr>
          <w:noProof/>
        </w:rPr>
      </w:pPr>
    </w:p>
    <w:p w14:paraId="3A9FE0ED" w14:textId="436FDC29" w:rsidR="007E665C" w:rsidRPr="00E42062" w:rsidRDefault="007E665C" w:rsidP="007E665C">
      <w:pPr>
        <w:pStyle w:val="NoSpacing"/>
        <w:spacing w:line="276" w:lineRule="auto"/>
        <w:rPr>
          <w:b/>
          <w:noProof/>
        </w:rPr>
      </w:pPr>
      <w:r w:rsidRPr="00190722">
        <w:rPr>
          <w:b/>
          <w:i/>
          <w:noProof/>
          <w:color w:val="1F3864" w:themeColor="accent1" w:themeShade="80"/>
        </w:rPr>
        <w:t>Specificatie van de vraag</w:t>
      </w:r>
    </w:p>
    <w:p w14:paraId="2284C4D5" w14:textId="57BC9490" w:rsidR="007E665C" w:rsidRPr="00E42062" w:rsidRDefault="007E665C" w:rsidP="007E665C">
      <w:pPr>
        <w:pStyle w:val="NoSpacing"/>
        <w:spacing w:line="276" w:lineRule="auto"/>
        <w:rPr>
          <w:rFonts w:cstheme="minorHAnsi"/>
          <w:noProof/>
          <w:color w:val="000000" w:themeColor="text1"/>
        </w:rPr>
      </w:pPr>
      <w:r w:rsidRPr="00E42062">
        <w:rPr>
          <w:noProof/>
        </w:rPr>
        <w:t>Het inkoopproces begint met de specificatie van de koopvraag. Ter wille van efficiëntie dient de inkoopbehoefte te worden vastgesteld via drie stappen: 1) het opstellen van de functionele specificatie, (2) gedetailleerde technische specificatie wat dynamisch gedefinieerd is (</w:t>
      </w:r>
      <w:r w:rsidRPr="00E42062">
        <w:rPr>
          <w:rFonts w:cstheme="minorHAnsi"/>
          <w:noProof/>
          <w:color w:val="000000" w:themeColor="text1"/>
        </w:rPr>
        <w:t>Van der Valk &amp; Rozemeijer, 2009; Telgen, 1994</w:t>
      </w:r>
      <w:r w:rsidRPr="00E42062">
        <w:rPr>
          <w:noProof/>
        </w:rPr>
        <w:t xml:space="preserve">) en van een (3) logistieke en onderhoudsspecificatie. </w:t>
      </w:r>
    </w:p>
    <w:p w14:paraId="5A7FE5F6" w14:textId="789C3C6A" w:rsidR="007E665C" w:rsidRPr="00E42062" w:rsidRDefault="007E665C" w:rsidP="007E665C">
      <w:pPr>
        <w:pStyle w:val="NoSpacing"/>
        <w:spacing w:line="276" w:lineRule="auto"/>
        <w:rPr>
          <w:noProof/>
        </w:rPr>
      </w:pPr>
      <w:r w:rsidRPr="00E42062">
        <w:rPr>
          <w:noProof/>
        </w:rPr>
        <w:t>De respondenten in het onderzoek geven aan dat er voldoende aandacht is voor een ‘goede afbakening van de koopvraag’ maar dit niet altijd vastgesteld wordt of volgens de inkoopmodellen loopt. De specificatie zijn doorgaans praktisch ingesteld op de wensen en eisen van de gebruikersorganisatie en de unitteams. Respondenten R2, R4 en R7 geven aan dat technische specificaties niet anders worden geïnterpreteerd dan de functionele: “Bij inventarisatie kijken wij wat er nodig is voor onze mensen en voor het onderwijs. Hierna bepalen we binnen het team waaraan de producten aan moeten voldoen” (Tayyeb, 2017). Uit de interviews komt naar voren dat er met name veel aandacht bestaat voor de functionele specificatie. De gedetailleerde technische specificatie blijven hieraan ondergeschikt. Dit wordt met name overgelaten aan de leverancier. De contractuele afspraken gaan over de functionaliteit van het product. Wel is er veel aandacht voor de onderhoudsspecificatie in de vorm van afspraken over ondersteuning. Twee van de elf respondenten maken g</w:t>
      </w:r>
      <w:r>
        <w:rPr>
          <w:noProof/>
        </w:rPr>
        <w:t xml:space="preserve">ebruik van een SLA (R2 en R11). </w:t>
      </w:r>
      <w:r w:rsidRPr="00E42062">
        <w:rPr>
          <w:noProof/>
        </w:rPr>
        <w:t>Van der Valk en Rozemeijer (2009) vullen de specificatiefase aan door twee essentiële aspecten aan toe te voegen: verzoek tot informatieverlening en gedetailleerde specificatie. Dit is een welkome aanvulling vanwege de geconstateerde kennisachterstand van de opdrachtgever. De onderzochte onderwijsinstellingen (R3, R4, R5, R6) maken hier gebruik van door bij onduidelijke offertes de leverancier te benaderen en om informatie te vragen. Uit de interviews blijkt dat dit als een vanzelfsprekendheid wordt geacht niet enkel binnen deze fase plaats vindt.</w:t>
      </w:r>
    </w:p>
    <w:p w14:paraId="77A5EC40" w14:textId="0B466398" w:rsidR="007E665C" w:rsidRPr="00E42062" w:rsidRDefault="007E665C" w:rsidP="007E665C">
      <w:pPr>
        <w:pStyle w:val="NoSpacing"/>
        <w:spacing w:line="276" w:lineRule="auto"/>
        <w:ind w:firstLine="708"/>
        <w:rPr>
          <w:noProof/>
        </w:rPr>
      </w:pPr>
      <w:r w:rsidRPr="00E42062">
        <w:rPr>
          <w:noProof/>
        </w:rPr>
        <w:t xml:space="preserve">Aan de hand van de onderzoeksresultaten kan er geconcludeerd worden dat de onderzochte scholen zich niet voldoen aan de eerste fase van het inkoopmodel model van Van Weele (1992). Tevens komen de assumpties van Van der Valk en Rozemeijer (2009) niet overeen met de empirie.   </w:t>
      </w:r>
    </w:p>
    <w:p w14:paraId="336543F1" w14:textId="77777777" w:rsidR="007E665C" w:rsidRPr="00E42062" w:rsidRDefault="007E665C" w:rsidP="007E665C">
      <w:pPr>
        <w:pStyle w:val="NoSpacing"/>
        <w:rPr>
          <w:noProof/>
        </w:rPr>
      </w:pPr>
    </w:p>
    <w:p w14:paraId="4EEC5595" w14:textId="77777777" w:rsidR="007E665C" w:rsidRPr="00E42062" w:rsidRDefault="007E665C" w:rsidP="007E665C">
      <w:pPr>
        <w:pStyle w:val="NoSpacing"/>
        <w:spacing w:line="276" w:lineRule="auto"/>
        <w:rPr>
          <w:b/>
          <w:i/>
          <w:noProof/>
        </w:rPr>
      </w:pPr>
      <w:r w:rsidRPr="00190722">
        <w:rPr>
          <w:b/>
          <w:i/>
          <w:noProof/>
          <w:color w:val="1F3864" w:themeColor="accent1" w:themeShade="80"/>
        </w:rPr>
        <w:t>Selecteren van de leverancier</w:t>
      </w:r>
    </w:p>
    <w:p w14:paraId="5B9C1795" w14:textId="6AC09CFA" w:rsidR="007E665C" w:rsidRPr="00E42062" w:rsidRDefault="007E665C" w:rsidP="007E665C">
      <w:pPr>
        <w:pStyle w:val="NoSpacing"/>
        <w:spacing w:line="276" w:lineRule="auto"/>
        <w:rPr>
          <w:noProof/>
        </w:rPr>
      </w:pPr>
      <w:r w:rsidRPr="00E42062">
        <w:rPr>
          <w:noProof/>
        </w:rPr>
        <w:t>De tweede fase van het inkoopmodel betreft het selecteren van de leverancier. De theorie pleit voor verkenning van de markt, vergelijking van het aanbod van verschillende leveran</w:t>
      </w:r>
      <w:r>
        <w:rPr>
          <w:noProof/>
        </w:rPr>
        <w:t xml:space="preserve">ciers en het gesprek aangaan </w:t>
      </w:r>
      <w:r w:rsidRPr="00E42062">
        <w:rPr>
          <w:noProof/>
        </w:rPr>
        <w:t xml:space="preserve">(Van Wetering, 2015). </w:t>
      </w:r>
      <w:r w:rsidRPr="00E42062">
        <w:rPr>
          <w:noProof/>
        </w:rPr>
        <w:lastRenderedPageBreak/>
        <w:t xml:space="preserve">Deze oriëntatie draagt bij aan een weloverwogen keuze voor een leverancier met als doel efficiënt inkoop. Dit wijkt sterk af van de bevindingen uit de praktijk. Respondenten hebben een sterke voorkeur voor leveranciers waar ze in het verleden al zaken mee hebben gedaan en die zichzelf hebben bewezen. Er is sprake van een sterke relationele vertrouwen. In de vergelijking van het aanbod worden doorgaans twee tot vier leveranciers meegenomen (R4, R6). Het pleidooi van Wetering (2015) over de verkenning van de markt wordt wisselend overgenomen door de onderzochte scholen. Respondenten R1, R3, R4, R5, R6, R11 geven aan vooraf niet de markt te verkennen. Binnen deze scholen gaat de voorkeur uit naar de leveranciers waar in het verleden als zaken mee zijn gedaan en die zich hebben positief hebben bewezen.  </w:t>
      </w:r>
    </w:p>
    <w:p w14:paraId="0E41A2E5" w14:textId="23C74316" w:rsidR="007E665C" w:rsidRPr="00E42062" w:rsidRDefault="007E665C" w:rsidP="007E665C">
      <w:pPr>
        <w:pStyle w:val="NoSpacing"/>
        <w:spacing w:line="276" w:lineRule="auto"/>
        <w:rPr>
          <w:noProof/>
        </w:rPr>
      </w:pPr>
      <w:r w:rsidRPr="00E42062">
        <w:rPr>
          <w:noProof/>
        </w:rPr>
        <w:t xml:space="preserve">Volgens de theorie wordt er binnen het inkoopbeleid traditioneel aandacht besteedt aan de kwantitatieve criteria als prijs, productiecapaciteit en financiële positie en status van de leverancier. Uit de theorie en de praktijk komt echter naar voren dat er tevens aandacht uit moet gaan naar factoren zoals verzekering, aanwezige risico’s, beperkingen en andere aspecten van het product of dienst (Brun et </w:t>
      </w:r>
      <w:r w:rsidR="000B47A7">
        <w:rPr>
          <w:noProof/>
        </w:rPr>
        <w:t>al.</w:t>
      </w:r>
      <w:r w:rsidRPr="00E42062">
        <w:rPr>
          <w:noProof/>
        </w:rPr>
        <w:t xml:space="preserve"> 2013). Uit de </w:t>
      </w:r>
      <w:r>
        <w:rPr>
          <w:noProof/>
        </w:rPr>
        <w:t>eempirie</w:t>
      </w:r>
      <w:r w:rsidRPr="00E42062">
        <w:rPr>
          <w:noProof/>
        </w:rPr>
        <w:t xml:space="preserve"> blijkt dat de onderzochte scholen hier aandacht voor hebben (R4, R6, R7, R8). Er wordt niet enkel op de inkoopkosten gelet, maar tevens op de kwaliteit en de totale kosten op de lange termijn. Naast de kwantitatieve gunningscriteria wordt binnen de onderzochte scholen ook aandacht gegeven aan kwalitatieve aspecten van inkoop. </w:t>
      </w:r>
    </w:p>
    <w:p w14:paraId="0712F706" w14:textId="62D24A95" w:rsidR="007E665C" w:rsidRPr="00E42062" w:rsidRDefault="007E665C" w:rsidP="007E665C">
      <w:pPr>
        <w:pStyle w:val="NoSpacing"/>
        <w:spacing w:line="276" w:lineRule="auto"/>
        <w:rPr>
          <w:noProof/>
        </w:rPr>
      </w:pPr>
      <w:r w:rsidRPr="00E42062">
        <w:rPr>
          <w:noProof/>
        </w:rPr>
        <w:tab/>
        <w:t xml:space="preserve">Gerelateerd aan de selectiefase van het inkoopmodel stelt de theorie van Van Weele (1992) dat de relevante leveranciers op basis van een pre-kwalificatie in kaart moeten worden gebracht. Er dient een lijst van eisen worden opgesteld waar leveranciers aan dienen te voldoen. Vervolgens wordt een ‘bidders-list’ opgesteld die aangeeft welke leveranciers worden uitgenodigd en verder worden betrokken in het proces. Dit wordt weerlegd door de bevindingen uit de empirie. Geen van de onderzochte onderwijsinstellingen maakt gebruik van een objectieve pre-kwalificatie van leveranciers. De eisen waaraan de leverancier moet voldoen zijn niet altijd helder geformuleerd, waardoor een rationele afweging niet mogelijk is. Doorgaans worden leveranciers uitgenodigd waarmee in het verleden naar tevreden zaken mee zijn gedaan. Dit voldoet aan het pleidooi van Knoester (2009), waarin gesteld wordt dat niet te veel leveranciers moeten worden uitgenodigd om een offerte in te dienen.  </w:t>
      </w:r>
    </w:p>
    <w:p w14:paraId="7D9B4DC2" w14:textId="77777777" w:rsidR="007E665C" w:rsidRPr="00E42062" w:rsidRDefault="007E665C" w:rsidP="007E665C">
      <w:pPr>
        <w:pStyle w:val="NoSpacing"/>
        <w:spacing w:line="276" w:lineRule="auto"/>
        <w:rPr>
          <w:noProof/>
        </w:rPr>
      </w:pPr>
    </w:p>
    <w:p w14:paraId="7253FEFC" w14:textId="77777777" w:rsidR="007E665C" w:rsidRPr="00E42062" w:rsidRDefault="007E665C" w:rsidP="007E665C">
      <w:pPr>
        <w:pStyle w:val="NoSpacing"/>
        <w:spacing w:line="276" w:lineRule="auto"/>
        <w:rPr>
          <w:noProof/>
        </w:rPr>
      </w:pPr>
      <w:r w:rsidRPr="00190722">
        <w:rPr>
          <w:b/>
          <w:i/>
          <w:noProof/>
          <w:color w:val="1F3864" w:themeColor="accent1" w:themeShade="80"/>
        </w:rPr>
        <w:t>Contracteren</w:t>
      </w:r>
    </w:p>
    <w:p w14:paraId="1B6A0FF9" w14:textId="2A2CF415" w:rsidR="007E665C" w:rsidRPr="00E42062" w:rsidRDefault="007E665C" w:rsidP="007E665C">
      <w:pPr>
        <w:pStyle w:val="NoSpacing"/>
        <w:spacing w:line="276" w:lineRule="auto"/>
        <w:rPr>
          <w:noProof/>
        </w:rPr>
      </w:pPr>
      <w:r>
        <w:rPr>
          <w:noProof/>
        </w:rPr>
        <w:t xml:space="preserve">De verwachting is dat fase contracteren </w:t>
      </w:r>
      <w:r w:rsidRPr="00E42062">
        <w:rPr>
          <w:noProof/>
        </w:rPr>
        <w:t xml:space="preserve">doorgaans problematisch </w:t>
      </w:r>
      <w:r>
        <w:rPr>
          <w:noProof/>
        </w:rPr>
        <w:t xml:space="preserve">verloopt </w:t>
      </w:r>
      <w:r w:rsidRPr="00E42062">
        <w:rPr>
          <w:noProof/>
        </w:rPr>
        <w:t xml:space="preserve">omdat er geen sprake is van gebalanceerde kennisverhouding (McCue en Prier, 2008). De leverancier bezit doorgaans en heeft een beter begrip over de inspanningen en middelen die nodig zijn voor het leveren van de benodigde producten en diensten (De Bruijn et </w:t>
      </w:r>
      <w:r w:rsidR="000B47A7">
        <w:rPr>
          <w:noProof/>
        </w:rPr>
        <w:t>al.</w:t>
      </w:r>
      <w:r w:rsidRPr="00E42062">
        <w:rPr>
          <w:noProof/>
        </w:rPr>
        <w:t xml:space="preserve"> 2015). Volgens Hartley en Parker (1997) wordt de begrensde rationaliteit en opportunistisch gedrag geassocieerd met asymmetrie in de opdrachtnemer-opdrachtgever relatie, wat leidt tot verlies van welvaart van de partij met kennisachterstand. Deze problematiek wordt niet onderstreept door de bevindingen uit de empirie. Er wordt weliswaar aangegeven dat de leverancier meer specialistische kennis bezit, maar dit wordt niet als een belemmering gezien voor efficiënt inkoop. Respondenten R3, R4 en R8 zijn van mening dat de kennis tussen de opdrachtgever en de opdrachtnemer gebalanceerd is en dat er mogelijkheid bestaat om rationele keuzes te maken. Het gevaar van opportunistisch gedrag als aanleiding voor agency probleem wordt door de onderzochte scholen niet ervaren. </w:t>
      </w:r>
    </w:p>
    <w:p w14:paraId="4EF371D6" w14:textId="77777777" w:rsidR="007E665C" w:rsidRPr="00E42062" w:rsidRDefault="007E665C" w:rsidP="007E665C">
      <w:pPr>
        <w:pStyle w:val="NoSpacing"/>
        <w:spacing w:line="276" w:lineRule="auto"/>
        <w:rPr>
          <w:noProof/>
        </w:rPr>
      </w:pPr>
      <w:r w:rsidRPr="00E42062">
        <w:rPr>
          <w:noProof/>
        </w:rPr>
        <w:t xml:space="preserve">Deze kennisasymmetrie was de aanleiding van dit onderzoek. Het is dan ook opmerkelijk dat binnen de onderzochte scholen de aanwezige kennisasymmetrie niet wordt gezien als een negatief effect op efficiënt inkoop. De agency problematiek zoals beschreven door Hartley en Parker is volgens de respondenten niet aanwezig binnen deze 11 onderzochte voortgezet onderwijsinstellingen. </w:t>
      </w:r>
    </w:p>
    <w:p w14:paraId="6C63094A" w14:textId="4000C2A8" w:rsidR="007E665C" w:rsidRPr="00E42062" w:rsidRDefault="007E665C" w:rsidP="007E665C">
      <w:pPr>
        <w:pStyle w:val="NoSpacing"/>
        <w:spacing w:line="276" w:lineRule="auto"/>
        <w:rPr>
          <w:noProof/>
        </w:rPr>
      </w:pPr>
      <w:r w:rsidRPr="00E42062">
        <w:rPr>
          <w:noProof/>
        </w:rPr>
        <w:t xml:space="preserve">Indien dit wel het geval is, kunnen opdrachtgevers zichzelf indekken met contractual en relational governance (De Bruijn </w:t>
      </w:r>
      <w:r w:rsidR="000B47A7">
        <w:rPr>
          <w:noProof/>
        </w:rPr>
        <w:t>et</w:t>
      </w:r>
      <w:r w:rsidRPr="00E42062">
        <w:rPr>
          <w:noProof/>
        </w:rPr>
        <w:t xml:space="preserve"> </w:t>
      </w:r>
      <w:r w:rsidR="000B47A7">
        <w:rPr>
          <w:noProof/>
        </w:rPr>
        <w:t>Al.</w:t>
      </w:r>
      <w:r w:rsidRPr="00E42062">
        <w:rPr>
          <w:noProof/>
        </w:rPr>
        <w:t xml:space="preserve"> 2015). Deze contracten zijn gebaseerd op de coöperatieve samenwerking tussen de opdrachtgever en de opdrachtnemer ten behoeve van voorkomen van agency problemen. Gelinkt hieraan is het concept van controlecontracten van De Bruijn et al. (2005) om tot betere dienstverlening en lagere kosten te komen. Met name vanwege het feit dat risico’s en verantwoordelijkheden gespreid worden. Dit is niet terug te zien in de empirie. Het is opvallend te noemen dat geen van de onderzochte scholen als beleid heeft om de kwaliteit van de levering te </w:t>
      </w:r>
      <w:r w:rsidRPr="00E42062">
        <w:rPr>
          <w:noProof/>
        </w:rPr>
        <w:lastRenderedPageBreak/>
        <w:t xml:space="preserve">onderzoeken en te monitoren. Geen van de onderzochte onderwijsinstellingen maakt gebruik van boeteclausules of contractuele verspreiding van de risico’s. Wel zijn er SLA’s en contracten waarin de plichten van de leverancier en andere contractuele afspraken worden geformuleerd. </w:t>
      </w:r>
    </w:p>
    <w:p w14:paraId="2E6840F6" w14:textId="77777777" w:rsidR="007E665C" w:rsidRPr="00E42062" w:rsidRDefault="007E665C" w:rsidP="007E665C">
      <w:pPr>
        <w:pStyle w:val="NoSpacing"/>
        <w:spacing w:line="276" w:lineRule="auto"/>
        <w:rPr>
          <w:noProof/>
        </w:rPr>
      </w:pPr>
    </w:p>
    <w:p w14:paraId="7090F88D" w14:textId="77777777" w:rsidR="007E665C" w:rsidRPr="00190722" w:rsidRDefault="007E665C" w:rsidP="007E665C">
      <w:pPr>
        <w:pStyle w:val="NoSpacing"/>
        <w:spacing w:line="276" w:lineRule="auto"/>
        <w:rPr>
          <w:b/>
          <w:i/>
          <w:noProof/>
          <w:color w:val="1F3864" w:themeColor="accent1" w:themeShade="80"/>
        </w:rPr>
      </w:pPr>
      <w:r w:rsidRPr="00190722">
        <w:rPr>
          <w:b/>
          <w:i/>
          <w:noProof/>
          <w:color w:val="1F3864" w:themeColor="accent1" w:themeShade="80"/>
        </w:rPr>
        <w:t xml:space="preserve">Nazorg en evaluatie </w:t>
      </w:r>
    </w:p>
    <w:p w14:paraId="049C3B9A" w14:textId="40068FC8" w:rsidR="007E665C" w:rsidRPr="00E42062" w:rsidRDefault="007E665C" w:rsidP="007E665C">
      <w:pPr>
        <w:pStyle w:val="NoSpacing"/>
        <w:spacing w:line="276" w:lineRule="auto"/>
        <w:rPr>
          <w:noProof/>
        </w:rPr>
      </w:pPr>
      <w:r w:rsidRPr="00E42062">
        <w:rPr>
          <w:noProof/>
        </w:rPr>
        <w:t xml:space="preserve">Tot slot is de fase van nazorg en evaluatie binnen het inkoopmodel van Van Weele (1992) essentieel voor een efficiënte inkoop. Volgens King (aangehaald in Brun et </w:t>
      </w:r>
      <w:r w:rsidR="000B47A7">
        <w:rPr>
          <w:noProof/>
        </w:rPr>
        <w:t>al.</w:t>
      </w:r>
      <w:r w:rsidRPr="00E42062">
        <w:rPr>
          <w:noProof/>
        </w:rPr>
        <w:t xml:space="preserve"> 2013) is de effectiviteit van inkoop mede afhankelijk van kwalificatie van de leverancier en evaluatie –en relatiemanagement. Organisaties die geen aandacht besteden aan</w:t>
      </w:r>
      <w:r w:rsidR="0042678D">
        <w:rPr>
          <w:noProof/>
        </w:rPr>
        <w:t xml:space="preserve"> het</w:t>
      </w:r>
      <w:r w:rsidRPr="00E42062">
        <w:rPr>
          <w:noProof/>
        </w:rPr>
        <w:t xml:space="preserve"> monitoren en managen van de relatie met de leverancier ná aankoop worden verrast door de negatieve uitkomsten van het project (King aangehaald in Brun et </w:t>
      </w:r>
      <w:r w:rsidR="000B47A7">
        <w:rPr>
          <w:noProof/>
        </w:rPr>
        <w:t>al.</w:t>
      </w:r>
      <w:r w:rsidRPr="00E42062">
        <w:rPr>
          <w:noProof/>
        </w:rPr>
        <w:t xml:space="preserve"> 2013). Volgens Knoester (2009) is contractbewaking essentieel voor de efficiëntie van de inkoop omdat het ten doel heeft de geleverde producten en diensten te toetsen aan de initiële afspraken. Deze theoretische veronderstellingen zijn niet in lijn met de bevindingen uit de praktijk. Respondenten R4 t/m R7, R10 en R11 geven dat zij na de levering met de leverancier het gesprek aangaan over de geleverde diensten en in hoeverre dit in overeenstemming is met de initiële afspraken en SLA’s. Heldere contractuele afspraken over de kwaliteit worden echter alleen bij Europese aanbestedingen vastgesteld. In andere gevallen wordt er beroep gedaan op de leverancier om alsnog aan de eisen te voldoen. Indien hieraan geen gehoor wordt gegeven, of niet naar tevredenheid, dan wordt kiest de opdrachtgever voor om in de toekomst geen zaken meer mee te doen. Juridisch gezien zijn de contracten vaak niet op gericht om afspraken tot in het detail vast te leggen, mede vanwege het feit dat het om koopgoederen gaat. Respondent R3 geeft aan dat er weinig zin heeft om een inhoudelijke discussie te voeren over de functionaliteit van de producten wanneer deze in de praktijk anders uitpakken. De rode lijn uit de interviews is dat er weinig juridische clausules worden vastgesteld in contracten om op terug te vallen. Hier is wel sprake van wanneer er SLA’s zijn opgesteld om de operationele prestatie te bewaken. Respondenten R1, R3, R5 t/m R8 en R11 maken gebruik van protocollen om een SLA afdwingbaar te maken. Wel dient erbij opgemerkt te worden dat dit met name ICT-gerelateerde producten en diensten betreft.</w:t>
      </w:r>
    </w:p>
    <w:p w14:paraId="78A73884" w14:textId="77777777" w:rsidR="007E665C" w:rsidRPr="00E42062" w:rsidRDefault="007E665C" w:rsidP="007E665C">
      <w:pPr>
        <w:pStyle w:val="NoSpacing"/>
        <w:spacing w:line="276" w:lineRule="auto"/>
        <w:rPr>
          <w:noProof/>
        </w:rPr>
      </w:pPr>
      <w:r w:rsidRPr="00E42062">
        <w:rPr>
          <w:noProof/>
        </w:rPr>
        <w:t>Er is echter wel veel aandacht voor contractbewaking en toetsing op het financieel vlak: afspraken over de betaling aan de leverancier. Een goed risicobeheer is hierbij belangrijk. In het geval van fixed price diensten en producten worden facturen doorgaans vóór de daadwerkelijk levering of prestatie in rekening gebracht. Gevaar is dat de leverancier failliet kan gaan en inflatie tot hogere prijzen kan leiden die achteraf geïndexeerd worden. Deze gevaar wordt ruimschoots erkend door een meerderheid van de respondenten (R1, R2, R6, R8, R9, R10, R11).</w:t>
      </w:r>
    </w:p>
    <w:p w14:paraId="42301B49" w14:textId="6FC5E70D" w:rsidR="007E665C" w:rsidRPr="00E42062" w:rsidRDefault="007E665C" w:rsidP="007E665C">
      <w:pPr>
        <w:pStyle w:val="NoSpacing"/>
        <w:spacing w:line="276" w:lineRule="auto"/>
        <w:rPr>
          <w:noProof/>
        </w:rPr>
      </w:pPr>
      <w:r w:rsidRPr="00E42062">
        <w:rPr>
          <w:noProof/>
        </w:rPr>
        <w:t xml:space="preserve">Geconcludeerd kan worden dat er niet wordt voldaan aan de eisen van nazorg en evaluatie zoals gesteld in het inkoopmodel van Van Weele (1992). Scholen houden een reactieve werkwijze op na, in plaats van structureel en proactief op te sturen. Dit is opvallend te noemen, gelet op eerdere bevindingen. Uit het onderzoek is namelijk naar voren gekomen dat de inkopers veel waarde hechten aan goede nazorg en dienstverlening, na de levering. Dit bepaalt zelfs in sterke mate de leverancierskeuze. Op dit terrein is veel winst op efficiëntie te behalen voor de scholen.  </w:t>
      </w:r>
    </w:p>
    <w:p w14:paraId="4A9398C2" w14:textId="77777777" w:rsidR="007E665C" w:rsidRDefault="007E665C" w:rsidP="007E665C">
      <w:pPr>
        <w:rPr>
          <w:b/>
          <w:i/>
          <w:noProof/>
        </w:rPr>
      </w:pPr>
    </w:p>
    <w:p w14:paraId="1B583122" w14:textId="48E93201" w:rsidR="007E665C" w:rsidRPr="00190722" w:rsidRDefault="007E665C" w:rsidP="0004389C">
      <w:pPr>
        <w:pStyle w:val="Heading3"/>
        <w:rPr>
          <w:noProof/>
          <w:color w:val="1F3864" w:themeColor="accent1" w:themeShade="80"/>
        </w:rPr>
      </w:pPr>
      <w:bookmarkStart w:id="160" w:name="_Toc517455500"/>
      <w:r w:rsidRPr="00190722">
        <w:rPr>
          <w:noProof/>
          <w:color w:val="1F3864" w:themeColor="accent1" w:themeShade="80"/>
        </w:rPr>
        <w:t>6.</w:t>
      </w:r>
      <w:r w:rsidR="00682B1C" w:rsidRPr="00190722">
        <w:rPr>
          <w:noProof/>
          <w:color w:val="1F3864" w:themeColor="accent1" w:themeShade="80"/>
        </w:rPr>
        <w:t>4</w:t>
      </w:r>
      <w:r w:rsidRPr="00190722">
        <w:rPr>
          <w:noProof/>
          <w:color w:val="1F3864" w:themeColor="accent1" w:themeShade="80"/>
        </w:rPr>
        <w:t>.</w:t>
      </w:r>
      <w:r w:rsidR="008D1D33">
        <w:rPr>
          <w:noProof/>
          <w:color w:val="1F3864" w:themeColor="accent1" w:themeShade="80"/>
        </w:rPr>
        <w:t>3</w:t>
      </w:r>
      <w:r w:rsidRPr="00190722">
        <w:rPr>
          <w:noProof/>
          <w:color w:val="1F3864" w:themeColor="accent1" w:themeShade="80"/>
        </w:rPr>
        <w:t xml:space="preserve"> Opdrachtgever-opdrachtnemer relatie</w:t>
      </w:r>
      <w:bookmarkEnd w:id="160"/>
    </w:p>
    <w:p w14:paraId="216192FC" w14:textId="77777777" w:rsidR="007E665C" w:rsidRPr="00E42062" w:rsidRDefault="007E665C" w:rsidP="007E665C">
      <w:pPr>
        <w:pStyle w:val="NoSpacing"/>
        <w:spacing w:line="276" w:lineRule="auto"/>
        <w:rPr>
          <w:noProof/>
        </w:rPr>
      </w:pPr>
      <w:r w:rsidRPr="00E42062">
        <w:rPr>
          <w:noProof/>
        </w:rPr>
        <w:t xml:space="preserve">De relatie met de leverancier is voor de onderzochte scholen belangrijk. Er wordt veel waarde gehecht aan leveranciers die voldoen aan de behoeften en waar een vertrouwensband mee kan worden opgebouwd. Een meerderheid van de respondenten toont een sterke loyaliteit richting leveranciers die zichzelf positief hebben bewezen. Binnen nieuwe inkooptrajecten krijgen zij de voorkeur boven leveranciers die onbekend zijn. Er is een sterke behoefte aan partnerschap met de leveranciers gebouwd op wederzijdse vertrouwen, commitment en toegankelijkheid. Dit geldt met name voor aanbestedingen en inkoop met een bepaalde waarde. Binnen de Europese aanbestedingen is de opdrachtgever-opdrachtnemer relatie daarentegen meer gericht op de principaal-agentschap verhouding. Er is sprake van zwakke initiële vertrouwen vanuit de scholen, de inkoper stelt zich zakelijk op, is controlerend en rationeel in de keuzes. </w:t>
      </w:r>
      <w:r>
        <w:rPr>
          <w:noProof/>
        </w:rPr>
        <w:t>Uit dit empirisch</w:t>
      </w:r>
      <w:r w:rsidRPr="00E42062">
        <w:rPr>
          <w:noProof/>
        </w:rPr>
        <w:t xml:space="preserve"> onderzoek komt naar voren dat de aanwezigheid van </w:t>
      </w:r>
      <w:r w:rsidRPr="00E42062">
        <w:rPr>
          <w:noProof/>
        </w:rPr>
        <w:lastRenderedPageBreak/>
        <w:t xml:space="preserve">opportunistische opdrachtnemers gering is. Respondenten geven aan hier nauwelijks ervaring mee te hebben. Tevens komt uit dit onderzoek naar voren dat wanneer leveranciers zich niet houden aan de gemaakte afspraken en enkel eigen winst nastreven, er in de toekomst geen zaken mee worden gedaan. </w:t>
      </w:r>
      <w:r>
        <w:rPr>
          <w:noProof/>
        </w:rPr>
        <w:t xml:space="preserve">Dit wijkt af van </w:t>
      </w:r>
      <w:r w:rsidRPr="00E42062">
        <w:rPr>
          <w:noProof/>
        </w:rPr>
        <w:t xml:space="preserve">de relatie met de vaste, doorgaans lokale leverancier. </w:t>
      </w:r>
      <w:r>
        <w:rPr>
          <w:noProof/>
        </w:rPr>
        <w:t>Hierbij stelt de inkoper zich minder rationeel op</w:t>
      </w:r>
      <w:r w:rsidRPr="00E42062">
        <w:rPr>
          <w:noProof/>
        </w:rPr>
        <w:t xml:space="preserve">, afspraken </w:t>
      </w:r>
      <w:r>
        <w:rPr>
          <w:noProof/>
        </w:rPr>
        <w:t xml:space="preserve">komen </w:t>
      </w:r>
      <w:r w:rsidRPr="00E42062">
        <w:rPr>
          <w:noProof/>
        </w:rPr>
        <w:t xml:space="preserve">gezamenlijk </w:t>
      </w:r>
      <w:r>
        <w:rPr>
          <w:noProof/>
        </w:rPr>
        <w:t>tot stand en de leverancier geniet de voorkeur boven de andere partijen.</w:t>
      </w:r>
      <w:r w:rsidRPr="00E42062">
        <w:rPr>
          <w:noProof/>
        </w:rPr>
        <w:t xml:space="preserve"> Onderwijsinstellingen baseren hun beslissingen doorgaans op eerdere ervaringen, </w:t>
      </w:r>
      <w:r>
        <w:rPr>
          <w:noProof/>
        </w:rPr>
        <w:t xml:space="preserve">gebasseerd op vertrouwen. Dit is zorgwekkend omdat het </w:t>
      </w:r>
      <w:r w:rsidRPr="00E42062">
        <w:rPr>
          <w:noProof/>
        </w:rPr>
        <w:t xml:space="preserve">rationaliteit en kostenefficiëntie in gevaar kan brengen. In dit onderzoek is slechts door drie van de 11 respondenten aangegeven dat elke traject begint met een brede marktconsultatie. In alle andere gevallen zijn de leveranciers reeds bekend, die zich op deze manier een monopolie positie toe-eigenen. </w:t>
      </w:r>
    </w:p>
    <w:p w14:paraId="375098C7" w14:textId="7F459D99" w:rsidR="007E665C" w:rsidRPr="00E42062" w:rsidRDefault="007E665C" w:rsidP="007E665C">
      <w:pPr>
        <w:pStyle w:val="NoSpacing"/>
        <w:spacing w:line="276" w:lineRule="auto"/>
        <w:ind w:firstLine="708"/>
        <w:rPr>
          <w:noProof/>
        </w:rPr>
      </w:pPr>
      <w:r>
        <w:rPr>
          <w:noProof/>
        </w:rPr>
        <w:t xml:space="preserve">De verwachting was dat een cooperatieve relatie meer bijdraagt aan effecientie van inkoop dan een relatie wat slechts gericht is op de transactie (Gibbs et </w:t>
      </w:r>
      <w:r w:rsidR="000B47A7">
        <w:rPr>
          <w:noProof/>
        </w:rPr>
        <w:t>al.</w:t>
      </w:r>
      <w:r>
        <w:rPr>
          <w:noProof/>
        </w:rPr>
        <w:t xml:space="preserve"> </w:t>
      </w:r>
      <w:r w:rsidRPr="00E42062">
        <w:rPr>
          <w:noProof/>
        </w:rPr>
        <w:t>1998)</w:t>
      </w:r>
      <w:r>
        <w:rPr>
          <w:noProof/>
        </w:rPr>
        <w:t xml:space="preserve">. Het is belangrijk om een </w:t>
      </w:r>
      <w:r w:rsidRPr="00E42062">
        <w:rPr>
          <w:noProof/>
        </w:rPr>
        <w:t xml:space="preserve">gezamenlijke doel </w:t>
      </w:r>
      <w:r>
        <w:rPr>
          <w:noProof/>
        </w:rPr>
        <w:t>na te streven</w:t>
      </w:r>
      <w:r w:rsidRPr="00E42062">
        <w:rPr>
          <w:noProof/>
        </w:rPr>
        <w:t xml:space="preserve"> (Eversdijk &amp; Korsten, 2008). Opdrachtgever en opdrachtnemer werken </w:t>
      </w:r>
      <w:r>
        <w:rPr>
          <w:noProof/>
        </w:rPr>
        <w:t xml:space="preserve">dan </w:t>
      </w:r>
      <w:r w:rsidRPr="00E42062">
        <w:rPr>
          <w:noProof/>
        </w:rPr>
        <w:t>gezamenlijk op basis van wederzijds</w:t>
      </w:r>
      <w:r w:rsidR="0042678D">
        <w:rPr>
          <w:noProof/>
        </w:rPr>
        <w:t>e</w:t>
      </w:r>
      <w:r w:rsidRPr="00E42062">
        <w:rPr>
          <w:noProof/>
        </w:rPr>
        <w:t xml:space="preserve"> vertrouwen en zien voordeel in een strategische alliantie. </w:t>
      </w:r>
      <w:r>
        <w:rPr>
          <w:noProof/>
        </w:rPr>
        <w:t xml:space="preserve">Voor de analyse wordt er gebruik gemaakt van de vier aspecten uit de theorie van </w:t>
      </w:r>
      <w:r w:rsidRPr="00E42062">
        <w:rPr>
          <w:noProof/>
        </w:rPr>
        <w:t xml:space="preserve">Monczka et al. (1998): </w:t>
      </w:r>
    </w:p>
    <w:p w14:paraId="2A01CBDB" w14:textId="77777777" w:rsidR="007E665C" w:rsidRPr="00E42062" w:rsidRDefault="007E665C" w:rsidP="007E665C">
      <w:pPr>
        <w:pStyle w:val="NoSpacing"/>
        <w:spacing w:line="276" w:lineRule="auto"/>
        <w:ind w:firstLine="708"/>
        <w:rPr>
          <w:noProof/>
        </w:rPr>
      </w:pPr>
      <w:r w:rsidRPr="00E42062">
        <w:rPr>
          <w:noProof/>
        </w:rPr>
        <w:t>1. Alle partijen zijn onafhankelijk, in de praktijk is dit doorgaans het uitgangspunt. Respondent R3 geeft aan dat onafhankelijkheid niet altijd mogelijk is. Zo geeft hij aan dat de onafhankelijkheid in geding komt indien maar een opdrachtnemer op de markt actief is. Respondent geeft aan dat hij dan een keuze moet maken om voor die ene leverancier te gaan of voor een andere leverancier waarbij vraag en aanbod niet geheel op elkaar aansluit. De keuze valt ondanks de afhankelijkheid op de eerste leverancier.</w:t>
      </w:r>
    </w:p>
    <w:p w14:paraId="21F667ED" w14:textId="1BF66CDC" w:rsidR="007E665C" w:rsidRPr="00E42062" w:rsidRDefault="007E665C" w:rsidP="007E665C">
      <w:pPr>
        <w:pStyle w:val="NoSpacing"/>
        <w:spacing w:line="276" w:lineRule="auto"/>
        <w:ind w:firstLine="708"/>
        <w:rPr>
          <w:noProof/>
        </w:rPr>
      </w:pPr>
      <w:r w:rsidRPr="00E42062">
        <w:rPr>
          <w:noProof/>
        </w:rPr>
        <w:t>2. De risico’s en opbrengsten worden onderling verdeeld. Dit aspect komt niet duidelijk naar voren in de interviews. Er bestaat geen gelijkwaardigheid wat betreft de kennis, belangen en waarden. De leverancier bezit specialistische kennis, wat ook door respondenten (R3, R4 en R10) wordt erkent. Echter verstoort dit niet de machtsverhouding tussen de opdrachtgever en de opdracht</w:t>
      </w:r>
      <w:r w:rsidR="0042678D">
        <w:rPr>
          <w:noProof/>
        </w:rPr>
        <w:t>nemer</w:t>
      </w:r>
      <w:r w:rsidRPr="00E42062">
        <w:rPr>
          <w:noProof/>
        </w:rPr>
        <w:t xml:space="preserve">. Gelet op het feit dat er weinig aandacht is voor evaluatie en controlecontracten, zijn de risico’s van transacties niet evenredig verdeeld. Onderwijsinstellingen als opdrachtgever hebben de standaard inkoopovereenkomst en de SLA als dekking. “Onze SLA’s zijn doorslaggevend, hierin worden duidelijke afspraken genoteerd en hierin worden onze voorwaarden gewaarborgd. Zonder duidelijke SLA’s doen wij geen zaken met partijen” (Aalberts, 2017). Daarentegen hebben de respondenten R6, R10 en R11 vooral een voorkeur voor raamovereenkomsten waarin de kaders voor contractuele afspraken tot een bepaalde mate vastliggen. </w:t>
      </w:r>
    </w:p>
    <w:p w14:paraId="04FDC100" w14:textId="125285EC" w:rsidR="007E665C" w:rsidRPr="00E42062" w:rsidRDefault="007E665C" w:rsidP="007E665C">
      <w:pPr>
        <w:pStyle w:val="NoSpacing"/>
        <w:spacing w:line="276" w:lineRule="auto"/>
        <w:ind w:firstLine="708"/>
        <w:rPr>
          <w:noProof/>
        </w:rPr>
      </w:pPr>
      <w:r w:rsidRPr="00E42062">
        <w:rPr>
          <w:noProof/>
        </w:rPr>
        <w:t xml:space="preserve">3. Relatie wordt beëindigd wanneer een van de partijen geen voordeel meer uit haalt. In de praktijk vertaalt zich in het vertrouwen dat wordt geschaad door een van de partijen. In dit onderzoek </w:t>
      </w:r>
      <w:r>
        <w:rPr>
          <w:noProof/>
        </w:rPr>
        <w:t xml:space="preserve">wordt duidelijek </w:t>
      </w:r>
      <w:r w:rsidRPr="00E42062">
        <w:rPr>
          <w:noProof/>
        </w:rPr>
        <w:t xml:space="preserve">dat indien de overeenkomst niet wordt nagekomen of indien er geen voldoende ondersteuning wordt verleend, dit redenen zijn om de samenwerking te beëindigen. De relatie wordt in zoverre geschaad dat een toekomstige samenwerking niet meer haalbaar of wenselijk is. </w:t>
      </w:r>
      <w:r>
        <w:rPr>
          <w:noProof/>
        </w:rPr>
        <w:t xml:space="preserve">De relatie veranderd van </w:t>
      </w:r>
      <w:r w:rsidR="0042678D" w:rsidRPr="0042678D">
        <w:rPr>
          <w:noProof/>
        </w:rPr>
        <w:t xml:space="preserve">coöperatie </w:t>
      </w:r>
      <w:r>
        <w:rPr>
          <w:noProof/>
        </w:rPr>
        <w:t xml:space="preserve">naar transactioneel. </w:t>
      </w:r>
    </w:p>
    <w:p w14:paraId="15E1BE92" w14:textId="77777777" w:rsidR="007E665C" w:rsidRPr="00E42062" w:rsidRDefault="007E665C" w:rsidP="007E665C">
      <w:pPr>
        <w:pStyle w:val="NoSpacing"/>
        <w:spacing w:line="276" w:lineRule="auto"/>
        <w:rPr>
          <w:noProof/>
        </w:rPr>
      </w:pPr>
    </w:p>
    <w:p w14:paraId="1058A8E7" w14:textId="77777777" w:rsidR="007E665C" w:rsidRPr="00E42062" w:rsidRDefault="007E665C" w:rsidP="007E665C">
      <w:pPr>
        <w:spacing w:after="160" w:line="259" w:lineRule="auto"/>
        <w:rPr>
          <w:rFonts w:cstheme="minorHAnsi"/>
          <w:noProof/>
          <w:color w:val="000000" w:themeColor="text1"/>
        </w:rPr>
      </w:pPr>
    </w:p>
    <w:p w14:paraId="345472CC" w14:textId="77777777" w:rsidR="007E665C" w:rsidRPr="00E42062" w:rsidRDefault="007E665C" w:rsidP="007E665C">
      <w:pPr>
        <w:rPr>
          <w:b/>
          <w:noProof/>
          <w:sz w:val="18"/>
        </w:rPr>
      </w:pPr>
    </w:p>
    <w:p w14:paraId="26C4BD86" w14:textId="77777777" w:rsidR="007E665C" w:rsidRPr="00E42062" w:rsidRDefault="007E665C" w:rsidP="007E665C">
      <w:pPr>
        <w:rPr>
          <w:b/>
          <w:noProof/>
          <w:sz w:val="18"/>
        </w:rPr>
      </w:pPr>
      <w:r w:rsidRPr="00E42062">
        <w:rPr>
          <w:b/>
          <w:noProof/>
          <w:sz w:val="18"/>
        </w:rPr>
        <w:br w:type="page"/>
      </w:r>
    </w:p>
    <w:p w14:paraId="64A7871C" w14:textId="19802B2D" w:rsidR="007E665C" w:rsidRPr="00E42062" w:rsidRDefault="007E665C" w:rsidP="0004389C">
      <w:pPr>
        <w:pStyle w:val="Heading1"/>
        <w:rPr>
          <w:noProof/>
        </w:rPr>
      </w:pPr>
      <w:bookmarkStart w:id="161" w:name="_Toc517455501"/>
      <w:r w:rsidRPr="00E42062">
        <w:rPr>
          <w:noProof/>
        </w:rPr>
        <w:lastRenderedPageBreak/>
        <w:t>7. Conclusie</w:t>
      </w:r>
      <w:bookmarkEnd w:id="161"/>
    </w:p>
    <w:p w14:paraId="09F71750" w14:textId="77777777" w:rsidR="007E665C" w:rsidRPr="00E42062" w:rsidRDefault="007E665C" w:rsidP="007E665C">
      <w:pPr>
        <w:spacing w:after="0"/>
        <w:rPr>
          <w:rFonts w:ascii="Calibri" w:eastAsia="Calibri" w:hAnsi="Calibri"/>
          <w:noProof/>
        </w:rPr>
      </w:pPr>
    </w:p>
    <w:p w14:paraId="5352506C" w14:textId="77777777" w:rsidR="0004389C" w:rsidRPr="0004389C" w:rsidRDefault="0004389C" w:rsidP="0004389C">
      <w:pPr>
        <w:pStyle w:val="ListParagraph"/>
        <w:numPr>
          <w:ilvl w:val="0"/>
          <w:numId w:val="8"/>
        </w:numPr>
        <w:spacing w:after="0" w:line="276" w:lineRule="auto"/>
        <w:contextualSpacing w:val="0"/>
        <w:outlineLvl w:val="1"/>
        <w:rPr>
          <w:rFonts w:asciiTheme="minorHAnsi" w:eastAsiaTheme="minorHAnsi" w:hAnsiTheme="minorHAnsi"/>
          <w:b/>
          <w:noProof/>
          <w:vanish/>
          <w:sz w:val="24"/>
        </w:rPr>
      </w:pPr>
      <w:bookmarkStart w:id="162" w:name="_Toc516315385"/>
      <w:bookmarkStart w:id="163" w:name="_Toc517357646"/>
      <w:bookmarkStart w:id="164" w:name="_Toc517360492"/>
      <w:bookmarkStart w:id="165" w:name="_Toc517360558"/>
      <w:bookmarkStart w:id="166" w:name="_Toc517450767"/>
      <w:bookmarkStart w:id="167" w:name="_Toc517450842"/>
      <w:bookmarkStart w:id="168" w:name="_Toc517451037"/>
      <w:bookmarkStart w:id="169" w:name="_Toc517451111"/>
      <w:bookmarkStart w:id="170" w:name="_Toc517451185"/>
      <w:bookmarkStart w:id="171" w:name="_Toc517455502"/>
      <w:bookmarkEnd w:id="162"/>
      <w:bookmarkEnd w:id="163"/>
      <w:bookmarkEnd w:id="164"/>
      <w:bookmarkEnd w:id="165"/>
      <w:bookmarkEnd w:id="166"/>
      <w:bookmarkEnd w:id="167"/>
      <w:bookmarkEnd w:id="168"/>
      <w:bookmarkEnd w:id="169"/>
      <w:bookmarkEnd w:id="170"/>
      <w:bookmarkEnd w:id="171"/>
    </w:p>
    <w:p w14:paraId="67461F3E" w14:textId="2324019B" w:rsidR="007E665C" w:rsidRPr="007E665C" w:rsidRDefault="007E665C" w:rsidP="0004389C">
      <w:pPr>
        <w:pStyle w:val="Heading2"/>
        <w:rPr>
          <w:noProof/>
        </w:rPr>
      </w:pPr>
      <w:bookmarkStart w:id="172" w:name="_Toc517455503"/>
      <w:r w:rsidRPr="00190722">
        <w:rPr>
          <w:noProof/>
          <w:color w:val="1F3864" w:themeColor="accent1" w:themeShade="80"/>
        </w:rPr>
        <w:t>De onderzoeksvraag</w:t>
      </w:r>
      <w:bookmarkEnd w:id="172"/>
    </w:p>
    <w:p w14:paraId="08297CCC" w14:textId="61C8A828" w:rsidR="007E665C" w:rsidRPr="007E665C" w:rsidRDefault="007E665C" w:rsidP="0087765E">
      <w:pPr>
        <w:spacing w:after="0" w:line="276" w:lineRule="auto"/>
        <w:rPr>
          <w:rFonts w:asciiTheme="minorHAnsi" w:hAnsiTheme="minorHAnsi" w:cstheme="minorHAnsi"/>
          <w:noProof/>
          <w:sz w:val="22"/>
        </w:rPr>
      </w:pPr>
      <w:r w:rsidRPr="007E665C">
        <w:rPr>
          <w:rFonts w:asciiTheme="minorHAnsi" w:hAnsiTheme="minorHAnsi" w:cstheme="minorHAnsi"/>
          <w:noProof/>
          <w:sz w:val="22"/>
        </w:rPr>
        <w:t>De doelstelling van dit onderzoek luidt als volgt: “</w:t>
      </w:r>
      <w:r w:rsidRPr="007E665C">
        <w:rPr>
          <w:rFonts w:asciiTheme="minorHAnsi" w:hAnsiTheme="minorHAnsi" w:cstheme="minorHAnsi"/>
          <w:i/>
          <w:noProof/>
          <w:sz w:val="22"/>
        </w:rPr>
        <w:t>Het in kaart brengen van faciliterende en belemmerende factoren die van invloed zijn op de inkoop van ICT door VO-instellingen, teneinde bij te dragen aan efficiënte inkoop</w:t>
      </w:r>
      <w:r w:rsidRPr="007E665C">
        <w:rPr>
          <w:rFonts w:asciiTheme="minorHAnsi" w:hAnsiTheme="minorHAnsi" w:cstheme="minorHAnsi"/>
          <w:noProof/>
          <w:sz w:val="22"/>
        </w:rPr>
        <w:t xml:space="preserve">”. Deze heeft geleid tot de volgende vraagstellingen: </w:t>
      </w:r>
      <w:r w:rsidR="00B81CB5" w:rsidRPr="00B81CB5">
        <w:rPr>
          <w:rFonts w:asciiTheme="minorHAnsi" w:hAnsiTheme="minorHAnsi" w:cstheme="minorHAnsi"/>
          <w:i/>
          <w:noProof/>
          <w:sz w:val="22"/>
        </w:rPr>
        <w:t>“Welke organisatorische en institutionele factoren zijn van invloed op de ICT-inkoop door instellingen voor voortgezet onderwijs?</w:t>
      </w:r>
      <w:r w:rsidRPr="007E665C">
        <w:rPr>
          <w:rFonts w:asciiTheme="minorHAnsi" w:hAnsiTheme="minorHAnsi" w:cstheme="minorHAnsi"/>
          <w:noProof/>
          <w:sz w:val="22"/>
        </w:rPr>
        <w:t>”</w:t>
      </w:r>
    </w:p>
    <w:p w14:paraId="3AA54778" w14:textId="77777777" w:rsidR="007E665C" w:rsidRPr="00E42AEB" w:rsidRDefault="007E665C" w:rsidP="007E665C">
      <w:pPr>
        <w:spacing w:after="0"/>
        <w:rPr>
          <w:rFonts w:ascii="Calibri" w:eastAsia="Calibri" w:hAnsi="Calibri"/>
          <w:noProof/>
        </w:rPr>
      </w:pPr>
    </w:p>
    <w:p w14:paraId="71B3AA9F" w14:textId="69E7E7B6" w:rsidR="007E665C" w:rsidRPr="00682B1C" w:rsidRDefault="007E665C" w:rsidP="00682B1C">
      <w:pPr>
        <w:spacing w:after="0" w:line="276" w:lineRule="auto"/>
        <w:rPr>
          <w:rFonts w:asciiTheme="minorHAnsi" w:eastAsia="Calibri" w:hAnsiTheme="minorHAnsi" w:cstheme="minorHAnsi"/>
          <w:noProof/>
          <w:sz w:val="22"/>
          <w:szCs w:val="22"/>
        </w:rPr>
      </w:pPr>
      <w:r w:rsidRPr="00682B1C">
        <w:rPr>
          <w:rFonts w:asciiTheme="minorHAnsi" w:eastAsia="Calibri" w:hAnsiTheme="minorHAnsi" w:cstheme="minorHAnsi"/>
          <w:noProof/>
          <w:sz w:val="22"/>
          <w:szCs w:val="22"/>
        </w:rPr>
        <w:t xml:space="preserve">De algemene verwachting van dit onderzoek is dat scholen als gevolg van kennisasymmetrie in een afhankelijkheidspositie verkeren en daarom inefficiënt zullen zijn bij de inkoop van ICT. In dit onderzoek zijn factoren onderzocht waarvan op basis van theorie gesteld kan worden dat zij efficiënt inkoop faciliteren en factoren die efficiëntie nadelig beïnvloeden. De volgende factoren zijn onderzocht: </w:t>
      </w:r>
      <w:r w:rsidRPr="00682B1C">
        <w:rPr>
          <w:rFonts w:asciiTheme="minorHAnsi" w:eastAsia="Calibri" w:hAnsiTheme="minorHAnsi" w:cstheme="minorHAnsi"/>
          <w:i/>
          <w:noProof/>
          <w:sz w:val="22"/>
          <w:szCs w:val="22"/>
        </w:rPr>
        <w:t xml:space="preserve">vertrouwen, kennis en expertise, institutionele setting van publieke sector, gezamenlijk inkopen, mate van professionalisering en de opdrachtgever-opdrachtnemer relatie. </w:t>
      </w:r>
    </w:p>
    <w:p w14:paraId="14A58269" w14:textId="40B5F087" w:rsidR="007E665C" w:rsidRPr="00682B1C" w:rsidRDefault="007E665C" w:rsidP="00682B1C">
      <w:pPr>
        <w:spacing w:line="276" w:lineRule="auto"/>
        <w:rPr>
          <w:rFonts w:asciiTheme="minorHAnsi" w:hAnsiTheme="minorHAnsi" w:cstheme="minorHAnsi"/>
          <w:noProof/>
          <w:sz w:val="22"/>
          <w:szCs w:val="22"/>
        </w:rPr>
      </w:pPr>
      <w:r w:rsidRPr="00682B1C">
        <w:rPr>
          <w:rFonts w:asciiTheme="minorHAnsi" w:eastAsia="Calibri" w:hAnsiTheme="minorHAnsi" w:cstheme="minorHAnsi"/>
          <w:noProof/>
          <w:sz w:val="22"/>
          <w:szCs w:val="22"/>
        </w:rPr>
        <w:t xml:space="preserve">De empirische studie laat zien dat er binnen de voortgezet onderwijsinstellingen maar in geringe mate sprake is van aan rationele en professionele aanpak bij de inkoop. Dit is in lijn met de theoretische verwachting. Ook past dit binnen de meer algemene trend binnen de publieke sector, waar de inkoopfunctie doorgaans minder professioneel is dan binnen de private sector en er veel te doen is rond ICT-inkoop. </w:t>
      </w:r>
      <w:r w:rsidRPr="00682B1C">
        <w:rPr>
          <w:rStyle w:val="NoSpacingChar"/>
          <w:rFonts w:asciiTheme="minorHAnsi" w:hAnsiTheme="minorHAnsi" w:cstheme="minorHAnsi"/>
          <w:noProof/>
          <w:sz w:val="22"/>
          <w:szCs w:val="22"/>
        </w:rPr>
        <w:t xml:space="preserve">Onder professioneel inkoop wordt verstaan het voldoen aan criteria voor </w:t>
      </w:r>
      <w:r w:rsidRPr="00682B1C">
        <w:rPr>
          <w:rFonts w:asciiTheme="minorHAnsi" w:eastAsia="Calibri" w:hAnsiTheme="minorHAnsi" w:cstheme="minorHAnsi"/>
          <w:noProof/>
          <w:sz w:val="22"/>
          <w:szCs w:val="22"/>
        </w:rPr>
        <w:t>efficiënt</w:t>
      </w:r>
      <w:r w:rsidRPr="00682B1C">
        <w:rPr>
          <w:rStyle w:val="NoSpacingChar"/>
          <w:rFonts w:asciiTheme="minorHAnsi" w:hAnsiTheme="minorHAnsi" w:cstheme="minorHAnsi"/>
          <w:noProof/>
          <w:sz w:val="22"/>
          <w:szCs w:val="22"/>
        </w:rPr>
        <w:t xml:space="preserve"> inkoop door rationele afwegingen door een inkoper met specialistische kennis en vaardigheden. Deze omschrijving is ontleed uit de definitie van Magali </w:t>
      </w:r>
      <w:r w:rsidR="000B47A7">
        <w:rPr>
          <w:rStyle w:val="NoSpacingChar"/>
          <w:rFonts w:asciiTheme="minorHAnsi" w:hAnsiTheme="minorHAnsi" w:cstheme="minorHAnsi"/>
          <w:noProof/>
          <w:sz w:val="22"/>
          <w:szCs w:val="22"/>
        </w:rPr>
        <w:t>et</w:t>
      </w:r>
      <w:r w:rsidRPr="00682B1C">
        <w:rPr>
          <w:rStyle w:val="NoSpacingChar"/>
          <w:rFonts w:asciiTheme="minorHAnsi" w:hAnsiTheme="minorHAnsi" w:cstheme="minorHAnsi"/>
          <w:noProof/>
          <w:sz w:val="22"/>
          <w:szCs w:val="22"/>
        </w:rPr>
        <w:t xml:space="preserve"> </w:t>
      </w:r>
      <w:r w:rsidR="000B47A7">
        <w:rPr>
          <w:rStyle w:val="NoSpacingChar"/>
          <w:rFonts w:asciiTheme="minorHAnsi" w:hAnsiTheme="minorHAnsi" w:cstheme="minorHAnsi"/>
          <w:noProof/>
          <w:sz w:val="22"/>
          <w:szCs w:val="22"/>
        </w:rPr>
        <w:t>al.</w:t>
      </w:r>
      <w:r w:rsidRPr="00682B1C">
        <w:rPr>
          <w:rStyle w:val="NoSpacingChar"/>
          <w:rFonts w:asciiTheme="minorHAnsi" w:hAnsiTheme="minorHAnsi" w:cstheme="minorHAnsi"/>
          <w:noProof/>
          <w:sz w:val="22"/>
          <w:szCs w:val="22"/>
        </w:rPr>
        <w:t xml:space="preserve"> (1977) die p</w:t>
      </w:r>
      <w:r w:rsidRPr="00682B1C">
        <w:rPr>
          <w:rFonts w:asciiTheme="minorHAnsi" w:hAnsiTheme="minorHAnsi" w:cstheme="minorHAnsi"/>
          <w:noProof/>
          <w:sz w:val="22"/>
          <w:szCs w:val="22"/>
        </w:rPr>
        <w:t>rofessionalisering zien als een poging om de schaarse middelen, specifieke kennis en vaardigheden, te vertalen naar sociale en economische voordelen (</w:t>
      </w:r>
      <w:hyperlink r:id="rId44" w:anchor="v=onepage&amp;q=professionalism&amp;f=false" w:history="1"/>
      <w:r w:rsidRPr="00682B1C">
        <w:rPr>
          <w:rFonts w:asciiTheme="minorHAnsi" w:hAnsiTheme="minorHAnsi" w:cstheme="minorHAnsi"/>
          <w:noProof/>
          <w:sz w:val="22"/>
          <w:szCs w:val="22"/>
        </w:rPr>
        <w:t xml:space="preserve">Magali </w:t>
      </w:r>
      <w:r w:rsidR="000B47A7">
        <w:rPr>
          <w:rFonts w:asciiTheme="minorHAnsi" w:hAnsiTheme="minorHAnsi" w:cstheme="minorHAnsi"/>
          <w:noProof/>
          <w:sz w:val="22"/>
          <w:szCs w:val="22"/>
        </w:rPr>
        <w:t>et</w:t>
      </w:r>
      <w:r w:rsidRPr="00682B1C">
        <w:rPr>
          <w:rFonts w:asciiTheme="minorHAnsi" w:hAnsiTheme="minorHAnsi" w:cstheme="minorHAnsi"/>
          <w:noProof/>
          <w:sz w:val="22"/>
          <w:szCs w:val="22"/>
        </w:rPr>
        <w:t xml:space="preserve"> al. 1977). </w:t>
      </w:r>
    </w:p>
    <w:p w14:paraId="2C88B84F" w14:textId="77777777" w:rsidR="007E665C" w:rsidRPr="00E42AEB" w:rsidRDefault="007E665C" w:rsidP="007E665C">
      <w:pPr>
        <w:spacing w:after="0"/>
        <w:rPr>
          <w:rFonts w:ascii="Calibri" w:eastAsia="Calibri" w:hAnsi="Calibri"/>
          <w:noProof/>
        </w:rPr>
      </w:pPr>
    </w:p>
    <w:p w14:paraId="14137117" w14:textId="4C82E0D8" w:rsidR="007E665C" w:rsidRPr="00255FD5" w:rsidRDefault="007E665C" w:rsidP="0004389C">
      <w:pPr>
        <w:pStyle w:val="Heading2"/>
        <w:rPr>
          <w:noProof/>
        </w:rPr>
      </w:pPr>
      <w:bookmarkStart w:id="173" w:name="_Toc517455504"/>
      <w:r w:rsidRPr="00190722">
        <w:rPr>
          <w:noProof/>
          <w:color w:val="1F3864" w:themeColor="accent1" w:themeShade="80"/>
        </w:rPr>
        <w:t>Faciliterende factoren</w:t>
      </w:r>
      <w:bookmarkEnd w:id="173"/>
    </w:p>
    <w:p w14:paraId="48E63049" w14:textId="77777777" w:rsidR="007E665C" w:rsidRPr="00255FD5" w:rsidRDefault="007E665C" w:rsidP="0087765E">
      <w:pPr>
        <w:spacing w:after="0" w:line="276" w:lineRule="auto"/>
        <w:rPr>
          <w:rFonts w:asciiTheme="minorHAnsi" w:hAnsiTheme="minorHAnsi" w:cstheme="minorHAnsi"/>
          <w:noProof/>
          <w:sz w:val="22"/>
          <w:szCs w:val="22"/>
        </w:rPr>
      </w:pPr>
      <w:r w:rsidRPr="00255FD5">
        <w:rPr>
          <w:rFonts w:asciiTheme="minorHAnsi" w:eastAsia="Calibri" w:hAnsiTheme="minorHAnsi" w:cstheme="minorHAnsi"/>
          <w:noProof/>
          <w:sz w:val="22"/>
          <w:szCs w:val="22"/>
        </w:rPr>
        <w:t xml:space="preserve">De theorie stelt dat dat efficiëntie van inkoop afhangt van de mate waarin organisaties aan een aantal factoren voldoen. De inkoopactiviteiten van de onderzochte scholen zijn aan deze criteria getoetst. </w:t>
      </w:r>
      <w:r w:rsidRPr="00255FD5">
        <w:rPr>
          <w:rFonts w:asciiTheme="minorHAnsi" w:hAnsiTheme="minorHAnsi" w:cstheme="minorHAnsi"/>
          <w:noProof/>
          <w:sz w:val="22"/>
          <w:szCs w:val="22"/>
        </w:rPr>
        <w:t xml:space="preserve">Op basis van deze empirische studie constateren we dat de volgende factoren </w:t>
      </w:r>
      <w:r w:rsidRPr="00255FD5">
        <w:rPr>
          <w:rFonts w:asciiTheme="minorHAnsi" w:eastAsia="Calibri" w:hAnsiTheme="minorHAnsi" w:cstheme="minorHAnsi"/>
          <w:noProof/>
          <w:sz w:val="22"/>
          <w:szCs w:val="22"/>
        </w:rPr>
        <w:t>efficiënt</w:t>
      </w:r>
      <w:r w:rsidRPr="00255FD5">
        <w:rPr>
          <w:rFonts w:asciiTheme="minorHAnsi" w:hAnsiTheme="minorHAnsi" w:cstheme="minorHAnsi"/>
          <w:noProof/>
          <w:sz w:val="22"/>
          <w:szCs w:val="22"/>
        </w:rPr>
        <w:t xml:space="preserve">ie in de praktijk faciliteren: </w:t>
      </w:r>
    </w:p>
    <w:p w14:paraId="41D72B73" w14:textId="0E9E4223" w:rsidR="007E665C" w:rsidRPr="007E1FA7" w:rsidRDefault="00D65384" w:rsidP="007E665C">
      <w:pPr>
        <w:pStyle w:val="NoSpacing"/>
        <w:spacing w:line="276" w:lineRule="auto"/>
      </w:pPr>
      <w:r>
        <w:rPr>
          <w:rFonts w:cstheme="minorHAnsi"/>
          <w:noProof/>
          <w:szCs w:val="22"/>
        </w:rPr>
        <w:tab/>
      </w:r>
      <w:r w:rsidR="007E665C" w:rsidRPr="00255FD5">
        <w:rPr>
          <w:rFonts w:cstheme="minorHAnsi"/>
          <w:noProof/>
          <w:szCs w:val="22"/>
        </w:rPr>
        <w:t xml:space="preserve">1) De empirie laat zien dat relatie en vertrouwen binnen de opdrachtgeverschap belangrijk zijn. Binnen de onderzochte scholen zien we dat de sterke nadruk op relationele vertrouwen binnen de opdrachtgeverschap voortkomt uit de behoefte aan persoonlijk contact met de leverancier. Daarmee wordt duidelijk dat de inkopers binnen de scholen een duidelijk voorkeur hebben voor vertrouwde leveranciers waarmee ze al lange tijd samen werken. Dit duidt op de principal-steward verhouding, waarbij wederzijdse vertrouwen sterk is. In de theorie wordt relationeel vertrouwen gezien als een krachtige vorm van vertrouwen. Onderzoek van Gibbs </w:t>
      </w:r>
      <w:r w:rsidR="000B47A7">
        <w:rPr>
          <w:rFonts w:cstheme="minorHAnsi"/>
          <w:noProof/>
          <w:szCs w:val="22"/>
        </w:rPr>
        <w:t>et</w:t>
      </w:r>
      <w:r w:rsidR="007E665C" w:rsidRPr="00255FD5">
        <w:rPr>
          <w:rFonts w:cstheme="minorHAnsi"/>
          <w:noProof/>
          <w:szCs w:val="22"/>
        </w:rPr>
        <w:t xml:space="preserve"> al. (1998) laat zien dat opdrachtnemers minder de neiging hebben om opportunistische te handelen en hebben een voorkeur voor coöperatie op de lange termijn. De empirie laat verder zien dat inkopers binnen het voortgezet onderwijsinstellingen een hechte en collaboratieve relatie onderhouden met hun leverancier. Dat wil zeggen dat veel afspraken op een meer informele wijze tot stand komen, waarbij in sommigen gevallen de zakelijke verantwoording achterblijft. Dit is geheel in lijn met theorie van Laing en Lian (2003), die het toeschrijven aan een algemene ontwikkeling binnen de publieke sector. De respondenten in het onderzoek hebben een sterke voorkeur voor leveranciers die goed bereikbaar zijn, bereid zijn om service te verlenen en leveranciers die zich aan de afspraken houden. Bereikbaarheid is voor hen met name belangrijk wanneer er iets misgaat in het inkooptraject. De empirie laat zien dat het vertrouwen in de leverancier als noodzakelijk wordt ervaren voor een goede relatie. Dit past binnen de risico averse gedrag van publieke inkopers, zoals de theorie van Clark (</w:t>
      </w:r>
      <w:hyperlink r:id="rId45" w:history="1"/>
      <w:r w:rsidR="007E665C" w:rsidRPr="00255FD5">
        <w:rPr>
          <w:rFonts w:cstheme="minorHAnsi"/>
          <w:noProof/>
          <w:szCs w:val="22"/>
        </w:rPr>
        <w:t xml:space="preserve">2016) en Teulings </w:t>
      </w:r>
      <w:r w:rsidR="000B47A7">
        <w:rPr>
          <w:rFonts w:cstheme="minorHAnsi"/>
          <w:noProof/>
          <w:szCs w:val="22"/>
        </w:rPr>
        <w:t>et</w:t>
      </w:r>
      <w:r w:rsidR="007E665C" w:rsidRPr="00255FD5">
        <w:rPr>
          <w:rFonts w:cstheme="minorHAnsi"/>
          <w:noProof/>
          <w:szCs w:val="22"/>
        </w:rPr>
        <w:t xml:space="preserve"> al. (2003) beschrijft. De theoretische verwachting was dat opdrachtgevers in de publieke sector meer gericht zijn op veiligheid en minder op (financiële) prikkels. Deze assumptie wordt herkend in de empirie, maar roept tevens vragen op. Is de relationele vertrouwensband gericht op </w:t>
      </w:r>
      <w:r w:rsidR="007E665C" w:rsidRPr="00255FD5">
        <w:rPr>
          <w:rFonts w:eastAsia="Calibri" w:cstheme="minorHAnsi"/>
          <w:noProof/>
          <w:szCs w:val="22"/>
        </w:rPr>
        <w:t xml:space="preserve">efficiënt </w:t>
      </w:r>
      <w:r w:rsidR="007E665C" w:rsidRPr="00255FD5">
        <w:rPr>
          <w:rFonts w:cstheme="minorHAnsi"/>
          <w:noProof/>
          <w:szCs w:val="22"/>
        </w:rPr>
        <w:t xml:space="preserve">inkoop of komt dit eerder voort uit de karakteristieken die kenmerkend zijn </w:t>
      </w:r>
      <w:r w:rsidR="007E665C" w:rsidRPr="00255FD5">
        <w:rPr>
          <w:rFonts w:cstheme="minorHAnsi"/>
          <w:noProof/>
          <w:szCs w:val="22"/>
        </w:rPr>
        <w:lastRenderedPageBreak/>
        <w:t>voor de publieke sector. Deze studie laat zien dat het antwoord complex is. Enerzijds zien de inkopers vertrouwen als een noodzakelijk</w:t>
      </w:r>
      <w:r w:rsidR="00191FB0">
        <w:rPr>
          <w:rFonts w:cstheme="minorHAnsi"/>
          <w:noProof/>
          <w:szCs w:val="22"/>
        </w:rPr>
        <w:t>e</w:t>
      </w:r>
      <w:r w:rsidR="007E665C" w:rsidRPr="00255FD5">
        <w:rPr>
          <w:rFonts w:cstheme="minorHAnsi"/>
          <w:noProof/>
          <w:szCs w:val="22"/>
        </w:rPr>
        <w:t xml:space="preserve"> eis voor een </w:t>
      </w:r>
      <w:r w:rsidR="007E665C" w:rsidRPr="00255FD5">
        <w:rPr>
          <w:rFonts w:eastAsia="Calibri" w:cstheme="minorHAnsi"/>
          <w:noProof/>
          <w:szCs w:val="22"/>
        </w:rPr>
        <w:t>efficiënte</w:t>
      </w:r>
      <w:r w:rsidR="007E665C" w:rsidRPr="00255FD5">
        <w:rPr>
          <w:rFonts w:cstheme="minorHAnsi"/>
          <w:noProof/>
          <w:szCs w:val="22"/>
        </w:rPr>
        <w:t xml:space="preserve"> inkoop. Anderzijds wordt dit door 10 van de 11 respondenten als een</w:t>
      </w:r>
      <w:r w:rsidR="007E665C" w:rsidRPr="00255FD5">
        <w:rPr>
          <w:noProof/>
        </w:rPr>
        <w:t xml:space="preserve"> </w:t>
      </w:r>
      <w:r w:rsidR="007E665C" w:rsidRPr="00E42AEB">
        <w:rPr>
          <w:noProof/>
        </w:rPr>
        <w:t>fundamente</w:t>
      </w:r>
      <w:r w:rsidR="00191FB0">
        <w:rPr>
          <w:noProof/>
        </w:rPr>
        <w:t>le</w:t>
      </w:r>
      <w:r w:rsidR="007E665C" w:rsidRPr="00E42AEB">
        <w:rPr>
          <w:noProof/>
        </w:rPr>
        <w:t xml:space="preserve"> criteria voor inkoop gezien. De theorie op dit gebied stelt dat de ontstane vorm van principaal-steward relatie eventuele agency problemen voorkomt, terwijl in de empirie niet uit te sluiten valt dat zij hieraan worden blootgesteld. De theorie van Slyke (2006) en Davis </w:t>
      </w:r>
      <w:r w:rsidR="000B47A7">
        <w:rPr>
          <w:noProof/>
        </w:rPr>
        <w:t>et</w:t>
      </w:r>
      <w:r w:rsidR="007E665C" w:rsidRPr="00E42AEB">
        <w:rPr>
          <w:noProof/>
        </w:rPr>
        <w:t xml:space="preserve"> al. (1997) stelt dat binnen de principaal-steward verhouding controle en monitoring van de leverancier tot een minimum worden beperkt. Dit zien we ook in de empirie. </w:t>
      </w:r>
      <w:r w:rsidR="007E665C">
        <w:rPr>
          <w:noProof/>
        </w:rPr>
        <w:t xml:space="preserve">Dit is </w:t>
      </w:r>
      <w:r w:rsidR="007E665C" w:rsidRPr="00E42AEB">
        <w:rPr>
          <w:noProof/>
        </w:rPr>
        <w:t>zorgwekkend</w:t>
      </w:r>
      <w:r w:rsidR="007E665C">
        <w:rPr>
          <w:noProof/>
        </w:rPr>
        <w:t xml:space="preserve"> </w:t>
      </w:r>
      <w:r w:rsidR="007E665C" w:rsidRPr="00E42AEB">
        <w:rPr>
          <w:noProof/>
        </w:rPr>
        <w:t>omdat het ruimte vrijlaat voor misleiding en opportunisme van de opdrachtnemer. De</w:t>
      </w:r>
      <w:r w:rsidR="007E665C">
        <w:rPr>
          <w:noProof/>
        </w:rPr>
        <w:t xml:space="preserve"> </w:t>
      </w:r>
      <w:r w:rsidR="007E665C" w:rsidRPr="00E42AEB">
        <w:rPr>
          <w:noProof/>
        </w:rPr>
        <w:t>theorie</w:t>
      </w:r>
      <w:r w:rsidR="007E665C">
        <w:rPr>
          <w:noProof/>
        </w:rPr>
        <w:t xml:space="preserve"> schrijft voor </w:t>
      </w:r>
      <w:r w:rsidR="007E665C" w:rsidRPr="00E42AEB">
        <w:rPr>
          <w:noProof/>
        </w:rPr>
        <w:t>om deze risico’s te herkennen, in kaart te brengen en tijdig op te anticiperen. Het is kwalijk</w:t>
      </w:r>
      <w:r w:rsidR="007E665C">
        <w:rPr>
          <w:noProof/>
        </w:rPr>
        <w:t xml:space="preserve"> </w:t>
      </w:r>
      <w:r w:rsidR="007E665C" w:rsidRPr="00E42AEB">
        <w:rPr>
          <w:noProof/>
        </w:rPr>
        <w:t>dat het op dit moment onvoldoende gebeurt. Scholen kunnen bijvoorbeeld de aanbevelingen van Eisenhardt (2006) en Soudry (2006) volgen door resultaatafspraken te formuleren met evaluatie en monitoring van de opdrachtnemer. Hier geen gehoor aan geven leidt tot kwetsbaarheid voor risico’s van slecht of i</w:t>
      </w:r>
      <w:r w:rsidR="007E665C" w:rsidRPr="00E42AEB">
        <w:rPr>
          <w:rFonts w:ascii="Calibri" w:eastAsia="Calibri" w:hAnsi="Calibri"/>
          <w:noProof/>
        </w:rPr>
        <w:t xml:space="preserve">nefficiënt </w:t>
      </w:r>
      <w:r w:rsidR="007E665C" w:rsidRPr="00E42AEB">
        <w:rPr>
          <w:noProof/>
        </w:rPr>
        <w:t xml:space="preserve">inkoop of misleidleiding door de leverancier, wat de kwaliteit en/of continuïteit van het onderwijs in gevaar brengt. Het is niet </w:t>
      </w:r>
      <w:r w:rsidR="007E665C" w:rsidRPr="007E1FA7">
        <w:t xml:space="preserve">voldoende om de beslissingen en de beoordeling van de leverancier enkel op vertrouwen te baseren. </w:t>
      </w:r>
      <w:r w:rsidR="007E665C" w:rsidRPr="00A41405">
        <w:t xml:space="preserve">De empirie laat </w:t>
      </w:r>
      <w:r w:rsidR="007E665C" w:rsidRPr="007E1FA7">
        <w:t>zien dat er een gemis is aan rationaliteit.</w:t>
      </w:r>
    </w:p>
    <w:p w14:paraId="76AAA6D4" w14:textId="77777777" w:rsidR="007E665C" w:rsidRPr="007E1FA7" w:rsidRDefault="007E665C" w:rsidP="007E665C">
      <w:pPr>
        <w:pStyle w:val="NoSpacing"/>
        <w:spacing w:line="276" w:lineRule="auto"/>
      </w:pPr>
      <w:r w:rsidRPr="007E1FA7">
        <w:t xml:space="preserve">Kortom, de waargenomen relationele vertrouwen versterkt de duurzame samenwerking en minimaliseert de kans op opportunistisch handelen door de opdrachtgever. Echter kunnen organisaties niet enkel leunen op deze coöperatieve samenwerkingsverband. Control en beoordeling van de leverancier is ook nodig. De onderzochte scholen hebben hier weinig aandacht voor.    </w:t>
      </w:r>
    </w:p>
    <w:p w14:paraId="0BCEFADF" w14:textId="0A09D3EA" w:rsidR="007E665C" w:rsidRPr="00E42AEB" w:rsidRDefault="007E665C" w:rsidP="007E665C">
      <w:pPr>
        <w:pStyle w:val="NoSpacing"/>
        <w:spacing w:line="276" w:lineRule="auto"/>
        <w:rPr>
          <w:noProof/>
        </w:rPr>
      </w:pPr>
      <w:r>
        <w:rPr>
          <w:noProof/>
        </w:rPr>
        <w:tab/>
        <w:t>2) Ten tweede zien we b</w:t>
      </w:r>
      <w:r w:rsidRPr="00E42AEB">
        <w:rPr>
          <w:noProof/>
        </w:rPr>
        <w:t>innen de onderzochte scholen</w:t>
      </w:r>
      <w:r>
        <w:rPr>
          <w:noProof/>
        </w:rPr>
        <w:t xml:space="preserve"> </w:t>
      </w:r>
      <w:r w:rsidRPr="00E42AEB">
        <w:rPr>
          <w:noProof/>
        </w:rPr>
        <w:t xml:space="preserve">dat </w:t>
      </w:r>
      <w:r w:rsidRPr="00E42AEB">
        <w:rPr>
          <w:rFonts w:ascii="Calibri" w:eastAsia="Calibri" w:hAnsi="Calibri"/>
          <w:noProof/>
        </w:rPr>
        <w:t>efficiëntie</w:t>
      </w:r>
      <w:r w:rsidRPr="00E42AEB">
        <w:rPr>
          <w:noProof/>
        </w:rPr>
        <w:t xml:space="preserve"> van inkoop tevens gevaar loopt omdat de loyaliteit jegens de leveranciers niet voortkomt uit tevredenheid maar uit duur van de relatie. Dit is geheel in lijn met de assumpties uit de theorie van Homburg </w:t>
      </w:r>
      <w:r w:rsidR="000B47A7">
        <w:rPr>
          <w:noProof/>
        </w:rPr>
        <w:t>et</w:t>
      </w:r>
      <w:r w:rsidRPr="00E42AEB">
        <w:rPr>
          <w:noProof/>
        </w:rPr>
        <w:t xml:space="preserve"> al. (200</w:t>
      </w:r>
      <w:r w:rsidR="00AE1D71">
        <w:rPr>
          <w:noProof/>
        </w:rPr>
        <w:t>1</w:t>
      </w:r>
      <w:r w:rsidRPr="00E42AEB">
        <w:rPr>
          <w:noProof/>
        </w:rPr>
        <w:t xml:space="preserve">). Vanwege de tevredenheid over prestaties in het verleden tonen inkopers binnen de scholen sterke loyaliteit jegens hun vaste leverancier. In de praktijk betekent dit langdurig samenwerken met </w:t>
      </w:r>
      <w:r w:rsidR="00191FB0">
        <w:rPr>
          <w:noProof/>
        </w:rPr>
        <w:t xml:space="preserve">ee </w:t>
      </w:r>
      <w:r w:rsidRPr="00E42AEB">
        <w:rPr>
          <w:noProof/>
        </w:rPr>
        <w:t xml:space="preserve">select aantal voorkeursleveranciers en doorgaans alleen hen in het inkooptraject betrekken. Afspraken over prijs, kwaliteit en duur worden zelden afgezet tegen de marktstandaarden. Dit roept vragen op over de mate van </w:t>
      </w:r>
      <w:r w:rsidRPr="00E42AEB">
        <w:rPr>
          <w:rFonts w:ascii="Calibri" w:eastAsia="Calibri" w:hAnsi="Calibri"/>
          <w:noProof/>
        </w:rPr>
        <w:t>efficiëntie</w:t>
      </w:r>
      <w:r w:rsidRPr="00E42AEB">
        <w:rPr>
          <w:noProof/>
        </w:rPr>
        <w:t xml:space="preserve"> en de doelmatigheid van de bestedingen.    </w:t>
      </w:r>
    </w:p>
    <w:p w14:paraId="1E7AE733" w14:textId="39387EA5" w:rsidR="007E665C" w:rsidRPr="00E42AEB" w:rsidRDefault="007E665C" w:rsidP="007E665C">
      <w:pPr>
        <w:pStyle w:val="NoSpacing"/>
        <w:spacing w:line="276" w:lineRule="auto"/>
        <w:ind w:firstLine="708"/>
        <w:rPr>
          <w:noProof/>
        </w:rPr>
      </w:pPr>
      <w:r>
        <w:rPr>
          <w:rFonts w:ascii="Calibri" w:hAnsi="Calibri" w:cs="Calibri"/>
          <w:noProof/>
        </w:rPr>
        <w:t>3</w:t>
      </w:r>
      <w:r w:rsidRPr="00E42AEB">
        <w:rPr>
          <w:rFonts w:ascii="Calibri" w:hAnsi="Calibri" w:cs="Calibri"/>
          <w:noProof/>
        </w:rPr>
        <w:t>)</w:t>
      </w:r>
      <w:r w:rsidRPr="00E42AEB">
        <w:rPr>
          <w:noProof/>
        </w:rPr>
        <w:t xml:space="preserve"> </w:t>
      </w:r>
      <w:r>
        <w:rPr>
          <w:noProof/>
        </w:rPr>
        <w:t xml:space="preserve">Ten derde maakt het </w:t>
      </w:r>
      <w:r w:rsidRPr="00E42AEB">
        <w:rPr>
          <w:noProof/>
        </w:rPr>
        <w:t xml:space="preserve">onderzoek </w:t>
      </w:r>
      <w:r>
        <w:rPr>
          <w:noProof/>
        </w:rPr>
        <w:t>duidelijk</w:t>
      </w:r>
      <w:r w:rsidRPr="00E42AEB">
        <w:rPr>
          <w:noProof/>
        </w:rPr>
        <w:t xml:space="preserve"> dat bundeling van krachten middels gemeenschappelijk inkoop tot </w:t>
      </w:r>
      <w:r w:rsidRPr="00E42AEB">
        <w:rPr>
          <w:rFonts w:ascii="Calibri" w:eastAsia="Calibri" w:hAnsi="Calibri"/>
          <w:noProof/>
        </w:rPr>
        <w:t>efficiëntie</w:t>
      </w:r>
      <w:r w:rsidRPr="00E42AEB">
        <w:rPr>
          <w:noProof/>
        </w:rPr>
        <w:t xml:space="preserve"> leidt. Binnen 10 van de 11 scholen is er sprake van gecoördineerd</w:t>
      </w:r>
      <w:r w:rsidR="00191FB0">
        <w:rPr>
          <w:noProof/>
        </w:rPr>
        <w:t>e</w:t>
      </w:r>
      <w:r w:rsidRPr="00E42AEB">
        <w:rPr>
          <w:noProof/>
        </w:rPr>
        <w:t xml:space="preserve"> inkoop binnen de overkoepelende organisatie. Het verlagen van administratieve lasten bij de scholen en het verbeteren van de eigen machtspositie worden in de empirie als belangrijkste </w:t>
      </w:r>
      <w:r>
        <w:rPr>
          <w:noProof/>
        </w:rPr>
        <w:t>motieven genoemd</w:t>
      </w:r>
      <w:r w:rsidRPr="00E42AEB">
        <w:rPr>
          <w:noProof/>
        </w:rPr>
        <w:t xml:space="preserve"> voor gezamenlijk inkoop. Dit is in lijn met de theoretische verwachting. Centraliseren van de inkoop heeft in de theorie ten doel krachten bundelen en schaalvoordelen te behalen (Harrison, 2001; Gibbs, 1998). Dit is in lijn met een algemene trend binnen de publieke sector. De rijksoverheid richt zich bijvoorbeeld steeds meer op interdepartementaal gecoördineerde inkoop met </w:t>
      </w:r>
      <w:r w:rsidRPr="00E42AEB">
        <w:rPr>
          <w:rFonts w:ascii="Calibri" w:eastAsia="Calibri" w:hAnsi="Calibri"/>
          <w:noProof/>
        </w:rPr>
        <w:t>efficiëntie</w:t>
      </w:r>
      <w:r w:rsidRPr="00E42AEB">
        <w:rPr>
          <w:noProof/>
        </w:rPr>
        <w:t xml:space="preserve"> als doel (Schlangen, 2005). Wel is </w:t>
      </w:r>
      <w:r w:rsidR="00191FB0">
        <w:rPr>
          <w:noProof/>
        </w:rPr>
        <w:t xml:space="preserve">er </w:t>
      </w:r>
      <w:r w:rsidRPr="00E42AEB">
        <w:rPr>
          <w:noProof/>
        </w:rPr>
        <w:t xml:space="preserve">in dit onderzoek naar voren gekomen dat een aantal scholen centralisatie zien als afbreuk op autonomie en flexibiliteit. Het gezamenlijk inkopen door de organisatie van de scholengemeenschap heeft in de praktijk toe geleidt dat de scholen een deel van de eigen autonomie kwijt zijn. Dit is in lijn met de genoemde nadelen van centralisatie in theorie van Albronda en Gelderman (2017). In plaats van volledige centralisatie is het aan te bevelen dat scholen gecoördineerd inkopen, zoals geschetst door Ter Wiel </w:t>
      </w:r>
      <w:r w:rsidR="000B47A7">
        <w:rPr>
          <w:noProof/>
        </w:rPr>
        <w:t>et</w:t>
      </w:r>
      <w:r w:rsidRPr="00E42AEB">
        <w:rPr>
          <w:noProof/>
        </w:rPr>
        <w:t xml:space="preserve"> al. (2004). Scholen zijn hierbij zelfstandig om bepaalde aankopen te doen, maar coördineren hun activiteiten en delen kennis binnen een overkoepelende organisatie. Ook is</w:t>
      </w:r>
      <w:r w:rsidR="00191FB0">
        <w:rPr>
          <w:noProof/>
        </w:rPr>
        <w:t xml:space="preserve"> er geen</w:t>
      </w:r>
      <w:r w:rsidRPr="00E42AEB">
        <w:rPr>
          <w:noProof/>
        </w:rPr>
        <w:t xml:space="preserve"> bewijs gevonden in deze studie dat scholen die centraal inkopen tevens </w:t>
      </w:r>
      <w:r w:rsidRPr="00E42AEB">
        <w:rPr>
          <w:rFonts w:ascii="Calibri" w:eastAsia="Calibri" w:hAnsi="Calibri"/>
          <w:noProof/>
        </w:rPr>
        <w:t>efficiënter</w:t>
      </w:r>
      <w:r w:rsidRPr="00E42AEB">
        <w:rPr>
          <w:noProof/>
        </w:rPr>
        <w:t xml:space="preserve"> en professioneler opereren. Dit kan te maken hebben met de gehanteerde onderzoeksmethoden.        </w:t>
      </w:r>
    </w:p>
    <w:p w14:paraId="6C044D1E" w14:textId="77777777" w:rsidR="007E665C" w:rsidRPr="00E42AEB" w:rsidRDefault="007E665C" w:rsidP="007E665C">
      <w:pPr>
        <w:spacing w:after="0"/>
        <w:rPr>
          <w:rFonts w:ascii="Calibri" w:eastAsia="Calibri" w:hAnsi="Calibri"/>
          <w:b/>
          <w:noProof/>
        </w:rPr>
      </w:pPr>
    </w:p>
    <w:p w14:paraId="7C0F5D93" w14:textId="77777777" w:rsidR="007E665C" w:rsidRPr="00E42AEB" w:rsidRDefault="007E665C" w:rsidP="007E665C">
      <w:pPr>
        <w:rPr>
          <w:rFonts w:ascii="Calibri" w:eastAsia="Calibri" w:hAnsi="Calibri"/>
          <w:b/>
          <w:noProof/>
        </w:rPr>
      </w:pPr>
      <w:r w:rsidRPr="00E42AEB">
        <w:rPr>
          <w:rFonts w:ascii="Calibri" w:eastAsia="Calibri" w:hAnsi="Calibri"/>
          <w:b/>
          <w:noProof/>
        </w:rPr>
        <w:br w:type="page"/>
      </w:r>
    </w:p>
    <w:p w14:paraId="7485BCF8" w14:textId="0E948FBA" w:rsidR="007E665C" w:rsidRPr="00190722" w:rsidRDefault="007E665C" w:rsidP="00D4710F">
      <w:pPr>
        <w:pStyle w:val="Heading2"/>
        <w:rPr>
          <w:noProof/>
          <w:color w:val="1F3864" w:themeColor="accent1" w:themeShade="80"/>
        </w:rPr>
      </w:pPr>
      <w:bookmarkStart w:id="174" w:name="_Toc517455505"/>
      <w:r w:rsidRPr="00190722">
        <w:rPr>
          <w:noProof/>
          <w:color w:val="1F3864" w:themeColor="accent1" w:themeShade="80"/>
        </w:rPr>
        <w:lastRenderedPageBreak/>
        <w:t>Belemmerende factoren</w:t>
      </w:r>
      <w:bookmarkEnd w:id="174"/>
    </w:p>
    <w:p w14:paraId="49AF7DF0" w14:textId="77777777" w:rsidR="007E665C" w:rsidRPr="007C4555" w:rsidRDefault="007E665C" w:rsidP="007C4555">
      <w:pPr>
        <w:pStyle w:val="NoSpacing"/>
        <w:spacing w:line="276" w:lineRule="auto"/>
        <w:rPr>
          <w:noProof/>
          <w:szCs w:val="22"/>
        </w:rPr>
      </w:pPr>
      <w:r w:rsidRPr="007C4555">
        <w:rPr>
          <w:noProof/>
          <w:szCs w:val="22"/>
        </w:rPr>
        <w:t xml:space="preserve">Naast de faciliterende factoren heeft deze empirische studie ook factoren gevonden die </w:t>
      </w:r>
      <w:r w:rsidRPr="007C4555">
        <w:rPr>
          <w:rFonts w:ascii="Calibri" w:eastAsia="Calibri" w:hAnsi="Calibri"/>
          <w:noProof/>
          <w:szCs w:val="22"/>
        </w:rPr>
        <w:t>efficiënt</w:t>
      </w:r>
      <w:r w:rsidRPr="007C4555">
        <w:rPr>
          <w:noProof/>
          <w:szCs w:val="22"/>
        </w:rPr>
        <w:t xml:space="preserve"> inkoop in de praktijk belemmeren. De volgende vijf factoren maken duidelijk dat </w:t>
      </w:r>
      <w:r w:rsidRPr="007C4555">
        <w:rPr>
          <w:rFonts w:ascii="Calibri" w:eastAsia="Calibri" w:hAnsi="Calibri"/>
          <w:noProof/>
          <w:szCs w:val="22"/>
        </w:rPr>
        <w:t>efficiëntie</w:t>
      </w:r>
      <w:r w:rsidRPr="007C4555">
        <w:rPr>
          <w:noProof/>
          <w:szCs w:val="22"/>
        </w:rPr>
        <w:t xml:space="preserve"> gevaar loopt wanneer er niet wordt voldaan aan de gestelde voorwaarden uit de theorie. De verwachting uit de theorie en de bevindingen uit de empirie worden kort opgesomd om de belemmerende factoren te verduidelijken.  </w:t>
      </w:r>
    </w:p>
    <w:p w14:paraId="6C7F462A" w14:textId="2E3EEAEF" w:rsidR="007E665C" w:rsidRPr="007C4555" w:rsidRDefault="007E665C" w:rsidP="007E665C">
      <w:pPr>
        <w:pStyle w:val="NoSpacing"/>
        <w:spacing w:line="276" w:lineRule="auto"/>
        <w:ind w:firstLine="708"/>
        <w:rPr>
          <w:rFonts w:ascii="Calibri" w:hAnsi="Calibri" w:cs="Calibri"/>
          <w:noProof/>
          <w:szCs w:val="22"/>
        </w:rPr>
      </w:pPr>
      <w:r w:rsidRPr="007C4555">
        <w:rPr>
          <w:rFonts w:ascii="Calibri" w:hAnsi="Calibri" w:cs="Calibri"/>
          <w:noProof/>
          <w:szCs w:val="22"/>
        </w:rPr>
        <w:t>1) Deze empirische studie laat zien dat professionalisering van de inkoopafdeling van het voortgezet onderwijsinstellingen in geringe mate voldoen aan de eisen die in de theorie worden gesteld. Aan de volgende eisen wordt er niet voldaan. Er wordt nauwelijks gebruik gemaakt van inkoopmodellen, prestatieafspraken, controlemechanismen, leveranciersevaluaties en opleiding van personeel. Deze constatering is echter in lijn met de theorie van Smellie en Williams (1985) die stelt dat de</w:t>
      </w:r>
      <w:r w:rsidRPr="007C4555">
        <w:rPr>
          <w:noProof/>
          <w:szCs w:val="22"/>
        </w:rPr>
        <w:t xml:space="preserve"> </w:t>
      </w:r>
      <w:r w:rsidRPr="007C4555">
        <w:rPr>
          <w:rFonts w:ascii="Calibri" w:hAnsi="Calibri" w:cs="Calibri"/>
          <w:noProof/>
          <w:szCs w:val="22"/>
        </w:rPr>
        <w:t xml:space="preserve">inkoopfunctie van lokale openbare instellingen slecht georganiseerd en niet </w:t>
      </w:r>
      <w:r w:rsidRPr="007C4555">
        <w:rPr>
          <w:rFonts w:ascii="Calibri" w:eastAsia="Calibri" w:hAnsi="Calibri"/>
          <w:noProof/>
          <w:szCs w:val="22"/>
        </w:rPr>
        <w:t xml:space="preserve">professioneel </w:t>
      </w:r>
      <w:r w:rsidRPr="007C4555">
        <w:rPr>
          <w:rFonts w:ascii="Calibri" w:hAnsi="Calibri" w:cs="Calibri"/>
          <w:noProof/>
          <w:szCs w:val="22"/>
        </w:rPr>
        <w:t xml:space="preserve">is. Eveneens ontbreken er binnen de scholen duidelijke richtlijnen voor product- en leveranciersevaluatie. Er worden geen leveranciersbestanden bijgehouden, incidenten worden intern gemonitord maar beperkt gedocumenteerd en er is sprake van beperkte sturing van de leverancier. Er is in geringe mate sprake van marktconsultatie en -verkenning. Wel zien we binnen diverse scholen dat specialismen worden gemobiliseerd binnen kleine kernteams. Ook wordt er bij de invoering van nieuwe producten cursussen georganiseerd en wordt er door vier van de 11 inkopers actief deelgenomen in seminars en workshops ter bevordering van hun kennis. De empirie laat verder zien dat de scholen zich rationeel en </w:t>
      </w:r>
      <w:r w:rsidRPr="007C4555">
        <w:rPr>
          <w:rFonts w:ascii="Calibri" w:eastAsia="Calibri" w:hAnsi="Calibri"/>
          <w:noProof/>
          <w:szCs w:val="22"/>
        </w:rPr>
        <w:t>professioneel</w:t>
      </w:r>
      <w:r w:rsidRPr="007C4555">
        <w:rPr>
          <w:rFonts w:ascii="Calibri" w:hAnsi="Calibri" w:cs="Calibri"/>
          <w:noProof/>
          <w:szCs w:val="22"/>
        </w:rPr>
        <w:t xml:space="preserve"> opstellen bij nieuwe of onbekende leveranciers. Er wordt nadrukkelijk meer gebruikt gemaakt van Sla’s en worden offertes</w:t>
      </w:r>
      <w:r w:rsidR="00191FB0">
        <w:rPr>
          <w:rFonts w:ascii="Calibri" w:hAnsi="Calibri" w:cs="Calibri"/>
          <w:noProof/>
          <w:szCs w:val="22"/>
        </w:rPr>
        <w:t xml:space="preserve"> </w:t>
      </w:r>
      <w:r w:rsidRPr="007C4555">
        <w:rPr>
          <w:rFonts w:ascii="Calibri" w:hAnsi="Calibri" w:cs="Calibri"/>
          <w:noProof/>
          <w:szCs w:val="22"/>
        </w:rPr>
        <w:t xml:space="preserve">geanalyseerd en tegen elkaar afgewogen op basis van vooraf opgestelde objectieve toetsingscriteria. De professionele en rationele aanpak is met name zichtbaar binnen Europese aanbestedingstrajecten. Daarnaast geven een aantal scholen aan gebruik te maken van externe deskundigheid om </w:t>
      </w:r>
      <w:r w:rsidRPr="007C4555">
        <w:rPr>
          <w:rFonts w:ascii="Calibri" w:eastAsia="Calibri" w:hAnsi="Calibri"/>
          <w:noProof/>
          <w:szCs w:val="22"/>
        </w:rPr>
        <w:t>efficiëntie</w:t>
      </w:r>
      <w:r w:rsidRPr="007C4555">
        <w:rPr>
          <w:rFonts w:ascii="Calibri" w:hAnsi="Calibri" w:cs="Calibri"/>
          <w:noProof/>
          <w:szCs w:val="22"/>
        </w:rPr>
        <w:t xml:space="preserve"> te bevorderen. Dit is lijn met de theoretische verwachting, zoals onder andere gesteld is door Van Weele (1992). Echter is dit niet voldoende om te kunnen spreken van professionele inkoopafdeling. De zwakke professionaliteit die in het veld is waargenomen, is volgens diverse onderzoeken kenmerkend voor de publieke sector. De theorie stelt dat het inkoopproces in de publieke sector georiënteerd is op rechtmatig en transparant handelen met publieke gelden in plaats van veel voor minder krijgen (</w:t>
      </w:r>
      <w:hyperlink r:id="rId46" w:history="1"/>
      <w:r w:rsidRPr="007C4555">
        <w:rPr>
          <w:rFonts w:ascii="Calibri" w:hAnsi="Calibri" w:cs="Calibri"/>
          <w:noProof/>
          <w:szCs w:val="22"/>
        </w:rPr>
        <w:t>Kiwiet, 2013). Deze constatering versterkt het beeld dat voortgezet onderwijsinstellingen, als een publiek rechterlijke instelling, niet doelmatig omgaan met de aangereikte middelen. Dit is vooral zorgelijk wanneer we kijken naar de financiële tekorten in het onderwijs.</w:t>
      </w:r>
      <w:r w:rsidRPr="007C4555">
        <w:rPr>
          <w:noProof/>
          <w:szCs w:val="22"/>
        </w:rPr>
        <w:t xml:space="preserve"> </w:t>
      </w:r>
      <w:r w:rsidRPr="007C4555">
        <w:rPr>
          <w:rFonts w:ascii="Calibri" w:hAnsi="Calibri" w:cs="Calibri"/>
          <w:noProof/>
          <w:szCs w:val="22"/>
        </w:rPr>
        <w:t xml:space="preserve">Onderzoek naar ontwikkelingen in de onderliggende kengetallen laten zien dat de financiële ruimte in het voortgezet onderwijs al jaren afneemt (OCW, 2012b; CBS, 2012). </w:t>
      </w:r>
    </w:p>
    <w:p w14:paraId="69B39B43" w14:textId="77777777" w:rsidR="007E665C" w:rsidRPr="007C4555" w:rsidRDefault="007E665C" w:rsidP="007E665C">
      <w:pPr>
        <w:pStyle w:val="NoSpacing"/>
        <w:spacing w:line="276" w:lineRule="auto"/>
        <w:ind w:firstLine="708"/>
        <w:rPr>
          <w:rFonts w:ascii="Calibri" w:hAnsi="Calibri" w:cs="Calibri"/>
          <w:noProof/>
          <w:szCs w:val="22"/>
        </w:rPr>
      </w:pPr>
      <w:r w:rsidRPr="007C4555">
        <w:rPr>
          <w:rFonts w:ascii="Calibri" w:hAnsi="Calibri" w:cs="Calibri"/>
          <w:noProof/>
          <w:szCs w:val="22"/>
        </w:rPr>
        <w:t xml:space="preserve">2) De empirie in dit onderzoek laat verder zien dat respondenten de toch bestaande kennisasymmetrie ontkennen en wegpoetsen. Waar in de literatuur gesteld wordt dat openbare instellingen wegens kennisachterstand zich in relatief sterke afhankelijkheidspositie bevinden, wordt dit niet uitgesproken door de respondenten in het onderzoek. Inkopers zijn in sterke mate overtuigd van hun eigen vermogen om te onderhandelen met de leveranciers. De inkopers achten zich goed in staat om de juiste leverancier te kiezen en contracten tegen gunstige voorwaarden te sluiten. Echter wordt er wel erkend dat er een kennisasymmetrie bestaat rondom specialistische en diepgaande kennis over producten en diensten. Belangrijk bij deze constatering is dat de respondenten op deze variabele niet zijn getoetst maar zichzelf hebben beoordeeld. Daardoor is het mogelijk dat we te maken hebben met een bias en wellicht ook met het fenomeen van zelfoverschatting dat niet ongebruikelijk is wanneer respondenten gevraagd wordt te reflecteren op eigen kennis en kunde. </w:t>
      </w:r>
    </w:p>
    <w:p w14:paraId="2A5849A9" w14:textId="6FC15D92" w:rsidR="007E665C" w:rsidRPr="007C4555" w:rsidRDefault="007E665C" w:rsidP="007E665C">
      <w:pPr>
        <w:pStyle w:val="NoSpacing"/>
        <w:spacing w:line="276" w:lineRule="auto"/>
        <w:ind w:firstLine="708"/>
        <w:rPr>
          <w:rFonts w:ascii="Calibri" w:hAnsi="Calibri" w:cs="Calibri"/>
          <w:noProof/>
        </w:rPr>
      </w:pPr>
      <w:r w:rsidRPr="007C4555">
        <w:rPr>
          <w:rFonts w:ascii="Calibri" w:hAnsi="Calibri" w:cs="Calibri"/>
          <w:noProof/>
          <w:szCs w:val="22"/>
        </w:rPr>
        <w:t xml:space="preserve">3) Deze empirische studie laat zien dat pad afhankelijkheid en lock-in effecten de </w:t>
      </w:r>
      <w:r w:rsidRPr="007C4555">
        <w:rPr>
          <w:rFonts w:ascii="Calibri" w:eastAsia="Calibri" w:hAnsi="Calibri"/>
          <w:noProof/>
          <w:szCs w:val="22"/>
        </w:rPr>
        <w:t>efficiëntie</w:t>
      </w:r>
      <w:r w:rsidRPr="007C4555">
        <w:rPr>
          <w:rFonts w:ascii="Calibri" w:hAnsi="Calibri" w:cs="Calibri"/>
          <w:noProof/>
          <w:szCs w:val="22"/>
        </w:rPr>
        <w:t xml:space="preserve"> van inkoop bedreigen. Naast de reeds benoemde kennisasymmetrie draagt ook pad afhankelijkheid bij aan afname van </w:t>
      </w:r>
      <w:r w:rsidRPr="007C4555">
        <w:rPr>
          <w:rFonts w:ascii="Calibri" w:eastAsia="Calibri" w:hAnsi="Calibri"/>
          <w:noProof/>
          <w:szCs w:val="22"/>
        </w:rPr>
        <w:t>efficiëntie</w:t>
      </w:r>
      <w:r w:rsidRPr="007C4555">
        <w:rPr>
          <w:rFonts w:ascii="Calibri" w:hAnsi="Calibri" w:cs="Calibri"/>
          <w:noProof/>
          <w:szCs w:val="22"/>
        </w:rPr>
        <w:t xml:space="preserve">. Ook is het gevaar van ‘lock-in’ effecten, zoals geschetst door Pierson (2006), waar te nemen in de praktijk. Dit onderzoek laat zien dat scholen niet kunnen of vaak niet willen afwijken van in het verleden genomen beslissingen. Binnen de scholen komt dit onder andere door de overstapkosten, looptijd van contracten en de afspraken met de leverancier. Echter geven een aantal respondenten aan dat indien er niet wordt voldaan aan de verwachtingen, zij in de toekomst zullen overstappen naar een andere leverancier. Naast de pad afhankelijkheid is ook het ‘endowment effect’ waargenomen in de empirie van deze studie. In het onderzoek komt een beeld naar </w:t>
      </w:r>
      <w:r w:rsidRPr="007C4555">
        <w:rPr>
          <w:rFonts w:ascii="Calibri" w:hAnsi="Calibri" w:cs="Calibri"/>
          <w:noProof/>
          <w:szCs w:val="22"/>
        </w:rPr>
        <w:lastRenderedPageBreak/>
        <w:t>voren dat de inkopers hun huidige producten en partners hoger waarderen dan de mogelijkheden die op markt bestaan. De overtuiging is dat de gemaakte afspraken en aanbod van een specifieke leverancier goed aansluiten op de vraag vanuit de organisatie.</w:t>
      </w:r>
      <w:r w:rsidRPr="007C4555">
        <w:rPr>
          <w:rFonts w:ascii="Calibri" w:hAnsi="Calibri" w:cs="Calibri"/>
          <w:noProof/>
        </w:rPr>
        <w:t xml:space="preserve"> Binnen de onderzochte scholen is er dan ook geen sprake van productafhankelijkheid, maar eerder van leveranciersafhankelijkheid. Deze studie laat zien dat inkopers waarde hechten aan het feit dat de leverancier de school kent. Deze leverancier krijgt de voorkeur boven onbekende leveranciers op de markt met een lagere prijs per product. Deze constatering maakt duidelijk dat er relationele vertrouwen in de leverancier sterker is dan de rationele overweging gebaseerd op kosten-baten afweging. Het geconstateerde endowment effect in dit onderzoek is in lijn met de theoretische verwachting zoals geschetst door Kahneman </w:t>
      </w:r>
      <w:r w:rsidR="000B47A7">
        <w:rPr>
          <w:rFonts w:ascii="Calibri" w:hAnsi="Calibri" w:cs="Calibri"/>
          <w:noProof/>
        </w:rPr>
        <w:t>et</w:t>
      </w:r>
      <w:r w:rsidRPr="007C4555">
        <w:rPr>
          <w:rFonts w:ascii="Calibri" w:hAnsi="Calibri" w:cs="Calibri"/>
          <w:noProof/>
        </w:rPr>
        <w:t xml:space="preserve"> al. (1990). Dit is zorgwekkend. Volgens de theorie draagt het endowment effect bij aan verlies van welvaart doordat de eigen bezettingen worden overgewaardeerd (</w:t>
      </w:r>
      <w:hyperlink r:id="rId47" w:history="1"/>
      <w:r w:rsidRPr="007C4555">
        <w:rPr>
          <w:rFonts w:ascii="Calibri" w:hAnsi="Calibri" w:cs="Calibri"/>
          <w:noProof/>
        </w:rPr>
        <w:t xml:space="preserve">Knetsch, 1989). Wanneer scholen de geleverde producten en leveranciers subjectief overwaarderen, ontstaat er gevaar van misleiding en ondoelmatig inkoop. Hier dient dan ook aandacht naar uit te gaan door de leverancier en de kwaliteit van de producten structureel onder de loep te nemen. Het onderzoek laat zien dat di op dit moment onvoldoende gebeurt.   </w:t>
      </w:r>
    </w:p>
    <w:p w14:paraId="180E9696" w14:textId="3D1CC6F4" w:rsidR="007E665C" w:rsidRPr="007C4555" w:rsidRDefault="007E665C" w:rsidP="007E665C">
      <w:pPr>
        <w:pStyle w:val="NoSpacing"/>
        <w:spacing w:line="276" w:lineRule="auto"/>
        <w:ind w:firstLine="708"/>
        <w:rPr>
          <w:rFonts w:ascii="Calibri" w:hAnsi="Calibri" w:cs="Calibri"/>
          <w:noProof/>
        </w:rPr>
      </w:pPr>
      <w:r w:rsidRPr="007C4555">
        <w:rPr>
          <w:rFonts w:ascii="Calibri" w:hAnsi="Calibri" w:cs="Calibri"/>
          <w:noProof/>
        </w:rPr>
        <w:t xml:space="preserve">4) Respondenten in het onderzoek maken nauwelijks een onderscheid gemaakt tussen de inkoop van technische producten en ander materiaal. Dit is opvallend als we kijken naar de problematiek rondom ICT-projecten in de publieke sector, zoals onder andere aangehaald door Ravesteijn (2013). Tevens strookt het niet met de literatuur uit aanleiding van dit onderzoek. De verwachting was dat kennisasymmetrie binnen de opdrachtgeverschap het sterkt aanwezig bij aankoop van ICT en digitale leermiddelen en dat hier extra aandacht naar uit ging. Volgens de theorie nemen risico’s op verlies toe en kans op </w:t>
      </w:r>
      <w:r w:rsidRPr="007C4555">
        <w:rPr>
          <w:rFonts w:ascii="Calibri" w:eastAsia="Calibri" w:hAnsi="Calibri"/>
          <w:noProof/>
        </w:rPr>
        <w:t>efficiëntie</w:t>
      </w:r>
      <w:r w:rsidRPr="007C4555">
        <w:rPr>
          <w:rFonts w:ascii="Calibri" w:hAnsi="Calibri" w:cs="Calibri"/>
          <w:noProof/>
        </w:rPr>
        <w:t xml:space="preserve"> af, wanneer de opdrachtgever niet genoeg aandacht heeft voor deze factor. In dit onderzoek wordt deze constatering dan ook meegenomen als een belemmerende variabele. Gelet op de breder problematiek binnen de publieke sector, is dit zorgwekkend te noemen. Inkopers binnen onderwijsinstellingen dienen zorgvuldig een onderscheid te maken tussen de soort producten die zij inkopen en hier hun beleid en strategie op afstemmen. Aan deze belangrijke aanbeveling van Van Weele (1992) wordt in onvoldoende mate aan voldaan. Echter is er binnen de scholen wel extra aandacht voor kapitaalintensieve aankopen, d.w.z. aankopen met een hoge totaalsom. In een aantal gevallen wordt er dan gebruik gemaakt van externe deskundigheid. De empirie laat tevens zien dat een aantal inkopers zich voorbereiden op het inkooptraject van complexe producten door op de markt te oriënteren en kennis op te doen.        </w:t>
      </w:r>
    </w:p>
    <w:p w14:paraId="02B3C932" w14:textId="7C4F2830" w:rsidR="007E665C" w:rsidRPr="007C4555" w:rsidRDefault="007E665C" w:rsidP="007E665C">
      <w:pPr>
        <w:pStyle w:val="NoSpacing"/>
        <w:spacing w:line="276" w:lineRule="auto"/>
        <w:ind w:firstLine="708"/>
        <w:rPr>
          <w:rFonts w:ascii="Calibri" w:hAnsi="Calibri" w:cs="Calibri"/>
          <w:noProof/>
        </w:rPr>
      </w:pPr>
      <w:r w:rsidRPr="007C4555">
        <w:rPr>
          <w:rFonts w:ascii="Calibri" w:hAnsi="Calibri" w:cs="Calibri"/>
          <w:noProof/>
        </w:rPr>
        <w:t xml:space="preserve">5) Deze empirische studie leert ons tot slot dat de institutionele setting van de publieke sector nauwelijks invloed heeft op de inkoopactiviteiten binnen het voortgezet onderwijs. De verwachting was dat scholen, als publiekrechtelijke ondernemingen die uit publieke middelen worden gefinancierd, waarden en verantwoordelijkheden hebben die niet verenigbaar zijn met de private sector. De theoretische verwachting was dat de samenwerking bemoeilijkt zou worden door verschillen voortkomend uit de externe omgeving, de interne organisatiestructuur en de doelen en waarden. Echter is de aanwezigheid van deze ‘onverdedigbare werelden’ zoals beschreven in de theorie van Boyne (2002) en Jacobs (1992) niet waargenomen in de empirie van dit onderzoek. Tussen de opdrachtgever en de opdrachtnemer bestaan er institutionele verschillen, maar deze verschillen lijken niet vertegenwoordigd binnen de inkoop en hebben hier weinig invloed op. Tevens zijn er geen indicaties gevonden voor verschillen in waarden en cultuur, zoals de theorie van Klijn en Teisman (2003) suggereert. Meer concreet was de verwachting dat de aanwezigheid van een hoog niveau van regulaties een belemmerend effect zou hebben op effectiviteit en </w:t>
      </w:r>
      <w:r w:rsidRPr="007C4555">
        <w:rPr>
          <w:rFonts w:ascii="Calibri" w:eastAsia="Calibri" w:hAnsi="Calibri"/>
          <w:noProof/>
        </w:rPr>
        <w:t>efficiëntie</w:t>
      </w:r>
      <w:r w:rsidRPr="007C4555">
        <w:rPr>
          <w:rFonts w:ascii="Calibri" w:hAnsi="Calibri" w:cs="Calibri"/>
          <w:noProof/>
        </w:rPr>
        <w:t xml:space="preserve">. Ook stelde de theorie dat inkopers geneigd zijn om hun inkoopstrategie in lijn te houden met de politieke strategie. De empirische studie laat zien dat het in de praktijk genuanceerder is. Echter worden de regels omtrent de aanbestedingswet in een aantal gevallen wel als belemmerend ervaren. Scholen zien Europese aanbestedingsregels namelijk als een extra eis waaraan moet worden voldaan. Sommige scholen ervaren het als een obstakel voor effectief inkoop, omdat het hen verplicht om van hun standaard werkwijze en voorkeur af te wijken. Daarnaast is het opvallend te noemen, en tevens in tegenstelling tot de algemene verwachting, dat door een aantal respondenten geen verschil wordt ervaren in de wijze waarop zij inkopen en de wijze waarop een private instelling inkoopt. Dit leert ons dat onderwijsinstellingen weliswaar met bijzondere regels te maken hebben, maar fundamenteel niet anders opereren ondanks hun institutionele setting. </w:t>
      </w:r>
    </w:p>
    <w:p w14:paraId="25B39D87" w14:textId="15C02AFC" w:rsidR="007E665C" w:rsidRPr="00190722" w:rsidRDefault="007E665C" w:rsidP="00D4710F">
      <w:pPr>
        <w:pStyle w:val="Heading2"/>
        <w:rPr>
          <w:noProof/>
          <w:color w:val="1F3864" w:themeColor="accent1" w:themeShade="80"/>
        </w:rPr>
      </w:pPr>
      <w:bookmarkStart w:id="175" w:name="_Toc517455506"/>
      <w:r w:rsidRPr="00190722">
        <w:rPr>
          <w:noProof/>
          <w:color w:val="1F3864" w:themeColor="accent1" w:themeShade="80"/>
        </w:rPr>
        <w:lastRenderedPageBreak/>
        <w:t>De maatschappelijke meerwaarde en aanbevelingen</w:t>
      </w:r>
      <w:bookmarkEnd w:id="175"/>
    </w:p>
    <w:p w14:paraId="76AF0E5E" w14:textId="77777777" w:rsidR="007E665C" w:rsidRPr="00F43F7E" w:rsidRDefault="007E665C" w:rsidP="00F43F7E">
      <w:pPr>
        <w:pStyle w:val="NoSpacing"/>
        <w:spacing w:line="276" w:lineRule="auto"/>
        <w:rPr>
          <w:noProof/>
        </w:rPr>
      </w:pPr>
      <w:r w:rsidRPr="00F43F7E">
        <w:rPr>
          <w:noProof/>
        </w:rPr>
        <w:t>In deze paraaf wordt er stilgestaan bij de bevindingen van dit onderzoek en wat het betekent voor het maatschappelijke vraagstuk. De aanleiding van dit onderzoek was de situatie rondom de falende (ICT) inkoopprojecten van de overheid en de vraag in hoeverre dit ook zou spelen binnen onderwijsinstellingen in het VO. Bestaande wetenschappelijke literatuur geeft weinig inzicht in inkoop door voortgezet onderwijsinstellingen terwijl er wezenlijk organisationele en contextuele verschillen bestaan tussen de verschillende onderwijslagen. Dit onderzoek heeft geprobeerd deze leemte te vullen.</w:t>
      </w:r>
    </w:p>
    <w:p w14:paraId="34C7338B" w14:textId="77777777" w:rsidR="007E665C" w:rsidRPr="00F43F7E" w:rsidRDefault="007E665C" w:rsidP="00F43F7E">
      <w:pPr>
        <w:pStyle w:val="NoSpacing"/>
        <w:spacing w:line="276" w:lineRule="auto"/>
        <w:rPr>
          <w:noProof/>
        </w:rPr>
      </w:pPr>
      <w:r w:rsidRPr="00F43F7E">
        <w:rPr>
          <w:noProof/>
        </w:rPr>
        <w:t xml:space="preserve">De overstijgende hoofdbevinding van het onderzoek is dat er gebrek bestaat aan rationele en professionele aanpak bij de inkoop. Op een aantal terreinen is er dan ook werk te verzetten door het voortgezet onderwijsinstellingen. </w:t>
      </w:r>
    </w:p>
    <w:p w14:paraId="59113E07" w14:textId="03C5B4EC" w:rsidR="007E665C" w:rsidRPr="00F43F7E" w:rsidRDefault="007E665C" w:rsidP="00F43F7E">
      <w:pPr>
        <w:pStyle w:val="NoSpacing"/>
        <w:spacing w:line="276" w:lineRule="auto"/>
        <w:ind w:firstLine="720"/>
        <w:rPr>
          <w:noProof/>
        </w:rPr>
      </w:pPr>
      <w:r w:rsidRPr="00F43F7E">
        <w:rPr>
          <w:noProof/>
        </w:rPr>
        <w:t xml:space="preserve">Een eerste punt is dat inkoop apart gespecificeerd zou kunnen en moeten worden in het jaarverslag en in meerjarenplannen. Een tweede punt is dat leveranciers nader geëvalueerd moeten worden zodat er meer aandacht ontstaat voor sturing en het handelen. In het verlengde daarvan is aandacht wenselijk voor rationele en kwantitatieve richtlijnen bij de leverancierscriteria. Het is dan ook de zaak dat deze criteria worden geconcretiseerd, met name bij kapitaalintensieve aankopen. Ook zou het goed zijn om expliciet aandacht te besteden aan de objectieve gunningscriteria. Ten derde dient er meer aandacht te zijn voor de economische en financiële draagkracht van de leverancier. Het onderzoek laat zien dat dit aspect onderbelicht blijft in de empirie. Terwijl dit volgens diverse studies invloed heeft op het eindresultaat van inkoop (Boer &amp; van den Ouden, 2017). De inkoper dient dan ook dit aspect mee te nemen in de leveranciersselectie. Want een bedrijf die zijn financiële verplichtingen niet meer kan nakomen kan ook leiden tot verstoring van de continuïteit van het onderwijs. Tot slot is er aandacht nodig voor formalisatie en documentatie van het inkooptraject. In dit onderzoek kwam naar voren dat een meerderendeel van de scholen niet beschikte over een compleet inkoopdossier en leveranciersbestand. Dit draagt bij aan zowel de rechtmatigheid en doelmatigheid als aan </w:t>
      </w:r>
      <w:r w:rsidRPr="00F43F7E">
        <w:rPr>
          <w:rFonts w:ascii="Calibri" w:eastAsia="Calibri" w:hAnsi="Calibri"/>
          <w:noProof/>
        </w:rPr>
        <w:t>efficiëntie</w:t>
      </w:r>
      <w:r w:rsidRPr="00F43F7E">
        <w:rPr>
          <w:noProof/>
        </w:rPr>
        <w:t xml:space="preserve"> van inkoop, zoals in de theorie valt te lezen. </w:t>
      </w:r>
    </w:p>
    <w:p w14:paraId="058566EB" w14:textId="58295387" w:rsidR="007E665C" w:rsidRPr="00F43F7E" w:rsidRDefault="007E665C" w:rsidP="00F43F7E">
      <w:pPr>
        <w:pStyle w:val="NoSpacing"/>
        <w:spacing w:line="276" w:lineRule="auto"/>
        <w:ind w:firstLine="720"/>
        <w:rPr>
          <w:noProof/>
        </w:rPr>
      </w:pPr>
      <w:r w:rsidRPr="00F43F7E">
        <w:rPr>
          <w:noProof/>
        </w:rPr>
        <w:t>Onderwijsinstellingen hebben ruime bevoegdheid en vrijheid om aan deze vraagstukken te voldoen. Middelbare scholen beheren zelfstandig hun financiën en de inrichten van het onderwijs, maar zij zijn niet geheel autonoom. Zo dienen zij te voldoen aan de Wet op het voortgezet onderwijs (</w:t>
      </w:r>
      <w:hyperlink r:id="rId48" w:history="1"/>
      <w:r w:rsidRPr="00F43F7E">
        <w:rPr>
          <w:noProof/>
        </w:rPr>
        <w:t xml:space="preserve">overheid.nl, z.j.). De lumpsumregeling geeft de scholen veel vrijheid om de eigen financiën te beheren, zonder dat zij elke beslissingen moeten verantwoorden (Rijksoverheid, z.j.). Wel dienen de scholen in hun jaarverslag aan de externe toezichthouder, de inspectie voor het Onderwijs, uitleggen waar ze hun geld aan hebben besteed. Het is een strikte voorwaarde dat hun budget naar het onderwijs gaat. </w:t>
      </w:r>
    </w:p>
    <w:p w14:paraId="69C9E6B6" w14:textId="77777777" w:rsidR="007E665C" w:rsidRPr="00E42062" w:rsidRDefault="007E665C" w:rsidP="007E665C">
      <w:pPr>
        <w:pStyle w:val="NoSpacing"/>
        <w:spacing w:line="276" w:lineRule="auto"/>
        <w:rPr>
          <w:noProof/>
        </w:rPr>
      </w:pPr>
    </w:p>
    <w:p w14:paraId="01A4CDCE" w14:textId="552F40C5" w:rsidR="007E665C" w:rsidRPr="00F43F7E" w:rsidRDefault="007E665C" w:rsidP="00D4710F">
      <w:pPr>
        <w:pStyle w:val="Heading2"/>
        <w:rPr>
          <w:noProof/>
        </w:rPr>
      </w:pPr>
      <w:bookmarkStart w:id="176" w:name="_Toc517455507"/>
      <w:r w:rsidRPr="00190722">
        <w:rPr>
          <w:noProof/>
          <w:color w:val="1F3864" w:themeColor="accent1" w:themeShade="80"/>
        </w:rPr>
        <w:t>Reflectie op het onderzoek</w:t>
      </w:r>
      <w:bookmarkEnd w:id="176"/>
    </w:p>
    <w:p w14:paraId="2A780AB7" w14:textId="3F1EB80F" w:rsidR="007E665C" w:rsidRPr="00E42062" w:rsidRDefault="007E665C" w:rsidP="007E665C">
      <w:pPr>
        <w:pStyle w:val="NoSpacing"/>
        <w:spacing w:line="276" w:lineRule="auto"/>
        <w:rPr>
          <w:noProof/>
        </w:rPr>
      </w:pPr>
      <w:r w:rsidRPr="00E42062">
        <w:rPr>
          <w:noProof/>
        </w:rPr>
        <w:t>Terugkijkend op het onderzoeksproces k</w:t>
      </w:r>
      <w:r w:rsidR="00191FB0">
        <w:rPr>
          <w:noProof/>
        </w:rPr>
        <w:t>unnen</w:t>
      </w:r>
      <w:r w:rsidRPr="00E42062">
        <w:rPr>
          <w:noProof/>
        </w:rPr>
        <w:t xml:space="preserve"> een aantal tekortkomingen geconstateerd worden. Het vraagstuk van dit onderzoek is complex en kent meerdere actoren. Daarnaast gaat het om processen en trajecten die langdurig zijn. Dat vraagt </w:t>
      </w:r>
      <w:r w:rsidR="00796ACB">
        <w:rPr>
          <w:noProof/>
        </w:rPr>
        <w:t xml:space="preserve">achteraf gezien </w:t>
      </w:r>
      <w:r w:rsidRPr="00E42062">
        <w:rPr>
          <w:noProof/>
        </w:rPr>
        <w:t>om een andere aanpak. Ten eerste is het voor de compleetheid van het onderzoek aan te bevelen om ook leveranciers in het onderzoek te betrekken. Binnen de opdrachtgeverschap draagt hun input bij aan de hoofdbevindingen van deze empirische studie. Ten tweede dienen de onderzoeksresultaten voortkomen op basis van triangulatie, d.w.z. gebruik maken van meerdere onderzoekmethoden (Yin, 2009; Boeije, 2009; Van Thiel, 2015). Meerdere methoden vullen elkaar aan en dragen bij aan de validiteit van het onderzoek (Yin, 2009). Dit sluit goed aan bij de casestudie. Gelet op het feit dat een inkooptraject doorgaans langdurig, complex en dynamisch is, is aanvullend data noodzakelijk. Het dient enerzijds als versterking van de hoofdbevindingen en anderzijds ter verificatie van bevindingen uit de interviews.</w:t>
      </w:r>
    </w:p>
    <w:p w14:paraId="1EA5A9CC" w14:textId="77777777" w:rsidR="00D4710F" w:rsidRDefault="00D4710F">
      <w:pPr>
        <w:kinsoku/>
        <w:autoSpaceDE/>
        <w:autoSpaceDN/>
        <w:adjustRightInd/>
        <w:spacing w:after="160" w:line="259" w:lineRule="auto"/>
        <w:rPr>
          <w:rFonts w:asciiTheme="minorHAnsi" w:eastAsiaTheme="minorHAnsi" w:hAnsiTheme="minorHAnsi"/>
          <w:noProof/>
          <w:sz w:val="22"/>
        </w:rPr>
      </w:pPr>
      <w:r>
        <w:rPr>
          <w:noProof/>
        </w:rPr>
        <w:br w:type="page"/>
      </w:r>
    </w:p>
    <w:p w14:paraId="5A3FCEC5" w14:textId="2A6C7A89" w:rsidR="007E665C" w:rsidRPr="00E42062" w:rsidRDefault="007E665C" w:rsidP="007E665C">
      <w:pPr>
        <w:pStyle w:val="NoSpacing"/>
        <w:spacing w:line="276" w:lineRule="auto"/>
        <w:rPr>
          <w:noProof/>
        </w:rPr>
      </w:pPr>
      <w:r w:rsidRPr="00E42062">
        <w:rPr>
          <w:noProof/>
        </w:rPr>
        <w:lastRenderedPageBreak/>
        <w:t>In dit onderzoek leent documentenanalyse zich goed als onderzoeksmethode. Het biedt meer inzicht de onderzochte en waargenomen factoren door ze van meer context te voorzien. Waar mogelijk zouden de volgende stukken nader onderzocht kunnen worden:</w:t>
      </w:r>
    </w:p>
    <w:p w14:paraId="5CEC3B10" w14:textId="77777777" w:rsidR="007E665C" w:rsidRPr="00E42062" w:rsidRDefault="007E665C" w:rsidP="007E665C">
      <w:pPr>
        <w:pStyle w:val="NoSpacing"/>
        <w:spacing w:line="276" w:lineRule="auto"/>
        <w:ind w:firstLine="708"/>
        <w:rPr>
          <w:noProof/>
        </w:rPr>
      </w:pPr>
      <w:r w:rsidRPr="00E42062">
        <w:rPr>
          <w:noProof/>
        </w:rPr>
        <w:t>•</w:t>
      </w:r>
      <w:r w:rsidRPr="00E42062">
        <w:rPr>
          <w:noProof/>
        </w:rPr>
        <w:tab/>
        <w:t>Leveranciersbestand en -evaluaties</w:t>
      </w:r>
    </w:p>
    <w:p w14:paraId="6DA2AEB9" w14:textId="77777777" w:rsidR="007E665C" w:rsidRPr="00E42062" w:rsidRDefault="007E665C" w:rsidP="007E665C">
      <w:pPr>
        <w:pStyle w:val="NoSpacing"/>
        <w:spacing w:line="276" w:lineRule="auto"/>
        <w:ind w:firstLine="708"/>
        <w:rPr>
          <w:noProof/>
        </w:rPr>
      </w:pPr>
      <w:r w:rsidRPr="00E42062">
        <w:rPr>
          <w:noProof/>
        </w:rPr>
        <w:t>•</w:t>
      </w:r>
      <w:r w:rsidRPr="00E42062">
        <w:rPr>
          <w:noProof/>
        </w:rPr>
        <w:tab/>
        <w:t xml:space="preserve">Ingediende offertes </w:t>
      </w:r>
    </w:p>
    <w:p w14:paraId="1515EE37" w14:textId="77777777" w:rsidR="007E665C" w:rsidRPr="00E42062" w:rsidRDefault="007E665C" w:rsidP="007E665C">
      <w:pPr>
        <w:pStyle w:val="NoSpacing"/>
        <w:spacing w:line="276" w:lineRule="auto"/>
        <w:ind w:firstLine="708"/>
        <w:rPr>
          <w:noProof/>
        </w:rPr>
      </w:pPr>
      <w:r w:rsidRPr="00E42062">
        <w:rPr>
          <w:noProof/>
        </w:rPr>
        <w:t xml:space="preserve">• </w:t>
      </w:r>
      <w:r w:rsidRPr="00E42062">
        <w:rPr>
          <w:noProof/>
        </w:rPr>
        <w:tab/>
        <w:t>Meerjarenplannen waarin de inkoopfunctie geformuleerd staat</w:t>
      </w:r>
    </w:p>
    <w:p w14:paraId="056062F7" w14:textId="77777777" w:rsidR="007E665C" w:rsidRPr="00E42062" w:rsidRDefault="007E665C" w:rsidP="007E665C">
      <w:pPr>
        <w:pStyle w:val="NoSpacing"/>
        <w:spacing w:line="276" w:lineRule="auto"/>
        <w:ind w:firstLine="708"/>
        <w:rPr>
          <w:noProof/>
        </w:rPr>
      </w:pPr>
      <w:r w:rsidRPr="00E42062">
        <w:rPr>
          <w:noProof/>
        </w:rPr>
        <w:t xml:space="preserve">• </w:t>
      </w:r>
      <w:r w:rsidRPr="00E42062">
        <w:rPr>
          <w:noProof/>
        </w:rPr>
        <w:tab/>
        <w:t>Bestaande contracten, prestatieafspraken en Sla’s</w:t>
      </w:r>
    </w:p>
    <w:p w14:paraId="5DC14CEF" w14:textId="77777777" w:rsidR="007E665C" w:rsidRPr="00E42062" w:rsidRDefault="007E665C" w:rsidP="007E665C">
      <w:pPr>
        <w:pStyle w:val="NoSpacing"/>
        <w:spacing w:line="276" w:lineRule="auto"/>
        <w:ind w:firstLine="708"/>
        <w:rPr>
          <w:noProof/>
        </w:rPr>
      </w:pPr>
      <w:r w:rsidRPr="00E42062">
        <w:rPr>
          <w:noProof/>
        </w:rPr>
        <w:t>•</w:t>
      </w:r>
      <w:r w:rsidRPr="00E42062">
        <w:rPr>
          <w:noProof/>
        </w:rPr>
        <w:tab/>
        <w:t>Aankoopdocumenten. Dit bevat alle formele documenten binnen het inkooptraject</w:t>
      </w:r>
    </w:p>
    <w:p w14:paraId="5BB1574C" w14:textId="542E3B3C" w:rsidR="007E665C" w:rsidRPr="00E42062" w:rsidRDefault="007E665C" w:rsidP="007E665C">
      <w:pPr>
        <w:pStyle w:val="NoSpacing"/>
        <w:spacing w:line="276" w:lineRule="auto"/>
        <w:rPr>
          <w:noProof/>
        </w:rPr>
      </w:pPr>
      <w:r w:rsidRPr="00E42062">
        <w:rPr>
          <w:noProof/>
        </w:rPr>
        <w:t xml:space="preserve">Met name de mate van kennis en expertise dient gemeten te worden aan de hand van meerdere objectieve meetinstrumenten, gelet op de complexiteit van deze variabele. Op </w:t>
      </w:r>
      <w:r w:rsidR="00191FB0">
        <w:rPr>
          <w:noProof/>
        </w:rPr>
        <w:t xml:space="preserve">deze </w:t>
      </w:r>
      <w:r w:rsidRPr="00E42062">
        <w:rPr>
          <w:noProof/>
        </w:rPr>
        <w:t xml:space="preserve">manier kan er een onderbouwd uitspraak worden gedaan over de veronderstelde kennisasymmetrie in de empirie. In dit onderzoek is dit slechts bij de eigen interpretatie van de respondenten gebleven, zonder nadrukkelijke verificatie. Zo dient documentenonderzoek een meer prominente rol in te nemen in het onderzoek. Voor de toetsing van de theoretische assumpties is zijn de bevinden uit de interviews niet voldoende, met name wat betreft het inkooptraject. Triangulatie kan de consistentie in de interviews belichten (Denscombe, 2010). </w:t>
      </w:r>
    </w:p>
    <w:p w14:paraId="3D6EDCB8" w14:textId="32BA3FB8" w:rsidR="007E665C" w:rsidRPr="00E42062" w:rsidRDefault="007E665C" w:rsidP="007E665C">
      <w:pPr>
        <w:pStyle w:val="NoSpacing"/>
        <w:spacing w:line="276" w:lineRule="auto"/>
        <w:rPr>
          <w:noProof/>
        </w:rPr>
      </w:pPr>
      <w:r w:rsidRPr="00E42062">
        <w:rPr>
          <w:noProof/>
        </w:rPr>
        <w:t xml:space="preserve">De derde aanbeveling is het vergroten van de representativiteit van het onderzoek door aanvulling van kwantitatieve onderzoeksmethoden aan de bestaande methoden. De conclusie van deze empirische studie dient geldig te zijn voor alle voortgezet onderwijsinstellingen in Nederland. Kwantitatief onderzoek is beter in staat om meer eenheden in het onderzoek te betrekken en deze gegevens met elkaar te vergelijken. Een optie voor het vervolgonderzoek is om de variabelen ‘professionalisering’ en ‘kennis en expertise’ kwantitatief te meten. Deze variabelen lenen zich goed voor verdere kwantitatieve operationalisatie met een verdeling in scores. </w:t>
      </w:r>
    </w:p>
    <w:p w14:paraId="3AE7C311" w14:textId="09101F89" w:rsidR="004F094C" w:rsidRDefault="007E665C" w:rsidP="00F43F7E">
      <w:pPr>
        <w:pStyle w:val="NoSpacing"/>
        <w:spacing w:line="276" w:lineRule="auto"/>
        <w:rPr>
          <w:noProof/>
        </w:rPr>
      </w:pPr>
      <w:r w:rsidRPr="00E42062">
        <w:rPr>
          <w:noProof/>
        </w:rPr>
        <w:t xml:space="preserve">Ten vierde dient in het vervolgonderzoek meer aandacht uit te gaan naar de nieuwe uitdagingen voor de onderwijsinstellingen. Een goed voorbeeld hiervan is de nieuwe privacy wet en de Wet op datalekken. Deze veranderingen hebben een aanzienlijk impact op de inkoop. Binnen de semigestructureerde interviews dient er meer ruimte te zijn voor aanvulling van de respondent. Tot slot is er meer aandacht nodig voor de verschillende actoren en hun belangen en relaties met elkaar. Dit geldt in het specifiek voor het gevaar van agency problemen. In de theorie van Soudry (2007) wordt gestel dat het streven naar professionaliteit in de praktijk vaak leidt tot het delegeren van taken van publieke vertegenwoordigers naar de inkoopmanagers. Dit kan een voorbode zijn voor agency problemen. Waar dit onderzoek zich richt op de relatie tussen de school als inkopende partij en de leverancier als de opdrachtnemer, zijn er ook andere relaties van belang. Binnen de onderzochte scholen zijn de inkoopmanagers </w:t>
      </w:r>
      <w:r w:rsidRPr="00E42AEB">
        <w:rPr>
          <w:noProof/>
        </w:rPr>
        <w:t xml:space="preserve">verantwoordelijk voor de inkoop, maar dienen dit te veranderwoorden richting de directie. Echter zijn zij de specialist en beschikking over meer informatie dan de bovengeschikte directie. Het is dan ook zeer relevant om in het vervolgonderzoek ook de relatie tussen de inkoper en de directie te onderzoeken, om te achterhalen of er in potentie sprake is van agency problemen. Want ook de inkopers kunnen in de praktijk een agent zijn. Hun gedrag is in sterke mate bepalend voor de </w:t>
      </w:r>
      <w:r w:rsidRPr="00E42AEB">
        <w:rPr>
          <w:rFonts w:ascii="Calibri" w:eastAsia="Calibri" w:hAnsi="Calibri"/>
          <w:noProof/>
        </w:rPr>
        <w:t xml:space="preserve">efficiëntie </w:t>
      </w:r>
      <w:r w:rsidRPr="00E42AEB">
        <w:rPr>
          <w:noProof/>
        </w:rPr>
        <w:t>van de inkoop.</w:t>
      </w:r>
      <w:r w:rsidRPr="00E42062">
        <w:rPr>
          <w:noProof/>
        </w:rPr>
        <w:t xml:space="preserve"> </w:t>
      </w:r>
    </w:p>
    <w:p w14:paraId="46DAE9E2" w14:textId="77777777" w:rsidR="004F094C" w:rsidRDefault="004F094C">
      <w:pPr>
        <w:kinsoku/>
        <w:autoSpaceDE/>
        <w:autoSpaceDN/>
        <w:adjustRightInd/>
        <w:spacing w:after="160" w:line="259" w:lineRule="auto"/>
        <w:rPr>
          <w:rFonts w:asciiTheme="minorHAnsi" w:eastAsiaTheme="minorHAnsi" w:hAnsiTheme="minorHAnsi"/>
          <w:noProof/>
          <w:sz w:val="22"/>
        </w:rPr>
      </w:pPr>
      <w:r>
        <w:rPr>
          <w:noProof/>
        </w:rPr>
        <w:br w:type="page"/>
      </w:r>
    </w:p>
    <w:p w14:paraId="08C4D145" w14:textId="4C2E7D98" w:rsidR="000031F2" w:rsidRDefault="000031F2" w:rsidP="000031F2">
      <w:pPr>
        <w:pStyle w:val="Heading1"/>
      </w:pPr>
      <w:bookmarkStart w:id="177" w:name="_Toc517455508"/>
      <w:r w:rsidRPr="00190722">
        <w:lastRenderedPageBreak/>
        <w:t>8. Literatuurlijst</w:t>
      </w:r>
      <w:bookmarkEnd w:id="177"/>
    </w:p>
    <w:p w14:paraId="2442BD4A" w14:textId="2F648365" w:rsidR="0070400F" w:rsidRDefault="0070400F" w:rsidP="0070400F"/>
    <w:p w14:paraId="4F915E4F"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lang w:val="en-US"/>
        </w:rPr>
        <w:t xml:space="preserve">Albano, G. L. &amp; </w:t>
      </w:r>
      <w:proofErr w:type="spellStart"/>
      <w:r w:rsidRPr="0070400F">
        <w:rPr>
          <w:rFonts w:asciiTheme="minorHAnsi" w:eastAsiaTheme="minorHAnsi" w:hAnsiTheme="minorHAnsi" w:cstheme="minorHAnsi"/>
          <w:sz w:val="22"/>
          <w:szCs w:val="22"/>
          <w:lang w:val="en-US"/>
        </w:rPr>
        <w:t>Sparro</w:t>
      </w:r>
      <w:proofErr w:type="spellEnd"/>
      <w:r w:rsidRPr="0070400F">
        <w:rPr>
          <w:rFonts w:asciiTheme="minorHAnsi" w:eastAsiaTheme="minorHAnsi" w:hAnsiTheme="minorHAnsi" w:cstheme="minorHAnsi"/>
          <w:sz w:val="22"/>
          <w:szCs w:val="22"/>
          <w:lang w:val="en-US"/>
        </w:rPr>
        <w:t xml:space="preserve">, M. (2010) ‘Flexible Strategies for Centralized Public Procurement’. Review of Economics and Institutions, Vol. 1, No. 2, Fall 2010. </w:t>
      </w:r>
      <w:proofErr w:type="spellStart"/>
      <w:r w:rsidRPr="0070400F">
        <w:rPr>
          <w:rFonts w:asciiTheme="minorHAnsi" w:eastAsiaTheme="minorHAnsi" w:hAnsiTheme="minorHAnsi" w:cstheme="minorHAnsi"/>
          <w:sz w:val="22"/>
          <w:szCs w:val="22"/>
          <w:lang w:val="en-US"/>
        </w:rPr>
        <w:t>Geraadpleegd</w:t>
      </w:r>
      <w:proofErr w:type="spellEnd"/>
      <w:r w:rsidRPr="0070400F">
        <w:rPr>
          <w:rFonts w:asciiTheme="minorHAnsi" w:eastAsiaTheme="minorHAnsi" w:hAnsiTheme="minorHAnsi" w:cstheme="minorHAnsi"/>
          <w:sz w:val="22"/>
          <w:szCs w:val="22"/>
          <w:lang w:val="en-US"/>
        </w:rPr>
        <w:t xml:space="preserve"> van </w:t>
      </w:r>
      <w:hyperlink r:id="rId49" w:history="1">
        <w:r w:rsidRPr="0070400F">
          <w:rPr>
            <w:rFonts w:asciiTheme="minorHAnsi" w:eastAsiaTheme="minorHAnsi" w:hAnsiTheme="minorHAnsi" w:cstheme="minorHAnsi"/>
            <w:color w:val="0000FF"/>
            <w:sz w:val="22"/>
            <w:szCs w:val="22"/>
            <w:u w:val="single"/>
            <w:lang w:val="en-US"/>
          </w:rPr>
          <w:t>https://ssrn.com/abstract=1887791</w:t>
        </w:r>
      </w:hyperlink>
    </w:p>
    <w:p w14:paraId="16DBE108"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lang w:val="en-US"/>
        </w:rPr>
        <w:t xml:space="preserve">Anderson, R. (2008) ‘Implications of the information and knowledge society for education’. In J. </w:t>
      </w:r>
      <w:proofErr w:type="spellStart"/>
      <w:r w:rsidRPr="0070400F">
        <w:rPr>
          <w:rFonts w:asciiTheme="minorHAnsi" w:eastAsiaTheme="minorHAnsi" w:hAnsiTheme="minorHAnsi" w:cstheme="minorHAnsi"/>
          <w:sz w:val="22"/>
          <w:szCs w:val="22"/>
          <w:lang w:val="en-US"/>
        </w:rPr>
        <w:t>Voogt</w:t>
      </w:r>
      <w:proofErr w:type="spellEnd"/>
      <w:r w:rsidRPr="0070400F">
        <w:rPr>
          <w:rFonts w:asciiTheme="minorHAnsi" w:eastAsiaTheme="minorHAnsi" w:hAnsiTheme="minorHAnsi" w:cstheme="minorHAnsi"/>
          <w:sz w:val="22"/>
          <w:szCs w:val="22"/>
          <w:lang w:val="en-US"/>
        </w:rPr>
        <w:t xml:space="preserve">, &amp; G. </w:t>
      </w:r>
      <w:proofErr w:type="spellStart"/>
      <w:r w:rsidRPr="0070400F">
        <w:rPr>
          <w:rFonts w:asciiTheme="minorHAnsi" w:eastAsiaTheme="minorHAnsi" w:hAnsiTheme="minorHAnsi" w:cstheme="minorHAnsi"/>
          <w:sz w:val="22"/>
          <w:szCs w:val="22"/>
          <w:lang w:val="en-US"/>
        </w:rPr>
        <w:t>Knezek</w:t>
      </w:r>
      <w:proofErr w:type="spellEnd"/>
      <w:r w:rsidRPr="0070400F">
        <w:rPr>
          <w:rFonts w:asciiTheme="minorHAnsi" w:eastAsiaTheme="minorHAnsi" w:hAnsiTheme="minorHAnsi" w:cstheme="minorHAnsi"/>
          <w:sz w:val="22"/>
          <w:szCs w:val="22"/>
          <w:lang w:val="en-US"/>
        </w:rPr>
        <w:t>, (Eds.), International handbook of information technology in primary and secondary education (pp. 5-22). New York: Springer.</w:t>
      </w:r>
    </w:p>
    <w:p w14:paraId="0C54ABB4"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lang w:val="en-US"/>
        </w:rPr>
        <w:t>Ansell, C., &amp; Gash, A. (2008) ‘Collaborative Governance in Theory and Practice’. University of California, Berkeley</w:t>
      </w:r>
    </w:p>
    <w:p w14:paraId="274BC9EC"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r w:rsidRPr="0070400F">
        <w:rPr>
          <w:rFonts w:asciiTheme="minorHAnsi" w:eastAsiaTheme="minorHAnsi" w:hAnsiTheme="minorHAnsi" w:cstheme="minorHAnsi"/>
          <w:sz w:val="22"/>
          <w:szCs w:val="22"/>
        </w:rPr>
        <w:t>Baarda, B. (2009). Dit is onderzoek. Handleiding voor kwantitatief en kwalitatief. 2</w:t>
      </w:r>
      <w:r w:rsidRPr="0070400F">
        <w:rPr>
          <w:rFonts w:asciiTheme="minorHAnsi" w:eastAsiaTheme="minorHAnsi" w:hAnsiTheme="minorHAnsi" w:cstheme="minorHAnsi"/>
          <w:sz w:val="22"/>
          <w:szCs w:val="22"/>
          <w:vertAlign w:val="superscript"/>
        </w:rPr>
        <w:t>e</w:t>
      </w:r>
      <w:r w:rsidRPr="0070400F">
        <w:rPr>
          <w:rFonts w:asciiTheme="minorHAnsi" w:eastAsiaTheme="minorHAnsi" w:hAnsiTheme="minorHAnsi" w:cstheme="minorHAnsi"/>
          <w:sz w:val="22"/>
          <w:szCs w:val="22"/>
        </w:rPr>
        <w:t xml:space="preserve"> druk. Noordhoff Uitgevers, Groningen/Houten</w:t>
      </w:r>
    </w:p>
    <w:p w14:paraId="218E18AF"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proofErr w:type="spellStart"/>
      <w:r w:rsidRPr="0070400F">
        <w:rPr>
          <w:rFonts w:asciiTheme="minorHAnsi" w:eastAsiaTheme="minorHAnsi" w:hAnsiTheme="minorHAnsi" w:cstheme="minorHAnsi"/>
          <w:sz w:val="22"/>
          <w:szCs w:val="22"/>
        </w:rPr>
        <w:t>Balz</w:t>
      </w:r>
      <w:proofErr w:type="spellEnd"/>
      <w:r w:rsidRPr="0070400F">
        <w:rPr>
          <w:rFonts w:asciiTheme="minorHAnsi" w:eastAsiaTheme="minorHAnsi" w:hAnsiTheme="minorHAnsi" w:cstheme="minorHAnsi"/>
          <w:sz w:val="22"/>
          <w:szCs w:val="22"/>
        </w:rPr>
        <w:t xml:space="preserve">, J., </w:t>
      </w:r>
      <w:proofErr w:type="spellStart"/>
      <w:r w:rsidRPr="0070400F">
        <w:rPr>
          <w:rFonts w:asciiTheme="minorHAnsi" w:eastAsiaTheme="minorHAnsi" w:hAnsiTheme="minorHAnsi" w:cstheme="minorHAnsi"/>
          <w:sz w:val="22"/>
          <w:szCs w:val="22"/>
        </w:rPr>
        <w:t>Sunstein</w:t>
      </w:r>
      <w:proofErr w:type="spellEnd"/>
      <w:r w:rsidRPr="0070400F">
        <w:rPr>
          <w:rFonts w:asciiTheme="minorHAnsi" w:eastAsiaTheme="minorHAnsi" w:hAnsiTheme="minorHAnsi" w:cstheme="minorHAnsi"/>
          <w:sz w:val="22"/>
          <w:szCs w:val="22"/>
        </w:rPr>
        <w:t xml:space="preserve">, C., &amp; </w:t>
      </w:r>
      <w:proofErr w:type="spellStart"/>
      <w:r w:rsidRPr="0070400F">
        <w:rPr>
          <w:rFonts w:asciiTheme="minorHAnsi" w:eastAsiaTheme="minorHAnsi" w:hAnsiTheme="minorHAnsi" w:cstheme="minorHAnsi"/>
          <w:sz w:val="22"/>
          <w:szCs w:val="22"/>
        </w:rPr>
        <w:t>Thaler</w:t>
      </w:r>
      <w:proofErr w:type="spellEnd"/>
      <w:r w:rsidRPr="0070400F">
        <w:rPr>
          <w:rFonts w:asciiTheme="minorHAnsi" w:eastAsiaTheme="minorHAnsi" w:hAnsiTheme="minorHAnsi" w:cstheme="minorHAnsi"/>
          <w:sz w:val="22"/>
          <w:szCs w:val="22"/>
        </w:rPr>
        <w:t xml:space="preserve">, R. (2014). </w:t>
      </w:r>
      <w:r w:rsidRPr="0070400F">
        <w:rPr>
          <w:rFonts w:asciiTheme="minorHAnsi" w:eastAsiaTheme="minorHAnsi" w:hAnsiTheme="minorHAnsi" w:cstheme="minorHAnsi"/>
          <w:sz w:val="22"/>
          <w:szCs w:val="22"/>
          <w:lang w:val="en-US"/>
        </w:rPr>
        <w:t xml:space="preserve">Choice architecture. E. </w:t>
      </w:r>
      <w:proofErr w:type="spellStart"/>
      <w:r w:rsidRPr="0070400F">
        <w:rPr>
          <w:rFonts w:asciiTheme="minorHAnsi" w:eastAsiaTheme="minorHAnsi" w:hAnsiTheme="minorHAnsi" w:cstheme="minorHAnsi"/>
          <w:sz w:val="22"/>
          <w:szCs w:val="22"/>
          <w:lang w:val="en-US"/>
        </w:rPr>
        <w:t>Shafir</w:t>
      </w:r>
      <w:proofErr w:type="spellEnd"/>
      <w:r w:rsidRPr="0070400F">
        <w:rPr>
          <w:rFonts w:asciiTheme="minorHAnsi" w:eastAsiaTheme="minorHAnsi" w:hAnsiTheme="minorHAnsi" w:cstheme="minorHAnsi"/>
          <w:sz w:val="22"/>
          <w:szCs w:val="22"/>
          <w:lang w:val="en-US"/>
        </w:rPr>
        <w:t>, The behavioral foundations of public policy, 428-439.</w:t>
      </w:r>
    </w:p>
    <w:p w14:paraId="6355C305"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proofErr w:type="spellStart"/>
      <w:r w:rsidRPr="0070400F">
        <w:rPr>
          <w:rFonts w:asciiTheme="minorHAnsi" w:eastAsiaTheme="minorHAnsi" w:hAnsiTheme="minorHAnsi" w:cstheme="minorHAnsi"/>
          <w:sz w:val="22"/>
          <w:szCs w:val="22"/>
          <w:lang w:val="en-US"/>
        </w:rPr>
        <w:t>Barthélemy</w:t>
      </w:r>
      <w:proofErr w:type="spellEnd"/>
      <w:r w:rsidRPr="0070400F">
        <w:rPr>
          <w:rFonts w:asciiTheme="minorHAnsi" w:eastAsiaTheme="minorHAnsi" w:hAnsiTheme="minorHAnsi" w:cstheme="minorHAnsi"/>
          <w:sz w:val="22"/>
          <w:szCs w:val="22"/>
          <w:lang w:val="en-US"/>
        </w:rPr>
        <w:t xml:space="preserve">, J., &amp; </w:t>
      </w:r>
      <w:proofErr w:type="spellStart"/>
      <w:r w:rsidRPr="0070400F">
        <w:rPr>
          <w:rFonts w:asciiTheme="minorHAnsi" w:eastAsiaTheme="minorHAnsi" w:hAnsiTheme="minorHAnsi" w:cstheme="minorHAnsi"/>
          <w:sz w:val="22"/>
          <w:szCs w:val="22"/>
          <w:lang w:val="en-US"/>
        </w:rPr>
        <w:t>Adsit</w:t>
      </w:r>
      <w:proofErr w:type="spellEnd"/>
      <w:r w:rsidRPr="0070400F">
        <w:rPr>
          <w:rFonts w:asciiTheme="minorHAnsi" w:eastAsiaTheme="minorHAnsi" w:hAnsiTheme="minorHAnsi" w:cstheme="minorHAnsi"/>
          <w:sz w:val="22"/>
          <w:szCs w:val="22"/>
          <w:lang w:val="en-US"/>
        </w:rPr>
        <w:t>, D. (2003) ‘The Seven Deadly Sins of Outsourcing. Academy of Management executive’. 17(2), 87-100 (114).</w:t>
      </w:r>
    </w:p>
    <w:p w14:paraId="6C2781A9"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r w:rsidRPr="0070400F">
        <w:rPr>
          <w:rFonts w:asciiTheme="minorHAnsi" w:eastAsiaTheme="minorHAnsi" w:hAnsiTheme="minorHAnsi" w:cstheme="minorHAnsi"/>
          <w:sz w:val="22"/>
          <w:szCs w:val="22"/>
        </w:rPr>
        <w:t xml:space="preserve">Behr, G. &amp; Braam, G. (2004). Help, de klantorganisatie wordt volwassen! In: It Service Management Best </w:t>
      </w:r>
      <w:proofErr w:type="spellStart"/>
      <w:r w:rsidRPr="0070400F">
        <w:rPr>
          <w:rFonts w:asciiTheme="minorHAnsi" w:eastAsiaTheme="minorHAnsi" w:hAnsiTheme="minorHAnsi" w:cstheme="minorHAnsi"/>
          <w:sz w:val="22"/>
          <w:szCs w:val="22"/>
        </w:rPr>
        <w:t>Practices</w:t>
      </w:r>
      <w:proofErr w:type="spellEnd"/>
      <w:r w:rsidRPr="0070400F">
        <w:rPr>
          <w:rFonts w:asciiTheme="minorHAnsi" w:eastAsiaTheme="minorHAnsi" w:hAnsiTheme="minorHAnsi" w:cstheme="minorHAnsi"/>
          <w:sz w:val="22"/>
          <w:szCs w:val="22"/>
        </w:rPr>
        <w:t xml:space="preserve"> deel 1, pp. 155-175</w:t>
      </w:r>
    </w:p>
    <w:p w14:paraId="42A63159"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rPr>
        <w:t xml:space="preserve">Bemelmans, J., Voordijk, H., &amp; Vos, B. (2013). </w:t>
      </w:r>
      <w:r w:rsidRPr="0070400F">
        <w:rPr>
          <w:rFonts w:asciiTheme="minorHAnsi" w:eastAsiaTheme="minorHAnsi" w:hAnsiTheme="minorHAnsi" w:cstheme="minorHAnsi"/>
          <w:sz w:val="22"/>
          <w:szCs w:val="22"/>
          <w:lang w:val="en-US"/>
        </w:rPr>
        <w:t>Designing a tool for an effective assessment of purchasing maturity in construction. Benchmarking: An International Journal, 20(3), 342-361.</w:t>
      </w:r>
    </w:p>
    <w:p w14:paraId="7CBFEE08"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proofErr w:type="spellStart"/>
      <w:r w:rsidRPr="0070400F">
        <w:rPr>
          <w:rFonts w:asciiTheme="minorHAnsi" w:eastAsiaTheme="minorHAnsi" w:hAnsiTheme="minorHAnsi" w:cstheme="minorHAnsi"/>
          <w:sz w:val="22"/>
          <w:szCs w:val="22"/>
        </w:rPr>
        <w:t>Boeije</w:t>
      </w:r>
      <w:proofErr w:type="spellEnd"/>
      <w:r w:rsidRPr="0070400F">
        <w:rPr>
          <w:rFonts w:asciiTheme="minorHAnsi" w:eastAsiaTheme="minorHAnsi" w:hAnsiTheme="minorHAnsi" w:cstheme="minorHAnsi"/>
          <w:sz w:val="22"/>
          <w:szCs w:val="22"/>
        </w:rPr>
        <w:t xml:space="preserve">, H.R. (2005). Analyseren in kwalitatief onderzoek: denken en doen. </w:t>
      </w:r>
      <w:r w:rsidRPr="0070400F">
        <w:rPr>
          <w:rFonts w:asciiTheme="minorHAnsi" w:eastAsiaTheme="minorHAnsi" w:hAnsiTheme="minorHAnsi" w:cstheme="minorHAnsi"/>
          <w:sz w:val="22"/>
          <w:szCs w:val="22"/>
          <w:lang w:val="en-US"/>
        </w:rPr>
        <w:t xml:space="preserve">Amsterdam: Boom </w:t>
      </w:r>
      <w:proofErr w:type="spellStart"/>
      <w:r w:rsidRPr="0070400F">
        <w:rPr>
          <w:rFonts w:asciiTheme="minorHAnsi" w:eastAsiaTheme="minorHAnsi" w:hAnsiTheme="minorHAnsi" w:cstheme="minorHAnsi"/>
          <w:sz w:val="22"/>
          <w:szCs w:val="22"/>
          <w:lang w:val="en-US"/>
        </w:rPr>
        <w:t>Onderwijs</w:t>
      </w:r>
      <w:proofErr w:type="spellEnd"/>
      <w:r w:rsidRPr="0070400F">
        <w:rPr>
          <w:rFonts w:asciiTheme="minorHAnsi" w:eastAsiaTheme="minorHAnsi" w:hAnsiTheme="minorHAnsi" w:cstheme="minorHAnsi"/>
          <w:sz w:val="22"/>
          <w:szCs w:val="22"/>
          <w:lang w:val="en-US"/>
        </w:rPr>
        <w:t>.</w:t>
      </w:r>
    </w:p>
    <w:p w14:paraId="6A1BACC7"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r w:rsidRPr="0070400F">
        <w:rPr>
          <w:rFonts w:asciiTheme="minorHAnsi" w:eastAsiaTheme="minorHAnsi" w:hAnsiTheme="minorHAnsi" w:cstheme="minorHAnsi"/>
          <w:sz w:val="22"/>
          <w:szCs w:val="22"/>
        </w:rPr>
        <w:t xml:space="preserve">Boer, M., &amp; van den Ouden, L. (2017). De juiste leverancier kiezen met een goed onderbouwd gevoel. Geraadpleegd van </w:t>
      </w:r>
      <w:hyperlink r:id="rId50" w:history="1">
        <w:r w:rsidRPr="0070400F">
          <w:rPr>
            <w:rFonts w:asciiTheme="minorHAnsi" w:eastAsiaTheme="minorHAnsi" w:hAnsiTheme="minorHAnsi" w:cstheme="minorHAnsi"/>
            <w:color w:val="0000FF"/>
            <w:sz w:val="22"/>
            <w:szCs w:val="22"/>
            <w:u w:val="single"/>
          </w:rPr>
          <w:t>https://www.icm.nl/content/uploads/2017/06/De-juiste-leverancier-kiezen-met-een-goed-gevoel.pdf</w:t>
        </w:r>
      </w:hyperlink>
    </w:p>
    <w:p w14:paraId="42C04282"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rPr>
        <w:t xml:space="preserve">Boot, N., Cornelisse, P., Gianotten, J., Gianotten, M., Huige, J., </w:t>
      </w:r>
      <w:proofErr w:type="spellStart"/>
      <w:r w:rsidRPr="0070400F">
        <w:rPr>
          <w:rFonts w:asciiTheme="minorHAnsi" w:eastAsiaTheme="minorHAnsi" w:hAnsiTheme="minorHAnsi" w:cstheme="minorHAnsi"/>
          <w:sz w:val="22"/>
          <w:szCs w:val="22"/>
        </w:rPr>
        <w:t>Lute</w:t>
      </w:r>
      <w:proofErr w:type="spellEnd"/>
      <w:r w:rsidRPr="0070400F">
        <w:rPr>
          <w:rFonts w:asciiTheme="minorHAnsi" w:eastAsiaTheme="minorHAnsi" w:hAnsiTheme="minorHAnsi" w:cstheme="minorHAnsi"/>
          <w:sz w:val="22"/>
          <w:szCs w:val="22"/>
        </w:rPr>
        <w:t xml:space="preserve">, E., et al. </w:t>
      </w:r>
      <w:r w:rsidRPr="0070400F">
        <w:rPr>
          <w:rFonts w:asciiTheme="minorHAnsi" w:eastAsiaTheme="minorHAnsi" w:hAnsiTheme="minorHAnsi" w:cstheme="minorHAnsi"/>
          <w:sz w:val="22"/>
          <w:szCs w:val="22"/>
          <w:lang w:val="en-US"/>
        </w:rPr>
        <w:t xml:space="preserve">(2007). Outsourcing performance 2008: research &amp; outlook. Amsterdam: </w:t>
      </w:r>
      <w:proofErr w:type="spellStart"/>
      <w:r w:rsidRPr="0070400F">
        <w:rPr>
          <w:rFonts w:asciiTheme="minorHAnsi" w:eastAsiaTheme="minorHAnsi" w:hAnsiTheme="minorHAnsi" w:cstheme="minorHAnsi"/>
          <w:sz w:val="22"/>
          <w:szCs w:val="22"/>
          <w:lang w:val="en-US"/>
        </w:rPr>
        <w:t>Giarte</w:t>
      </w:r>
      <w:proofErr w:type="spellEnd"/>
      <w:r w:rsidRPr="0070400F">
        <w:rPr>
          <w:rFonts w:asciiTheme="minorHAnsi" w:eastAsiaTheme="minorHAnsi" w:hAnsiTheme="minorHAnsi" w:cstheme="minorHAnsi"/>
          <w:sz w:val="22"/>
          <w:szCs w:val="22"/>
          <w:lang w:val="en-US"/>
        </w:rPr>
        <w:t xml:space="preserve"> Media Group BV: Morgan Chambers Nederland.</w:t>
      </w:r>
    </w:p>
    <w:p w14:paraId="64C44480"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lang w:val="en-US"/>
        </w:rPr>
        <w:t xml:space="preserve">Boyne, G. A. (2002), Public and Private Management: What’s the </w:t>
      </w:r>
      <w:proofErr w:type="gramStart"/>
      <w:r w:rsidRPr="0070400F">
        <w:rPr>
          <w:rFonts w:asciiTheme="minorHAnsi" w:eastAsiaTheme="minorHAnsi" w:hAnsiTheme="minorHAnsi" w:cstheme="minorHAnsi"/>
          <w:sz w:val="22"/>
          <w:szCs w:val="22"/>
          <w:lang w:val="en-US"/>
        </w:rPr>
        <w:t>Difference?.</w:t>
      </w:r>
      <w:proofErr w:type="gramEnd"/>
      <w:r w:rsidRPr="0070400F">
        <w:rPr>
          <w:rFonts w:asciiTheme="minorHAnsi" w:eastAsiaTheme="minorHAnsi" w:hAnsiTheme="minorHAnsi" w:cstheme="minorHAnsi"/>
          <w:sz w:val="22"/>
          <w:szCs w:val="22"/>
          <w:lang w:val="en-US"/>
        </w:rPr>
        <w:t xml:space="preserve"> Journal of Management Studies, 39: 97-122. </w:t>
      </w:r>
      <w:proofErr w:type="spellStart"/>
      <w:r w:rsidRPr="0070400F">
        <w:rPr>
          <w:rFonts w:asciiTheme="minorHAnsi" w:eastAsiaTheme="minorHAnsi" w:hAnsiTheme="minorHAnsi" w:cstheme="minorHAnsi"/>
          <w:sz w:val="22"/>
          <w:szCs w:val="22"/>
          <w:lang w:val="en-US"/>
        </w:rPr>
        <w:t>Geraadpleegd</w:t>
      </w:r>
      <w:proofErr w:type="spellEnd"/>
      <w:r w:rsidRPr="0070400F">
        <w:rPr>
          <w:rFonts w:asciiTheme="minorHAnsi" w:eastAsiaTheme="minorHAnsi" w:hAnsiTheme="minorHAnsi" w:cstheme="minorHAnsi"/>
          <w:sz w:val="22"/>
          <w:szCs w:val="22"/>
          <w:lang w:val="en-US"/>
        </w:rPr>
        <w:t xml:space="preserve"> van 10.1111/1467-6486.00284</w:t>
      </w:r>
    </w:p>
    <w:p w14:paraId="5884C315"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proofErr w:type="spellStart"/>
      <w:r w:rsidRPr="0070400F">
        <w:rPr>
          <w:rFonts w:asciiTheme="minorHAnsi" w:eastAsiaTheme="minorHAnsi" w:hAnsiTheme="minorHAnsi" w:cstheme="minorHAnsi"/>
          <w:sz w:val="22"/>
          <w:szCs w:val="22"/>
          <w:lang w:val="en-US"/>
        </w:rPr>
        <w:t>Brandsen</w:t>
      </w:r>
      <w:proofErr w:type="spellEnd"/>
      <w:r w:rsidRPr="0070400F">
        <w:rPr>
          <w:rFonts w:asciiTheme="minorHAnsi" w:eastAsiaTheme="minorHAnsi" w:hAnsiTheme="minorHAnsi" w:cstheme="minorHAnsi"/>
          <w:sz w:val="22"/>
          <w:szCs w:val="22"/>
          <w:lang w:val="en-US"/>
        </w:rPr>
        <w:t xml:space="preserve">, T. &amp; </w:t>
      </w:r>
      <w:proofErr w:type="spellStart"/>
      <w:r w:rsidRPr="0070400F">
        <w:rPr>
          <w:rFonts w:asciiTheme="minorHAnsi" w:eastAsiaTheme="minorHAnsi" w:hAnsiTheme="minorHAnsi" w:cstheme="minorHAnsi"/>
          <w:sz w:val="22"/>
          <w:szCs w:val="22"/>
          <w:lang w:val="en-US"/>
        </w:rPr>
        <w:t>Honingh</w:t>
      </w:r>
      <w:proofErr w:type="spellEnd"/>
      <w:r w:rsidRPr="0070400F">
        <w:rPr>
          <w:rFonts w:asciiTheme="minorHAnsi" w:eastAsiaTheme="minorHAnsi" w:hAnsiTheme="minorHAnsi" w:cstheme="minorHAnsi"/>
          <w:sz w:val="22"/>
          <w:szCs w:val="22"/>
          <w:lang w:val="en-US"/>
        </w:rPr>
        <w:t xml:space="preserve">, M. (2013). Professionals and Shifts in Governance, International Journal of Public Administration, 36:12, 876-883, </w:t>
      </w:r>
      <w:proofErr w:type="spellStart"/>
      <w:r w:rsidRPr="0070400F">
        <w:rPr>
          <w:rFonts w:asciiTheme="minorHAnsi" w:eastAsiaTheme="minorHAnsi" w:hAnsiTheme="minorHAnsi" w:cstheme="minorHAnsi"/>
          <w:sz w:val="22"/>
          <w:szCs w:val="22"/>
          <w:lang w:val="en-US"/>
        </w:rPr>
        <w:t>Geraadpleegd</w:t>
      </w:r>
      <w:proofErr w:type="spellEnd"/>
      <w:r w:rsidRPr="0070400F">
        <w:rPr>
          <w:rFonts w:asciiTheme="minorHAnsi" w:eastAsiaTheme="minorHAnsi" w:hAnsiTheme="minorHAnsi" w:cstheme="minorHAnsi"/>
          <w:sz w:val="22"/>
          <w:szCs w:val="22"/>
          <w:lang w:val="en-US"/>
        </w:rPr>
        <w:t xml:space="preserve"> van </w:t>
      </w:r>
      <w:hyperlink r:id="rId51" w:history="1">
        <w:r w:rsidRPr="0070400F">
          <w:rPr>
            <w:rFonts w:asciiTheme="minorHAnsi" w:eastAsiaTheme="minorHAnsi" w:hAnsiTheme="minorHAnsi" w:cstheme="minorHAnsi"/>
            <w:color w:val="0000FF"/>
            <w:sz w:val="22"/>
            <w:szCs w:val="22"/>
            <w:u w:val="single"/>
            <w:lang w:val="en-US"/>
          </w:rPr>
          <w:t>https://doi.org/10.1080/01900692.2013.798809</w:t>
        </w:r>
      </w:hyperlink>
    </w:p>
    <w:p w14:paraId="783CDBA3"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proofErr w:type="spellStart"/>
      <w:r w:rsidRPr="0070400F">
        <w:rPr>
          <w:rFonts w:asciiTheme="minorHAnsi" w:eastAsiaTheme="minorHAnsi" w:hAnsiTheme="minorHAnsi" w:cstheme="minorHAnsi"/>
          <w:sz w:val="22"/>
          <w:szCs w:val="22"/>
        </w:rPr>
        <w:t>Braster</w:t>
      </w:r>
      <w:proofErr w:type="spellEnd"/>
      <w:r w:rsidRPr="0070400F">
        <w:rPr>
          <w:rFonts w:asciiTheme="minorHAnsi" w:eastAsiaTheme="minorHAnsi" w:hAnsiTheme="minorHAnsi" w:cstheme="minorHAnsi"/>
          <w:sz w:val="22"/>
          <w:szCs w:val="22"/>
        </w:rPr>
        <w:t xml:space="preserve">, J.F.A. (2001). De kern van </w:t>
      </w:r>
      <w:proofErr w:type="spellStart"/>
      <w:proofErr w:type="gramStart"/>
      <w:r w:rsidRPr="0070400F">
        <w:rPr>
          <w:rFonts w:asciiTheme="minorHAnsi" w:eastAsiaTheme="minorHAnsi" w:hAnsiTheme="minorHAnsi" w:cstheme="minorHAnsi"/>
          <w:sz w:val="22"/>
          <w:szCs w:val="22"/>
        </w:rPr>
        <w:t>case-study’s</w:t>
      </w:r>
      <w:proofErr w:type="spellEnd"/>
      <w:proofErr w:type="gramEnd"/>
      <w:r w:rsidRPr="0070400F">
        <w:rPr>
          <w:rFonts w:asciiTheme="minorHAnsi" w:eastAsiaTheme="minorHAnsi" w:hAnsiTheme="minorHAnsi" w:cstheme="minorHAnsi"/>
          <w:sz w:val="22"/>
          <w:szCs w:val="22"/>
        </w:rPr>
        <w:t>. Assen: Van Gorcum</w:t>
      </w:r>
    </w:p>
    <w:p w14:paraId="51C2E257"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rPr>
        <w:t xml:space="preserve">Bruijn, H. de, &amp; </w:t>
      </w:r>
      <w:proofErr w:type="spellStart"/>
      <w:r w:rsidRPr="0070400F">
        <w:rPr>
          <w:rFonts w:asciiTheme="minorHAnsi" w:eastAsiaTheme="minorHAnsi" w:hAnsiTheme="minorHAnsi" w:cstheme="minorHAnsi"/>
          <w:sz w:val="22"/>
          <w:szCs w:val="22"/>
        </w:rPr>
        <w:t>Dicke</w:t>
      </w:r>
      <w:proofErr w:type="spellEnd"/>
      <w:r w:rsidRPr="0070400F">
        <w:rPr>
          <w:rFonts w:asciiTheme="minorHAnsi" w:eastAsiaTheme="minorHAnsi" w:hAnsiTheme="minorHAnsi" w:cstheme="minorHAnsi"/>
          <w:sz w:val="22"/>
          <w:szCs w:val="22"/>
        </w:rPr>
        <w:t xml:space="preserve">, W. (2006). </w:t>
      </w:r>
      <w:r w:rsidRPr="0070400F">
        <w:rPr>
          <w:rFonts w:asciiTheme="minorHAnsi" w:eastAsiaTheme="minorHAnsi" w:hAnsiTheme="minorHAnsi" w:cstheme="minorHAnsi"/>
          <w:sz w:val="22"/>
          <w:szCs w:val="22"/>
          <w:lang w:val="en-US"/>
        </w:rPr>
        <w:t>Strategies for safeguarding public values in liberalized utility sectors. Public Administration, 84(3), pp. 717-735.</w:t>
      </w:r>
    </w:p>
    <w:p w14:paraId="3C7213A0"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lang w:val="en-US"/>
        </w:rPr>
        <w:t xml:space="preserve">Cialdini, R.B., (1993). The Psychology of </w:t>
      </w:r>
      <w:proofErr w:type="spellStart"/>
      <w:r w:rsidRPr="0070400F">
        <w:rPr>
          <w:rFonts w:asciiTheme="minorHAnsi" w:eastAsiaTheme="minorHAnsi" w:hAnsiTheme="minorHAnsi" w:cstheme="minorHAnsi"/>
          <w:sz w:val="22"/>
          <w:szCs w:val="22"/>
          <w:lang w:val="en-US"/>
        </w:rPr>
        <w:t>Infl</w:t>
      </w:r>
      <w:proofErr w:type="spellEnd"/>
      <w:r w:rsidRPr="0070400F">
        <w:rPr>
          <w:rFonts w:asciiTheme="minorHAnsi" w:eastAsiaTheme="minorHAnsi" w:hAnsiTheme="minorHAnsi" w:cstheme="minorHAnsi"/>
          <w:sz w:val="22"/>
          <w:szCs w:val="22"/>
          <w:lang w:val="en-US"/>
        </w:rPr>
        <w:t xml:space="preserve"> </w:t>
      </w:r>
      <w:proofErr w:type="spellStart"/>
      <w:r w:rsidRPr="0070400F">
        <w:rPr>
          <w:rFonts w:asciiTheme="minorHAnsi" w:eastAsiaTheme="minorHAnsi" w:hAnsiTheme="minorHAnsi" w:cstheme="minorHAnsi"/>
          <w:sz w:val="22"/>
          <w:szCs w:val="22"/>
          <w:lang w:val="en-US"/>
        </w:rPr>
        <w:t>uence</w:t>
      </w:r>
      <w:proofErr w:type="spellEnd"/>
      <w:r w:rsidRPr="0070400F">
        <w:rPr>
          <w:rFonts w:asciiTheme="minorHAnsi" w:eastAsiaTheme="minorHAnsi" w:hAnsiTheme="minorHAnsi" w:cstheme="minorHAnsi"/>
          <w:sz w:val="22"/>
          <w:szCs w:val="22"/>
          <w:lang w:val="en-US"/>
        </w:rPr>
        <w:t>. William Morrow &amp; Co.: New York.</w:t>
      </w:r>
    </w:p>
    <w:p w14:paraId="7F67A9CD"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lang w:val="en-US"/>
        </w:rPr>
        <w:t xml:space="preserve">Contractor, F. J., &amp; </w:t>
      </w:r>
      <w:proofErr w:type="spellStart"/>
      <w:r w:rsidRPr="0070400F">
        <w:rPr>
          <w:rFonts w:asciiTheme="minorHAnsi" w:eastAsiaTheme="minorHAnsi" w:hAnsiTheme="minorHAnsi" w:cstheme="minorHAnsi"/>
          <w:sz w:val="22"/>
          <w:szCs w:val="22"/>
          <w:lang w:val="en-US"/>
        </w:rPr>
        <w:t>Lorange</w:t>
      </w:r>
      <w:proofErr w:type="spellEnd"/>
      <w:r w:rsidRPr="0070400F">
        <w:rPr>
          <w:rFonts w:asciiTheme="minorHAnsi" w:eastAsiaTheme="minorHAnsi" w:hAnsiTheme="minorHAnsi" w:cstheme="minorHAnsi"/>
          <w:sz w:val="22"/>
          <w:szCs w:val="22"/>
          <w:lang w:val="en-US"/>
        </w:rPr>
        <w:t>, P. (1988). Cooperative Strategies. International Business.</w:t>
      </w:r>
    </w:p>
    <w:p w14:paraId="46EA2505"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proofErr w:type="spellStart"/>
      <w:r w:rsidRPr="0070400F">
        <w:rPr>
          <w:rFonts w:asciiTheme="minorHAnsi" w:eastAsiaTheme="minorHAnsi" w:hAnsiTheme="minorHAnsi" w:cstheme="minorHAnsi"/>
          <w:sz w:val="22"/>
          <w:szCs w:val="22"/>
          <w:lang w:val="en-US"/>
        </w:rPr>
        <w:t>Correia</w:t>
      </w:r>
      <w:proofErr w:type="spellEnd"/>
      <w:r w:rsidRPr="0070400F">
        <w:rPr>
          <w:rFonts w:asciiTheme="minorHAnsi" w:eastAsiaTheme="minorHAnsi" w:hAnsiTheme="minorHAnsi" w:cstheme="minorHAnsi"/>
          <w:sz w:val="22"/>
          <w:szCs w:val="22"/>
          <w:lang w:val="en-US"/>
        </w:rPr>
        <w:t xml:space="preserve">, J.C. (2000). Autonomy and identity Journal of Medical Ethics. </w:t>
      </w:r>
      <w:r w:rsidRPr="0070400F">
        <w:rPr>
          <w:rFonts w:asciiTheme="minorHAnsi" w:eastAsiaTheme="minorHAnsi" w:hAnsiTheme="minorHAnsi" w:cstheme="minorHAnsi"/>
          <w:sz w:val="22"/>
          <w:szCs w:val="22"/>
        </w:rPr>
        <w:t xml:space="preserve">P.26-141. Geraadpleegd van: </w:t>
      </w:r>
      <w:hyperlink r:id="rId52" w:history="1">
        <w:r w:rsidRPr="0070400F">
          <w:rPr>
            <w:rFonts w:asciiTheme="minorHAnsi" w:eastAsiaTheme="minorHAnsi" w:hAnsiTheme="minorHAnsi" w:cstheme="minorHAnsi"/>
            <w:color w:val="0000FF"/>
            <w:sz w:val="22"/>
            <w:szCs w:val="22"/>
            <w:u w:val="single"/>
          </w:rPr>
          <w:t>http://jme.bmj.com/content/medethics/26/2/141.full.pdf</w:t>
        </w:r>
      </w:hyperlink>
    </w:p>
    <w:p w14:paraId="1F9AFAEC"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lang w:val="en-US"/>
        </w:rPr>
        <w:t>Cox, A. (2001). The power perspective in procurement and supply management. The journal of supply chain management, nr. 2, pp. 4-7.</w:t>
      </w:r>
    </w:p>
    <w:p w14:paraId="1798FBDD"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lang w:val="en-US"/>
        </w:rPr>
        <w:t xml:space="preserve">Davis, J. F, </w:t>
      </w:r>
      <w:proofErr w:type="spellStart"/>
      <w:r w:rsidRPr="0070400F">
        <w:rPr>
          <w:rFonts w:asciiTheme="minorHAnsi" w:eastAsiaTheme="minorHAnsi" w:hAnsiTheme="minorHAnsi" w:cstheme="minorHAnsi"/>
          <w:sz w:val="22"/>
          <w:szCs w:val="22"/>
          <w:lang w:val="en-US"/>
        </w:rPr>
        <w:t>Schoorman</w:t>
      </w:r>
      <w:proofErr w:type="spellEnd"/>
      <w:r w:rsidRPr="0070400F">
        <w:rPr>
          <w:rFonts w:asciiTheme="minorHAnsi" w:eastAsiaTheme="minorHAnsi" w:hAnsiTheme="minorHAnsi" w:cstheme="minorHAnsi"/>
          <w:sz w:val="22"/>
          <w:szCs w:val="22"/>
          <w:lang w:val="en-US"/>
        </w:rPr>
        <w:t>, D, &amp; Donaldson, L., (1997). Toward a stewardship theory of management, Academy of Management Review 22.</w:t>
      </w:r>
    </w:p>
    <w:p w14:paraId="630315BD"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proofErr w:type="spellStart"/>
      <w:r w:rsidRPr="0070400F">
        <w:rPr>
          <w:rFonts w:asciiTheme="minorHAnsi" w:eastAsiaTheme="minorHAnsi" w:hAnsiTheme="minorHAnsi" w:cstheme="minorHAnsi"/>
          <w:sz w:val="22"/>
          <w:szCs w:val="22"/>
        </w:rPr>
        <w:t>Deira</w:t>
      </w:r>
      <w:proofErr w:type="spellEnd"/>
      <w:r w:rsidRPr="0070400F">
        <w:rPr>
          <w:rFonts w:asciiTheme="minorHAnsi" w:eastAsiaTheme="minorHAnsi" w:hAnsiTheme="minorHAnsi" w:cstheme="minorHAnsi"/>
          <w:sz w:val="22"/>
          <w:szCs w:val="22"/>
        </w:rPr>
        <w:t xml:space="preserve">, S. (2014, 24 april). Overheid verspilt miljarden euro’s aan mislukte ICT-projecten. Elsevier, 2014(14). Geraadpleegd van </w:t>
      </w:r>
      <w:hyperlink r:id="rId53" w:history="1">
        <w:r w:rsidRPr="0070400F">
          <w:rPr>
            <w:rFonts w:asciiTheme="minorHAnsi" w:eastAsiaTheme="minorHAnsi" w:hAnsiTheme="minorHAnsi" w:cstheme="minorHAnsi"/>
            <w:color w:val="0000FF"/>
            <w:sz w:val="22"/>
            <w:szCs w:val="22"/>
            <w:u w:val="single"/>
          </w:rPr>
          <w:t>https://www.elsevierweekblad.nl/economie/news/2014/04/overheid-verspilt-miljarden-euros-aan-mislukte-ict-projecten-1509910W/</w:t>
        </w:r>
      </w:hyperlink>
    </w:p>
    <w:p w14:paraId="0865E64E"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r w:rsidRPr="0070400F">
        <w:rPr>
          <w:rFonts w:asciiTheme="minorHAnsi" w:eastAsiaTheme="minorHAnsi" w:hAnsiTheme="minorHAnsi" w:cstheme="minorHAnsi"/>
          <w:sz w:val="22"/>
          <w:szCs w:val="22"/>
        </w:rPr>
        <w:t xml:space="preserve">Delen, G., Van der </w:t>
      </w:r>
      <w:proofErr w:type="spellStart"/>
      <w:r w:rsidRPr="0070400F">
        <w:rPr>
          <w:rFonts w:asciiTheme="minorHAnsi" w:eastAsiaTheme="minorHAnsi" w:hAnsiTheme="minorHAnsi" w:cstheme="minorHAnsi"/>
          <w:sz w:val="22"/>
          <w:szCs w:val="22"/>
        </w:rPr>
        <w:t>Feltz</w:t>
      </w:r>
      <w:proofErr w:type="spellEnd"/>
      <w:r w:rsidRPr="0070400F">
        <w:rPr>
          <w:rFonts w:asciiTheme="minorHAnsi" w:eastAsiaTheme="minorHAnsi" w:hAnsiTheme="minorHAnsi" w:cstheme="minorHAnsi"/>
          <w:sz w:val="22"/>
          <w:szCs w:val="22"/>
        </w:rPr>
        <w:t>, F. R., Buitendijk, R., &amp; De Putter, R. (2006). Uitbesteden van IT-diensten? Bezint u eer begint! (</w:t>
      </w:r>
      <w:proofErr w:type="spellStart"/>
      <w:r w:rsidRPr="0070400F">
        <w:rPr>
          <w:rFonts w:asciiTheme="minorHAnsi" w:eastAsiaTheme="minorHAnsi" w:hAnsiTheme="minorHAnsi" w:cstheme="minorHAnsi"/>
          <w:sz w:val="22"/>
          <w:szCs w:val="22"/>
        </w:rPr>
        <w:t>Verdonck</w:t>
      </w:r>
      <w:proofErr w:type="spellEnd"/>
      <w:r w:rsidRPr="0070400F">
        <w:rPr>
          <w:rFonts w:asciiTheme="minorHAnsi" w:eastAsiaTheme="minorHAnsi" w:hAnsiTheme="minorHAnsi" w:cstheme="minorHAnsi"/>
          <w:sz w:val="22"/>
          <w:szCs w:val="22"/>
        </w:rPr>
        <w:t xml:space="preserve">, Klooster &amp; </w:t>
      </w:r>
      <w:proofErr w:type="spellStart"/>
      <w:r w:rsidRPr="0070400F">
        <w:rPr>
          <w:rFonts w:asciiTheme="minorHAnsi" w:eastAsiaTheme="minorHAnsi" w:hAnsiTheme="minorHAnsi" w:cstheme="minorHAnsi"/>
          <w:sz w:val="22"/>
          <w:szCs w:val="22"/>
        </w:rPr>
        <w:t>Associates</w:t>
      </w:r>
      <w:proofErr w:type="spellEnd"/>
      <w:r w:rsidRPr="0070400F">
        <w:rPr>
          <w:rFonts w:asciiTheme="minorHAnsi" w:eastAsiaTheme="minorHAnsi" w:hAnsiTheme="minorHAnsi" w:cstheme="minorHAnsi"/>
          <w:sz w:val="22"/>
          <w:szCs w:val="22"/>
        </w:rPr>
        <w:t xml:space="preserve"> B.V. en YOU WE). Geraadpleegd van </w:t>
      </w:r>
      <w:hyperlink r:id="rId54" w:history="1">
        <w:r w:rsidRPr="0070400F">
          <w:rPr>
            <w:rFonts w:asciiTheme="minorHAnsi" w:eastAsiaTheme="minorHAnsi" w:hAnsiTheme="minorHAnsi" w:cstheme="minorHAnsi"/>
            <w:color w:val="0000FF"/>
            <w:sz w:val="22"/>
            <w:szCs w:val="22"/>
            <w:u w:val="single"/>
          </w:rPr>
          <w:t>https://anzdoc.com/uitbesteden-van-it-diensten-bezint-eer-u-begint.html</w:t>
        </w:r>
      </w:hyperlink>
    </w:p>
    <w:p w14:paraId="4840EE5D"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lang w:val="en-US"/>
        </w:rPr>
        <w:lastRenderedPageBreak/>
        <w:t>Denscombe, M. (2010), The Good Research Guide: for Small-scale Social Research Projects, Open University Press, Milton Keynes.</w:t>
      </w:r>
    </w:p>
    <w:p w14:paraId="7E05502E"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r w:rsidRPr="0070400F">
        <w:rPr>
          <w:rFonts w:asciiTheme="minorHAnsi" w:eastAsiaTheme="minorHAnsi" w:hAnsiTheme="minorHAnsi" w:cstheme="minorHAnsi"/>
          <w:sz w:val="22"/>
          <w:szCs w:val="22"/>
        </w:rPr>
        <w:t xml:space="preserve">Derksen, B., </w:t>
      </w:r>
      <w:proofErr w:type="spellStart"/>
      <w:r w:rsidRPr="0070400F">
        <w:rPr>
          <w:rFonts w:asciiTheme="minorHAnsi" w:eastAsiaTheme="minorHAnsi" w:hAnsiTheme="minorHAnsi" w:cstheme="minorHAnsi"/>
          <w:sz w:val="22"/>
          <w:szCs w:val="22"/>
        </w:rPr>
        <w:t>Rutkens</w:t>
      </w:r>
      <w:proofErr w:type="spellEnd"/>
      <w:r w:rsidRPr="0070400F">
        <w:rPr>
          <w:rFonts w:asciiTheme="minorHAnsi" w:eastAsiaTheme="minorHAnsi" w:hAnsiTheme="minorHAnsi" w:cstheme="minorHAnsi"/>
          <w:sz w:val="22"/>
          <w:szCs w:val="22"/>
        </w:rPr>
        <w:t xml:space="preserve">, E. P., &amp; </w:t>
      </w:r>
      <w:proofErr w:type="spellStart"/>
      <w:r w:rsidRPr="0070400F">
        <w:rPr>
          <w:rFonts w:asciiTheme="minorHAnsi" w:eastAsiaTheme="minorHAnsi" w:hAnsiTheme="minorHAnsi" w:cstheme="minorHAnsi"/>
          <w:sz w:val="22"/>
          <w:szCs w:val="22"/>
        </w:rPr>
        <w:t>Koorn</w:t>
      </w:r>
      <w:proofErr w:type="spellEnd"/>
      <w:r w:rsidRPr="0070400F">
        <w:rPr>
          <w:rFonts w:asciiTheme="minorHAnsi" w:eastAsiaTheme="minorHAnsi" w:hAnsiTheme="minorHAnsi" w:cstheme="minorHAnsi"/>
          <w:sz w:val="22"/>
          <w:szCs w:val="22"/>
        </w:rPr>
        <w:t>, R. F. (</w:t>
      </w:r>
      <w:proofErr w:type="spellStart"/>
      <w:r w:rsidRPr="0070400F">
        <w:rPr>
          <w:rFonts w:asciiTheme="minorHAnsi" w:eastAsiaTheme="minorHAnsi" w:hAnsiTheme="minorHAnsi" w:cstheme="minorHAnsi"/>
          <w:sz w:val="22"/>
          <w:szCs w:val="22"/>
        </w:rPr>
        <w:t>z.d.</w:t>
      </w:r>
      <w:proofErr w:type="spellEnd"/>
      <w:r w:rsidRPr="0070400F">
        <w:rPr>
          <w:rFonts w:asciiTheme="minorHAnsi" w:eastAsiaTheme="minorHAnsi" w:hAnsiTheme="minorHAnsi" w:cstheme="minorHAnsi"/>
          <w:sz w:val="22"/>
          <w:szCs w:val="22"/>
        </w:rPr>
        <w:t xml:space="preserve">). ICT-innovatie in het onderwijs: </w:t>
      </w:r>
      <w:proofErr w:type="spellStart"/>
      <w:r w:rsidRPr="0070400F">
        <w:rPr>
          <w:rFonts w:asciiTheme="minorHAnsi" w:eastAsiaTheme="minorHAnsi" w:hAnsiTheme="minorHAnsi" w:cstheme="minorHAnsi"/>
          <w:sz w:val="22"/>
          <w:szCs w:val="22"/>
        </w:rPr>
        <w:t>structureerbaar</w:t>
      </w:r>
      <w:proofErr w:type="spellEnd"/>
      <w:r w:rsidRPr="0070400F">
        <w:rPr>
          <w:rFonts w:asciiTheme="minorHAnsi" w:eastAsiaTheme="minorHAnsi" w:hAnsiTheme="minorHAnsi" w:cstheme="minorHAnsi"/>
          <w:sz w:val="22"/>
          <w:szCs w:val="22"/>
        </w:rPr>
        <w:t xml:space="preserve"> en beheersbaar? Compact, </w:t>
      </w:r>
      <w:proofErr w:type="gramStart"/>
      <w:r w:rsidRPr="0070400F">
        <w:rPr>
          <w:rFonts w:asciiTheme="minorHAnsi" w:eastAsiaTheme="minorHAnsi" w:hAnsiTheme="minorHAnsi" w:cstheme="minorHAnsi"/>
          <w:sz w:val="22"/>
          <w:szCs w:val="22"/>
        </w:rPr>
        <w:t>z.j.(</w:t>
      </w:r>
      <w:proofErr w:type="gramEnd"/>
      <w:r w:rsidRPr="0070400F">
        <w:rPr>
          <w:rFonts w:asciiTheme="minorHAnsi" w:eastAsiaTheme="minorHAnsi" w:hAnsiTheme="minorHAnsi" w:cstheme="minorHAnsi"/>
          <w:sz w:val="22"/>
          <w:szCs w:val="22"/>
        </w:rPr>
        <w:t xml:space="preserve">1). Geraadpleegd van </w:t>
      </w:r>
      <w:hyperlink r:id="rId55" w:history="1">
        <w:r w:rsidRPr="0070400F">
          <w:rPr>
            <w:rFonts w:asciiTheme="minorHAnsi" w:eastAsiaTheme="minorHAnsi" w:hAnsiTheme="minorHAnsi" w:cstheme="minorHAnsi"/>
            <w:color w:val="0000FF"/>
            <w:sz w:val="22"/>
            <w:szCs w:val="22"/>
            <w:u w:val="single"/>
          </w:rPr>
          <w:t>https://www.compact.nl/articles/ict-innovatie-in-het-onderwijs-structureerbaar-en-beheersbaar/</w:t>
        </w:r>
      </w:hyperlink>
    </w:p>
    <w:p w14:paraId="2CE1F238"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proofErr w:type="spellStart"/>
      <w:r w:rsidRPr="0070400F">
        <w:rPr>
          <w:rFonts w:asciiTheme="minorHAnsi" w:eastAsiaTheme="minorHAnsi" w:hAnsiTheme="minorHAnsi" w:cstheme="minorHAnsi"/>
          <w:sz w:val="22"/>
          <w:szCs w:val="22"/>
        </w:rPr>
        <w:t>Ditters</w:t>
      </w:r>
      <w:proofErr w:type="spellEnd"/>
      <w:r w:rsidRPr="0070400F">
        <w:rPr>
          <w:rFonts w:asciiTheme="minorHAnsi" w:eastAsiaTheme="minorHAnsi" w:hAnsiTheme="minorHAnsi" w:cstheme="minorHAnsi"/>
          <w:sz w:val="22"/>
          <w:szCs w:val="22"/>
        </w:rPr>
        <w:t xml:space="preserve">, Y. A., </w:t>
      </w:r>
      <w:proofErr w:type="spellStart"/>
      <w:r w:rsidRPr="0070400F">
        <w:rPr>
          <w:rFonts w:asciiTheme="minorHAnsi" w:eastAsiaTheme="minorHAnsi" w:hAnsiTheme="minorHAnsi" w:cstheme="minorHAnsi"/>
          <w:sz w:val="22"/>
          <w:szCs w:val="22"/>
        </w:rPr>
        <w:t>Stuijts</w:t>
      </w:r>
      <w:proofErr w:type="spellEnd"/>
      <w:r w:rsidRPr="0070400F">
        <w:rPr>
          <w:rFonts w:asciiTheme="minorHAnsi" w:eastAsiaTheme="minorHAnsi" w:hAnsiTheme="minorHAnsi" w:cstheme="minorHAnsi"/>
          <w:sz w:val="22"/>
          <w:szCs w:val="22"/>
        </w:rPr>
        <w:t xml:space="preserve">, M. A. J., </w:t>
      </w:r>
      <w:proofErr w:type="spellStart"/>
      <w:r w:rsidRPr="0070400F">
        <w:rPr>
          <w:rFonts w:asciiTheme="minorHAnsi" w:eastAsiaTheme="minorHAnsi" w:hAnsiTheme="minorHAnsi" w:cstheme="minorHAnsi"/>
          <w:sz w:val="22"/>
          <w:szCs w:val="22"/>
        </w:rPr>
        <w:t>Vidal</w:t>
      </w:r>
      <w:proofErr w:type="spellEnd"/>
      <w:r w:rsidRPr="0070400F">
        <w:rPr>
          <w:rFonts w:asciiTheme="minorHAnsi" w:eastAsiaTheme="minorHAnsi" w:hAnsiTheme="minorHAnsi" w:cstheme="minorHAnsi"/>
          <w:sz w:val="22"/>
          <w:szCs w:val="22"/>
        </w:rPr>
        <w:t>, M. J., &amp; Van de Water, J. C. (2012). VNG Model Inkoop- en aanbestedingsbeleid (</w:t>
      </w:r>
      <w:proofErr w:type="spellStart"/>
      <w:r w:rsidRPr="0070400F">
        <w:rPr>
          <w:rFonts w:asciiTheme="minorHAnsi" w:eastAsiaTheme="minorHAnsi" w:hAnsiTheme="minorHAnsi" w:cstheme="minorHAnsi"/>
          <w:sz w:val="22"/>
          <w:szCs w:val="22"/>
        </w:rPr>
        <w:t>Dimdim</w:t>
      </w:r>
      <w:proofErr w:type="spellEnd"/>
      <w:r w:rsidRPr="0070400F">
        <w:rPr>
          <w:rFonts w:asciiTheme="minorHAnsi" w:eastAsiaTheme="minorHAnsi" w:hAnsiTheme="minorHAnsi" w:cstheme="minorHAnsi"/>
          <w:sz w:val="22"/>
          <w:szCs w:val="22"/>
        </w:rPr>
        <w:t xml:space="preserve">, Den Haag). Geraadpleegd van </w:t>
      </w:r>
      <w:hyperlink r:id="rId56" w:history="1">
        <w:r w:rsidRPr="0070400F">
          <w:rPr>
            <w:rFonts w:asciiTheme="minorHAnsi" w:eastAsiaTheme="minorHAnsi" w:hAnsiTheme="minorHAnsi" w:cstheme="minorHAnsi"/>
            <w:color w:val="0000FF"/>
            <w:sz w:val="22"/>
            <w:szCs w:val="22"/>
            <w:u w:val="single"/>
          </w:rPr>
          <w:t>https://www.pianoo.nl/sites/default/files/documents/documents/modelinkoopenaanbestedingsbeleidvng.pdf</w:t>
        </w:r>
      </w:hyperlink>
    </w:p>
    <w:p w14:paraId="73160B68"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lang w:val="en-US"/>
        </w:rPr>
        <w:t>Dowding, K., &amp; John, P. (2009). The value of choice in public policy. Public Administration, 87(2), 219-233</w:t>
      </w:r>
    </w:p>
    <w:p w14:paraId="2FC09669"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lang w:val="en-US"/>
        </w:rPr>
        <w:t>Dyer, J. H., &amp; Singh, H. (1998). The relational view: Cooperative strategy and sources of interorganizational competitive advantage. Academy of Management Review, 660-679. economics and institutions, Vol. 1, No. 2, Art. 4.</w:t>
      </w:r>
    </w:p>
    <w:p w14:paraId="0A56F6EA"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rPr>
        <w:t xml:space="preserve">E.H. Klijn &amp; J.F.M. </w:t>
      </w:r>
      <w:proofErr w:type="spellStart"/>
      <w:r w:rsidRPr="0070400F">
        <w:rPr>
          <w:rFonts w:asciiTheme="minorHAnsi" w:eastAsiaTheme="minorHAnsi" w:hAnsiTheme="minorHAnsi" w:cstheme="minorHAnsi"/>
          <w:sz w:val="22"/>
          <w:szCs w:val="22"/>
        </w:rPr>
        <w:t>Koppenjan</w:t>
      </w:r>
      <w:proofErr w:type="spellEnd"/>
      <w:r w:rsidRPr="0070400F">
        <w:rPr>
          <w:rFonts w:asciiTheme="minorHAnsi" w:eastAsiaTheme="minorHAnsi" w:hAnsiTheme="minorHAnsi" w:cstheme="minorHAnsi"/>
          <w:sz w:val="22"/>
          <w:szCs w:val="22"/>
        </w:rPr>
        <w:t xml:space="preserve"> (2012). </w:t>
      </w:r>
      <w:r w:rsidRPr="0070400F">
        <w:rPr>
          <w:rFonts w:asciiTheme="minorHAnsi" w:eastAsiaTheme="minorHAnsi" w:hAnsiTheme="minorHAnsi" w:cstheme="minorHAnsi"/>
          <w:sz w:val="22"/>
          <w:szCs w:val="22"/>
          <w:lang w:val="en-US"/>
        </w:rPr>
        <w:t xml:space="preserve">Governance network theory: past, present and </w:t>
      </w:r>
      <w:proofErr w:type="spellStart"/>
      <w:proofErr w:type="gramStart"/>
      <w:r w:rsidRPr="0070400F">
        <w:rPr>
          <w:rFonts w:asciiTheme="minorHAnsi" w:eastAsiaTheme="minorHAnsi" w:hAnsiTheme="minorHAnsi" w:cstheme="minorHAnsi"/>
          <w:sz w:val="22"/>
          <w:szCs w:val="22"/>
          <w:lang w:val="en-US"/>
        </w:rPr>
        <w:t>future.Opent</w:t>
      </w:r>
      <w:proofErr w:type="spellEnd"/>
      <w:proofErr w:type="gramEnd"/>
      <w:r w:rsidRPr="0070400F">
        <w:rPr>
          <w:rFonts w:asciiTheme="minorHAnsi" w:eastAsiaTheme="minorHAnsi" w:hAnsiTheme="minorHAnsi" w:cstheme="minorHAnsi"/>
          <w:sz w:val="22"/>
          <w:szCs w:val="22"/>
          <w:lang w:val="en-US"/>
        </w:rPr>
        <w:t xml:space="preserve"> extern Policy &amp; Politics, 40 (4), 187-206. </w:t>
      </w:r>
      <w:proofErr w:type="spellStart"/>
      <w:r w:rsidRPr="0070400F">
        <w:rPr>
          <w:rFonts w:asciiTheme="minorHAnsi" w:eastAsiaTheme="minorHAnsi" w:hAnsiTheme="minorHAnsi" w:cstheme="minorHAnsi"/>
          <w:sz w:val="22"/>
          <w:szCs w:val="22"/>
          <w:lang w:val="en-US"/>
        </w:rPr>
        <w:t>Geraadpleegd</w:t>
      </w:r>
      <w:proofErr w:type="spellEnd"/>
      <w:r w:rsidRPr="0070400F">
        <w:rPr>
          <w:rFonts w:asciiTheme="minorHAnsi" w:eastAsiaTheme="minorHAnsi" w:hAnsiTheme="minorHAnsi" w:cstheme="minorHAnsi"/>
          <w:sz w:val="22"/>
          <w:szCs w:val="22"/>
          <w:lang w:val="en-US"/>
        </w:rPr>
        <w:t xml:space="preserve"> van: </w:t>
      </w:r>
      <w:hyperlink r:id="rId57" w:history="1">
        <w:r w:rsidRPr="0070400F">
          <w:rPr>
            <w:rFonts w:asciiTheme="minorHAnsi" w:eastAsiaTheme="minorHAnsi" w:hAnsiTheme="minorHAnsi" w:cstheme="minorHAnsi"/>
            <w:color w:val="0000FF"/>
            <w:sz w:val="22"/>
            <w:szCs w:val="22"/>
            <w:u w:val="single"/>
            <w:lang w:val="en-US"/>
          </w:rPr>
          <w:t>http://dx.doi.org/10.1332/030557312X655431</w:t>
        </w:r>
      </w:hyperlink>
    </w:p>
    <w:p w14:paraId="454B2E66"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proofErr w:type="spellStart"/>
      <w:r w:rsidRPr="0070400F">
        <w:rPr>
          <w:rFonts w:asciiTheme="minorHAnsi" w:eastAsiaTheme="minorHAnsi" w:hAnsiTheme="minorHAnsi" w:cstheme="minorHAnsi"/>
          <w:sz w:val="22"/>
          <w:szCs w:val="22"/>
          <w:lang w:val="en-US"/>
        </w:rPr>
        <w:t>Edelenbos</w:t>
      </w:r>
      <w:proofErr w:type="spellEnd"/>
      <w:r w:rsidRPr="0070400F">
        <w:rPr>
          <w:rFonts w:asciiTheme="minorHAnsi" w:eastAsiaTheme="minorHAnsi" w:hAnsiTheme="minorHAnsi" w:cstheme="minorHAnsi"/>
          <w:sz w:val="22"/>
          <w:szCs w:val="22"/>
          <w:lang w:val="en-US"/>
        </w:rPr>
        <w:t xml:space="preserve">, J, &amp; </w:t>
      </w:r>
      <w:proofErr w:type="spellStart"/>
      <w:r w:rsidRPr="0070400F">
        <w:rPr>
          <w:rFonts w:asciiTheme="minorHAnsi" w:eastAsiaTheme="minorHAnsi" w:hAnsiTheme="minorHAnsi" w:cstheme="minorHAnsi"/>
          <w:sz w:val="22"/>
          <w:szCs w:val="22"/>
          <w:lang w:val="en-US"/>
        </w:rPr>
        <w:t>Eshuis</w:t>
      </w:r>
      <w:proofErr w:type="spellEnd"/>
      <w:r w:rsidRPr="0070400F">
        <w:rPr>
          <w:rFonts w:asciiTheme="minorHAnsi" w:eastAsiaTheme="minorHAnsi" w:hAnsiTheme="minorHAnsi" w:cstheme="minorHAnsi"/>
          <w:sz w:val="22"/>
          <w:szCs w:val="22"/>
          <w:lang w:val="en-US"/>
        </w:rPr>
        <w:t>, J. (2012). The Interplay Between Trust and Control in Governance Processes: A Conceptual and Empirical Investigation. Administration &amp; Society, 44(6), 647–674</w:t>
      </w:r>
    </w:p>
    <w:p w14:paraId="703FCC27"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proofErr w:type="spellStart"/>
      <w:r w:rsidRPr="0070400F">
        <w:rPr>
          <w:rFonts w:asciiTheme="minorHAnsi" w:eastAsiaTheme="minorHAnsi" w:hAnsiTheme="minorHAnsi" w:cstheme="minorHAnsi"/>
          <w:sz w:val="22"/>
          <w:szCs w:val="22"/>
          <w:lang w:val="en-US"/>
        </w:rPr>
        <w:t>Edelenbos</w:t>
      </w:r>
      <w:proofErr w:type="spellEnd"/>
      <w:r w:rsidRPr="0070400F">
        <w:rPr>
          <w:rFonts w:asciiTheme="minorHAnsi" w:eastAsiaTheme="minorHAnsi" w:hAnsiTheme="minorHAnsi" w:cstheme="minorHAnsi"/>
          <w:sz w:val="22"/>
          <w:szCs w:val="22"/>
          <w:lang w:val="en-US"/>
        </w:rPr>
        <w:t xml:space="preserve">, J. &amp; </w:t>
      </w:r>
      <w:proofErr w:type="spellStart"/>
      <w:r w:rsidRPr="0070400F">
        <w:rPr>
          <w:rFonts w:asciiTheme="minorHAnsi" w:eastAsiaTheme="minorHAnsi" w:hAnsiTheme="minorHAnsi" w:cstheme="minorHAnsi"/>
          <w:sz w:val="22"/>
          <w:szCs w:val="22"/>
          <w:lang w:val="en-US"/>
        </w:rPr>
        <w:t>Klijn</w:t>
      </w:r>
      <w:proofErr w:type="spellEnd"/>
      <w:r w:rsidRPr="0070400F">
        <w:rPr>
          <w:rFonts w:asciiTheme="minorHAnsi" w:eastAsiaTheme="minorHAnsi" w:hAnsiTheme="minorHAnsi" w:cstheme="minorHAnsi"/>
          <w:sz w:val="22"/>
          <w:szCs w:val="22"/>
          <w:lang w:val="en-US"/>
        </w:rPr>
        <w:t>, J.H. (2006), Managing stakeholder involvement in decision making: a comparative analysis of six interactive processes in The Netherlands, Journal of Public Administration Research and Theory vol 16, number 3: 417-446</w:t>
      </w:r>
    </w:p>
    <w:p w14:paraId="5A87F0D9"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lang w:val="en-US"/>
        </w:rPr>
        <w:t>Eisenhardt, K., (1989), “Agency theory: an assessment and review”, The academy of management review, Vol. 14, No. 1, pp. 57-74</w:t>
      </w:r>
    </w:p>
    <w:p w14:paraId="2C2F9843"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r w:rsidRPr="0070400F">
        <w:rPr>
          <w:rFonts w:asciiTheme="minorHAnsi" w:eastAsiaTheme="minorHAnsi" w:hAnsiTheme="minorHAnsi" w:cstheme="minorHAnsi"/>
          <w:sz w:val="22"/>
          <w:szCs w:val="22"/>
        </w:rPr>
        <w:t xml:space="preserve">Elk, van, R., Lanser, D., &amp; Van Veldhuizen, S. (2011). Onderwijsbeleid in Nederland De kwantificering van effecten (Centraal Plan Bureau). Geraadpleegd van </w:t>
      </w:r>
      <w:hyperlink r:id="rId58" w:history="1">
        <w:r w:rsidRPr="0070400F">
          <w:rPr>
            <w:rFonts w:asciiTheme="minorHAnsi" w:eastAsiaTheme="minorHAnsi" w:hAnsiTheme="minorHAnsi" w:cstheme="minorHAnsi"/>
            <w:color w:val="0000FF"/>
            <w:sz w:val="22"/>
            <w:szCs w:val="22"/>
            <w:u w:val="single"/>
          </w:rPr>
          <w:t>https://www.cpb.nl/sites/default/files/publicaties/download/achtergronddocument-onderwijs-nederland.pdf</w:t>
        </w:r>
      </w:hyperlink>
    </w:p>
    <w:p w14:paraId="38F11D9A"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proofErr w:type="spellStart"/>
      <w:r w:rsidRPr="0070400F">
        <w:rPr>
          <w:rFonts w:asciiTheme="minorHAnsi" w:eastAsiaTheme="minorHAnsi" w:hAnsiTheme="minorHAnsi" w:cstheme="minorHAnsi"/>
          <w:sz w:val="22"/>
          <w:szCs w:val="22"/>
          <w:lang w:val="en-US"/>
        </w:rPr>
        <w:t>Ellram</w:t>
      </w:r>
      <w:proofErr w:type="spellEnd"/>
      <w:r w:rsidRPr="0070400F">
        <w:rPr>
          <w:rFonts w:asciiTheme="minorHAnsi" w:eastAsiaTheme="minorHAnsi" w:hAnsiTheme="minorHAnsi" w:cstheme="minorHAnsi"/>
          <w:sz w:val="22"/>
          <w:szCs w:val="22"/>
          <w:lang w:val="en-US"/>
        </w:rPr>
        <w:t>, L. M. (1995). Total cost of ownership: An analysis approach for purchasing. International Journal of Physical Distribution &amp; Logistics Management, 4-23.</w:t>
      </w:r>
    </w:p>
    <w:p w14:paraId="15097FEE" w14:textId="083C30F8"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proofErr w:type="spellStart"/>
      <w:r w:rsidRPr="0070400F">
        <w:rPr>
          <w:rFonts w:asciiTheme="minorHAnsi" w:eastAsiaTheme="minorHAnsi" w:hAnsiTheme="minorHAnsi" w:cstheme="minorHAnsi"/>
          <w:sz w:val="22"/>
          <w:szCs w:val="22"/>
          <w:lang w:val="en-US"/>
        </w:rPr>
        <w:t>Ellram</w:t>
      </w:r>
      <w:proofErr w:type="spellEnd"/>
      <w:r w:rsidRPr="0070400F">
        <w:rPr>
          <w:rFonts w:asciiTheme="minorHAnsi" w:eastAsiaTheme="minorHAnsi" w:hAnsiTheme="minorHAnsi" w:cstheme="minorHAnsi"/>
          <w:sz w:val="22"/>
          <w:szCs w:val="22"/>
          <w:lang w:val="en-US"/>
        </w:rPr>
        <w:t>, L.M.,</w:t>
      </w:r>
      <w:r w:rsidR="00BF3F2F">
        <w:rPr>
          <w:rFonts w:asciiTheme="minorHAnsi" w:eastAsiaTheme="minorHAnsi" w:hAnsiTheme="minorHAnsi" w:cstheme="minorHAnsi"/>
          <w:sz w:val="22"/>
          <w:szCs w:val="22"/>
          <w:lang w:val="en-US"/>
        </w:rPr>
        <w:t xml:space="preserve"> &amp;</w:t>
      </w:r>
      <w:r w:rsidRPr="0070400F">
        <w:rPr>
          <w:rFonts w:asciiTheme="minorHAnsi" w:eastAsiaTheme="minorHAnsi" w:hAnsiTheme="minorHAnsi" w:cstheme="minorHAnsi"/>
          <w:sz w:val="22"/>
          <w:szCs w:val="22"/>
          <w:lang w:val="en-US"/>
        </w:rPr>
        <w:t xml:space="preserve"> </w:t>
      </w:r>
      <w:proofErr w:type="spellStart"/>
      <w:r w:rsidRPr="0070400F">
        <w:rPr>
          <w:rFonts w:asciiTheme="minorHAnsi" w:eastAsiaTheme="minorHAnsi" w:hAnsiTheme="minorHAnsi" w:cstheme="minorHAnsi"/>
          <w:sz w:val="22"/>
          <w:szCs w:val="22"/>
          <w:lang w:val="en-US"/>
        </w:rPr>
        <w:t>Carr</w:t>
      </w:r>
      <w:proofErr w:type="spellEnd"/>
      <w:r w:rsidRPr="0070400F">
        <w:rPr>
          <w:rFonts w:asciiTheme="minorHAnsi" w:eastAsiaTheme="minorHAnsi" w:hAnsiTheme="minorHAnsi" w:cstheme="minorHAnsi"/>
          <w:sz w:val="22"/>
          <w:szCs w:val="22"/>
          <w:lang w:val="en-US"/>
        </w:rPr>
        <w:t xml:space="preserve">, A.S., (1994). Strategic purchasing: a history and review of the literature. J. Purch. Mater. </w:t>
      </w:r>
      <w:proofErr w:type="spellStart"/>
      <w:r w:rsidRPr="0070400F">
        <w:rPr>
          <w:rFonts w:asciiTheme="minorHAnsi" w:eastAsiaTheme="minorHAnsi" w:hAnsiTheme="minorHAnsi" w:cstheme="minorHAnsi"/>
          <w:sz w:val="22"/>
          <w:szCs w:val="22"/>
          <w:lang w:val="en-US"/>
        </w:rPr>
        <w:t>Manag</w:t>
      </w:r>
      <w:proofErr w:type="spellEnd"/>
      <w:r w:rsidRPr="0070400F">
        <w:rPr>
          <w:rFonts w:asciiTheme="minorHAnsi" w:eastAsiaTheme="minorHAnsi" w:hAnsiTheme="minorHAnsi" w:cstheme="minorHAnsi"/>
          <w:sz w:val="22"/>
          <w:szCs w:val="22"/>
          <w:lang w:val="en-US"/>
        </w:rPr>
        <w:t>. 30, 10–18.</w:t>
      </w:r>
    </w:p>
    <w:p w14:paraId="287D7EEA"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proofErr w:type="spellStart"/>
      <w:r w:rsidRPr="0070400F">
        <w:rPr>
          <w:rFonts w:asciiTheme="minorHAnsi" w:eastAsiaTheme="minorHAnsi" w:hAnsiTheme="minorHAnsi" w:cstheme="minorHAnsi"/>
          <w:sz w:val="22"/>
          <w:szCs w:val="22"/>
          <w:lang w:val="en-US"/>
        </w:rPr>
        <w:t>Erridge</w:t>
      </w:r>
      <w:proofErr w:type="spellEnd"/>
      <w:r w:rsidRPr="0070400F">
        <w:rPr>
          <w:rFonts w:asciiTheme="minorHAnsi" w:eastAsiaTheme="minorHAnsi" w:hAnsiTheme="minorHAnsi" w:cstheme="minorHAnsi"/>
          <w:sz w:val="22"/>
          <w:szCs w:val="22"/>
          <w:lang w:val="en-US"/>
        </w:rPr>
        <w:t xml:space="preserve">, A. (2007), Public procurement, public value and the Northern Ireland unemployment pilot project. Public Administration, 85: 1023-1043. </w:t>
      </w:r>
      <w:proofErr w:type="spellStart"/>
      <w:r w:rsidRPr="0070400F">
        <w:rPr>
          <w:rFonts w:asciiTheme="minorHAnsi" w:eastAsiaTheme="minorHAnsi" w:hAnsiTheme="minorHAnsi" w:cstheme="minorHAnsi"/>
          <w:sz w:val="22"/>
          <w:szCs w:val="22"/>
          <w:lang w:val="en-US"/>
        </w:rPr>
        <w:t>Geraadpleegd</w:t>
      </w:r>
      <w:proofErr w:type="spellEnd"/>
      <w:r w:rsidRPr="0070400F">
        <w:rPr>
          <w:rFonts w:asciiTheme="minorHAnsi" w:eastAsiaTheme="minorHAnsi" w:hAnsiTheme="minorHAnsi" w:cstheme="minorHAnsi"/>
          <w:sz w:val="22"/>
          <w:szCs w:val="22"/>
          <w:lang w:val="en-US"/>
        </w:rPr>
        <w:t xml:space="preserve"> van </w:t>
      </w:r>
      <w:hyperlink r:id="rId59" w:history="1">
        <w:r w:rsidRPr="0070400F">
          <w:rPr>
            <w:rFonts w:asciiTheme="minorHAnsi" w:eastAsiaTheme="minorHAnsi" w:hAnsiTheme="minorHAnsi" w:cstheme="minorHAnsi"/>
            <w:color w:val="005274"/>
            <w:sz w:val="22"/>
            <w:szCs w:val="22"/>
            <w:u w:val="single"/>
            <w:shd w:val="clear" w:color="auto" w:fill="FFFFFF"/>
            <w:lang w:val="en-US"/>
          </w:rPr>
          <w:t>10.1111/j.1467-9299.</w:t>
        </w:r>
        <w:proofErr w:type="gramStart"/>
        <w:r w:rsidRPr="0070400F">
          <w:rPr>
            <w:rFonts w:asciiTheme="minorHAnsi" w:eastAsiaTheme="minorHAnsi" w:hAnsiTheme="minorHAnsi" w:cstheme="minorHAnsi"/>
            <w:color w:val="005274"/>
            <w:sz w:val="22"/>
            <w:szCs w:val="22"/>
            <w:u w:val="single"/>
            <w:shd w:val="clear" w:color="auto" w:fill="FFFFFF"/>
            <w:lang w:val="en-US"/>
          </w:rPr>
          <w:t>2007.00674.x</w:t>
        </w:r>
        <w:proofErr w:type="gramEnd"/>
      </w:hyperlink>
    </w:p>
    <w:p w14:paraId="717AAC59"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lang w:val="en-US"/>
        </w:rPr>
        <w:t>Essig, M., &amp; Amann, M. (2009). Supplier satisfaction: Conceptual basics and explorative findings. Journal of Purchasing and Supply Management, 103-113</w:t>
      </w:r>
    </w:p>
    <w:p w14:paraId="0A32CE44"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r w:rsidRPr="0070400F">
        <w:rPr>
          <w:rFonts w:asciiTheme="minorHAnsi" w:eastAsiaTheme="minorHAnsi" w:hAnsiTheme="minorHAnsi" w:cstheme="minorHAnsi"/>
          <w:sz w:val="22"/>
          <w:szCs w:val="22"/>
        </w:rPr>
        <w:t xml:space="preserve">Eversdijk, A. &amp; Korsten, A.F.A., (2015) 'Motieven en overwegingen achter publiek-private samenwerking', Beleidsonderzoek Online februari 2015, Geraadpleegd van: </w:t>
      </w:r>
      <w:hyperlink r:id="rId60" w:history="1">
        <w:r w:rsidRPr="0070400F">
          <w:rPr>
            <w:rFonts w:asciiTheme="minorHAnsi" w:eastAsiaTheme="minorHAnsi" w:hAnsiTheme="minorHAnsi" w:cstheme="minorHAnsi"/>
            <w:color w:val="0000FF"/>
            <w:sz w:val="22"/>
            <w:szCs w:val="22"/>
            <w:u w:val="single"/>
          </w:rPr>
          <w:t>https://tijdschriften.boombestuurskunde.nl/tijdschrift/bso/2015/2/Beleidsonderzoek-2015-15.pdf</w:t>
        </w:r>
      </w:hyperlink>
    </w:p>
    <w:p w14:paraId="5A1FCAF6"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proofErr w:type="spellStart"/>
      <w:r w:rsidRPr="0070400F">
        <w:rPr>
          <w:rFonts w:asciiTheme="minorHAnsi" w:eastAsiaTheme="minorHAnsi" w:hAnsiTheme="minorHAnsi" w:cstheme="minorHAnsi"/>
          <w:sz w:val="22"/>
          <w:szCs w:val="22"/>
          <w:lang w:val="en-US"/>
        </w:rPr>
        <w:t>Evetts</w:t>
      </w:r>
      <w:proofErr w:type="spellEnd"/>
      <w:r w:rsidRPr="0070400F">
        <w:rPr>
          <w:rFonts w:asciiTheme="minorHAnsi" w:eastAsiaTheme="minorHAnsi" w:hAnsiTheme="minorHAnsi" w:cstheme="minorHAnsi"/>
          <w:sz w:val="22"/>
          <w:szCs w:val="22"/>
          <w:lang w:val="en-US"/>
        </w:rPr>
        <w:t>, J. (2011) ‘A New Professionalism? Challenges and Opportunities’, Current Sociology, 59: 406–22</w:t>
      </w:r>
    </w:p>
    <w:p w14:paraId="51205880"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r w:rsidRPr="0070400F">
        <w:rPr>
          <w:rFonts w:asciiTheme="minorHAnsi" w:eastAsiaTheme="minorHAnsi" w:hAnsiTheme="minorHAnsi" w:cstheme="minorHAnsi"/>
          <w:sz w:val="22"/>
          <w:szCs w:val="22"/>
          <w:lang w:val="en-US"/>
        </w:rPr>
        <w:t xml:space="preserve">Fisher, M. M. (1997). The Voice of Experience: </w:t>
      </w:r>
      <w:proofErr w:type="spellStart"/>
      <w:r w:rsidRPr="0070400F">
        <w:rPr>
          <w:rFonts w:asciiTheme="minorHAnsi" w:eastAsiaTheme="minorHAnsi" w:hAnsiTheme="minorHAnsi" w:cstheme="minorHAnsi"/>
          <w:sz w:val="22"/>
          <w:szCs w:val="22"/>
          <w:lang w:val="en-US"/>
        </w:rPr>
        <w:t>Inservice</w:t>
      </w:r>
      <w:proofErr w:type="spellEnd"/>
      <w:r w:rsidRPr="0070400F">
        <w:rPr>
          <w:rFonts w:asciiTheme="minorHAnsi" w:eastAsiaTheme="minorHAnsi" w:hAnsiTheme="minorHAnsi" w:cstheme="minorHAnsi"/>
          <w:sz w:val="22"/>
          <w:szCs w:val="22"/>
          <w:lang w:val="en-US"/>
        </w:rPr>
        <w:t xml:space="preserve"> Teacher Technology Competency Recommendations for Preservice Teacher Preparation Programs. </w:t>
      </w:r>
      <w:r w:rsidRPr="0070400F">
        <w:rPr>
          <w:rFonts w:asciiTheme="minorHAnsi" w:eastAsiaTheme="minorHAnsi" w:hAnsiTheme="minorHAnsi" w:cstheme="minorHAnsi"/>
          <w:sz w:val="22"/>
          <w:szCs w:val="22"/>
        </w:rPr>
        <w:t xml:space="preserve">Journal of Technology </w:t>
      </w:r>
      <w:proofErr w:type="spellStart"/>
      <w:r w:rsidRPr="0070400F">
        <w:rPr>
          <w:rFonts w:asciiTheme="minorHAnsi" w:eastAsiaTheme="minorHAnsi" w:hAnsiTheme="minorHAnsi" w:cstheme="minorHAnsi"/>
          <w:sz w:val="22"/>
          <w:szCs w:val="22"/>
        </w:rPr>
        <w:t>and</w:t>
      </w:r>
      <w:proofErr w:type="spellEnd"/>
      <w:r w:rsidRPr="0070400F">
        <w:rPr>
          <w:rFonts w:asciiTheme="minorHAnsi" w:eastAsiaTheme="minorHAnsi" w:hAnsiTheme="minorHAnsi" w:cstheme="minorHAnsi"/>
          <w:sz w:val="22"/>
          <w:szCs w:val="22"/>
        </w:rPr>
        <w:t xml:space="preserve"> Teacher </w:t>
      </w:r>
      <w:proofErr w:type="spellStart"/>
      <w:r w:rsidRPr="0070400F">
        <w:rPr>
          <w:rFonts w:asciiTheme="minorHAnsi" w:eastAsiaTheme="minorHAnsi" w:hAnsiTheme="minorHAnsi" w:cstheme="minorHAnsi"/>
          <w:sz w:val="22"/>
          <w:szCs w:val="22"/>
        </w:rPr>
        <w:t>Education</w:t>
      </w:r>
      <w:proofErr w:type="spellEnd"/>
      <w:r w:rsidRPr="0070400F">
        <w:rPr>
          <w:rFonts w:asciiTheme="minorHAnsi" w:eastAsiaTheme="minorHAnsi" w:hAnsiTheme="minorHAnsi" w:cstheme="minorHAnsi"/>
          <w:sz w:val="22"/>
          <w:szCs w:val="22"/>
        </w:rPr>
        <w:t>, 5(2-3), 139-147.</w:t>
      </w:r>
    </w:p>
    <w:p w14:paraId="60EFFBEB"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proofErr w:type="spellStart"/>
      <w:r w:rsidRPr="0070400F">
        <w:rPr>
          <w:rFonts w:asciiTheme="minorHAnsi" w:eastAsiaTheme="minorHAnsi" w:hAnsiTheme="minorHAnsi" w:cstheme="minorHAnsi"/>
          <w:sz w:val="22"/>
          <w:szCs w:val="22"/>
          <w:lang w:val="en-US"/>
        </w:rPr>
        <w:t>Foerstl</w:t>
      </w:r>
      <w:proofErr w:type="spellEnd"/>
      <w:r w:rsidRPr="0070400F">
        <w:rPr>
          <w:rFonts w:asciiTheme="minorHAnsi" w:eastAsiaTheme="minorHAnsi" w:hAnsiTheme="minorHAnsi" w:cstheme="minorHAnsi"/>
          <w:sz w:val="22"/>
          <w:szCs w:val="22"/>
          <w:lang w:val="en-US"/>
        </w:rPr>
        <w:t xml:space="preserve">, K.D., Hartmann, E., </w:t>
      </w:r>
      <w:proofErr w:type="spellStart"/>
      <w:r w:rsidRPr="0070400F">
        <w:rPr>
          <w:rFonts w:asciiTheme="minorHAnsi" w:eastAsiaTheme="minorHAnsi" w:hAnsiTheme="minorHAnsi" w:cstheme="minorHAnsi"/>
          <w:sz w:val="22"/>
          <w:szCs w:val="22"/>
          <w:lang w:val="en-US"/>
        </w:rPr>
        <w:t>Wynstra</w:t>
      </w:r>
      <w:proofErr w:type="spellEnd"/>
      <w:r w:rsidRPr="0070400F">
        <w:rPr>
          <w:rFonts w:asciiTheme="minorHAnsi" w:eastAsiaTheme="minorHAnsi" w:hAnsiTheme="minorHAnsi" w:cstheme="minorHAnsi"/>
          <w:sz w:val="22"/>
          <w:szCs w:val="22"/>
          <w:lang w:val="en-US"/>
        </w:rPr>
        <w:t xml:space="preserve">, F., &amp; Moser, R., (2013). Cross-functional integration and functional coordination in purchasing and supply management: antecedents and effects on purchasing and </w:t>
      </w:r>
      <w:r w:rsidRPr="0070400F">
        <w:rPr>
          <w:rFonts w:asciiTheme="minorHAnsi" w:eastAsiaTheme="minorHAnsi" w:hAnsiTheme="minorHAnsi" w:cstheme="minorHAnsi"/>
          <w:sz w:val="22"/>
          <w:szCs w:val="22"/>
        </w:rPr>
        <w:t>ﬁ</w:t>
      </w:r>
      <w:r w:rsidRPr="0070400F">
        <w:rPr>
          <w:rFonts w:asciiTheme="minorHAnsi" w:eastAsiaTheme="minorHAnsi" w:hAnsiTheme="minorHAnsi" w:cstheme="minorHAnsi"/>
          <w:sz w:val="22"/>
          <w:szCs w:val="22"/>
          <w:lang w:val="en-US"/>
        </w:rPr>
        <w:t xml:space="preserve">rm performance. </w:t>
      </w:r>
      <w:r w:rsidRPr="0070400F">
        <w:rPr>
          <w:rFonts w:asciiTheme="minorHAnsi" w:eastAsiaTheme="minorHAnsi" w:hAnsiTheme="minorHAnsi" w:cstheme="minorHAnsi"/>
          <w:sz w:val="22"/>
          <w:szCs w:val="22"/>
        </w:rPr>
        <w:t xml:space="preserve">Int. J. </w:t>
      </w:r>
      <w:proofErr w:type="spellStart"/>
      <w:r w:rsidRPr="0070400F">
        <w:rPr>
          <w:rFonts w:asciiTheme="minorHAnsi" w:eastAsiaTheme="minorHAnsi" w:hAnsiTheme="minorHAnsi" w:cstheme="minorHAnsi"/>
          <w:sz w:val="22"/>
          <w:szCs w:val="22"/>
        </w:rPr>
        <w:t>Oper</w:t>
      </w:r>
      <w:proofErr w:type="spellEnd"/>
      <w:r w:rsidRPr="0070400F">
        <w:rPr>
          <w:rFonts w:asciiTheme="minorHAnsi" w:eastAsiaTheme="minorHAnsi" w:hAnsiTheme="minorHAnsi" w:cstheme="minorHAnsi"/>
          <w:sz w:val="22"/>
          <w:szCs w:val="22"/>
        </w:rPr>
        <w:t xml:space="preserve">. </w:t>
      </w:r>
      <w:proofErr w:type="spellStart"/>
      <w:r w:rsidRPr="0070400F">
        <w:rPr>
          <w:rFonts w:asciiTheme="minorHAnsi" w:eastAsiaTheme="minorHAnsi" w:hAnsiTheme="minorHAnsi" w:cstheme="minorHAnsi"/>
          <w:sz w:val="22"/>
          <w:szCs w:val="22"/>
        </w:rPr>
        <w:t>Prod</w:t>
      </w:r>
      <w:proofErr w:type="spellEnd"/>
      <w:r w:rsidRPr="0070400F">
        <w:rPr>
          <w:rFonts w:asciiTheme="minorHAnsi" w:eastAsiaTheme="minorHAnsi" w:hAnsiTheme="minorHAnsi" w:cstheme="minorHAnsi"/>
          <w:sz w:val="22"/>
          <w:szCs w:val="22"/>
        </w:rPr>
        <w:t xml:space="preserve">. </w:t>
      </w:r>
      <w:proofErr w:type="spellStart"/>
      <w:r w:rsidRPr="0070400F">
        <w:rPr>
          <w:rFonts w:asciiTheme="minorHAnsi" w:eastAsiaTheme="minorHAnsi" w:hAnsiTheme="minorHAnsi" w:cstheme="minorHAnsi"/>
          <w:sz w:val="22"/>
          <w:szCs w:val="22"/>
        </w:rPr>
        <w:t>Manag</w:t>
      </w:r>
      <w:proofErr w:type="spellEnd"/>
      <w:r w:rsidRPr="0070400F">
        <w:rPr>
          <w:rFonts w:asciiTheme="minorHAnsi" w:eastAsiaTheme="minorHAnsi" w:hAnsiTheme="minorHAnsi" w:cstheme="minorHAnsi"/>
          <w:sz w:val="22"/>
          <w:szCs w:val="22"/>
        </w:rPr>
        <w:t>. 33, 689–721.</w:t>
      </w:r>
    </w:p>
    <w:p w14:paraId="71A042E8"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proofErr w:type="spellStart"/>
      <w:r w:rsidRPr="0070400F">
        <w:rPr>
          <w:rFonts w:asciiTheme="minorHAnsi" w:eastAsiaTheme="minorHAnsi" w:hAnsiTheme="minorHAnsi" w:cstheme="minorHAnsi"/>
          <w:sz w:val="22"/>
          <w:szCs w:val="22"/>
        </w:rPr>
        <w:t>Fortuijn</w:t>
      </w:r>
      <w:proofErr w:type="spellEnd"/>
      <w:r w:rsidRPr="0070400F">
        <w:rPr>
          <w:rFonts w:asciiTheme="minorHAnsi" w:eastAsiaTheme="minorHAnsi" w:hAnsiTheme="minorHAnsi" w:cstheme="minorHAnsi"/>
          <w:sz w:val="22"/>
          <w:szCs w:val="22"/>
        </w:rPr>
        <w:t xml:space="preserve">, E. D. (2003). Onderwijsbeleid. Maatschappelijke functie en strategische keuze. Amsterdam, Nederland: </w:t>
      </w:r>
      <w:proofErr w:type="spellStart"/>
      <w:r w:rsidRPr="0070400F">
        <w:rPr>
          <w:rFonts w:asciiTheme="minorHAnsi" w:eastAsiaTheme="minorHAnsi" w:hAnsiTheme="minorHAnsi" w:cstheme="minorHAnsi"/>
          <w:sz w:val="22"/>
          <w:szCs w:val="22"/>
        </w:rPr>
        <w:t>Aksant</w:t>
      </w:r>
      <w:proofErr w:type="spellEnd"/>
      <w:r w:rsidRPr="0070400F">
        <w:rPr>
          <w:rFonts w:asciiTheme="minorHAnsi" w:eastAsiaTheme="minorHAnsi" w:hAnsiTheme="minorHAnsi" w:cstheme="minorHAnsi"/>
          <w:sz w:val="22"/>
          <w:szCs w:val="22"/>
        </w:rPr>
        <w:t>.</w:t>
      </w:r>
    </w:p>
    <w:p w14:paraId="2C33A4A3"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proofErr w:type="spellStart"/>
      <w:r w:rsidRPr="0070400F">
        <w:rPr>
          <w:rFonts w:asciiTheme="minorHAnsi" w:eastAsiaTheme="minorHAnsi" w:hAnsiTheme="minorHAnsi" w:cstheme="minorHAnsi"/>
          <w:sz w:val="22"/>
          <w:szCs w:val="22"/>
        </w:rPr>
        <w:t>Gadde</w:t>
      </w:r>
      <w:proofErr w:type="spellEnd"/>
      <w:r w:rsidRPr="0070400F">
        <w:rPr>
          <w:rFonts w:asciiTheme="minorHAnsi" w:eastAsiaTheme="minorHAnsi" w:hAnsiTheme="minorHAnsi" w:cstheme="minorHAnsi"/>
          <w:sz w:val="22"/>
          <w:szCs w:val="22"/>
        </w:rPr>
        <w:t xml:space="preserve">, L. E., &amp; </w:t>
      </w:r>
      <w:proofErr w:type="spellStart"/>
      <w:r w:rsidRPr="0070400F">
        <w:rPr>
          <w:rFonts w:asciiTheme="minorHAnsi" w:eastAsiaTheme="minorHAnsi" w:hAnsiTheme="minorHAnsi" w:cstheme="minorHAnsi"/>
          <w:sz w:val="22"/>
          <w:szCs w:val="22"/>
        </w:rPr>
        <w:t>Håkansson</w:t>
      </w:r>
      <w:proofErr w:type="spellEnd"/>
      <w:r w:rsidRPr="0070400F">
        <w:rPr>
          <w:rFonts w:asciiTheme="minorHAnsi" w:eastAsiaTheme="minorHAnsi" w:hAnsiTheme="minorHAnsi" w:cstheme="minorHAnsi"/>
          <w:sz w:val="22"/>
          <w:szCs w:val="22"/>
        </w:rPr>
        <w:t xml:space="preserve">, H. (1994). </w:t>
      </w:r>
      <w:r w:rsidRPr="0070400F">
        <w:rPr>
          <w:rFonts w:asciiTheme="minorHAnsi" w:eastAsiaTheme="minorHAnsi" w:hAnsiTheme="minorHAnsi" w:cstheme="minorHAnsi"/>
          <w:sz w:val="22"/>
          <w:szCs w:val="22"/>
          <w:lang w:val="en-US"/>
        </w:rPr>
        <w:t>The changing role of purchasing: reconsidering three strategic issues. European Journal of Purchasing &amp; Supply Management, 1(1), 27-35.</w:t>
      </w:r>
    </w:p>
    <w:p w14:paraId="543FB97C"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r w:rsidRPr="0070400F">
        <w:rPr>
          <w:rFonts w:asciiTheme="minorHAnsi" w:eastAsiaTheme="minorHAnsi" w:hAnsiTheme="minorHAnsi" w:cstheme="minorHAnsi"/>
          <w:sz w:val="22"/>
          <w:szCs w:val="22"/>
        </w:rPr>
        <w:lastRenderedPageBreak/>
        <w:t xml:space="preserve">Gelderman, C. J., &amp; </w:t>
      </w:r>
      <w:proofErr w:type="spellStart"/>
      <w:r w:rsidRPr="0070400F">
        <w:rPr>
          <w:rFonts w:asciiTheme="minorHAnsi" w:eastAsiaTheme="minorHAnsi" w:hAnsiTheme="minorHAnsi" w:cstheme="minorHAnsi"/>
          <w:sz w:val="22"/>
          <w:szCs w:val="22"/>
        </w:rPr>
        <w:t>Albronda</w:t>
      </w:r>
      <w:proofErr w:type="spellEnd"/>
      <w:r w:rsidRPr="0070400F">
        <w:rPr>
          <w:rFonts w:asciiTheme="minorHAnsi" w:eastAsiaTheme="minorHAnsi" w:hAnsiTheme="minorHAnsi" w:cstheme="minorHAnsi"/>
          <w:sz w:val="22"/>
          <w:szCs w:val="22"/>
        </w:rPr>
        <w:t>, B. J. (2013). Professioneel inkopen (4e ed.). Houten, Nederland: Noordhoff Uitgevers Groningen.</w:t>
      </w:r>
    </w:p>
    <w:p w14:paraId="2BBBB3B3"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rPr>
        <w:t xml:space="preserve">Gelderman, C. J., &amp; Van Weele, A. J. (2003). </w:t>
      </w:r>
      <w:r w:rsidRPr="0070400F">
        <w:rPr>
          <w:rFonts w:asciiTheme="minorHAnsi" w:eastAsiaTheme="minorHAnsi" w:hAnsiTheme="minorHAnsi" w:cstheme="minorHAnsi"/>
          <w:sz w:val="22"/>
          <w:szCs w:val="22"/>
          <w:lang w:val="en-US"/>
        </w:rPr>
        <w:t xml:space="preserve">Handling measurement issues and strategic directions in </w:t>
      </w:r>
      <w:proofErr w:type="spellStart"/>
      <w:r w:rsidRPr="0070400F">
        <w:rPr>
          <w:rFonts w:asciiTheme="minorHAnsi" w:eastAsiaTheme="minorHAnsi" w:hAnsiTheme="minorHAnsi" w:cstheme="minorHAnsi"/>
          <w:sz w:val="22"/>
          <w:szCs w:val="22"/>
          <w:lang w:val="en-US"/>
        </w:rPr>
        <w:t>Kraljic’s</w:t>
      </w:r>
      <w:proofErr w:type="spellEnd"/>
      <w:r w:rsidRPr="0070400F">
        <w:rPr>
          <w:rFonts w:asciiTheme="minorHAnsi" w:eastAsiaTheme="minorHAnsi" w:hAnsiTheme="minorHAnsi" w:cstheme="minorHAnsi"/>
          <w:sz w:val="22"/>
          <w:szCs w:val="22"/>
          <w:lang w:val="en-US"/>
        </w:rPr>
        <w:t xml:space="preserve"> purchasing portfolio model. Journal of Purchasing &amp; Supply Management, 207-216.</w:t>
      </w:r>
    </w:p>
    <w:p w14:paraId="5AE991D9"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r w:rsidRPr="0070400F">
        <w:rPr>
          <w:rFonts w:asciiTheme="minorHAnsi" w:eastAsiaTheme="minorHAnsi" w:hAnsiTheme="minorHAnsi" w:cstheme="minorHAnsi"/>
          <w:sz w:val="22"/>
          <w:szCs w:val="22"/>
        </w:rPr>
        <w:t xml:space="preserve">Gelderman, C. J., </w:t>
      </w:r>
      <w:proofErr w:type="spellStart"/>
      <w:r w:rsidRPr="0070400F">
        <w:rPr>
          <w:rFonts w:asciiTheme="minorHAnsi" w:eastAsiaTheme="minorHAnsi" w:hAnsiTheme="minorHAnsi" w:cstheme="minorHAnsi"/>
          <w:sz w:val="22"/>
          <w:szCs w:val="22"/>
        </w:rPr>
        <w:t>Semeijn</w:t>
      </w:r>
      <w:proofErr w:type="spellEnd"/>
      <w:r w:rsidRPr="0070400F">
        <w:rPr>
          <w:rFonts w:asciiTheme="minorHAnsi" w:eastAsiaTheme="minorHAnsi" w:hAnsiTheme="minorHAnsi" w:cstheme="minorHAnsi"/>
          <w:sz w:val="22"/>
          <w:szCs w:val="22"/>
        </w:rPr>
        <w:t xml:space="preserve">, J., &amp; de Bruijn, A. (2015). </w:t>
      </w:r>
      <w:r w:rsidRPr="0070400F">
        <w:rPr>
          <w:rFonts w:asciiTheme="minorHAnsi" w:eastAsiaTheme="minorHAnsi" w:hAnsiTheme="minorHAnsi" w:cstheme="minorHAnsi"/>
          <w:sz w:val="22"/>
          <w:szCs w:val="22"/>
          <w:lang w:val="en-US"/>
        </w:rPr>
        <w:t xml:space="preserve">Dynamics of service definitions—An explorative case study of the purchasing process of professional ICT-services. </w:t>
      </w:r>
      <w:r w:rsidRPr="0070400F">
        <w:rPr>
          <w:rFonts w:asciiTheme="minorHAnsi" w:eastAsiaTheme="minorHAnsi" w:hAnsiTheme="minorHAnsi" w:cstheme="minorHAnsi"/>
          <w:sz w:val="22"/>
          <w:szCs w:val="22"/>
        </w:rPr>
        <w:t xml:space="preserve">Journal of </w:t>
      </w:r>
      <w:proofErr w:type="spellStart"/>
      <w:r w:rsidRPr="0070400F">
        <w:rPr>
          <w:rFonts w:asciiTheme="minorHAnsi" w:eastAsiaTheme="minorHAnsi" w:hAnsiTheme="minorHAnsi" w:cstheme="minorHAnsi"/>
          <w:sz w:val="22"/>
          <w:szCs w:val="22"/>
        </w:rPr>
        <w:t>Purchasing</w:t>
      </w:r>
      <w:proofErr w:type="spellEnd"/>
      <w:r w:rsidRPr="0070400F">
        <w:rPr>
          <w:rFonts w:asciiTheme="minorHAnsi" w:eastAsiaTheme="minorHAnsi" w:hAnsiTheme="minorHAnsi" w:cstheme="minorHAnsi"/>
          <w:sz w:val="22"/>
          <w:szCs w:val="22"/>
        </w:rPr>
        <w:t xml:space="preserve"> </w:t>
      </w:r>
      <w:proofErr w:type="spellStart"/>
      <w:r w:rsidRPr="0070400F">
        <w:rPr>
          <w:rFonts w:asciiTheme="minorHAnsi" w:eastAsiaTheme="minorHAnsi" w:hAnsiTheme="minorHAnsi" w:cstheme="minorHAnsi"/>
          <w:sz w:val="22"/>
          <w:szCs w:val="22"/>
        </w:rPr>
        <w:t>and</w:t>
      </w:r>
      <w:proofErr w:type="spellEnd"/>
      <w:r w:rsidRPr="0070400F">
        <w:rPr>
          <w:rFonts w:asciiTheme="minorHAnsi" w:eastAsiaTheme="minorHAnsi" w:hAnsiTheme="minorHAnsi" w:cstheme="minorHAnsi"/>
          <w:sz w:val="22"/>
          <w:szCs w:val="22"/>
        </w:rPr>
        <w:t xml:space="preserve"> Supply Management, 21(3), 220-227.</w:t>
      </w:r>
    </w:p>
    <w:p w14:paraId="4D8D1809"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rPr>
        <w:t xml:space="preserve">Gelderman, C.J., &amp; van Weele, A.J., (2002). </w:t>
      </w:r>
      <w:r w:rsidRPr="0070400F">
        <w:rPr>
          <w:rFonts w:asciiTheme="minorHAnsi" w:eastAsiaTheme="minorHAnsi" w:hAnsiTheme="minorHAnsi" w:cstheme="minorHAnsi"/>
          <w:sz w:val="22"/>
          <w:szCs w:val="22"/>
          <w:lang w:val="en-US"/>
        </w:rPr>
        <w:t xml:space="preserve">Strategic direction through purchasing portfolio management: a case study. J. Supply Chain </w:t>
      </w:r>
      <w:proofErr w:type="spellStart"/>
      <w:r w:rsidRPr="0070400F">
        <w:rPr>
          <w:rFonts w:asciiTheme="minorHAnsi" w:eastAsiaTheme="minorHAnsi" w:hAnsiTheme="minorHAnsi" w:cstheme="minorHAnsi"/>
          <w:sz w:val="22"/>
          <w:szCs w:val="22"/>
          <w:lang w:val="en-US"/>
        </w:rPr>
        <w:t>Manag</w:t>
      </w:r>
      <w:proofErr w:type="spellEnd"/>
      <w:r w:rsidRPr="0070400F">
        <w:rPr>
          <w:rFonts w:asciiTheme="minorHAnsi" w:eastAsiaTheme="minorHAnsi" w:hAnsiTheme="minorHAnsi" w:cstheme="minorHAnsi"/>
          <w:sz w:val="22"/>
          <w:szCs w:val="22"/>
          <w:lang w:val="en-US"/>
        </w:rPr>
        <w:t>. 38, 30–37.</w:t>
      </w:r>
    </w:p>
    <w:p w14:paraId="38DFE1D1"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rPr>
        <w:t xml:space="preserve">Gemeente Bunnik. (2016, 30 juni). Inkoop- en aanbestedingsbeleid 2016-2020 Duurzaam &amp; Doelmatig. </w:t>
      </w:r>
      <w:proofErr w:type="spellStart"/>
      <w:r w:rsidRPr="0070400F">
        <w:rPr>
          <w:rFonts w:asciiTheme="minorHAnsi" w:eastAsiaTheme="minorHAnsi" w:hAnsiTheme="minorHAnsi" w:cstheme="minorHAnsi"/>
          <w:sz w:val="22"/>
          <w:szCs w:val="22"/>
          <w:lang w:val="en-US"/>
        </w:rPr>
        <w:t>Gemeenteblad</w:t>
      </w:r>
      <w:proofErr w:type="spellEnd"/>
      <w:r w:rsidRPr="0070400F">
        <w:rPr>
          <w:rFonts w:asciiTheme="minorHAnsi" w:eastAsiaTheme="minorHAnsi" w:hAnsiTheme="minorHAnsi" w:cstheme="minorHAnsi"/>
          <w:sz w:val="22"/>
          <w:szCs w:val="22"/>
          <w:lang w:val="en-US"/>
        </w:rPr>
        <w:t>, 2016(87305), p.1-9.</w:t>
      </w:r>
    </w:p>
    <w:p w14:paraId="5A00876A"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r w:rsidRPr="0070400F">
        <w:rPr>
          <w:rFonts w:asciiTheme="minorHAnsi" w:eastAsiaTheme="minorHAnsi" w:hAnsiTheme="minorHAnsi" w:cstheme="minorHAnsi"/>
          <w:sz w:val="22"/>
          <w:szCs w:val="22"/>
          <w:lang w:val="en-US"/>
        </w:rPr>
        <w:t xml:space="preserve">Gibbs, J. E. (1998). Effective relationships for supply–attributes and definitions. </w:t>
      </w:r>
      <w:r w:rsidRPr="0070400F">
        <w:rPr>
          <w:rFonts w:asciiTheme="minorHAnsi" w:eastAsiaTheme="minorHAnsi" w:hAnsiTheme="minorHAnsi" w:cstheme="minorHAnsi"/>
          <w:sz w:val="22"/>
          <w:szCs w:val="22"/>
        </w:rPr>
        <w:t xml:space="preserve">European Journal of </w:t>
      </w:r>
      <w:proofErr w:type="spellStart"/>
      <w:r w:rsidRPr="0070400F">
        <w:rPr>
          <w:rFonts w:asciiTheme="minorHAnsi" w:eastAsiaTheme="minorHAnsi" w:hAnsiTheme="minorHAnsi" w:cstheme="minorHAnsi"/>
          <w:sz w:val="22"/>
          <w:szCs w:val="22"/>
        </w:rPr>
        <w:t>Purchasing</w:t>
      </w:r>
      <w:proofErr w:type="spellEnd"/>
      <w:r w:rsidRPr="0070400F">
        <w:rPr>
          <w:rFonts w:asciiTheme="minorHAnsi" w:eastAsiaTheme="minorHAnsi" w:hAnsiTheme="minorHAnsi" w:cstheme="minorHAnsi"/>
          <w:sz w:val="22"/>
          <w:szCs w:val="22"/>
        </w:rPr>
        <w:t xml:space="preserve"> &amp; Supply Management, 4(1), 43-50. </w:t>
      </w:r>
    </w:p>
    <w:p w14:paraId="6157DA14"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proofErr w:type="spellStart"/>
      <w:r w:rsidRPr="0070400F">
        <w:rPr>
          <w:rFonts w:asciiTheme="minorHAnsi" w:eastAsiaTheme="minorHAnsi" w:hAnsiTheme="minorHAnsi" w:cstheme="minorHAnsi"/>
          <w:sz w:val="22"/>
          <w:szCs w:val="22"/>
          <w:lang w:val="en-US"/>
        </w:rPr>
        <w:t>Gilardi</w:t>
      </w:r>
      <w:proofErr w:type="spellEnd"/>
      <w:r w:rsidRPr="0070400F">
        <w:rPr>
          <w:rFonts w:asciiTheme="minorHAnsi" w:eastAsiaTheme="minorHAnsi" w:hAnsiTheme="minorHAnsi" w:cstheme="minorHAnsi"/>
          <w:sz w:val="22"/>
          <w:szCs w:val="22"/>
          <w:lang w:val="en-US"/>
        </w:rPr>
        <w:t xml:space="preserve"> F &amp; </w:t>
      </w:r>
      <w:proofErr w:type="spellStart"/>
      <w:r w:rsidRPr="0070400F">
        <w:rPr>
          <w:rFonts w:asciiTheme="minorHAnsi" w:eastAsiaTheme="minorHAnsi" w:hAnsiTheme="minorHAnsi" w:cstheme="minorHAnsi"/>
          <w:sz w:val="22"/>
          <w:szCs w:val="22"/>
          <w:lang w:val="en-US"/>
        </w:rPr>
        <w:t>Maggetti</w:t>
      </w:r>
      <w:proofErr w:type="spellEnd"/>
      <w:r w:rsidRPr="0070400F">
        <w:rPr>
          <w:rFonts w:asciiTheme="minorHAnsi" w:eastAsiaTheme="minorHAnsi" w:hAnsiTheme="minorHAnsi" w:cstheme="minorHAnsi"/>
          <w:sz w:val="22"/>
          <w:szCs w:val="22"/>
          <w:lang w:val="en-US"/>
        </w:rPr>
        <w:t xml:space="preserve"> M (2011) The independence of regulatory authorities. In: Levi-</w:t>
      </w:r>
      <w:proofErr w:type="spellStart"/>
      <w:r w:rsidRPr="0070400F">
        <w:rPr>
          <w:rFonts w:asciiTheme="minorHAnsi" w:eastAsiaTheme="minorHAnsi" w:hAnsiTheme="minorHAnsi" w:cstheme="minorHAnsi"/>
          <w:sz w:val="22"/>
          <w:szCs w:val="22"/>
          <w:lang w:val="en-US"/>
        </w:rPr>
        <w:t>Faur</w:t>
      </w:r>
      <w:proofErr w:type="spellEnd"/>
      <w:r w:rsidRPr="0070400F">
        <w:rPr>
          <w:rFonts w:asciiTheme="minorHAnsi" w:eastAsiaTheme="minorHAnsi" w:hAnsiTheme="minorHAnsi" w:cstheme="minorHAnsi"/>
          <w:sz w:val="22"/>
          <w:szCs w:val="22"/>
          <w:lang w:val="en-US"/>
        </w:rPr>
        <w:t xml:space="preserve"> D (ed.) Handbook on Regulation. Cheltenham: Edward Elgar, pp. 201–214.</w:t>
      </w:r>
    </w:p>
    <w:p w14:paraId="025612AD"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r w:rsidRPr="0070400F">
        <w:rPr>
          <w:rFonts w:asciiTheme="minorHAnsi" w:eastAsiaTheme="minorHAnsi" w:hAnsiTheme="minorHAnsi" w:cstheme="minorHAnsi"/>
          <w:sz w:val="22"/>
          <w:szCs w:val="22"/>
        </w:rPr>
        <w:t xml:space="preserve">Groen, M. (2015). Kan het onderwijs in Nederland efficiënter? Een technische internationale analyse (Centraal Bureau voor de Statistiek). Geraadpleegd van </w:t>
      </w:r>
      <w:hyperlink r:id="rId61" w:history="1">
        <w:r w:rsidRPr="0070400F">
          <w:rPr>
            <w:rFonts w:asciiTheme="minorHAnsi" w:eastAsiaTheme="minorHAnsi" w:hAnsiTheme="minorHAnsi" w:cstheme="minorHAnsi"/>
            <w:color w:val="0000FF"/>
            <w:sz w:val="22"/>
            <w:szCs w:val="22"/>
            <w:u w:val="single"/>
          </w:rPr>
          <w:t>https://www.cbs.nl/-/media/imported/documents/2015/05/kan-het-onderwijs-in-nederland-efficienter-2012-wp.pdf</w:t>
        </w:r>
      </w:hyperlink>
    </w:p>
    <w:p w14:paraId="3B172F6B"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r w:rsidRPr="0070400F">
        <w:rPr>
          <w:rFonts w:asciiTheme="minorHAnsi" w:eastAsiaTheme="minorHAnsi" w:hAnsiTheme="minorHAnsi" w:cstheme="minorHAnsi"/>
          <w:sz w:val="22"/>
          <w:szCs w:val="22"/>
        </w:rPr>
        <w:t xml:space="preserve">Hamel, E. (2011, 15 juni). De voor- en nadelen van ICT in het onderwijs. Digitaal Universiteitsblad (Utrecht). Geraadpleegd van </w:t>
      </w:r>
      <w:hyperlink r:id="rId62" w:history="1">
        <w:r w:rsidRPr="0070400F">
          <w:rPr>
            <w:rFonts w:asciiTheme="minorHAnsi" w:eastAsiaTheme="minorHAnsi" w:hAnsiTheme="minorHAnsi" w:cstheme="minorHAnsi"/>
            <w:color w:val="0000FF"/>
            <w:sz w:val="22"/>
            <w:szCs w:val="22"/>
            <w:u w:val="single"/>
          </w:rPr>
          <w:t>https://www.dub.uu.nl/nl/artikel/de-voor-en-nadelen-van-ict-het-onderwijs</w:t>
        </w:r>
      </w:hyperlink>
    </w:p>
    <w:p w14:paraId="0382FB09"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proofErr w:type="spellStart"/>
      <w:r w:rsidRPr="0070400F">
        <w:rPr>
          <w:rFonts w:asciiTheme="minorHAnsi" w:eastAsiaTheme="minorHAnsi" w:hAnsiTheme="minorHAnsi" w:cstheme="minorHAnsi"/>
          <w:sz w:val="22"/>
          <w:szCs w:val="22"/>
        </w:rPr>
        <w:t>Hartmann</w:t>
      </w:r>
      <w:proofErr w:type="spellEnd"/>
      <w:r w:rsidRPr="0070400F">
        <w:rPr>
          <w:rFonts w:asciiTheme="minorHAnsi" w:eastAsiaTheme="minorHAnsi" w:hAnsiTheme="minorHAnsi" w:cstheme="minorHAnsi"/>
          <w:sz w:val="22"/>
          <w:szCs w:val="22"/>
        </w:rPr>
        <w:t xml:space="preserve">, E., </w:t>
      </w:r>
      <w:proofErr w:type="spellStart"/>
      <w:r w:rsidRPr="0070400F">
        <w:rPr>
          <w:rFonts w:asciiTheme="minorHAnsi" w:eastAsiaTheme="minorHAnsi" w:hAnsiTheme="minorHAnsi" w:cstheme="minorHAnsi"/>
          <w:sz w:val="22"/>
          <w:szCs w:val="22"/>
        </w:rPr>
        <w:t>Kerkfeld</w:t>
      </w:r>
      <w:proofErr w:type="spellEnd"/>
      <w:r w:rsidRPr="0070400F">
        <w:rPr>
          <w:rFonts w:asciiTheme="minorHAnsi" w:eastAsiaTheme="minorHAnsi" w:hAnsiTheme="minorHAnsi" w:cstheme="minorHAnsi"/>
          <w:sz w:val="22"/>
          <w:szCs w:val="22"/>
        </w:rPr>
        <w:t xml:space="preserve">, D., &amp; Henke, M. (2012). </w:t>
      </w:r>
      <w:r w:rsidRPr="0070400F">
        <w:rPr>
          <w:rFonts w:asciiTheme="minorHAnsi" w:eastAsiaTheme="minorHAnsi" w:hAnsiTheme="minorHAnsi" w:cstheme="minorHAnsi"/>
          <w:sz w:val="22"/>
          <w:szCs w:val="22"/>
          <w:lang w:val="en-US"/>
        </w:rPr>
        <w:t>Top and bottom line relevance of purchasing and supply management. Journal of purchasing and supply management, 18(1), 22-34.</w:t>
      </w:r>
    </w:p>
    <w:p w14:paraId="40D2AD4E"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lang w:val="en-US"/>
        </w:rPr>
        <w:t xml:space="preserve">Homburg, C., &amp; </w:t>
      </w:r>
      <w:proofErr w:type="spellStart"/>
      <w:r w:rsidRPr="0070400F">
        <w:rPr>
          <w:rFonts w:asciiTheme="minorHAnsi" w:eastAsiaTheme="minorHAnsi" w:hAnsiTheme="minorHAnsi" w:cstheme="minorHAnsi"/>
          <w:sz w:val="22"/>
          <w:szCs w:val="22"/>
          <w:lang w:val="en-US"/>
        </w:rPr>
        <w:t>Giering</w:t>
      </w:r>
      <w:proofErr w:type="spellEnd"/>
      <w:r w:rsidRPr="0070400F">
        <w:rPr>
          <w:rFonts w:asciiTheme="minorHAnsi" w:eastAsiaTheme="minorHAnsi" w:hAnsiTheme="minorHAnsi" w:cstheme="minorHAnsi"/>
          <w:sz w:val="22"/>
          <w:szCs w:val="22"/>
          <w:lang w:val="en-US"/>
        </w:rPr>
        <w:t>, A. (2001). Personal characteristics as moderators of the relationship between customer satisfaction and loyalty — An empirical analysis. Psychology &amp; Marketing, 18(1), 43−66.</w:t>
      </w:r>
    </w:p>
    <w:p w14:paraId="6D4F72FB"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proofErr w:type="spellStart"/>
      <w:r w:rsidRPr="0070400F">
        <w:rPr>
          <w:rFonts w:asciiTheme="minorHAnsi" w:eastAsiaTheme="minorHAnsi" w:hAnsiTheme="minorHAnsi" w:cstheme="minorHAnsi"/>
          <w:sz w:val="22"/>
          <w:szCs w:val="22"/>
        </w:rPr>
        <w:t>Hordijk</w:t>
      </w:r>
      <w:proofErr w:type="spellEnd"/>
      <w:r w:rsidRPr="0070400F">
        <w:rPr>
          <w:rFonts w:asciiTheme="minorHAnsi" w:eastAsiaTheme="minorHAnsi" w:hAnsiTheme="minorHAnsi" w:cstheme="minorHAnsi"/>
          <w:sz w:val="22"/>
          <w:szCs w:val="22"/>
        </w:rPr>
        <w:t xml:space="preserve">, E. P., van der Bend, G. W., &amp; Van </w:t>
      </w:r>
      <w:proofErr w:type="spellStart"/>
      <w:r w:rsidRPr="0070400F">
        <w:rPr>
          <w:rFonts w:asciiTheme="minorHAnsi" w:eastAsiaTheme="minorHAnsi" w:hAnsiTheme="minorHAnsi" w:cstheme="minorHAnsi"/>
          <w:sz w:val="22"/>
          <w:szCs w:val="22"/>
        </w:rPr>
        <w:t>Nouhuys</w:t>
      </w:r>
      <w:proofErr w:type="spellEnd"/>
      <w:r w:rsidRPr="0070400F">
        <w:rPr>
          <w:rFonts w:asciiTheme="minorHAnsi" w:eastAsiaTheme="minorHAnsi" w:hAnsiTheme="minorHAnsi" w:cstheme="minorHAnsi"/>
          <w:sz w:val="22"/>
          <w:szCs w:val="22"/>
        </w:rPr>
        <w:t xml:space="preserve">, J. F. (2004). Aanbestedingsrecht: handboek van het Europese en het Nederlandse aanbestedingsrecht. </w:t>
      </w:r>
      <w:proofErr w:type="spellStart"/>
      <w:r w:rsidRPr="0070400F">
        <w:rPr>
          <w:rFonts w:asciiTheme="minorHAnsi" w:eastAsiaTheme="minorHAnsi" w:hAnsiTheme="minorHAnsi" w:cstheme="minorHAnsi"/>
          <w:sz w:val="22"/>
          <w:szCs w:val="22"/>
        </w:rPr>
        <w:t>Sdu</w:t>
      </w:r>
      <w:proofErr w:type="spellEnd"/>
      <w:r w:rsidRPr="0070400F">
        <w:rPr>
          <w:rFonts w:asciiTheme="minorHAnsi" w:eastAsiaTheme="minorHAnsi" w:hAnsiTheme="minorHAnsi" w:cstheme="minorHAnsi"/>
          <w:sz w:val="22"/>
          <w:szCs w:val="22"/>
        </w:rPr>
        <w:t xml:space="preserve"> Uitgevers.</w:t>
      </w:r>
    </w:p>
    <w:p w14:paraId="1BFB0BBC"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r w:rsidRPr="0070400F">
        <w:rPr>
          <w:rFonts w:asciiTheme="minorHAnsi" w:eastAsiaTheme="minorHAnsi" w:hAnsiTheme="minorHAnsi" w:cstheme="minorHAnsi"/>
          <w:sz w:val="22"/>
          <w:szCs w:val="22"/>
        </w:rPr>
        <w:t xml:space="preserve">Houten, van, M. (2016, 1 december). PvdA: Meer salaris en status voor leraren. Trouw. Geraadpleegd van </w:t>
      </w:r>
      <w:hyperlink r:id="rId63" w:history="1">
        <w:r w:rsidRPr="0070400F">
          <w:rPr>
            <w:rFonts w:asciiTheme="minorHAnsi" w:eastAsiaTheme="minorHAnsi" w:hAnsiTheme="minorHAnsi" w:cstheme="minorHAnsi"/>
            <w:color w:val="0000FF"/>
            <w:sz w:val="22"/>
            <w:szCs w:val="22"/>
            <w:u w:val="single"/>
          </w:rPr>
          <w:t>https://www.trouw.nl/samenleving/pvda-meer-salaris-en-status-voor-leraren~ae619122/</w:t>
        </w:r>
      </w:hyperlink>
    </w:p>
    <w:p w14:paraId="08FDEB37"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lang w:val="en-US"/>
        </w:rPr>
        <w:t>Hung, Y. C., Dennis, A. R. &amp; Robert, L. (2004) Trust in Virtual Teams: Towards an Integrative Model of Trust Formation. Proceedings of the 37th Hawaii International Conference on System Sciences.</w:t>
      </w:r>
    </w:p>
    <w:p w14:paraId="10354E23"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proofErr w:type="spellStart"/>
      <w:r w:rsidRPr="0070400F">
        <w:rPr>
          <w:rFonts w:asciiTheme="minorHAnsi" w:eastAsiaTheme="minorHAnsi" w:hAnsiTheme="minorHAnsi" w:cstheme="minorHAnsi"/>
          <w:sz w:val="22"/>
          <w:szCs w:val="22"/>
          <w:lang w:val="en-US"/>
        </w:rPr>
        <w:t>Ilomaki</w:t>
      </w:r>
      <w:proofErr w:type="spellEnd"/>
      <w:r w:rsidRPr="0070400F">
        <w:rPr>
          <w:rFonts w:asciiTheme="minorHAnsi" w:eastAsiaTheme="minorHAnsi" w:hAnsiTheme="minorHAnsi" w:cstheme="minorHAnsi"/>
          <w:sz w:val="22"/>
          <w:szCs w:val="22"/>
          <w:lang w:val="en-US"/>
        </w:rPr>
        <w:t xml:space="preserve">, L. &amp; </w:t>
      </w:r>
      <w:proofErr w:type="spellStart"/>
      <w:r w:rsidRPr="0070400F">
        <w:rPr>
          <w:rFonts w:asciiTheme="minorHAnsi" w:eastAsiaTheme="minorHAnsi" w:hAnsiTheme="minorHAnsi" w:cstheme="minorHAnsi"/>
          <w:sz w:val="22"/>
          <w:szCs w:val="22"/>
          <w:lang w:val="en-US"/>
        </w:rPr>
        <w:t>Rantanen</w:t>
      </w:r>
      <w:proofErr w:type="spellEnd"/>
      <w:r w:rsidRPr="0070400F">
        <w:rPr>
          <w:rFonts w:asciiTheme="minorHAnsi" w:eastAsiaTheme="minorHAnsi" w:hAnsiTheme="minorHAnsi" w:cstheme="minorHAnsi"/>
          <w:sz w:val="22"/>
          <w:szCs w:val="22"/>
          <w:lang w:val="en-US"/>
        </w:rPr>
        <w:t xml:space="preserve">, P. (2007). Intensive Use of ICT in School: Developing Differences in Students' ICT Expertise. </w:t>
      </w:r>
      <w:r w:rsidRPr="0070400F">
        <w:rPr>
          <w:rFonts w:asciiTheme="minorHAnsi" w:eastAsiaTheme="minorHAnsi" w:hAnsiTheme="minorHAnsi" w:cstheme="minorHAnsi"/>
          <w:sz w:val="22"/>
          <w:szCs w:val="22"/>
        </w:rPr>
        <w:t xml:space="preserve">Computers &amp; </w:t>
      </w:r>
      <w:proofErr w:type="spellStart"/>
      <w:r w:rsidRPr="0070400F">
        <w:rPr>
          <w:rFonts w:asciiTheme="minorHAnsi" w:eastAsiaTheme="minorHAnsi" w:hAnsiTheme="minorHAnsi" w:cstheme="minorHAnsi"/>
          <w:sz w:val="22"/>
          <w:szCs w:val="22"/>
        </w:rPr>
        <w:t>Education</w:t>
      </w:r>
      <w:proofErr w:type="spellEnd"/>
      <w:r w:rsidRPr="0070400F">
        <w:rPr>
          <w:rFonts w:asciiTheme="minorHAnsi" w:eastAsiaTheme="minorHAnsi" w:hAnsiTheme="minorHAnsi" w:cstheme="minorHAnsi"/>
          <w:sz w:val="22"/>
          <w:szCs w:val="22"/>
        </w:rPr>
        <w:t>, 48 (1), 119-136.</w:t>
      </w:r>
    </w:p>
    <w:p w14:paraId="68034E2F"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proofErr w:type="spellStart"/>
      <w:r w:rsidRPr="0070400F">
        <w:rPr>
          <w:rFonts w:asciiTheme="minorHAnsi" w:eastAsiaTheme="minorHAnsi" w:hAnsiTheme="minorHAnsi" w:cstheme="minorHAnsi"/>
          <w:sz w:val="22"/>
          <w:szCs w:val="22"/>
          <w:lang w:val="en-US"/>
        </w:rPr>
        <w:t>Ilomäki</w:t>
      </w:r>
      <w:proofErr w:type="spellEnd"/>
      <w:r w:rsidRPr="0070400F">
        <w:rPr>
          <w:rFonts w:asciiTheme="minorHAnsi" w:eastAsiaTheme="minorHAnsi" w:hAnsiTheme="minorHAnsi" w:cstheme="minorHAnsi"/>
          <w:sz w:val="22"/>
          <w:szCs w:val="22"/>
          <w:lang w:val="en-US"/>
        </w:rPr>
        <w:t xml:space="preserve">, L. (2008). The effects of ICT on school: teachers’ and students’ perspectives. Annales </w:t>
      </w:r>
      <w:proofErr w:type="spellStart"/>
      <w:r w:rsidRPr="0070400F">
        <w:rPr>
          <w:rFonts w:asciiTheme="minorHAnsi" w:eastAsiaTheme="minorHAnsi" w:hAnsiTheme="minorHAnsi" w:cstheme="minorHAnsi"/>
          <w:sz w:val="22"/>
          <w:szCs w:val="22"/>
          <w:lang w:val="en-US"/>
        </w:rPr>
        <w:t>universitatis</w:t>
      </w:r>
      <w:proofErr w:type="spellEnd"/>
      <w:r w:rsidRPr="0070400F">
        <w:rPr>
          <w:rFonts w:asciiTheme="minorHAnsi" w:eastAsiaTheme="minorHAnsi" w:hAnsiTheme="minorHAnsi" w:cstheme="minorHAnsi"/>
          <w:sz w:val="22"/>
          <w:szCs w:val="22"/>
          <w:lang w:val="en-US"/>
        </w:rPr>
        <w:t xml:space="preserve"> </w:t>
      </w:r>
      <w:proofErr w:type="spellStart"/>
      <w:r w:rsidRPr="0070400F">
        <w:rPr>
          <w:rFonts w:asciiTheme="minorHAnsi" w:eastAsiaTheme="minorHAnsi" w:hAnsiTheme="minorHAnsi" w:cstheme="minorHAnsi"/>
          <w:sz w:val="22"/>
          <w:szCs w:val="22"/>
          <w:lang w:val="en-US"/>
        </w:rPr>
        <w:t>turkuensis</w:t>
      </w:r>
      <w:proofErr w:type="spellEnd"/>
      <w:r w:rsidRPr="0070400F">
        <w:rPr>
          <w:rFonts w:asciiTheme="minorHAnsi" w:eastAsiaTheme="minorHAnsi" w:hAnsiTheme="minorHAnsi" w:cstheme="minorHAnsi"/>
          <w:sz w:val="22"/>
          <w:szCs w:val="22"/>
          <w:lang w:val="en-US"/>
        </w:rPr>
        <w:t xml:space="preserve"> SER. B. 314. Department of Teacher Education, University of Turku. </w:t>
      </w:r>
      <w:proofErr w:type="spellStart"/>
      <w:r w:rsidRPr="0070400F">
        <w:rPr>
          <w:rFonts w:asciiTheme="minorHAnsi" w:eastAsiaTheme="minorHAnsi" w:hAnsiTheme="minorHAnsi" w:cstheme="minorHAnsi"/>
          <w:sz w:val="22"/>
          <w:szCs w:val="22"/>
          <w:lang w:val="en-US"/>
        </w:rPr>
        <w:t>Geraadpleed</w:t>
      </w:r>
      <w:proofErr w:type="spellEnd"/>
      <w:r w:rsidRPr="0070400F">
        <w:rPr>
          <w:rFonts w:asciiTheme="minorHAnsi" w:eastAsiaTheme="minorHAnsi" w:hAnsiTheme="minorHAnsi" w:cstheme="minorHAnsi"/>
          <w:sz w:val="22"/>
          <w:szCs w:val="22"/>
          <w:lang w:val="en-US"/>
        </w:rPr>
        <w:t xml:space="preserve"> via </w:t>
      </w:r>
      <w:hyperlink r:id="rId64" w:history="1">
        <w:r w:rsidRPr="0070400F">
          <w:rPr>
            <w:rFonts w:asciiTheme="minorHAnsi" w:eastAsiaTheme="minorHAnsi" w:hAnsiTheme="minorHAnsi" w:cstheme="minorHAnsi"/>
            <w:color w:val="0000FF"/>
            <w:sz w:val="22"/>
            <w:szCs w:val="22"/>
            <w:u w:val="single"/>
            <w:lang w:val="en-US"/>
          </w:rPr>
          <w:t>https://pdfs.semanticscholar.org/09a6/2d0c51d773656626d90122a5601e5003050b.pdf</w:t>
        </w:r>
      </w:hyperlink>
    </w:p>
    <w:p w14:paraId="61DB4720"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lang w:val="en-US"/>
        </w:rPr>
        <w:t>Jacobs, J. (1992), Systems of Survival (Random House, London).</w:t>
      </w:r>
    </w:p>
    <w:p w14:paraId="42DFFCC7"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r w:rsidRPr="0070400F">
        <w:rPr>
          <w:rFonts w:asciiTheme="minorHAnsi" w:eastAsiaTheme="minorHAnsi" w:hAnsiTheme="minorHAnsi" w:cstheme="minorHAnsi"/>
          <w:sz w:val="22"/>
          <w:szCs w:val="22"/>
        </w:rPr>
        <w:t>Jonker, J., &amp; Pennink, B. (2000). De kern van methodologie. Assen: Van Gorcum.</w:t>
      </w:r>
    </w:p>
    <w:p w14:paraId="25F14339"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proofErr w:type="spellStart"/>
      <w:r w:rsidRPr="0070400F">
        <w:rPr>
          <w:rFonts w:asciiTheme="minorHAnsi" w:eastAsiaTheme="minorHAnsi" w:hAnsiTheme="minorHAnsi" w:cstheme="minorHAnsi"/>
          <w:sz w:val="22"/>
          <w:szCs w:val="22"/>
        </w:rPr>
        <w:t>Kahneman</w:t>
      </w:r>
      <w:proofErr w:type="spellEnd"/>
      <w:r w:rsidRPr="0070400F">
        <w:rPr>
          <w:rFonts w:asciiTheme="minorHAnsi" w:eastAsiaTheme="minorHAnsi" w:hAnsiTheme="minorHAnsi" w:cstheme="minorHAnsi"/>
          <w:sz w:val="22"/>
          <w:szCs w:val="22"/>
        </w:rPr>
        <w:t xml:space="preserve">, D, </w:t>
      </w:r>
      <w:proofErr w:type="spellStart"/>
      <w:r w:rsidRPr="0070400F">
        <w:rPr>
          <w:rFonts w:asciiTheme="minorHAnsi" w:eastAsiaTheme="minorHAnsi" w:hAnsiTheme="minorHAnsi" w:cstheme="minorHAnsi"/>
          <w:sz w:val="22"/>
          <w:szCs w:val="22"/>
        </w:rPr>
        <w:t>Knetsch</w:t>
      </w:r>
      <w:proofErr w:type="spellEnd"/>
      <w:r w:rsidRPr="0070400F">
        <w:rPr>
          <w:rFonts w:asciiTheme="minorHAnsi" w:eastAsiaTheme="minorHAnsi" w:hAnsiTheme="minorHAnsi" w:cstheme="minorHAnsi"/>
          <w:sz w:val="22"/>
          <w:szCs w:val="22"/>
        </w:rPr>
        <w:t xml:space="preserve">, J. L., &amp; </w:t>
      </w:r>
      <w:proofErr w:type="spellStart"/>
      <w:r w:rsidRPr="0070400F">
        <w:rPr>
          <w:rFonts w:asciiTheme="minorHAnsi" w:eastAsiaTheme="minorHAnsi" w:hAnsiTheme="minorHAnsi" w:cstheme="minorHAnsi"/>
          <w:sz w:val="22"/>
          <w:szCs w:val="22"/>
        </w:rPr>
        <w:t>Thaler</w:t>
      </w:r>
      <w:proofErr w:type="spellEnd"/>
      <w:r w:rsidRPr="0070400F">
        <w:rPr>
          <w:rFonts w:asciiTheme="minorHAnsi" w:eastAsiaTheme="minorHAnsi" w:hAnsiTheme="minorHAnsi" w:cstheme="minorHAnsi"/>
          <w:sz w:val="22"/>
          <w:szCs w:val="22"/>
        </w:rPr>
        <w:t xml:space="preserve">, R. (1990). </w:t>
      </w:r>
      <w:r w:rsidRPr="0070400F">
        <w:rPr>
          <w:rFonts w:asciiTheme="minorHAnsi" w:eastAsiaTheme="minorHAnsi" w:hAnsiTheme="minorHAnsi" w:cstheme="minorHAnsi"/>
          <w:sz w:val="22"/>
          <w:szCs w:val="22"/>
          <w:lang w:val="en-US"/>
        </w:rPr>
        <w:t>‘Experimental Tests of the Endowment Effect and the Coase Theorem’. Journal of Political Economy 98 (6): p.1325–1348.</w:t>
      </w:r>
    </w:p>
    <w:p w14:paraId="33ACAEE2"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r w:rsidRPr="0070400F">
        <w:rPr>
          <w:rFonts w:asciiTheme="minorHAnsi" w:eastAsiaTheme="minorHAnsi" w:hAnsiTheme="minorHAnsi" w:cstheme="minorHAnsi"/>
          <w:sz w:val="22"/>
          <w:szCs w:val="22"/>
        </w:rPr>
        <w:t xml:space="preserve">Kappert, J., </w:t>
      </w:r>
      <w:proofErr w:type="spellStart"/>
      <w:r w:rsidRPr="0070400F">
        <w:rPr>
          <w:rFonts w:asciiTheme="minorHAnsi" w:eastAsiaTheme="minorHAnsi" w:hAnsiTheme="minorHAnsi" w:cstheme="minorHAnsi"/>
          <w:sz w:val="22"/>
          <w:szCs w:val="22"/>
        </w:rPr>
        <w:t>Bomas</w:t>
      </w:r>
      <w:proofErr w:type="spellEnd"/>
      <w:r w:rsidRPr="0070400F">
        <w:rPr>
          <w:rFonts w:asciiTheme="minorHAnsi" w:eastAsiaTheme="minorHAnsi" w:hAnsiTheme="minorHAnsi" w:cstheme="minorHAnsi"/>
          <w:sz w:val="22"/>
          <w:szCs w:val="22"/>
        </w:rPr>
        <w:t>, R., &amp; Jansen, A. (2017). Adviesrapport Vier in balans Versnellingsvraag ‘</w:t>
      </w:r>
      <w:proofErr w:type="spellStart"/>
      <w:r w:rsidRPr="0070400F">
        <w:rPr>
          <w:rFonts w:asciiTheme="minorHAnsi" w:eastAsiaTheme="minorHAnsi" w:hAnsiTheme="minorHAnsi" w:cstheme="minorHAnsi"/>
          <w:sz w:val="22"/>
          <w:szCs w:val="22"/>
        </w:rPr>
        <w:t>Ict</w:t>
      </w:r>
      <w:proofErr w:type="spellEnd"/>
      <w:r w:rsidRPr="0070400F">
        <w:rPr>
          <w:rFonts w:asciiTheme="minorHAnsi" w:eastAsiaTheme="minorHAnsi" w:hAnsiTheme="minorHAnsi" w:cstheme="minorHAnsi"/>
          <w:sz w:val="22"/>
          <w:szCs w:val="22"/>
        </w:rPr>
        <w:t xml:space="preserve">-inzet voor nieuwkomers’. Geraadpleegd van </w:t>
      </w:r>
      <w:hyperlink r:id="rId65" w:history="1">
        <w:r w:rsidRPr="0070400F">
          <w:rPr>
            <w:rFonts w:asciiTheme="minorHAnsi" w:eastAsiaTheme="minorHAnsi" w:hAnsiTheme="minorHAnsi" w:cstheme="minorHAnsi"/>
            <w:color w:val="0000FF"/>
            <w:sz w:val="22"/>
            <w:szCs w:val="22"/>
            <w:u w:val="single"/>
          </w:rPr>
          <w:t>https://www.versnellingsvragen.nl/files/2017-11/versnellingsvraag_internationale_taalklas_nieuwkomersonderwijs.pdf</w:t>
        </w:r>
      </w:hyperlink>
    </w:p>
    <w:p w14:paraId="02BDF164"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proofErr w:type="spellStart"/>
      <w:r w:rsidRPr="0070400F">
        <w:rPr>
          <w:rFonts w:asciiTheme="minorHAnsi" w:eastAsiaTheme="minorHAnsi" w:hAnsiTheme="minorHAnsi" w:cstheme="minorHAnsi"/>
          <w:sz w:val="22"/>
          <w:szCs w:val="22"/>
          <w:lang w:val="en-US"/>
        </w:rPr>
        <w:t>Karsten</w:t>
      </w:r>
      <w:proofErr w:type="spellEnd"/>
      <w:r w:rsidRPr="0070400F">
        <w:rPr>
          <w:rFonts w:asciiTheme="minorHAnsi" w:eastAsiaTheme="minorHAnsi" w:hAnsiTheme="minorHAnsi" w:cstheme="minorHAnsi"/>
          <w:sz w:val="22"/>
          <w:szCs w:val="22"/>
          <w:lang w:val="en-US"/>
        </w:rPr>
        <w:t xml:space="preserve">, S. (1999). Neoliberal Education Reform in The Netherlands. </w:t>
      </w:r>
      <w:proofErr w:type="spellStart"/>
      <w:r w:rsidRPr="0070400F">
        <w:rPr>
          <w:rFonts w:asciiTheme="minorHAnsi" w:eastAsiaTheme="minorHAnsi" w:hAnsiTheme="minorHAnsi" w:cstheme="minorHAnsi"/>
          <w:sz w:val="22"/>
          <w:szCs w:val="22"/>
        </w:rPr>
        <w:t>Comparative</w:t>
      </w:r>
      <w:proofErr w:type="spellEnd"/>
      <w:r w:rsidRPr="0070400F">
        <w:rPr>
          <w:rFonts w:asciiTheme="minorHAnsi" w:eastAsiaTheme="minorHAnsi" w:hAnsiTheme="minorHAnsi" w:cstheme="minorHAnsi"/>
          <w:sz w:val="22"/>
          <w:szCs w:val="22"/>
        </w:rPr>
        <w:t xml:space="preserve"> </w:t>
      </w:r>
      <w:proofErr w:type="spellStart"/>
      <w:r w:rsidRPr="0070400F">
        <w:rPr>
          <w:rFonts w:asciiTheme="minorHAnsi" w:eastAsiaTheme="minorHAnsi" w:hAnsiTheme="minorHAnsi" w:cstheme="minorHAnsi"/>
          <w:sz w:val="22"/>
          <w:szCs w:val="22"/>
        </w:rPr>
        <w:t>Education</w:t>
      </w:r>
      <w:proofErr w:type="spellEnd"/>
      <w:r w:rsidRPr="0070400F">
        <w:rPr>
          <w:rFonts w:asciiTheme="minorHAnsi" w:eastAsiaTheme="minorHAnsi" w:hAnsiTheme="minorHAnsi" w:cstheme="minorHAnsi"/>
          <w:sz w:val="22"/>
          <w:szCs w:val="22"/>
        </w:rPr>
        <w:t>, 35(3), 303-317.</w:t>
      </w:r>
    </w:p>
    <w:p w14:paraId="4BE24246"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r w:rsidRPr="0070400F">
        <w:rPr>
          <w:rFonts w:asciiTheme="minorHAnsi" w:eastAsiaTheme="minorHAnsi" w:hAnsiTheme="minorHAnsi" w:cstheme="minorHAnsi"/>
          <w:sz w:val="22"/>
          <w:szCs w:val="22"/>
        </w:rPr>
        <w:t xml:space="preserve">Karsten, S. (2006). Onderwijs waarop we kunnen bouwen: de publieke waarde van het beroepsonderwijs. (Oratiereeks). Amsterdam: </w:t>
      </w:r>
      <w:proofErr w:type="spellStart"/>
      <w:r w:rsidRPr="0070400F">
        <w:rPr>
          <w:rFonts w:asciiTheme="minorHAnsi" w:eastAsiaTheme="minorHAnsi" w:hAnsiTheme="minorHAnsi" w:cstheme="minorHAnsi"/>
          <w:sz w:val="22"/>
          <w:szCs w:val="22"/>
        </w:rPr>
        <w:t>Vossiuspers</w:t>
      </w:r>
      <w:proofErr w:type="spellEnd"/>
      <w:r w:rsidRPr="0070400F">
        <w:rPr>
          <w:rFonts w:asciiTheme="minorHAnsi" w:eastAsiaTheme="minorHAnsi" w:hAnsiTheme="minorHAnsi" w:cstheme="minorHAnsi"/>
          <w:sz w:val="22"/>
          <w:szCs w:val="22"/>
        </w:rPr>
        <w:t xml:space="preserve"> UvA</w:t>
      </w:r>
    </w:p>
    <w:p w14:paraId="42155312"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lang w:val="en-US"/>
        </w:rPr>
        <w:t>Katz, D., &amp; Kahn, R.L. (1978), The social psychology of organizations (2nd ed.), New York: Wile</w:t>
      </w:r>
    </w:p>
    <w:p w14:paraId="4720A9A3"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r w:rsidRPr="0070400F">
        <w:rPr>
          <w:rFonts w:asciiTheme="minorHAnsi" w:eastAsiaTheme="minorHAnsi" w:hAnsiTheme="minorHAnsi" w:cstheme="minorHAnsi"/>
          <w:sz w:val="22"/>
          <w:szCs w:val="22"/>
        </w:rPr>
        <w:lastRenderedPageBreak/>
        <w:t xml:space="preserve">Kennisnet onderzoek. (2009). Bruikbaar digitaal leermateriaal. De ICT-landing in het voortgezet onderwijs ligt binnen handbereik. Geraadpleegd van: </w:t>
      </w:r>
      <w:hyperlink r:id="rId66" w:history="1">
        <w:r w:rsidRPr="0070400F">
          <w:rPr>
            <w:rFonts w:asciiTheme="minorHAnsi" w:eastAsiaTheme="minorHAnsi" w:hAnsiTheme="minorHAnsi" w:cstheme="minorHAnsi"/>
            <w:color w:val="0000FF"/>
            <w:sz w:val="22"/>
            <w:szCs w:val="22"/>
            <w:u w:val="single"/>
          </w:rPr>
          <w:t>https://kennisnetonderzoek.wordpress.com/inleiding/de-ict-landing-inhet-voortgezet-onderwijs-ligt-binnen-handberei/</w:t>
        </w:r>
      </w:hyperlink>
    </w:p>
    <w:p w14:paraId="4B18B2B9" w14:textId="11637DC1"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r w:rsidRPr="0070400F">
        <w:rPr>
          <w:rFonts w:asciiTheme="minorHAnsi" w:eastAsiaTheme="minorHAnsi" w:hAnsiTheme="minorHAnsi" w:cstheme="minorHAnsi"/>
          <w:sz w:val="22"/>
          <w:szCs w:val="22"/>
        </w:rPr>
        <w:t>Kennisn</w:t>
      </w:r>
      <w:r w:rsidR="000B47A7">
        <w:rPr>
          <w:rFonts w:asciiTheme="minorHAnsi" w:eastAsiaTheme="minorHAnsi" w:hAnsiTheme="minorHAnsi" w:cstheme="minorHAnsi"/>
          <w:sz w:val="22"/>
          <w:szCs w:val="22"/>
        </w:rPr>
        <w:t>et</w:t>
      </w:r>
      <w:r w:rsidRPr="0070400F">
        <w:rPr>
          <w:rFonts w:asciiTheme="minorHAnsi" w:eastAsiaTheme="minorHAnsi" w:hAnsiTheme="minorHAnsi" w:cstheme="minorHAnsi"/>
          <w:sz w:val="22"/>
          <w:szCs w:val="22"/>
        </w:rPr>
        <w:t xml:space="preserve"> (2013a). Didactische ICT-bekwaamheid van docenten. Geraadpleegd van: </w:t>
      </w:r>
      <w:hyperlink r:id="rId67" w:history="1">
        <w:r w:rsidRPr="0070400F">
          <w:rPr>
            <w:rFonts w:asciiTheme="minorHAnsi" w:eastAsiaTheme="minorHAnsi" w:hAnsiTheme="minorHAnsi" w:cstheme="minorHAnsi"/>
            <w:color w:val="0000FF"/>
            <w:sz w:val="22"/>
            <w:szCs w:val="22"/>
            <w:u w:val="single"/>
          </w:rPr>
          <w:t>http://www.kennisn</w:t>
        </w:r>
        <w:r w:rsidR="000B47A7">
          <w:rPr>
            <w:rFonts w:asciiTheme="minorHAnsi" w:eastAsiaTheme="minorHAnsi" w:hAnsiTheme="minorHAnsi" w:cstheme="minorHAnsi"/>
            <w:color w:val="0000FF"/>
            <w:sz w:val="22"/>
            <w:szCs w:val="22"/>
            <w:u w:val="single"/>
          </w:rPr>
          <w:t>et</w:t>
        </w:r>
        <w:r w:rsidRPr="0070400F">
          <w:rPr>
            <w:rFonts w:asciiTheme="minorHAnsi" w:eastAsiaTheme="minorHAnsi" w:hAnsiTheme="minorHAnsi" w:cstheme="minorHAnsi"/>
            <w:color w:val="0000FF"/>
            <w:sz w:val="22"/>
            <w:szCs w:val="22"/>
            <w:u w:val="single"/>
          </w:rPr>
          <w:t>nl/uploads/tx_kncontentelements/Kennisnet_verslag_definitief_11022014_didactische_ict_bekwaamheid.pdf</w:t>
        </w:r>
      </w:hyperlink>
    </w:p>
    <w:p w14:paraId="0D8D3B40" w14:textId="4E288CCC"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r w:rsidRPr="0070400F">
        <w:rPr>
          <w:rFonts w:asciiTheme="minorHAnsi" w:eastAsiaTheme="minorHAnsi" w:hAnsiTheme="minorHAnsi" w:cstheme="minorHAnsi"/>
          <w:sz w:val="22"/>
          <w:szCs w:val="22"/>
        </w:rPr>
        <w:t>Kennisn</w:t>
      </w:r>
      <w:r w:rsidR="000B47A7">
        <w:rPr>
          <w:rFonts w:asciiTheme="minorHAnsi" w:eastAsiaTheme="minorHAnsi" w:hAnsiTheme="minorHAnsi" w:cstheme="minorHAnsi"/>
          <w:sz w:val="22"/>
          <w:szCs w:val="22"/>
        </w:rPr>
        <w:t>et</w:t>
      </w:r>
      <w:r w:rsidRPr="0070400F">
        <w:rPr>
          <w:rFonts w:asciiTheme="minorHAnsi" w:eastAsiaTheme="minorHAnsi" w:hAnsiTheme="minorHAnsi" w:cstheme="minorHAnsi"/>
          <w:sz w:val="22"/>
          <w:szCs w:val="22"/>
        </w:rPr>
        <w:t xml:space="preserve"> (2017). Vier in balans-monitor 2017. Geraadpleegd van </w:t>
      </w:r>
      <w:hyperlink r:id="rId68" w:history="1">
        <w:r w:rsidRPr="0070400F">
          <w:rPr>
            <w:rFonts w:asciiTheme="minorHAnsi" w:eastAsiaTheme="minorHAnsi" w:hAnsiTheme="minorHAnsi" w:cstheme="minorHAnsi"/>
            <w:color w:val="0000FF"/>
            <w:sz w:val="22"/>
            <w:szCs w:val="22"/>
            <w:u w:val="single"/>
          </w:rPr>
          <w:t>https://www.kennisn</w:t>
        </w:r>
        <w:r w:rsidR="000B47A7">
          <w:rPr>
            <w:rFonts w:asciiTheme="minorHAnsi" w:eastAsiaTheme="minorHAnsi" w:hAnsiTheme="minorHAnsi" w:cstheme="minorHAnsi"/>
            <w:color w:val="0000FF"/>
            <w:sz w:val="22"/>
            <w:szCs w:val="22"/>
            <w:u w:val="single"/>
          </w:rPr>
          <w:t>et</w:t>
        </w:r>
        <w:r w:rsidRPr="0070400F">
          <w:rPr>
            <w:rFonts w:asciiTheme="minorHAnsi" w:eastAsiaTheme="minorHAnsi" w:hAnsiTheme="minorHAnsi" w:cstheme="minorHAnsi"/>
            <w:color w:val="0000FF"/>
            <w:sz w:val="22"/>
            <w:szCs w:val="22"/>
            <w:u w:val="single"/>
          </w:rPr>
          <w:t>nl/publicaties/vier-in-balans-monitor/</w:t>
        </w:r>
      </w:hyperlink>
    </w:p>
    <w:p w14:paraId="7E26CA22" w14:textId="40EFDA2F"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r w:rsidRPr="0070400F">
        <w:rPr>
          <w:rFonts w:asciiTheme="minorHAnsi" w:eastAsiaTheme="minorHAnsi" w:hAnsiTheme="minorHAnsi" w:cstheme="minorHAnsi"/>
          <w:sz w:val="22"/>
          <w:szCs w:val="22"/>
        </w:rPr>
        <w:t>Kennisn</w:t>
      </w:r>
      <w:r w:rsidR="000B47A7">
        <w:rPr>
          <w:rFonts w:asciiTheme="minorHAnsi" w:eastAsiaTheme="minorHAnsi" w:hAnsiTheme="minorHAnsi" w:cstheme="minorHAnsi"/>
          <w:sz w:val="22"/>
          <w:szCs w:val="22"/>
        </w:rPr>
        <w:t>et</w:t>
      </w:r>
      <w:r w:rsidRPr="0070400F">
        <w:rPr>
          <w:rFonts w:asciiTheme="minorHAnsi" w:eastAsiaTheme="minorHAnsi" w:hAnsiTheme="minorHAnsi" w:cstheme="minorHAnsi"/>
          <w:sz w:val="22"/>
          <w:szCs w:val="22"/>
        </w:rPr>
        <w:t xml:space="preserve"> (2018). Stuurgroep Doorbraakproject Onderwijs &amp; ICT 2013-2017. Geraadpleegd van </w:t>
      </w:r>
      <w:hyperlink r:id="rId69" w:history="1">
        <w:r w:rsidRPr="0070400F">
          <w:rPr>
            <w:rFonts w:asciiTheme="minorHAnsi" w:eastAsiaTheme="minorHAnsi" w:hAnsiTheme="minorHAnsi" w:cstheme="minorHAnsi"/>
            <w:color w:val="0000FF"/>
            <w:sz w:val="22"/>
            <w:szCs w:val="22"/>
            <w:u w:val="single"/>
          </w:rPr>
          <w:t>https://www.kennisn</w:t>
        </w:r>
        <w:r w:rsidR="000B47A7">
          <w:rPr>
            <w:rFonts w:asciiTheme="minorHAnsi" w:eastAsiaTheme="minorHAnsi" w:hAnsiTheme="minorHAnsi" w:cstheme="minorHAnsi"/>
            <w:color w:val="0000FF"/>
            <w:sz w:val="22"/>
            <w:szCs w:val="22"/>
            <w:u w:val="single"/>
          </w:rPr>
          <w:t>et</w:t>
        </w:r>
        <w:r w:rsidRPr="0070400F">
          <w:rPr>
            <w:rFonts w:asciiTheme="minorHAnsi" w:eastAsiaTheme="minorHAnsi" w:hAnsiTheme="minorHAnsi" w:cstheme="minorHAnsi"/>
            <w:color w:val="0000FF"/>
            <w:sz w:val="22"/>
            <w:szCs w:val="22"/>
            <w:u w:val="single"/>
          </w:rPr>
          <w:t>nl/artikel/doorbraakproject-onderwijs-ict-dit-zijn-de-resultaten/</w:t>
        </w:r>
      </w:hyperlink>
    </w:p>
    <w:p w14:paraId="312569EC"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lang w:val="en-US"/>
        </w:rPr>
        <w:t>Keough, M. (1993). Buying your way to the top. The McKinsey Quarterly, (3), 41.</w:t>
      </w:r>
    </w:p>
    <w:p w14:paraId="035D480C"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r w:rsidRPr="0070400F">
        <w:rPr>
          <w:rFonts w:asciiTheme="minorHAnsi" w:eastAsiaTheme="minorHAnsi" w:hAnsiTheme="minorHAnsi" w:cstheme="minorHAnsi"/>
          <w:sz w:val="22"/>
          <w:szCs w:val="22"/>
        </w:rPr>
        <w:t xml:space="preserve">Kibbeling, M. I., &amp; Weele, van, A. J. (2010). Waarde creëren in de </w:t>
      </w:r>
      <w:proofErr w:type="gramStart"/>
      <w:r w:rsidRPr="0070400F">
        <w:rPr>
          <w:rFonts w:asciiTheme="minorHAnsi" w:eastAsiaTheme="minorHAnsi" w:hAnsiTheme="minorHAnsi" w:cstheme="minorHAnsi"/>
          <w:sz w:val="22"/>
          <w:szCs w:val="22"/>
        </w:rPr>
        <w:t>keten :</w:t>
      </w:r>
      <w:proofErr w:type="gramEnd"/>
      <w:r w:rsidRPr="0070400F">
        <w:rPr>
          <w:rFonts w:asciiTheme="minorHAnsi" w:eastAsiaTheme="minorHAnsi" w:hAnsiTheme="minorHAnsi" w:cstheme="minorHAnsi"/>
          <w:sz w:val="22"/>
          <w:szCs w:val="22"/>
        </w:rPr>
        <w:t xml:space="preserve"> de effecten van marktgerichtheid, duurzaamheid en innovatie. Holland Management Review, 134, 2-12.</w:t>
      </w:r>
    </w:p>
    <w:p w14:paraId="2CA1A883"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proofErr w:type="spellStart"/>
      <w:r w:rsidRPr="0070400F">
        <w:rPr>
          <w:rFonts w:asciiTheme="minorHAnsi" w:eastAsiaTheme="minorHAnsi" w:hAnsiTheme="minorHAnsi" w:cstheme="minorHAnsi"/>
          <w:sz w:val="22"/>
          <w:szCs w:val="22"/>
          <w:lang w:val="en-US"/>
        </w:rPr>
        <w:t>Klijn</w:t>
      </w:r>
      <w:proofErr w:type="spellEnd"/>
      <w:r w:rsidRPr="0070400F">
        <w:rPr>
          <w:rFonts w:asciiTheme="minorHAnsi" w:eastAsiaTheme="minorHAnsi" w:hAnsiTheme="minorHAnsi" w:cstheme="minorHAnsi"/>
          <w:sz w:val="22"/>
          <w:szCs w:val="22"/>
          <w:lang w:val="en-US"/>
        </w:rPr>
        <w:t xml:space="preserve">, E.H. &amp; </w:t>
      </w:r>
      <w:proofErr w:type="spellStart"/>
      <w:r w:rsidRPr="0070400F">
        <w:rPr>
          <w:rFonts w:asciiTheme="minorHAnsi" w:eastAsiaTheme="minorHAnsi" w:hAnsiTheme="minorHAnsi" w:cstheme="minorHAnsi"/>
          <w:sz w:val="22"/>
          <w:szCs w:val="22"/>
          <w:lang w:val="en-US"/>
        </w:rPr>
        <w:t>Teisman</w:t>
      </w:r>
      <w:proofErr w:type="spellEnd"/>
      <w:r w:rsidRPr="0070400F">
        <w:rPr>
          <w:rFonts w:asciiTheme="minorHAnsi" w:eastAsiaTheme="minorHAnsi" w:hAnsiTheme="minorHAnsi" w:cstheme="minorHAnsi"/>
          <w:sz w:val="22"/>
          <w:szCs w:val="22"/>
          <w:lang w:val="en-US"/>
        </w:rPr>
        <w:t xml:space="preserve">, G.R. (2003) Institutional and Strategic Barriers to Public-Private Partnership: An Analysis of Dutch Cases. Public Money and Management, 23, 137-146. </w:t>
      </w:r>
      <w:proofErr w:type="spellStart"/>
      <w:r w:rsidRPr="0070400F">
        <w:rPr>
          <w:rFonts w:asciiTheme="minorHAnsi" w:eastAsiaTheme="minorHAnsi" w:hAnsiTheme="minorHAnsi" w:cstheme="minorHAnsi"/>
          <w:sz w:val="22"/>
          <w:szCs w:val="22"/>
          <w:lang w:val="en-US"/>
        </w:rPr>
        <w:t>Geraadpleegd</w:t>
      </w:r>
      <w:proofErr w:type="spellEnd"/>
      <w:r w:rsidRPr="0070400F">
        <w:rPr>
          <w:rFonts w:asciiTheme="minorHAnsi" w:eastAsiaTheme="minorHAnsi" w:hAnsiTheme="minorHAnsi" w:cstheme="minorHAnsi"/>
          <w:sz w:val="22"/>
          <w:szCs w:val="22"/>
          <w:lang w:val="en-US"/>
        </w:rPr>
        <w:t xml:space="preserve"> van </w:t>
      </w:r>
      <w:hyperlink r:id="rId70" w:history="1">
        <w:r w:rsidRPr="0070400F">
          <w:rPr>
            <w:rFonts w:asciiTheme="minorHAnsi" w:eastAsiaTheme="minorHAnsi" w:hAnsiTheme="minorHAnsi" w:cstheme="minorHAnsi"/>
            <w:color w:val="0000FF"/>
            <w:sz w:val="22"/>
            <w:szCs w:val="22"/>
            <w:u w:val="single"/>
            <w:lang w:val="en-US"/>
          </w:rPr>
          <w:t>https://doi.org/10.1111/1467-9302.00361</w:t>
        </w:r>
      </w:hyperlink>
    </w:p>
    <w:p w14:paraId="50CA6D40"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rPr>
        <w:t xml:space="preserve">Knoester, T. (2005). </w:t>
      </w:r>
      <w:proofErr w:type="spellStart"/>
      <w:r w:rsidRPr="0070400F">
        <w:rPr>
          <w:rFonts w:asciiTheme="minorHAnsi" w:eastAsiaTheme="minorHAnsi" w:hAnsiTheme="minorHAnsi" w:cstheme="minorHAnsi"/>
          <w:sz w:val="22"/>
          <w:szCs w:val="22"/>
        </w:rPr>
        <w:t>Contrant</w:t>
      </w:r>
      <w:proofErr w:type="spellEnd"/>
      <w:r w:rsidRPr="0070400F">
        <w:rPr>
          <w:rFonts w:asciiTheme="minorHAnsi" w:eastAsiaTheme="minorHAnsi" w:hAnsiTheme="minorHAnsi" w:cstheme="minorHAnsi"/>
          <w:sz w:val="22"/>
          <w:szCs w:val="22"/>
        </w:rPr>
        <w:t xml:space="preserve"> management in de praktijk. </w:t>
      </w:r>
      <w:r w:rsidRPr="0070400F">
        <w:rPr>
          <w:rFonts w:asciiTheme="minorHAnsi" w:eastAsiaTheme="minorHAnsi" w:hAnsiTheme="minorHAnsi" w:cstheme="minorHAnsi"/>
          <w:sz w:val="22"/>
          <w:szCs w:val="22"/>
          <w:lang w:val="en-US"/>
        </w:rPr>
        <w:t xml:space="preserve">Bohn </w:t>
      </w:r>
      <w:proofErr w:type="spellStart"/>
      <w:r w:rsidRPr="0070400F">
        <w:rPr>
          <w:rFonts w:asciiTheme="minorHAnsi" w:eastAsiaTheme="minorHAnsi" w:hAnsiTheme="minorHAnsi" w:cstheme="minorHAnsi"/>
          <w:sz w:val="22"/>
          <w:szCs w:val="22"/>
          <w:lang w:val="en-US"/>
        </w:rPr>
        <w:t>Stafleu</w:t>
      </w:r>
      <w:proofErr w:type="spellEnd"/>
      <w:r w:rsidRPr="0070400F">
        <w:rPr>
          <w:rFonts w:asciiTheme="minorHAnsi" w:eastAsiaTheme="minorHAnsi" w:hAnsiTheme="minorHAnsi" w:cstheme="minorHAnsi"/>
          <w:sz w:val="22"/>
          <w:szCs w:val="22"/>
          <w:lang w:val="en-US"/>
        </w:rPr>
        <w:t xml:space="preserve"> van </w:t>
      </w:r>
      <w:proofErr w:type="spellStart"/>
      <w:r w:rsidRPr="0070400F">
        <w:rPr>
          <w:rFonts w:asciiTheme="minorHAnsi" w:eastAsiaTheme="minorHAnsi" w:hAnsiTheme="minorHAnsi" w:cstheme="minorHAnsi"/>
          <w:sz w:val="22"/>
          <w:szCs w:val="22"/>
          <w:lang w:val="en-US"/>
        </w:rPr>
        <w:t>Loghum</w:t>
      </w:r>
      <w:proofErr w:type="spellEnd"/>
    </w:p>
    <w:p w14:paraId="00CE0AEB"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r w:rsidRPr="0070400F">
        <w:rPr>
          <w:rFonts w:asciiTheme="minorHAnsi" w:eastAsiaTheme="minorHAnsi" w:hAnsiTheme="minorHAnsi" w:cstheme="minorHAnsi"/>
          <w:sz w:val="22"/>
          <w:szCs w:val="22"/>
        </w:rPr>
        <w:t>Kok, L., Theeuwes, J., &amp; Janssens, L. (2003). Outsourcing van ICT door overheidsinstellingen. Amsterdam: SEO Stichting voor Economisch Onderzoek der Universiteit van Amsterdam.</w:t>
      </w:r>
    </w:p>
    <w:p w14:paraId="7B85849A" w14:textId="10A75E9B"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r w:rsidRPr="0070400F">
        <w:rPr>
          <w:rFonts w:asciiTheme="minorHAnsi" w:eastAsiaTheme="minorHAnsi" w:hAnsiTheme="minorHAnsi" w:cstheme="minorHAnsi"/>
          <w:sz w:val="22"/>
          <w:szCs w:val="22"/>
        </w:rPr>
        <w:t xml:space="preserve">Kooten, van, </w:t>
      </w:r>
      <w:r w:rsidR="000B47A7">
        <w:rPr>
          <w:rFonts w:asciiTheme="minorHAnsi" w:eastAsiaTheme="minorHAnsi" w:hAnsiTheme="minorHAnsi" w:cstheme="minorHAnsi"/>
          <w:sz w:val="22"/>
          <w:szCs w:val="22"/>
        </w:rPr>
        <w:t>et</w:t>
      </w:r>
      <w:r w:rsidRPr="0070400F">
        <w:rPr>
          <w:rFonts w:asciiTheme="minorHAnsi" w:eastAsiaTheme="minorHAnsi" w:hAnsiTheme="minorHAnsi" w:cstheme="minorHAnsi"/>
          <w:sz w:val="22"/>
          <w:szCs w:val="22"/>
        </w:rPr>
        <w:t xml:space="preserve"> </w:t>
      </w:r>
      <w:r w:rsidR="000B47A7">
        <w:rPr>
          <w:rFonts w:asciiTheme="minorHAnsi" w:eastAsiaTheme="minorHAnsi" w:hAnsiTheme="minorHAnsi" w:cstheme="minorHAnsi"/>
          <w:sz w:val="22"/>
          <w:szCs w:val="22"/>
        </w:rPr>
        <w:t>al.</w:t>
      </w:r>
      <w:r w:rsidRPr="0070400F">
        <w:rPr>
          <w:rFonts w:asciiTheme="minorHAnsi" w:eastAsiaTheme="minorHAnsi" w:hAnsiTheme="minorHAnsi" w:cstheme="minorHAnsi"/>
          <w:sz w:val="22"/>
          <w:szCs w:val="22"/>
        </w:rPr>
        <w:t xml:space="preserve"> M. H. A. (2016). Mogelijkheden om de afhankelijkheid van ICT-leverancier te verminderen (</w:t>
      </w:r>
      <w:proofErr w:type="spellStart"/>
      <w:r w:rsidRPr="0070400F">
        <w:rPr>
          <w:rFonts w:asciiTheme="minorHAnsi" w:eastAsiaTheme="minorHAnsi" w:hAnsiTheme="minorHAnsi" w:cstheme="minorHAnsi"/>
          <w:sz w:val="22"/>
          <w:szCs w:val="22"/>
        </w:rPr>
        <w:t>Verdonck</w:t>
      </w:r>
      <w:proofErr w:type="spellEnd"/>
      <w:r w:rsidRPr="0070400F">
        <w:rPr>
          <w:rFonts w:asciiTheme="minorHAnsi" w:eastAsiaTheme="minorHAnsi" w:hAnsiTheme="minorHAnsi" w:cstheme="minorHAnsi"/>
          <w:sz w:val="22"/>
          <w:szCs w:val="22"/>
        </w:rPr>
        <w:t xml:space="preserve">, </w:t>
      </w:r>
      <w:proofErr w:type="spellStart"/>
      <w:r w:rsidRPr="0070400F">
        <w:rPr>
          <w:rFonts w:asciiTheme="minorHAnsi" w:eastAsiaTheme="minorHAnsi" w:hAnsiTheme="minorHAnsi" w:cstheme="minorHAnsi"/>
          <w:sz w:val="22"/>
          <w:szCs w:val="22"/>
        </w:rPr>
        <w:t>Klooste</w:t>
      </w:r>
      <w:proofErr w:type="spellEnd"/>
      <w:r w:rsidRPr="0070400F">
        <w:rPr>
          <w:rFonts w:asciiTheme="minorHAnsi" w:eastAsiaTheme="minorHAnsi" w:hAnsiTheme="minorHAnsi" w:cstheme="minorHAnsi"/>
          <w:sz w:val="22"/>
          <w:szCs w:val="22"/>
        </w:rPr>
        <w:t xml:space="preserve"> &amp; </w:t>
      </w:r>
      <w:proofErr w:type="spellStart"/>
      <w:r w:rsidRPr="0070400F">
        <w:rPr>
          <w:rFonts w:asciiTheme="minorHAnsi" w:eastAsiaTheme="minorHAnsi" w:hAnsiTheme="minorHAnsi" w:cstheme="minorHAnsi"/>
          <w:sz w:val="22"/>
          <w:szCs w:val="22"/>
        </w:rPr>
        <w:t>Associates</w:t>
      </w:r>
      <w:proofErr w:type="spellEnd"/>
      <w:r w:rsidRPr="0070400F">
        <w:rPr>
          <w:rFonts w:asciiTheme="minorHAnsi" w:eastAsiaTheme="minorHAnsi" w:hAnsiTheme="minorHAnsi" w:cstheme="minorHAnsi"/>
          <w:sz w:val="22"/>
          <w:szCs w:val="22"/>
        </w:rPr>
        <w:t xml:space="preserve"> B.V., Berenschot, RAND Corporation). Geraadpleegd van </w:t>
      </w:r>
      <w:hyperlink r:id="rId71" w:history="1">
        <w:r w:rsidRPr="0070400F">
          <w:rPr>
            <w:rFonts w:asciiTheme="minorHAnsi" w:eastAsiaTheme="minorHAnsi" w:hAnsiTheme="minorHAnsi" w:cstheme="minorHAnsi"/>
            <w:color w:val="0000FF"/>
            <w:sz w:val="22"/>
            <w:szCs w:val="22"/>
            <w:u w:val="single"/>
          </w:rPr>
          <w:t>https://www.pianoo.nl/sites/default/files/documents/documents/onderzoek-verminder-afhankelijkheid-van-ict-leveranciers-te-verminderen-feb2016.pdf</w:t>
        </w:r>
      </w:hyperlink>
    </w:p>
    <w:p w14:paraId="4C3D00BB"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proofErr w:type="spellStart"/>
      <w:r w:rsidRPr="0070400F">
        <w:rPr>
          <w:rFonts w:asciiTheme="minorHAnsi" w:eastAsiaTheme="minorHAnsi" w:hAnsiTheme="minorHAnsi" w:cstheme="minorHAnsi"/>
          <w:sz w:val="22"/>
          <w:szCs w:val="22"/>
        </w:rPr>
        <w:t>Korzilius</w:t>
      </w:r>
      <w:proofErr w:type="spellEnd"/>
      <w:r w:rsidRPr="0070400F">
        <w:rPr>
          <w:rFonts w:asciiTheme="minorHAnsi" w:eastAsiaTheme="minorHAnsi" w:hAnsiTheme="minorHAnsi" w:cstheme="minorHAnsi"/>
          <w:sz w:val="22"/>
          <w:szCs w:val="22"/>
        </w:rPr>
        <w:t>, H., (2000). De kern van survey-onderzoek. Uitgeverij Van Gorcum</w:t>
      </w:r>
    </w:p>
    <w:p w14:paraId="5B51E3D1"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proofErr w:type="spellStart"/>
      <w:r w:rsidRPr="0070400F">
        <w:rPr>
          <w:rFonts w:asciiTheme="minorHAnsi" w:eastAsiaTheme="minorHAnsi" w:hAnsiTheme="minorHAnsi" w:cstheme="minorHAnsi"/>
          <w:sz w:val="22"/>
          <w:szCs w:val="22"/>
          <w:lang w:val="en-US"/>
        </w:rPr>
        <w:t>Kraljic</w:t>
      </w:r>
      <w:proofErr w:type="spellEnd"/>
      <w:r w:rsidRPr="0070400F">
        <w:rPr>
          <w:rFonts w:asciiTheme="minorHAnsi" w:eastAsiaTheme="minorHAnsi" w:hAnsiTheme="minorHAnsi" w:cstheme="minorHAnsi"/>
          <w:sz w:val="22"/>
          <w:szCs w:val="22"/>
          <w:lang w:val="en-US"/>
        </w:rPr>
        <w:t>, P. (1983). Purchasing Must Become Supply Management. In: Harvard Business Review, 61, pp. 109-117.</w:t>
      </w:r>
    </w:p>
    <w:p w14:paraId="6F9DB99E"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lang w:val="en-US"/>
        </w:rPr>
        <w:t>Lane, C., R. Bachmann (1998). Trust Within and Between Organizations. Oxford University Press, Oxford, U.K</w:t>
      </w:r>
    </w:p>
    <w:p w14:paraId="10E6C36F"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proofErr w:type="spellStart"/>
      <w:r w:rsidRPr="0070400F">
        <w:rPr>
          <w:rFonts w:asciiTheme="minorHAnsi" w:eastAsiaTheme="minorHAnsi" w:hAnsiTheme="minorHAnsi" w:cstheme="minorHAnsi"/>
          <w:sz w:val="22"/>
          <w:szCs w:val="22"/>
          <w:lang w:val="en-US"/>
        </w:rPr>
        <w:t>LeClerc</w:t>
      </w:r>
      <w:proofErr w:type="spellEnd"/>
      <w:r w:rsidRPr="0070400F">
        <w:rPr>
          <w:rFonts w:asciiTheme="minorHAnsi" w:eastAsiaTheme="minorHAnsi" w:hAnsiTheme="minorHAnsi" w:cstheme="minorHAnsi"/>
          <w:sz w:val="22"/>
          <w:szCs w:val="22"/>
          <w:lang w:val="en-US"/>
        </w:rPr>
        <w:t xml:space="preserve"> F, &amp; Little, J.D.C., (1997). Can advertising copy make FSI coupons more effective? J. Mark. Res., 34(4): 473-84</w:t>
      </w:r>
    </w:p>
    <w:p w14:paraId="7FE4357D"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proofErr w:type="spellStart"/>
      <w:r w:rsidRPr="0070400F">
        <w:rPr>
          <w:rFonts w:asciiTheme="minorHAnsi" w:eastAsiaTheme="minorHAnsi" w:hAnsiTheme="minorHAnsi" w:cstheme="minorHAnsi"/>
          <w:sz w:val="22"/>
          <w:szCs w:val="22"/>
        </w:rPr>
        <w:t>Leune</w:t>
      </w:r>
      <w:proofErr w:type="spellEnd"/>
      <w:r w:rsidRPr="0070400F">
        <w:rPr>
          <w:rFonts w:asciiTheme="minorHAnsi" w:eastAsiaTheme="minorHAnsi" w:hAnsiTheme="minorHAnsi" w:cstheme="minorHAnsi"/>
          <w:sz w:val="22"/>
          <w:szCs w:val="22"/>
        </w:rPr>
        <w:t xml:space="preserve">, J. M. G. (1993). Onderwijskwaliteit en de autonomie van scholen (Erasmus Universiteit Rotterdam vakgroep sociologie). Geraadpleegd van </w:t>
      </w:r>
      <w:hyperlink r:id="rId72" w:history="1">
        <w:r w:rsidRPr="0070400F">
          <w:rPr>
            <w:rFonts w:asciiTheme="minorHAnsi" w:eastAsiaTheme="minorHAnsi" w:hAnsiTheme="minorHAnsi" w:cstheme="minorHAnsi"/>
            <w:color w:val="0000FF"/>
            <w:sz w:val="22"/>
            <w:szCs w:val="22"/>
            <w:u w:val="single"/>
          </w:rPr>
          <w:t>http://www.hanleune.nl/docman/638-onderwijssociologie-en-onderwijsbeleid-in-nederland-1993</w:t>
        </w:r>
      </w:hyperlink>
    </w:p>
    <w:p w14:paraId="70E4F724"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lang w:val="en-US"/>
        </w:rPr>
        <w:t>Lian, P.C.S. &amp; Laing, A.W. (2004) Public sector purchasing of health services: a comparison with private sector purchasing. Journal of Purchasing &amp; Supply Management 10(6): 247–256.</w:t>
      </w:r>
    </w:p>
    <w:p w14:paraId="1AEA0E4D"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rPr>
        <w:t xml:space="preserve">Lin, H. H., &amp; Wang, Y. S. (2006). </w:t>
      </w:r>
      <w:r w:rsidRPr="0070400F">
        <w:rPr>
          <w:rFonts w:asciiTheme="minorHAnsi" w:eastAsiaTheme="minorHAnsi" w:hAnsiTheme="minorHAnsi" w:cstheme="minorHAnsi"/>
          <w:sz w:val="22"/>
          <w:szCs w:val="22"/>
          <w:lang w:val="en-US"/>
        </w:rPr>
        <w:t>An examination of the determinants of customer loyalty in mobile commerce contexts. Information and Management, 43(3), 271–282.</w:t>
      </w:r>
    </w:p>
    <w:p w14:paraId="20335AF2"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lang w:val="en-US"/>
        </w:rPr>
        <w:t>Loader, K. (2007). “The Challenge of Competitive Procurement: Value for Money versus Small Business Support.” Public Money &amp; Management, 27(5), (November): 307-314.</w:t>
      </w:r>
    </w:p>
    <w:p w14:paraId="6D34A784"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r w:rsidRPr="0070400F">
        <w:rPr>
          <w:rFonts w:asciiTheme="minorHAnsi" w:eastAsiaTheme="minorHAnsi" w:hAnsiTheme="minorHAnsi" w:cstheme="minorHAnsi"/>
          <w:sz w:val="22"/>
          <w:szCs w:val="22"/>
        </w:rPr>
        <w:t xml:space="preserve">Lubberman, J., &amp; Pijpers, J. (2013). Effectief professionaliseren binnen onderwijsorganisaties (COAP). Geraadpleegd van </w:t>
      </w:r>
      <w:hyperlink r:id="rId73" w:history="1">
        <w:r w:rsidRPr="0070400F">
          <w:rPr>
            <w:rFonts w:asciiTheme="minorHAnsi" w:eastAsiaTheme="minorHAnsi" w:hAnsiTheme="minorHAnsi" w:cstheme="minorHAnsi"/>
            <w:color w:val="0000FF"/>
            <w:sz w:val="22"/>
            <w:szCs w:val="22"/>
            <w:u w:val="single"/>
          </w:rPr>
          <w:t>https://www.voion.nl/downloads/14bff633-0e48-4ae8-afe3-f68fc68c12a3</w:t>
        </w:r>
      </w:hyperlink>
    </w:p>
    <w:p w14:paraId="180B563C"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proofErr w:type="spellStart"/>
      <w:r w:rsidRPr="0070400F">
        <w:rPr>
          <w:rFonts w:asciiTheme="minorHAnsi" w:eastAsiaTheme="minorHAnsi" w:hAnsiTheme="minorHAnsi" w:cstheme="minorHAnsi"/>
          <w:sz w:val="22"/>
          <w:szCs w:val="22"/>
          <w:lang w:val="en-US"/>
        </w:rPr>
        <w:t>Luzzini</w:t>
      </w:r>
      <w:proofErr w:type="spellEnd"/>
      <w:r w:rsidRPr="0070400F">
        <w:rPr>
          <w:rFonts w:asciiTheme="minorHAnsi" w:eastAsiaTheme="minorHAnsi" w:hAnsiTheme="minorHAnsi" w:cstheme="minorHAnsi"/>
          <w:sz w:val="22"/>
          <w:szCs w:val="22"/>
          <w:lang w:val="en-US"/>
        </w:rPr>
        <w:t xml:space="preserve">, D., </w:t>
      </w:r>
      <w:proofErr w:type="spellStart"/>
      <w:r w:rsidRPr="0070400F">
        <w:rPr>
          <w:rFonts w:asciiTheme="minorHAnsi" w:eastAsiaTheme="minorHAnsi" w:hAnsiTheme="minorHAnsi" w:cstheme="minorHAnsi"/>
          <w:sz w:val="22"/>
          <w:szCs w:val="22"/>
          <w:lang w:val="en-US"/>
        </w:rPr>
        <w:t>Longoni</w:t>
      </w:r>
      <w:proofErr w:type="spellEnd"/>
      <w:r w:rsidRPr="0070400F">
        <w:rPr>
          <w:rFonts w:asciiTheme="minorHAnsi" w:eastAsiaTheme="minorHAnsi" w:hAnsiTheme="minorHAnsi" w:cstheme="minorHAnsi"/>
          <w:sz w:val="22"/>
          <w:szCs w:val="22"/>
          <w:lang w:val="en-US"/>
        </w:rPr>
        <w:t xml:space="preserve">, A., Moretto, A., </w:t>
      </w:r>
      <w:proofErr w:type="spellStart"/>
      <w:r w:rsidRPr="0070400F">
        <w:rPr>
          <w:rFonts w:asciiTheme="minorHAnsi" w:eastAsiaTheme="minorHAnsi" w:hAnsiTheme="minorHAnsi" w:cstheme="minorHAnsi"/>
          <w:sz w:val="22"/>
          <w:szCs w:val="22"/>
          <w:lang w:val="en-US"/>
        </w:rPr>
        <w:t>Caniato</w:t>
      </w:r>
      <w:proofErr w:type="spellEnd"/>
      <w:r w:rsidRPr="0070400F">
        <w:rPr>
          <w:rFonts w:asciiTheme="minorHAnsi" w:eastAsiaTheme="minorHAnsi" w:hAnsiTheme="minorHAnsi" w:cstheme="minorHAnsi"/>
          <w:sz w:val="22"/>
          <w:szCs w:val="22"/>
          <w:lang w:val="en-US"/>
        </w:rPr>
        <w:t>, F., &amp; Brun, A. (2014). Organizing IT purchases: Evidence from a global study. Journal of Purchasing and Supply Management, 20(3), 143-155.</w:t>
      </w:r>
    </w:p>
    <w:p w14:paraId="05F80934"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lang w:val="en-US"/>
        </w:rPr>
        <w:t>Magali, S. L. (1977). The Rise of Professionalism. Univ. of California,</w:t>
      </w:r>
    </w:p>
    <w:p w14:paraId="7F8B3700"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lang w:val="en-US"/>
        </w:rPr>
        <w:t xml:space="preserve">McCue, C., &amp; Prier, E. (2007). “Using Agency Theory to Model Cooperative Public Purchasing.” In P. </w:t>
      </w:r>
      <w:proofErr w:type="spellStart"/>
      <w:r w:rsidRPr="0070400F">
        <w:rPr>
          <w:rFonts w:asciiTheme="minorHAnsi" w:eastAsiaTheme="minorHAnsi" w:hAnsiTheme="minorHAnsi" w:cstheme="minorHAnsi"/>
          <w:sz w:val="22"/>
          <w:szCs w:val="22"/>
          <w:lang w:val="en-US"/>
        </w:rPr>
        <w:t>Piga</w:t>
      </w:r>
      <w:proofErr w:type="spellEnd"/>
      <w:r w:rsidRPr="0070400F">
        <w:rPr>
          <w:rFonts w:asciiTheme="minorHAnsi" w:eastAsiaTheme="minorHAnsi" w:hAnsiTheme="minorHAnsi" w:cstheme="minorHAnsi"/>
          <w:sz w:val="22"/>
          <w:szCs w:val="22"/>
          <w:lang w:val="en-US"/>
        </w:rPr>
        <w:t xml:space="preserve"> &amp; K. V. Thai (Eds.), Advancing Public Procurement: Practices, Innovation and Knowledge-Sharing, 45-70. Boca Raton, FL: </w:t>
      </w:r>
      <w:proofErr w:type="spellStart"/>
      <w:r w:rsidRPr="0070400F">
        <w:rPr>
          <w:rFonts w:asciiTheme="minorHAnsi" w:eastAsiaTheme="minorHAnsi" w:hAnsiTheme="minorHAnsi" w:cstheme="minorHAnsi"/>
          <w:sz w:val="22"/>
          <w:szCs w:val="22"/>
          <w:lang w:val="en-US"/>
        </w:rPr>
        <w:t>PrAcademics</w:t>
      </w:r>
      <w:proofErr w:type="spellEnd"/>
      <w:r w:rsidRPr="0070400F">
        <w:rPr>
          <w:rFonts w:asciiTheme="minorHAnsi" w:eastAsiaTheme="minorHAnsi" w:hAnsiTheme="minorHAnsi" w:cstheme="minorHAnsi"/>
          <w:sz w:val="22"/>
          <w:szCs w:val="22"/>
          <w:lang w:val="en-US"/>
        </w:rPr>
        <w:t xml:space="preserve"> Press.</w:t>
      </w:r>
    </w:p>
    <w:p w14:paraId="1AC9FE21"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r w:rsidRPr="0070400F">
        <w:rPr>
          <w:rFonts w:asciiTheme="minorHAnsi" w:eastAsiaTheme="minorHAnsi" w:hAnsiTheme="minorHAnsi" w:cstheme="minorHAnsi"/>
          <w:sz w:val="22"/>
          <w:szCs w:val="22"/>
        </w:rPr>
        <w:t xml:space="preserve">Ministerie van OC&amp;W (2002). </w:t>
      </w:r>
      <w:proofErr w:type="gramStart"/>
      <w:r w:rsidRPr="0070400F">
        <w:rPr>
          <w:rFonts w:asciiTheme="minorHAnsi" w:eastAsiaTheme="minorHAnsi" w:hAnsiTheme="minorHAnsi" w:cstheme="minorHAnsi"/>
          <w:sz w:val="22"/>
          <w:szCs w:val="22"/>
        </w:rPr>
        <w:t>ICT monitor</w:t>
      </w:r>
      <w:proofErr w:type="gramEnd"/>
      <w:r w:rsidRPr="0070400F">
        <w:rPr>
          <w:rFonts w:asciiTheme="minorHAnsi" w:eastAsiaTheme="minorHAnsi" w:hAnsiTheme="minorHAnsi" w:cstheme="minorHAnsi"/>
          <w:sz w:val="22"/>
          <w:szCs w:val="22"/>
        </w:rPr>
        <w:t xml:space="preserve"> 2000-2001. Zoetermeer, Maart.</w:t>
      </w:r>
    </w:p>
    <w:p w14:paraId="5226E6AB"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lang w:val="en-US"/>
        </w:rPr>
        <w:lastRenderedPageBreak/>
        <w:t>Mintzberg, H. (1987). The strategy concept 1: five p’s for strategy. University of California</w:t>
      </w:r>
    </w:p>
    <w:p w14:paraId="396C0E2E"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lang w:val="en-US"/>
        </w:rPr>
        <w:t>Murray, G.J. (2009), “Improving the validity of public procurement research”, International Journal of Public Sector Management, Vol. 22 No. 2, pp. 91-103.</w:t>
      </w:r>
    </w:p>
    <w:p w14:paraId="0168CF4F"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lang w:val="en-US"/>
        </w:rPr>
        <w:t>Murray, G.J. (2009), “Improving the validity of public procurement research”, International Journal of Public Sector Management, Vol. 22 No. 2, p.91-103.</w:t>
      </w:r>
    </w:p>
    <w:p w14:paraId="2CE5BFF3"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r w:rsidRPr="0070400F">
        <w:rPr>
          <w:rFonts w:asciiTheme="minorHAnsi" w:eastAsiaTheme="minorHAnsi" w:hAnsiTheme="minorHAnsi" w:cstheme="minorHAnsi"/>
          <w:sz w:val="22"/>
          <w:szCs w:val="22"/>
          <w:lang w:val="en-US"/>
        </w:rPr>
        <w:t xml:space="preserve">NEVI/PIA (2005) “Purchasing Excellence </w:t>
      </w:r>
      <w:proofErr w:type="spellStart"/>
      <w:r w:rsidRPr="0070400F">
        <w:rPr>
          <w:rFonts w:asciiTheme="minorHAnsi" w:eastAsiaTheme="minorHAnsi" w:hAnsiTheme="minorHAnsi" w:cstheme="minorHAnsi"/>
          <w:sz w:val="22"/>
          <w:szCs w:val="22"/>
          <w:lang w:val="en-US"/>
        </w:rPr>
        <w:t>Publiek</w:t>
      </w:r>
      <w:proofErr w:type="spellEnd"/>
      <w:r w:rsidRPr="0070400F">
        <w:rPr>
          <w:rFonts w:asciiTheme="minorHAnsi" w:eastAsiaTheme="minorHAnsi" w:hAnsiTheme="minorHAnsi" w:cstheme="minorHAnsi"/>
          <w:sz w:val="22"/>
          <w:szCs w:val="22"/>
          <w:lang w:val="en-US"/>
        </w:rPr>
        <w:t xml:space="preserve">: MSU+ model”. </w:t>
      </w:r>
      <w:r w:rsidRPr="0070400F">
        <w:rPr>
          <w:rFonts w:asciiTheme="minorHAnsi" w:eastAsiaTheme="minorHAnsi" w:hAnsiTheme="minorHAnsi" w:cstheme="minorHAnsi"/>
          <w:sz w:val="22"/>
          <w:szCs w:val="22"/>
        </w:rPr>
        <w:t xml:space="preserve">Geraadpleegd van </w:t>
      </w:r>
      <w:hyperlink r:id="rId74" w:history="1">
        <w:r w:rsidRPr="0070400F">
          <w:rPr>
            <w:rFonts w:asciiTheme="minorHAnsi" w:eastAsiaTheme="minorHAnsi" w:hAnsiTheme="minorHAnsi" w:cstheme="minorHAnsi"/>
            <w:color w:val="0000FF"/>
            <w:sz w:val="22"/>
            <w:szCs w:val="22"/>
            <w:u w:val="single"/>
          </w:rPr>
          <w:t>https://nevi.nl/sites/default/files/MSU%20+/MSU+%202.0%20model.pdf</w:t>
        </w:r>
      </w:hyperlink>
    </w:p>
    <w:p w14:paraId="0501943D"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proofErr w:type="spellStart"/>
      <w:r w:rsidRPr="0070400F">
        <w:rPr>
          <w:rFonts w:asciiTheme="minorHAnsi" w:eastAsiaTheme="minorHAnsi" w:hAnsiTheme="minorHAnsi" w:cstheme="minorHAnsi"/>
          <w:sz w:val="22"/>
          <w:szCs w:val="22"/>
          <w:lang w:val="en-US"/>
        </w:rPr>
        <w:t>Noordegraaf</w:t>
      </w:r>
      <w:proofErr w:type="spellEnd"/>
      <w:r w:rsidRPr="0070400F">
        <w:rPr>
          <w:rFonts w:asciiTheme="minorHAnsi" w:eastAsiaTheme="minorHAnsi" w:hAnsiTheme="minorHAnsi" w:cstheme="minorHAnsi"/>
          <w:sz w:val="22"/>
          <w:szCs w:val="22"/>
          <w:lang w:val="en-US"/>
        </w:rPr>
        <w:t>, M. (2007) From ‘pure’ to ‘hybrid’ professionalism: Present-day professionalism inambiguous public domains, Administration and Society, 39, 6, 761–85</w:t>
      </w:r>
    </w:p>
    <w:p w14:paraId="28A0A7AA"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lang w:val="en-US"/>
        </w:rPr>
        <w:t xml:space="preserve">North, D. C. 1990. Institutions, institutional change and economic performance. Cambridge: Cambridge University </w:t>
      </w:r>
      <w:r w:rsidRPr="0070400F">
        <w:rPr>
          <w:rFonts w:asciiTheme="minorHAnsi" w:eastAsiaTheme="minorHAnsi" w:hAnsiTheme="minorHAnsi" w:cstheme="minorHAnsi"/>
          <w:sz w:val="22"/>
          <w:szCs w:val="22"/>
        </w:rPr>
        <w:t>Press</w:t>
      </w:r>
    </w:p>
    <w:p w14:paraId="364CE921"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lang w:val="en-US"/>
        </w:rPr>
        <w:t xml:space="preserve">Osborne, D. &amp; </w:t>
      </w:r>
      <w:proofErr w:type="spellStart"/>
      <w:r w:rsidRPr="0070400F">
        <w:rPr>
          <w:rFonts w:asciiTheme="minorHAnsi" w:eastAsiaTheme="minorHAnsi" w:hAnsiTheme="minorHAnsi" w:cstheme="minorHAnsi"/>
          <w:sz w:val="22"/>
          <w:szCs w:val="22"/>
          <w:lang w:val="en-US"/>
        </w:rPr>
        <w:t>Gaebler</w:t>
      </w:r>
      <w:proofErr w:type="spellEnd"/>
      <w:r w:rsidRPr="0070400F">
        <w:rPr>
          <w:rFonts w:asciiTheme="minorHAnsi" w:eastAsiaTheme="minorHAnsi" w:hAnsiTheme="minorHAnsi" w:cstheme="minorHAnsi"/>
          <w:sz w:val="22"/>
          <w:szCs w:val="22"/>
          <w:lang w:val="en-US"/>
        </w:rPr>
        <w:t>, T. (1992). Reinventing Government. New York, NY, Journal of Leisure Research, 27:3, 302-304,</w:t>
      </w:r>
    </w:p>
    <w:p w14:paraId="5798E64A"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lang w:val="en-US"/>
        </w:rPr>
        <w:t>Parker, D., &amp; Hartley, K. (1997). The economics of partnership sourcing versus adversarial competition: a critique. European Journal of Purchasing &amp; Supply Management, 3(2), 115-125.</w:t>
      </w:r>
    </w:p>
    <w:p w14:paraId="1FC78A90"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proofErr w:type="spellStart"/>
      <w:r w:rsidRPr="0070400F">
        <w:rPr>
          <w:rFonts w:asciiTheme="minorHAnsi" w:eastAsiaTheme="minorHAnsi" w:hAnsiTheme="minorHAnsi" w:cstheme="minorHAnsi"/>
          <w:sz w:val="22"/>
          <w:szCs w:val="22"/>
        </w:rPr>
        <w:t>Petegem</w:t>
      </w:r>
      <w:proofErr w:type="spellEnd"/>
      <w:r w:rsidRPr="0070400F">
        <w:rPr>
          <w:rFonts w:asciiTheme="minorHAnsi" w:eastAsiaTheme="minorHAnsi" w:hAnsiTheme="minorHAnsi" w:cstheme="minorHAnsi"/>
          <w:sz w:val="22"/>
          <w:szCs w:val="22"/>
        </w:rPr>
        <w:t xml:space="preserve">, van, P., &amp; </w:t>
      </w:r>
      <w:proofErr w:type="spellStart"/>
      <w:r w:rsidRPr="0070400F">
        <w:rPr>
          <w:rFonts w:asciiTheme="minorHAnsi" w:eastAsiaTheme="minorHAnsi" w:hAnsiTheme="minorHAnsi" w:cstheme="minorHAnsi"/>
          <w:sz w:val="22"/>
          <w:szCs w:val="22"/>
        </w:rPr>
        <w:t>Deneire</w:t>
      </w:r>
      <w:proofErr w:type="spellEnd"/>
      <w:r w:rsidRPr="0070400F">
        <w:rPr>
          <w:rFonts w:asciiTheme="minorHAnsi" w:eastAsiaTheme="minorHAnsi" w:hAnsiTheme="minorHAnsi" w:cstheme="minorHAnsi"/>
          <w:sz w:val="22"/>
          <w:szCs w:val="22"/>
        </w:rPr>
        <w:t xml:space="preserve">, A. (2004). Leerkrachten en ICT in het Vlaamse secundair </w:t>
      </w:r>
      <w:proofErr w:type="gramStart"/>
      <w:r w:rsidRPr="0070400F">
        <w:rPr>
          <w:rFonts w:asciiTheme="minorHAnsi" w:eastAsiaTheme="minorHAnsi" w:hAnsiTheme="minorHAnsi" w:cstheme="minorHAnsi"/>
          <w:sz w:val="22"/>
          <w:szCs w:val="22"/>
        </w:rPr>
        <w:t>onderwijs :</w:t>
      </w:r>
      <w:proofErr w:type="gramEnd"/>
      <w:r w:rsidRPr="0070400F">
        <w:rPr>
          <w:rFonts w:asciiTheme="minorHAnsi" w:eastAsiaTheme="minorHAnsi" w:hAnsiTheme="minorHAnsi" w:cstheme="minorHAnsi"/>
          <w:sz w:val="22"/>
          <w:szCs w:val="22"/>
        </w:rPr>
        <w:t xml:space="preserve"> resultaten van een internationaal vergelijkend OESO-onderzoek. Geraadpleegd van </w:t>
      </w:r>
      <w:hyperlink r:id="rId75" w:history="1">
        <w:r w:rsidRPr="0070400F">
          <w:rPr>
            <w:rFonts w:asciiTheme="minorHAnsi" w:eastAsiaTheme="minorHAnsi" w:hAnsiTheme="minorHAnsi" w:cstheme="minorHAnsi"/>
            <w:color w:val="0000FF"/>
            <w:sz w:val="22"/>
            <w:szCs w:val="22"/>
            <w:u w:val="single"/>
          </w:rPr>
          <w:t>http://koine.vsko.be/doc/PB/artikelen%20ICT/ICTOVanPetegemLeerkrachten1.pdf</w:t>
        </w:r>
      </w:hyperlink>
    </w:p>
    <w:p w14:paraId="451B7C72"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lang w:val="en-US"/>
        </w:rPr>
        <w:t xml:space="preserve">Pfeffer, J. &amp; </w:t>
      </w:r>
      <w:proofErr w:type="spellStart"/>
      <w:r w:rsidRPr="0070400F">
        <w:rPr>
          <w:rFonts w:asciiTheme="minorHAnsi" w:eastAsiaTheme="minorHAnsi" w:hAnsiTheme="minorHAnsi" w:cstheme="minorHAnsi"/>
          <w:sz w:val="22"/>
          <w:szCs w:val="22"/>
          <w:lang w:val="en-US"/>
        </w:rPr>
        <w:t>Salancik</w:t>
      </w:r>
      <w:proofErr w:type="spellEnd"/>
      <w:r w:rsidRPr="0070400F">
        <w:rPr>
          <w:rFonts w:asciiTheme="minorHAnsi" w:eastAsiaTheme="minorHAnsi" w:hAnsiTheme="minorHAnsi" w:cstheme="minorHAnsi"/>
          <w:sz w:val="22"/>
          <w:szCs w:val="22"/>
          <w:lang w:val="en-US"/>
        </w:rPr>
        <w:t>, G. R. (1978), The External Control of Organizations: A Resource Dependence Perspective, Harper &amp; Row, New York.</w:t>
      </w:r>
    </w:p>
    <w:p w14:paraId="4A81FBDA"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lang w:val="en-US"/>
        </w:rPr>
        <w:t xml:space="preserve">Pierson, C. (2006). Beyond the Welfare </w:t>
      </w:r>
      <w:proofErr w:type="gramStart"/>
      <w:r w:rsidRPr="0070400F">
        <w:rPr>
          <w:rFonts w:asciiTheme="minorHAnsi" w:eastAsiaTheme="minorHAnsi" w:hAnsiTheme="minorHAnsi" w:cstheme="minorHAnsi"/>
          <w:sz w:val="22"/>
          <w:szCs w:val="22"/>
          <w:lang w:val="en-US"/>
        </w:rPr>
        <w:t>State?:</w:t>
      </w:r>
      <w:proofErr w:type="gramEnd"/>
      <w:r w:rsidRPr="0070400F">
        <w:rPr>
          <w:rFonts w:asciiTheme="minorHAnsi" w:eastAsiaTheme="minorHAnsi" w:hAnsiTheme="minorHAnsi" w:cstheme="minorHAnsi"/>
          <w:sz w:val="22"/>
          <w:szCs w:val="22"/>
          <w:lang w:val="en-US"/>
        </w:rPr>
        <w:t xml:space="preserve"> The New Political Economy of Welfare (3rd </w:t>
      </w:r>
      <w:proofErr w:type="spellStart"/>
      <w:r w:rsidRPr="0070400F">
        <w:rPr>
          <w:rFonts w:asciiTheme="minorHAnsi" w:eastAsiaTheme="minorHAnsi" w:hAnsiTheme="minorHAnsi" w:cstheme="minorHAnsi"/>
          <w:sz w:val="22"/>
          <w:szCs w:val="22"/>
          <w:lang w:val="en-US"/>
        </w:rPr>
        <w:t>edn</w:t>
      </w:r>
      <w:proofErr w:type="spellEnd"/>
      <w:r w:rsidRPr="0070400F">
        <w:rPr>
          <w:rFonts w:asciiTheme="minorHAnsi" w:eastAsiaTheme="minorHAnsi" w:hAnsiTheme="minorHAnsi" w:cstheme="minorHAnsi"/>
          <w:sz w:val="22"/>
          <w:szCs w:val="22"/>
          <w:lang w:val="en-US"/>
        </w:rPr>
        <w:t>.) Cambridge: Polity Press</w:t>
      </w:r>
    </w:p>
    <w:p w14:paraId="77A7BD3F"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rPr>
        <w:t xml:space="preserve">Plantinga, M., de Ridder, K. &amp; </w:t>
      </w:r>
      <w:proofErr w:type="spellStart"/>
      <w:r w:rsidRPr="0070400F">
        <w:rPr>
          <w:rFonts w:asciiTheme="minorHAnsi" w:eastAsiaTheme="minorHAnsi" w:hAnsiTheme="minorHAnsi" w:cstheme="minorHAnsi"/>
          <w:sz w:val="22"/>
          <w:szCs w:val="22"/>
        </w:rPr>
        <w:t>Corra</w:t>
      </w:r>
      <w:proofErr w:type="spellEnd"/>
      <w:r w:rsidRPr="0070400F">
        <w:rPr>
          <w:rFonts w:asciiTheme="minorHAnsi" w:eastAsiaTheme="minorHAnsi" w:hAnsiTheme="minorHAnsi" w:cstheme="minorHAnsi"/>
          <w:sz w:val="22"/>
          <w:szCs w:val="22"/>
        </w:rPr>
        <w:t xml:space="preserve">, A. (2011). </w:t>
      </w:r>
      <w:r w:rsidRPr="0070400F">
        <w:rPr>
          <w:rFonts w:asciiTheme="minorHAnsi" w:eastAsiaTheme="minorHAnsi" w:hAnsiTheme="minorHAnsi" w:cstheme="minorHAnsi"/>
          <w:sz w:val="22"/>
          <w:szCs w:val="22"/>
          <w:lang w:val="en-US"/>
        </w:rPr>
        <w:t>Choosing Whether to Buy or Make: The Contracting Out of Employment Reintegration Services by Dutch Municipalities. Social Policy &amp; Administration, 45: 245-263.</w:t>
      </w:r>
    </w:p>
    <w:p w14:paraId="79141F08"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r w:rsidRPr="0070400F">
        <w:rPr>
          <w:rFonts w:asciiTheme="minorHAnsi" w:eastAsiaTheme="minorHAnsi" w:hAnsiTheme="minorHAnsi" w:cstheme="minorHAnsi"/>
          <w:sz w:val="22"/>
          <w:szCs w:val="22"/>
        </w:rPr>
        <w:t xml:space="preserve">Platform Onderwijs2032. (2016). Ons onderwijs2032: Eindadvies. Geraadpleegd van </w:t>
      </w:r>
      <w:hyperlink r:id="rId76" w:history="1">
        <w:r w:rsidRPr="0070400F">
          <w:rPr>
            <w:rFonts w:asciiTheme="minorHAnsi" w:eastAsiaTheme="minorHAnsi" w:hAnsiTheme="minorHAnsi" w:cstheme="minorHAnsi"/>
            <w:color w:val="0000FF"/>
            <w:sz w:val="22"/>
            <w:szCs w:val="22"/>
            <w:u w:val="single"/>
          </w:rPr>
          <w:t>https://www.rijksoverheid.nl/documenten/rapporten/2016/01/23/eindadvies-platform-onderwijs2032-ons-onderwijs2032</w:t>
        </w:r>
      </w:hyperlink>
    </w:p>
    <w:p w14:paraId="44DEAD31"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rPr>
        <w:t xml:space="preserve">Pulles, N., &amp; Veldman, J. (2012). </w:t>
      </w:r>
      <w:proofErr w:type="spellStart"/>
      <w:r w:rsidRPr="0070400F">
        <w:rPr>
          <w:rFonts w:asciiTheme="minorHAnsi" w:eastAsiaTheme="minorHAnsi" w:hAnsiTheme="minorHAnsi" w:cstheme="minorHAnsi"/>
          <w:sz w:val="22"/>
          <w:szCs w:val="22"/>
        </w:rPr>
        <w:t>Preferred</w:t>
      </w:r>
      <w:proofErr w:type="spellEnd"/>
      <w:r w:rsidRPr="0070400F">
        <w:rPr>
          <w:rFonts w:asciiTheme="minorHAnsi" w:eastAsiaTheme="minorHAnsi" w:hAnsiTheme="minorHAnsi" w:cstheme="minorHAnsi"/>
          <w:sz w:val="22"/>
          <w:szCs w:val="22"/>
        </w:rPr>
        <w:t xml:space="preserve"> </w:t>
      </w:r>
      <w:proofErr w:type="spellStart"/>
      <w:r w:rsidRPr="0070400F">
        <w:rPr>
          <w:rFonts w:asciiTheme="minorHAnsi" w:eastAsiaTheme="minorHAnsi" w:hAnsiTheme="minorHAnsi" w:cstheme="minorHAnsi"/>
          <w:sz w:val="22"/>
          <w:szCs w:val="22"/>
        </w:rPr>
        <w:t>customership</w:t>
      </w:r>
      <w:proofErr w:type="spellEnd"/>
      <w:r w:rsidRPr="0070400F">
        <w:rPr>
          <w:rFonts w:asciiTheme="minorHAnsi" w:eastAsiaTheme="minorHAnsi" w:hAnsiTheme="minorHAnsi" w:cstheme="minorHAnsi"/>
          <w:sz w:val="22"/>
          <w:szCs w:val="22"/>
        </w:rPr>
        <w:t xml:space="preserve">: een ontbrekende schakel? </w:t>
      </w:r>
      <w:proofErr w:type="spellStart"/>
      <w:r w:rsidRPr="0070400F">
        <w:rPr>
          <w:rFonts w:asciiTheme="minorHAnsi" w:eastAsiaTheme="minorHAnsi" w:hAnsiTheme="minorHAnsi" w:cstheme="minorHAnsi"/>
          <w:sz w:val="22"/>
          <w:szCs w:val="22"/>
          <w:lang w:val="en-US"/>
        </w:rPr>
        <w:t>Universiteit</w:t>
      </w:r>
      <w:proofErr w:type="spellEnd"/>
      <w:r w:rsidRPr="0070400F">
        <w:rPr>
          <w:rFonts w:asciiTheme="minorHAnsi" w:eastAsiaTheme="minorHAnsi" w:hAnsiTheme="minorHAnsi" w:cstheme="minorHAnsi"/>
          <w:sz w:val="22"/>
          <w:szCs w:val="22"/>
          <w:lang w:val="en-US"/>
        </w:rPr>
        <w:t xml:space="preserve"> van Twente.</w:t>
      </w:r>
    </w:p>
    <w:p w14:paraId="1B91A21F" w14:textId="0495610F" w:rsidR="00735768" w:rsidRPr="00735768" w:rsidRDefault="0070400F" w:rsidP="00833AE6">
      <w:pPr>
        <w:numPr>
          <w:ilvl w:val="0"/>
          <w:numId w:val="36"/>
        </w:numPr>
        <w:spacing w:after="0" w:line="276" w:lineRule="auto"/>
        <w:rPr>
          <w:rFonts w:asciiTheme="minorHAnsi" w:eastAsiaTheme="minorHAnsi" w:hAnsiTheme="minorHAnsi" w:cstheme="minorHAnsi"/>
          <w:sz w:val="22"/>
          <w:szCs w:val="22"/>
        </w:rPr>
      </w:pPr>
      <w:proofErr w:type="spellStart"/>
      <w:r w:rsidRPr="00735768">
        <w:rPr>
          <w:rFonts w:asciiTheme="minorHAnsi" w:eastAsiaTheme="minorHAnsi" w:hAnsiTheme="minorHAnsi" w:cstheme="minorHAnsi"/>
          <w:sz w:val="22"/>
          <w:szCs w:val="22"/>
        </w:rPr>
        <w:t>Ravesteijn</w:t>
      </w:r>
      <w:proofErr w:type="spellEnd"/>
      <w:r w:rsidRPr="00735768">
        <w:rPr>
          <w:rFonts w:asciiTheme="minorHAnsi" w:eastAsiaTheme="minorHAnsi" w:hAnsiTheme="minorHAnsi" w:cstheme="minorHAnsi"/>
          <w:sz w:val="22"/>
          <w:szCs w:val="22"/>
        </w:rPr>
        <w:t xml:space="preserve">, P. (2013). Overheid &amp; IT–een ongelukkig huwelijk. </w:t>
      </w:r>
      <w:r w:rsidRPr="00735768">
        <w:rPr>
          <w:rFonts w:asciiTheme="minorHAnsi" w:eastAsiaTheme="minorHAnsi" w:hAnsiTheme="minorHAnsi" w:cstheme="minorHAnsi"/>
          <w:sz w:val="22"/>
          <w:szCs w:val="22"/>
          <w:lang w:val="en-US"/>
        </w:rPr>
        <w:t>Business Information magazine, 2013(</w:t>
      </w:r>
      <w:proofErr w:type="spellStart"/>
      <w:r w:rsidRPr="00735768">
        <w:rPr>
          <w:rFonts w:asciiTheme="minorHAnsi" w:eastAsiaTheme="minorHAnsi" w:hAnsiTheme="minorHAnsi" w:cstheme="minorHAnsi"/>
          <w:sz w:val="22"/>
          <w:szCs w:val="22"/>
          <w:lang w:val="en-US"/>
        </w:rPr>
        <w:t>juni</w:t>
      </w:r>
      <w:proofErr w:type="spellEnd"/>
      <w:r w:rsidRPr="00735768">
        <w:rPr>
          <w:rFonts w:asciiTheme="minorHAnsi" w:eastAsiaTheme="minorHAnsi" w:hAnsiTheme="minorHAnsi" w:cstheme="minorHAnsi"/>
          <w:sz w:val="22"/>
          <w:szCs w:val="22"/>
          <w:lang w:val="en-US"/>
        </w:rPr>
        <w:t>), 28-29.</w:t>
      </w:r>
      <w:r w:rsidR="00735768" w:rsidRPr="00735768">
        <w:rPr>
          <w:rFonts w:asciiTheme="minorHAnsi" w:eastAsiaTheme="minorHAnsi" w:hAnsiTheme="minorHAnsi" w:cstheme="minorHAnsi"/>
          <w:sz w:val="22"/>
          <w:szCs w:val="22"/>
          <w:lang w:val="en-US"/>
        </w:rPr>
        <w:t xml:space="preserve"> </w:t>
      </w:r>
      <w:r w:rsidR="00735768" w:rsidRPr="00735768">
        <w:rPr>
          <w:rFonts w:asciiTheme="minorHAnsi" w:eastAsiaTheme="minorHAnsi" w:hAnsiTheme="minorHAnsi" w:cstheme="minorHAnsi"/>
          <w:sz w:val="22"/>
          <w:szCs w:val="22"/>
        </w:rPr>
        <w:t xml:space="preserve">Geraadpleegd van </w:t>
      </w:r>
      <w:hyperlink r:id="rId77" w:history="1">
        <w:r w:rsidR="00735768" w:rsidRPr="00735768">
          <w:rPr>
            <w:rStyle w:val="Hyperlink"/>
            <w:rFonts w:asciiTheme="minorHAnsi" w:eastAsiaTheme="minorHAnsi" w:hAnsiTheme="minorHAnsi" w:cstheme="minorHAnsi"/>
            <w:sz w:val="22"/>
            <w:szCs w:val="22"/>
          </w:rPr>
          <w:t>https://surfsharekit.nl/publiek/hu/876c8350-0bd4-407e-b816-7949ee2e7097</w:t>
        </w:r>
      </w:hyperlink>
    </w:p>
    <w:p w14:paraId="7F0D67B1"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lang w:val="en-US"/>
        </w:rPr>
        <w:t>Reeves, J. (2008). Between a rock and a hard place? A Curriculum for Excellence and the quality initiative in Scottish schools. Scottish Educational Review, 40, 6-16.</w:t>
      </w:r>
    </w:p>
    <w:p w14:paraId="404FE8F6"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r w:rsidRPr="0070400F">
        <w:rPr>
          <w:rFonts w:asciiTheme="minorHAnsi" w:eastAsiaTheme="minorHAnsi" w:hAnsiTheme="minorHAnsi" w:cstheme="minorHAnsi"/>
          <w:sz w:val="22"/>
          <w:szCs w:val="22"/>
        </w:rPr>
        <w:t>Rijksoverheid. (</w:t>
      </w:r>
      <w:proofErr w:type="spellStart"/>
      <w:r w:rsidRPr="0070400F">
        <w:rPr>
          <w:rFonts w:asciiTheme="minorHAnsi" w:eastAsiaTheme="minorHAnsi" w:hAnsiTheme="minorHAnsi" w:cstheme="minorHAnsi"/>
          <w:sz w:val="22"/>
          <w:szCs w:val="22"/>
        </w:rPr>
        <w:t>z.d.</w:t>
      </w:r>
      <w:proofErr w:type="spellEnd"/>
      <w:r w:rsidRPr="0070400F">
        <w:rPr>
          <w:rFonts w:asciiTheme="minorHAnsi" w:eastAsiaTheme="minorHAnsi" w:hAnsiTheme="minorHAnsi" w:cstheme="minorHAnsi"/>
          <w:sz w:val="22"/>
          <w:szCs w:val="22"/>
        </w:rPr>
        <w:t xml:space="preserve">). Rijksbegroting 2015 [Dataset]. Geraadpleegd op 10 juni 2017, van </w:t>
      </w:r>
      <w:hyperlink r:id="rId78" w:history="1">
        <w:r w:rsidRPr="0070400F">
          <w:rPr>
            <w:rFonts w:asciiTheme="minorHAnsi" w:eastAsiaTheme="minorHAnsi" w:hAnsiTheme="minorHAnsi" w:cstheme="minorHAnsi"/>
            <w:color w:val="0000FF"/>
            <w:sz w:val="22"/>
            <w:szCs w:val="22"/>
            <w:u w:val="single"/>
          </w:rPr>
          <w:t>http://www.rijksbegroting.nl/2017/voorbereiding/begroting,kst226152_15.html</w:t>
        </w:r>
      </w:hyperlink>
    </w:p>
    <w:p w14:paraId="54A9025A"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r w:rsidRPr="0070400F">
        <w:rPr>
          <w:rFonts w:asciiTheme="minorHAnsi" w:eastAsiaTheme="minorHAnsi" w:hAnsiTheme="minorHAnsi" w:cstheme="minorHAnsi"/>
          <w:sz w:val="22"/>
          <w:szCs w:val="22"/>
          <w:lang w:val="en-US"/>
        </w:rPr>
        <w:t xml:space="preserve">Robinson, M. (1998). Accrual accounting and the efficiency of the core public sector. </w:t>
      </w:r>
      <w:r w:rsidRPr="0070400F">
        <w:rPr>
          <w:rFonts w:asciiTheme="minorHAnsi" w:eastAsiaTheme="minorHAnsi" w:hAnsiTheme="minorHAnsi" w:cstheme="minorHAnsi"/>
          <w:sz w:val="22"/>
          <w:szCs w:val="22"/>
        </w:rPr>
        <w:t>Financial Accountability &amp; Management, 14(1), 21-37.</w:t>
      </w:r>
    </w:p>
    <w:p w14:paraId="1C076DE6"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lang w:val="en-US"/>
        </w:rPr>
        <w:t xml:space="preserve">Rousseau, D., </w:t>
      </w:r>
      <w:proofErr w:type="spellStart"/>
      <w:r w:rsidRPr="0070400F">
        <w:rPr>
          <w:rFonts w:asciiTheme="minorHAnsi" w:eastAsiaTheme="minorHAnsi" w:hAnsiTheme="minorHAnsi" w:cstheme="minorHAnsi"/>
          <w:sz w:val="22"/>
          <w:szCs w:val="22"/>
          <w:lang w:val="en-US"/>
        </w:rPr>
        <w:t>Sitkin</w:t>
      </w:r>
      <w:proofErr w:type="spellEnd"/>
      <w:r w:rsidRPr="0070400F">
        <w:rPr>
          <w:rFonts w:asciiTheme="minorHAnsi" w:eastAsiaTheme="minorHAnsi" w:hAnsiTheme="minorHAnsi" w:cstheme="minorHAnsi"/>
          <w:sz w:val="22"/>
          <w:szCs w:val="22"/>
          <w:lang w:val="en-US"/>
        </w:rPr>
        <w:t>, S. B., Burt, R. S. &amp; Camerer, C. (1998). ‘Not so different after all: A cross-discipline view of trust’. Academy of Management Review, 23(3), 393-404.</w:t>
      </w:r>
    </w:p>
    <w:p w14:paraId="640FC839"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proofErr w:type="spellStart"/>
      <w:r w:rsidRPr="0070400F">
        <w:rPr>
          <w:rFonts w:asciiTheme="minorHAnsi" w:eastAsiaTheme="minorHAnsi" w:hAnsiTheme="minorHAnsi" w:cstheme="minorHAnsi"/>
          <w:sz w:val="22"/>
          <w:szCs w:val="22"/>
          <w:lang w:val="en-US"/>
        </w:rPr>
        <w:t>Rozemeijer</w:t>
      </w:r>
      <w:proofErr w:type="spellEnd"/>
      <w:r w:rsidRPr="0070400F">
        <w:rPr>
          <w:rFonts w:asciiTheme="minorHAnsi" w:eastAsiaTheme="minorHAnsi" w:hAnsiTheme="minorHAnsi" w:cstheme="minorHAnsi"/>
          <w:sz w:val="22"/>
          <w:szCs w:val="22"/>
          <w:lang w:val="en-US"/>
        </w:rPr>
        <w:t xml:space="preserve">, F. &amp; </w:t>
      </w:r>
      <w:proofErr w:type="spellStart"/>
      <w:r w:rsidRPr="0070400F">
        <w:rPr>
          <w:rFonts w:asciiTheme="minorHAnsi" w:eastAsiaTheme="minorHAnsi" w:hAnsiTheme="minorHAnsi" w:cstheme="minorHAnsi"/>
          <w:sz w:val="22"/>
          <w:szCs w:val="22"/>
          <w:lang w:val="en-US"/>
        </w:rPr>
        <w:t>Valk</w:t>
      </w:r>
      <w:proofErr w:type="spellEnd"/>
      <w:r w:rsidRPr="0070400F">
        <w:rPr>
          <w:rFonts w:asciiTheme="minorHAnsi" w:eastAsiaTheme="minorHAnsi" w:hAnsiTheme="minorHAnsi" w:cstheme="minorHAnsi"/>
          <w:sz w:val="22"/>
          <w:szCs w:val="22"/>
          <w:lang w:val="en-US"/>
        </w:rPr>
        <w:t>, van der., W. (2009) Buying business services: Towards a structured service purchasing process. In: The Journal of services marketing. 23, 1, p.3-10</w:t>
      </w:r>
    </w:p>
    <w:p w14:paraId="4C813156"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proofErr w:type="spellStart"/>
      <w:r w:rsidRPr="0070400F">
        <w:rPr>
          <w:rFonts w:asciiTheme="minorHAnsi" w:eastAsiaTheme="minorHAnsi" w:hAnsiTheme="minorHAnsi" w:cstheme="minorHAnsi"/>
          <w:sz w:val="22"/>
          <w:szCs w:val="22"/>
          <w:lang w:val="en-US"/>
        </w:rPr>
        <w:t>Rozemeijer</w:t>
      </w:r>
      <w:proofErr w:type="spellEnd"/>
      <w:r w:rsidRPr="0070400F">
        <w:rPr>
          <w:rFonts w:asciiTheme="minorHAnsi" w:eastAsiaTheme="minorHAnsi" w:hAnsiTheme="minorHAnsi" w:cstheme="minorHAnsi"/>
          <w:sz w:val="22"/>
          <w:szCs w:val="22"/>
          <w:lang w:val="en-US"/>
        </w:rPr>
        <w:t xml:space="preserve">, F. (2000). How to manage corporate purchasing synergy in a </w:t>
      </w:r>
      <w:proofErr w:type="spellStart"/>
      <w:r w:rsidRPr="0070400F">
        <w:rPr>
          <w:rFonts w:asciiTheme="minorHAnsi" w:eastAsiaTheme="minorHAnsi" w:hAnsiTheme="minorHAnsi" w:cstheme="minorHAnsi"/>
          <w:sz w:val="22"/>
          <w:szCs w:val="22"/>
          <w:lang w:val="en-US"/>
        </w:rPr>
        <w:t>decentralised</w:t>
      </w:r>
      <w:proofErr w:type="spellEnd"/>
      <w:r w:rsidRPr="0070400F">
        <w:rPr>
          <w:rFonts w:asciiTheme="minorHAnsi" w:eastAsiaTheme="minorHAnsi" w:hAnsiTheme="minorHAnsi" w:cstheme="minorHAnsi"/>
          <w:sz w:val="22"/>
          <w:szCs w:val="22"/>
          <w:lang w:val="en-US"/>
        </w:rPr>
        <w:t xml:space="preserve"> company? Towards design rules for managing and </w:t>
      </w:r>
      <w:proofErr w:type="spellStart"/>
      <w:r w:rsidRPr="0070400F">
        <w:rPr>
          <w:rFonts w:asciiTheme="minorHAnsi" w:eastAsiaTheme="minorHAnsi" w:hAnsiTheme="minorHAnsi" w:cstheme="minorHAnsi"/>
          <w:sz w:val="22"/>
          <w:szCs w:val="22"/>
          <w:lang w:val="en-US"/>
        </w:rPr>
        <w:t>organising</w:t>
      </w:r>
      <w:proofErr w:type="spellEnd"/>
      <w:r w:rsidRPr="0070400F">
        <w:rPr>
          <w:rFonts w:asciiTheme="minorHAnsi" w:eastAsiaTheme="minorHAnsi" w:hAnsiTheme="minorHAnsi" w:cstheme="minorHAnsi"/>
          <w:sz w:val="22"/>
          <w:szCs w:val="22"/>
          <w:lang w:val="en-US"/>
        </w:rPr>
        <w:t xml:space="preserve"> purchasing synergy in </w:t>
      </w:r>
      <w:proofErr w:type="spellStart"/>
      <w:r w:rsidRPr="0070400F">
        <w:rPr>
          <w:rFonts w:asciiTheme="minorHAnsi" w:eastAsiaTheme="minorHAnsi" w:hAnsiTheme="minorHAnsi" w:cstheme="minorHAnsi"/>
          <w:sz w:val="22"/>
          <w:szCs w:val="22"/>
          <w:lang w:val="en-US"/>
        </w:rPr>
        <w:t>decentralised</w:t>
      </w:r>
      <w:proofErr w:type="spellEnd"/>
      <w:r w:rsidRPr="0070400F">
        <w:rPr>
          <w:rFonts w:asciiTheme="minorHAnsi" w:eastAsiaTheme="minorHAnsi" w:hAnsiTheme="minorHAnsi" w:cstheme="minorHAnsi"/>
          <w:sz w:val="22"/>
          <w:szCs w:val="22"/>
          <w:lang w:val="en-US"/>
        </w:rPr>
        <w:t xml:space="preserve"> companies. </w:t>
      </w:r>
      <w:r w:rsidRPr="0070400F">
        <w:rPr>
          <w:rFonts w:asciiTheme="minorHAnsi" w:eastAsiaTheme="minorHAnsi" w:hAnsiTheme="minorHAnsi" w:cstheme="minorHAnsi"/>
          <w:sz w:val="22"/>
          <w:szCs w:val="22"/>
        </w:rPr>
        <w:t xml:space="preserve">European Journal of </w:t>
      </w:r>
      <w:proofErr w:type="spellStart"/>
      <w:r w:rsidRPr="0070400F">
        <w:rPr>
          <w:rFonts w:asciiTheme="minorHAnsi" w:eastAsiaTheme="minorHAnsi" w:hAnsiTheme="minorHAnsi" w:cstheme="minorHAnsi"/>
          <w:sz w:val="22"/>
          <w:szCs w:val="22"/>
        </w:rPr>
        <w:t>Purchasing</w:t>
      </w:r>
      <w:proofErr w:type="spellEnd"/>
      <w:r w:rsidRPr="0070400F">
        <w:rPr>
          <w:rFonts w:asciiTheme="minorHAnsi" w:eastAsiaTheme="minorHAnsi" w:hAnsiTheme="minorHAnsi" w:cstheme="minorHAnsi"/>
          <w:sz w:val="22"/>
          <w:szCs w:val="22"/>
        </w:rPr>
        <w:t xml:space="preserve"> &amp; Supply Management, 6(1), 5-12.</w:t>
      </w:r>
    </w:p>
    <w:p w14:paraId="46EBDB1C"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proofErr w:type="spellStart"/>
      <w:r w:rsidRPr="0070400F">
        <w:rPr>
          <w:rFonts w:asciiTheme="minorHAnsi" w:eastAsiaTheme="minorHAnsi" w:hAnsiTheme="minorHAnsi" w:cstheme="minorHAnsi"/>
          <w:sz w:val="22"/>
          <w:szCs w:val="22"/>
        </w:rPr>
        <w:t>Rozemeijer</w:t>
      </w:r>
      <w:proofErr w:type="spellEnd"/>
      <w:r w:rsidRPr="0070400F">
        <w:rPr>
          <w:rFonts w:asciiTheme="minorHAnsi" w:eastAsiaTheme="minorHAnsi" w:hAnsiTheme="minorHAnsi" w:cstheme="minorHAnsi"/>
          <w:sz w:val="22"/>
          <w:szCs w:val="22"/>
        </w:rPr>
        <w:t xml:space="preserve">, F. A., Weele, A., &amp; Weggeman, M. (2003). </w:t>
      </w:r>
      <w:r w:rsidRPr="0070400F">
        <w:rPr>
          <w:rFonts w:asciiTheme="minorHAnsi" w:eastAsiaTheme="minorHAnsi" w:hAnsiTheme="minorHAnsi" w:cstheme="minorHAnsi"/>
          <w:sz w:val="22"/>
          <w:szCs w:val="22"/>
          <w:lang w:val="en-US"/>
        </w:rPr>
        <w:t>Creating corporate advantage through purchasing: toward a contingency model. Journal of Supply Chain Management, 39(4), 4-13.</w:t>
      </w:r>
    </w:p>
    <w:p w14:paraId="6141ADE4"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proofErr w:type="spellStart"/>
      <w:r w:rsidRPr="0070400F">
        <w:rPr>
          <w:rFonts w:asciiTheme="minorHAnsi" w:eastAsiaTheme="minorHAnsi" w:hAnsiTheme="minorHAnsi" w:cstheme="minorHAnsi"/>
          <w:sz w:val="22"/>
          <w:szCs w:val="22"/>
        </w:rPr>
        <w:t>Rozemeijer</w:t>
      </w:r>
      <w:proofErr w:type="spellEnd"/>
      <w:r w:rsidRPr="0070400F">
        <w:rPr>
          <w:rFonts w:asciiTheme="minorHAnsi" w:eastAsiaTheme="minorHAnsi" w:hAnsiTheme="minorHAnsi" w:cstheme="minorHAnsi"/>
          <w:sz w:val="22"/>
          <w:szCs w:val="22"/>
        </w:rPr>
        <w:t>, F., &amp; Weele, van, A.J. (1996). Revolutie in inkoop. Holland Management Review, 49, 19-27</w:t>
      </w:r>
    </w:p>
    <w:p w14:paraId="6555B5AD"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lang w:val="en-US"/>
        </w:rPr>
        <w:lastRenderedPageBreak/>
        <w:t>Schiele, H. (2007). Supply-management maturity, cost savings and purchasing absorptive capacity: Testing the procurement–performance link. Journal of Purchasing &amp; Supply Management, 274–293.</w:t>
      </w:r>
    </w:p>
    <w:p w14:paraId="24278DC2"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r w:rsidRPr="0070400F">
        <w:rPr>
          <w:rFonts w:asciiTheme="minorHAnsi" w:eastAsiaTheme="minorHAnsi" w:hAnsiTheme="minorHAnsi" w:cstheme="minorHAnsi"/>
          <w:sz w:val="22"/>
          <w:szCs w:val="22"/>
        </w:rPr>
        <w:t xml:space="preserve">Schreijer, J. (2013). Professionalisering van inkoop bevordert een efficiënte bedrijfsvoering en levert veel geld op”. Geraadpleegd op 5 maart 2018, van </w:t>
      </w:r>
      <w:hyperlink r:id="rId79" w:history="1">
        <w:r w:rsidRPr="0070400F">
          <w:rPr>
            <w:rFonts w:asciiTheme="minorHAnsi" w:eastAsiaTheme="minorHAnsi" w:hAnsiTheme="minorHAnsi" w:cstheme="minorHAnsi"/>
            <w:color w:val="0000FF"/>
            <w:sz w:val="22"/>
            <w:szCs w:val="22"/>
            <w:u w:val="single"/>
          </w:rPr>
          <w:t>http://www.schoolfacilities.nl/bedrijfsvoering/inkoop/3418-john-schreijer-professionalisering-van-inkoop-bevordert-een-efficiente-bedrijfsvoering-en-levert-veel-geld-op</w:t>
        </w:r>
      </w:hyperlink>
    </w:p>
    <w:p w14:paraId="1C761223"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proofErr w:type="spellStart"/>
      <w:r w:rsidRPr="0070400F">
        <w:rPr>
          <w:rFonts w:asciiTheme="minorHAnsi" w:eastAsiaTheme="minorHAnsi" w:hAnsiTheme="minorHAnsi" w:cstheme="minorHAnsi"/>
          <w:sz w:val="22"/>
          <w:szCs w:val="22"/>
          <w:lang w:val="en-US"/>
        </w:rPr>
        <w:t>Schreurs</w:t>
      </w:r>
      <w:proofErr w:type="spellEnd"/>
      <w:r w:rsidRPr="0070400F">
        <w:rPr>
          <w:rFonts w:asciiTheme="minorHAnsi" w:eastAsiaTheme="minorHAnsi" w:hAnsiTheme="minorHAnsi" w:cstheme="minorHAnsi"/>
          <w:sz w:val="22"/>
          <w:szCs w:val="22"/>
          <w:lang w:val="en-US"/>
        </w:rPr>
        <w:t>, J. (2007). ICT use in school: vision and performance measures. In M. Auer (Ed.), E-portfolio and quality in e-learning (pp. 1-12). Villach: Kassel University Press</w:t>
      </w:r>
    </w:p>
    <w:p w14:paraId="78A28734"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lang w:val="en-US"/>
        </w:rPr>
        <w:t>Schwartz, B. (2005). ‘The paradox of choice: Why more is less’. New York, NY: HarperCollins</w:t>
      </w:r>
    </w:p>
    <w:p w14:paraId="0E29C277"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lang w:val="en-US"/>
        </w:rPr>
        <w:t>Simon, H. A. (1955). A behavioral model of rational choice. Q. J. Econ. 69:99-118</w:t>
      </w:r>
    </w:p>
    <w:p w14:paraId="73160A59"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r w:rsidRPr="0070400F">
        <w:rPr>
          <w:rFonts w:asciiTheme="minorHAnsi" w:eastAsiaTheme="minorHAnsi" w:hAnsiTheme="minorHAnsi" w:cstheme="minorHAnsi"/>
          <w:sz w:val="22"/>
          <w:szCs w:val="22"/>
        </w:rPr>
        <w:t>Simons, P. R. J. (2002). Digitale didactiek: hoe (kunnen) academici leren ICT te gebruiken in hun onderwijs. Inaugurele rede Universiteit Utrecht, 10 oktober 2002, 1-60.</w:t>
      </w:r>
    </w:p>
    <w:p w14:paraId="2F97DE3C"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lang w:val="en-US"/>
        </w:rPr>
        <w:t>Slyke, van, D. M. (2007). Agents or stewards: Using theory to understand the government–nonprofit social services contracting relationship. Journal of Public Administration Research and Theory, 17(2), 157-187.</w:t>
      </w:r>
    </w:p>
    <w:p w14:paraId="70357ED5" w14:textId="3F81C0E9"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r w:rsidRPr="0070400F">
        <w:rPr>
          <w:rFonts w:asciiTheme="minorHAnsi" w:eastAsiaTheme="minorHAnsi" w:hAnsiTheme="minorHAnsi" w:cstheme="minorHAnsi"/>
          <w:sz w:val="22"/>
          <w:szCs w:val="22"/>
        </w:rPr>
        <w:t>Smit, N.,</w:t>
      </w:r>
      <w:r w:rsidR="00735768">
        <w:rPr>
          <w:rFonts w:asciiTheme="minorHAnsi" w:eastAsiaTheme="minorHAnsi" w:hAnsiTheme="minorHAnsi" w:cstheme="minorHAnsi"/>
          <w:sz w:val="22"/>
          <w:szCs w:val="22"/>
        </w:rPr>
        <w:t xml:space="preserve"> &amp;</w:t>
      </w:r>
      <w:r w:rsidRPr="0070400F">
        <w:rPr>
          <w:rFonts w:asciiTheme="minorHAnsi" w:eastAsiaTheme="minorHAnsi" w:hAnsiTheme="minorHAnsi" w:cstheme="minorHAnsi"/>
          <w:sz w:val="22"/>
          <w:szCs w:val="22"/>
        </w:rPr>
        <w:t xml:space="preserve"> Van Thiel</w:t>
      </w:r>
      <w:r w:rsidR="00735768">
        <w:rPr>
          <w:rFonts w:asciiTheme="minorHAnsi" w:eastAsiaTheme="minorHAnsi" w:hAnsiTheme="minorHAnsi" w:cstheme="minorHAnsi"/>
          <w:sz w:val="22"/>
          <w:szCs w:val="22"/>
        </w:rPr>
        <w:t>, S.</w:t>
      </w:r>
      <w:r w:rsidRPr="0070400F">
        <w:rPr>
          <w:rFonts w:asciiTheme="minorHAnsi" w:eastAsiaTheme="minorHAnsi" w:hAnsiTheme="minorHAnsi" w:cstheme="minorHAnsi"/>
          <w:sz w:val="22"/>
          <w:szCs w:val="22"/>
        </w:rPr>
        <w:t xml:space="preserve"> (2002). De zakelijke overheid: publieke en bedrijfsmatige waarden in </w:t>
      </w:r>
      <w:proofErr w:type="spellStart"/>
      <w:r w:rsidRPr="0070400F">
        <w:rPr>
          <w:rFonts w:asciiTheme="minorHAnsi" w:eastAsiaTheme="minorHAnsi" w:hAnsiTheme="minorHAnsi" w:cstheme="minorHAnsi"/>
          <w:sz w:val="22"/>
          <w:szCs w:val="22"/>
        </w:rPr>
        <w:t>publiekprivate</w:t>
      </w:r>
      <w:proofErr w:type="spellEnd"/>
      <w:r w:rsidRPr="0070400F">
        <w:rPr>
          <w:rFonts w:asciiTheme="minorHAnsi" w:eastAsiaTheme="minorHAnsi" w:hAnsiTheme="minorHAnsi" w:cstheme="minorHAnsi"/>
          <w:sz w:val="22"/>
          <w:szCs w:val="22"/>
        </w:rPr>
        <w:t xml:space="preserve"> samenwerking. Rotterdam: Erasmus Universiteit.</w:t>
      </w:r>
    </w:p>
    <w:p w14:paraId="4F4FA5D1"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proofErr w:type="spellStart"/>
      <w:r w:rsidRPr="0070400F">
        <w:rPr>
          <w:rFonts w:asciiTheme="minorHAnsi" w:eastAsiaTheme="minorHAnsi" w:hAnsiTheme="minorHAnsi" w:cstheme="minorHAnsi"/>
          <w:sz w:val="22"/>
          <w:szCs w:val="22"/>
          <w:lang w:val="en-US"/>
        </w:rPr>
        <w:t>Soudry</w:t>
      </w:r>
      <w:proofErr w:type="spellEnd"/>
      <w:r w:rsidRPr="0070400F">
        <w:rPr>
          <w:rFonts w:asciiTheme="minorHAnsi" w:eastAsiaTheme="minorHAnsi" w:hAnsiTheme="minorHAnsi" w:cstheme="minorHAnsi"/>
          <w:sz w:val="22"/>
          <w:szCs w:val="22"/>
          <w:lang w:val="en-US"/>
        </w:rPr>
        <w:t xml:space="preserve">, O. (2007). “A principal-agent analysis of accountability in public procurement”, in </w:t>
      </w:r>
      <w:proofErr w:type="spellStart"/>
      <w:r w:rsidRPr="0070400F">
        <w:rPr>
          <w:rFonts w:asciiTheme="minorHAnsi" w:eastAsiaTheme="minorHAnsi" w:hAnsiTheme="minorHAnsi" w:cstheme="minorHAnsi"/>
          <w:sz w:val="22"/>
          <w:szCs w:val="22"/>
          <w:lang w:val="en-US"/>
        </w:rPr>
        <w:t>Piga</w:t>
      </w:r>
      <w:proofErr w:type="spellEnd"/>
      <w:r w:rsidRPr="0070400F">
        <w:rPr>
          <w:rFonts w:asciiTheme="minorHAnsi" w:eastAsiaTheme="minorHAnsi" w:hAnsiTheme="minorHAnsi" w:cstheme="minorHAnsi"/>
          <w:sz w:val="22"/>
          <w:szCs w:val="22"/>
          <w:lang w:val="en-US"/>
        </w:rPr>
        <w:t xml:space="preserve">, P. and Thai, K.V. (Eds), Advancing Public Procurement: Practices, Innovation and Knowledge-sharing, </w:t>
      </w:r>
      <w:proofErr w:type="spellStart"/>
      <w:r w:rsidRPr="0070400F">
        <w:rPr>
          <w:rFonts w:asciiTheme="minorHAnsi" w:eastAsiaTheme="minorHAnsi" w:hAnsiTheme="minorHAnsi" w:cstheme="minorHAnsi"/>
          <w:sz w:val="22"/>
          <w:szCs w:val="22"/>
          <w:lang w:val="en-US"/>
        </w:rPr>
        <w:t>PrAcademics</w:t>
      </w:r>
      <w:proofErr w:type="spellEnd"/>
      <w:r w:rsidRPr="0070400F">
        <w:rPr>
          <w:rFonts w:asciiTheme="minorHAnsi" w:eastAsiaTheme="minorHAnsi" w:hAnsiTheme="minorHAnsi" w:cstheme="minorHAnsi"/>
          <w:sz w:val="22"/>
          <w:szCs w:val="22"/>
          <w:lang w:val="en-US"/>
        </w:rPr>
        <w:t xml:space="preserve"> Press, Boca Raton, FL.</w:t>
      </w:r>
    </w:p>
    <w:p w14:paraId="3D992741"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r w:rsidRPr="0070400F">
        <w:rPr>
          <w:rFonts w:asciiTheme="minorHAnsi" w:eastAsiaTheme="minorHAnsi" w:hAnsiTheme="minorHAnsi" w:cstheme="minorHAnsi"/>
          <w:sz w:val="22"/>
          <w:szCs w:val="22"/>
          <w:lang w:val="en-US"/>
        </w:rPr>
        <w:t xml:space="preserve">Sprenger, P., </w:t>
      </w:r>
      <w:proofErr w:type="spellStart"/>
      <w:r w:rsidRPr="0070400F">
        <w:rPr>
          <w:rFonts w:asciiTheme="minorHAnsi" w:eastAsiaTheme="minorHAnsi" w:hAnsiTheme="minorHAnsi" w:cstheme="minorHAnsi"/>
          <w:sz w:val="22"/>
          <w:szCs w:val="22"/>
          <w:lang w:val="en-US"/>
        </w:rPr>
        <w:t>Schoormans</w:t>
      </w:r>
      <w:proofErr w:type="spellEnd"/>
      <w:r w:rsidRPr="0070400F">
        <w:rPr>
          <w:rFonts w:asciiTheme="minorHAnsi" w:eastAsiaTheme="minorHAnsi" w:hAnsiTheme="minorHAnsi" w:cstheme="minorHAnsi"/>
          <w:sz w:val="22"/>
          <w:szCs w:val="22"/>
          <w:lang w:val="en-US"/>
        </w:rPr>
        <w:t xml:space="preserve">, L. &amp; Camps, T. (2011). </w:t>
      </w:r>
      <w:r w:rsidRPr="0070400F">
        <w:rPr>
          <w:rFonts w:asciiTheme="minorHAnsi" w:eastAsiaTheme="minorHAnsi" w:hAnsiTheme="minorHAnsi" w:cstheme="minorHAnsi"/>
          <w:sz w:val="22"/>
          <w:szCs w:val="22"/>
        </w:rPr>
        <w:t>Verbinding verbroken. Actief sturen op de legitimiteit van een maatschappelijke onderneming. Berenschot, p. 41-52</w:t>
      </w:r>
    </w:p>
    <w:p w14:paraId="3783CAC5"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r w:rsidRPr="0070400F">
        <w:rPr>
          <w:rFonts w:asciiTheme="minorHAnsi" w:eastAsiaTheme="minorHAnsi" w:hAnsiTheme="minorHAnsi" w:cstheme="minorHAnsi"/>
          <w:sz w:val="22"/>
          <w:szCs w:val="22"/>
          <w:lang w:val="en-US"/>
        </w:rPr>
        <w:t xml:space="preserve">Sriram, V., Stump, R. L., &amp; Banerjee, S. (1997). Information technology investments in purchasing: an empirical study of dimensions and antecedents. </w:t>
      </w:r>
      <w:r w:rsidRPr="0070400F">
        <w:rPr>
          <w:rFonts w:asciiTheme="minorHAnsi" w:eastAsiaTheme="minorHAnsi" w:hAnsiTheme="minorHAnsi" w:cstheme="minorHAnsi"/>
          <w:sz w:val="22"/>
          <w:szCs w:val="22"/>
        </w:rPr>
        <w:t>Information &amp; Management, 33(2), 59-72.</w:t>
      </w:r>
    </w:p>
    <w:p w14:paraId="5606BF75"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proofErr w:type="spellStart"/>
      <w:r w:rsidRPr="0070400F">
        <w:rPr>
          <w:rFonts w:asciiTheme="minorHAnsi" w:eastAsiaTheme="minorHAnsi" w:hAnsiTheme="minorHAnsi" w:cstheme="minorHAnsi"/>
          <w:sz w:val="22"/>
          <w:szCs w:val="22"/>
          <w:lang w:val="en-US"/>
        </w:rPr>
        <w:t>Swanborn</w:t>
      </w:r>
      <w:proofErr w:type="spellEnd"/>
      <w:r w:rsidRPr="0070400F">
        <w:rPr>
          <w:rFonts w:asciiTheme="minorHAnsi" w:eastAsiaTheme="minorHAnsi" w:hAnsiTheme="minorHAnsi" w:cstheme="minorHAnsi"/>
          <w:sz w:val="22"/>
          <w:szCs w:val="22"/>
          <w:lang w:val="en-US"/>
        </w:rPr>
        <w:t xml:space="preserve">, P. (2010). Case study research: What, why and </w:t>
      </w:r>
      <w:proofErr w:type="gramStart"/>
      <w:r w:rsidRPr="0070400F">
        <w:rPr>
          <w:rFonts w:asciiTheme="minorHAnsi" w:eastAsiaTheme="minorHAnsi" w:hAnsiTheme="minorHAnsi" w:cstheme="minorHAnsi"/>
          <w:sz w:val="22"/>
          <w:szCs w:val="22"/>
          <w:lang w:val="en-US"/>
        </w:rPr>
        <w:t>how?.</w:t>
      </w:r>
      <w:proofErr w:type="gramEnd"/>
      <w:r w:rsidRPr="0070400F">
        <w:rPr>
          <w:rFonts w:asciiTheme="minorHAnsi" w:eastAsiaTheme="minorHAnsi" w:hAnsiTheme="minorHAnsi" w:cstheme="minorHAnsi"/>
          <w:sz w:val="22"/>
          <w:szCs w:val="22"/>
          <w:lang w:val="en-US"/>
        </w:rPr>
        <w:t xml:space="preserve"> </w:t>
      </w:r>
      <w:r w:rsidRPr="0070400F">
        <w:rPr>
          <w:rFonts w:asciiTheme="minorHAnsi" w:eastAsiaTheme="minorHAnsi" w:hAnsiTheme="minorHAnsi" w:cstheme="minorHAnsi"/>
          <w:sz w:val="22"/>
          <w:szCs w:val="22"/>
        </w:rPr>
        <w:t>Sage.</w:t>
      </w:r>
    </w:p>
    <w:p w14:paraId="5BEBC7D0"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r w:rsidRPr="0070400F">
        <w:rPr>
          <w:rFonts w:asciiTheme="minorHAnsi" w:eastAsiaTheme="minorHAnsi" w:hAnsiTheme="minorHAnsi" w:cstheme="minorHAnsi"/>
          <w:sz w:val="22"/>
          <w:szCs w:val="22"/>
        </w:rPr>
        <w:t>Telgen, J. (2001). “De overheid op weg naar professionele inkoop: zoekend, maar niet verdwaald”, Overheidsmanagement, nr. 12, p. 341-344</w:t>
      </w:r>
    </w:p>
    <w:p w14:paraId="7F5D6E5F"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r w:rsidRPr="0070400F">
        <w:rPr>
          <w:rFonts w:asciiTheme="minorHAnsi" w:eastAsiaTheme="minorHAnsi" w:hAnsiTheme="minorHAnsi" w:cstheme="minorHAnsi"/>
          <w:sz w:val="22"/>
          <w:szCs w:val="22"/>
        </w:rPr>
        <w:t xml:space="preserve">Ter Wiel, A., Tazelaar, P. &amp; </w:t>
      </w:r>
      <w:proofErr w:type="spellStart"/>
      <w:r w:rsidRPr="0070400F">
        <w:rPr>
          <w:rFonts w:asciiTheme="minorHAnsi" w:eastAsiaTheme="minorHAnsi" w:hAnsiTheme="minorHAnsi" w:cstheme="minorHAnsi"/>
          <w:sz w:val="22"/>
          <w:szCs w:val="22"/>
        </w:rPr>
        <w:t>Talmon</w:t>
      </w:r>
      <w:proofErr w:type="spellEnd"/>
      <w:r w:rsidRPr="0070400F">
        <w:rPr>
          <w:rFonts w:asciiTheme="minorHAnsi" w:eastAsiaTheme="minorHAnsi" w:hAnsiTheme="minorHAnsi" w:cstheme="minorHAnsi"/>
          <w:sz w:val="22"/>
          <w:szCs w:val="22"/>
        </w:rPr>
        <w:t>, A. (2004) “Publieke organisaties bouwen aan de</w:t>
      </w:r>
    </w:p>
    <w:p w14:paraId="3E601D5C"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proofErr w:type="spellStart"/>
      <w:r w:rsidRPr="0070400F">
        <w:rPr>
          <w:rFonts w:asciiTheme="minorHAnsi" w:eastAsiaTheme="minorHAnsi" w:hAnsiTheme="minorHAnsi" w:cstheme="minorHAnsi"/>
          <w:sz w:val="22"/>
          <w:szCs w:val="22"/>
        </w:rPr>
        <w:t>Teulings</w:t>
      </w:r>
      <w:proofErr w:type="spellEnd"/>
      <w:r w:rsidRPr="0070400F">
        <w:rPr>
          <w:rFonts w:asciiTheme="minorHAnsi" w:eastAsiaTheme="minorHAnsi" w:hAnsiTheme="minorHAnsi" w:cstheme="minorHAnsi"/>
          <w:sz w:val="22"/>
          <w:szCs w:val="22"/>
        </w:rPr>
        <w:t>, C. N. (2000), “Onderwijs: een Nuttige Maatschappelijke Investering?”, Socialisme en Democratie 9, 405-410</w:t>
      </w:r>
    </w:p>
    <w:p w14:paraId="79F85675"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r w:rsidRPr="0070400F">
        <w:rPr>
          <w:rFonts w:asciiTheme="minorHAnsi" w:eastAsiaTheme="minorHAnsi" w:hAnsiTheme="minorHAnsi" w:cstheme="minorHAnsi"/>
          <w:sz w:val="22"/>
          <w:szCs w:val="22"/>
        </w:rPr>
        <w:t xml:space="preserve">Thiel, S. van. (2015). Bestuurskundig onderzoek: een methodologische inleiding. Bussum: </w:t>
      </w:r>
      <w:proofErr w:type="spellStart"/>
      <w:r w:rsidRPr="0070400F">
        <w:rPr>
          <w:rFonts w:asciiTheme="minorHAnsi" w:eastAsiaTheme="minorHAnsi" w:hAnsiTheme="minorHAnsi" w:cstheme="minorHAnsi"/>
          <w:sz w:val="22"/>
          <w:szCs w:val="22"/>
        </w:rPr>
        <w:t>Coutinho</w:t>
      </w:r>
      <w:proofErr w:type="spellEnd"/>
      <w:r w:rsidRPr="0070400F">
        <w:rPr>
          <w:rFonts w:asciiTheme="minorHAnsi" w:eastAsiaTheme="minorHAnsi" w:hAnsiTheme="minorHAnsi" w:cstheme="minorHAnsi"/>
          <w:sz w:val="22"/>
          <w:szCs w:val="22"/>
        </w:rPr>
        <w:t>.</w:t>
      </w:r>
    </w:p>
    <w:p w14:paraId="4719BB2B"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bookmarkStart w:id="178" w:name="_Hlk516838112"/>
      <w:proofErr w:type="spellStart"/>
      <w:r w:rsidRPr="0070400F">
        <w:rPr>
          <w:rFonts w:asciiTheme="minorHAnsi" w:eastAsiaTheme="minorHAnsi" w:hAnsiTheme="minorHAnsi" w:cstheme="minorHAnsi"/>
          <w:sz w:val="22"/>
          <w:szCs w:val="22"/>
          <w:lang w:val="en-US"/>
        </w:rPr>
        <w:t>Tiemeijer</w:t>
      </w:r>
      <w:bookmarkEnd w:id="178"/>
      <w:proofErr w:type="spellEnd"/>
      <w:r w:rsidRPr="0070400F">
        <w:rPr>
          <w:rFonts w:asciiTheme="minorHAnsi" w:eastAsiaTheme="minorHAnsi" w:hAnsiTheme="minorHAnsi" w:cstheme="minorHAnsi"/>
          <w:sz w:val="22"/>
          <w:szCs w:val="22"/>
          <w:lang w:val="en-US"/>
        </w:rPr>
        <w:t xml:space="preserve">, W.L., Thomas, C.A. &amp; </w:t>
      </w:r>
      <w:proofErr w:type="spellStart"/>
      <w:r w:rsidRPr="0070400F">
        <w:rPr>
          <w:rFonts w:asciiTheme="minorHAnsi" w:eastAsiaTheme="minorHAnsi" w:hAnsiTheme="minorHAnsi" w:cstheme="minorHAnsi"/>
          <w:sz w:val="22"/>
          <w:szCs w:val="22"/>
          <w:lang w:val="en-US"/>
        </w:rPr>
        <w:t>Prast</w:t>
      </w:r>
      <w:proofErr w:type="spellEnd"/>
      <w:r w:rsidRPr="0070400F">
        <w:rPr>
          <w:rFonts w:asciiTheme="minorHAnsi" w:eastAsiaTheme="minorHAnsi" w:hAnsiTheme="minorHAnsi" w:cstheme="minorHAnsi"/>
          <w:sz w:val="22"/>
          <w:szCs w:val="22"/>
          <w:lang w:val="en-US"/>
        </w:rPr>
        <w:t xml:space="preserve">, H.M. (2009). </w:t>
      </w:r>
      <w:r w:rsidRPr="0070400F">
        <w:rPr>
          <w:rFonts w:asciiTheme="minorHAnsi" w:eastAsiaTheme="minorHAnsi" w:hAnsiTheme="minorHAnsi" w:cstheme="minorHAnsi"/>
          <w:sz w:val="22"/>
          <w:szCs w:val="22"/>
        </w:rPr>
        <w:t>De menselijke beslisser: Over de psychologie van keuze en gedrag. Amsterdam: Amsterdam University Press.</w:t>
      </w:r>
    </w:p>
    <w:p w14:paraId="412E336B"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r w:rsidRPr="0070400F">
        <w:rPr>
          <w:rFonts w:asciiTheme="minorHAnsi" w:eastAsiaTheme="minorHAnsi" w:hAnsiTheme="minorHAnsi" w:cstheme="minorHAnsi"/>
          <w:sz w:val="22"/>
          <w:szCs w:val="22"/>
          <w:lang w:val="en-US"/>
        </w:rPr>
        <w:t xml:space="preserve">Trent, R.J., &amp; </w:t>
      </w:r>
      <w:proofErr w:type="spellStart"/>
      <w:r w:rsidRPr="0070400F">
        <w:rPr>
          <w:rFonts w:asciiTheme="minorHAnsi" w:eastAsiaTheme="minorHAnsi" w:hAnsiTheme="minorHAnsi" w:cstheme="minorHAnsi"/>
          <w:sz w:val="22"/>
          <w:szCs w:val="22"/>
          <w:lang w:val="en-US"/>
        </w:rPr>
        <w:t>Monczka</w:t>
      </w:r>
      <w:proofErr w:type="spellEnd"/>
      <w:r w:rsidRPr="0070400F">
        <w:rPr>
          <w:rFonts w:asciiTheme="minorHAnsi" w:eastAsiaTheme="minorHAnsi" w:hAnsiTheme="minorHAnsi" w:cstheme="minorHAnsi"/>
          <w:sz w:val="22"/>
          <w:szCs w:val="22"/>
          <w:lang w:val="en-US"/>
        </w:rPr>
        <w:t xml:space="preserve">, R.M., (1998). Purchasing and supply management: trends and changes throughout the 1990s. International Journal of Purchasing and Materials Management. </w:t>
      </w:r>
      <w:proofErr w:type="spellStart"/>
      <w:r w:rsidRPr="0070400F">
        <w:rPr>
          <w:rFonts w:asciiTheme="minorHAnsi" w:eastAsiaTheme="minorHAnsi" w:hAnsiTheme="minorHAnsi" w:cstheme="minorHAnsi"/>
          <w:sz w:val="22"/>
          <w:szCs w:val="22"/>
        </w:rPr>
        <w:t>Fall</w:t>
      </w:r>
      <w:proofErr w:type="spellEnd"/>
      <w:r w:rsidRPr="0070400F">
        <w:rPr>
          <w:rFonts w:asciiTheme="minorHAnsi" w:eastAsiaTheme="minorHAnsi" w:hAnsiTheme="minorHAnsi" w:cstheme="minorHAnsi"/>
          <w:sz w:val="22"/>
          <w:szCs w:val="22"/>
        </w:rPr>
        <w:t>, 2–11</w:t>
      </w:r>
    </w:p>
    <w:p w14:paraId="24775EB3"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lang w:val="en-US"/>
        </w:rPr>
        <w:t xml:space="preserve">Tribe, F. (1971). ‘Efficiency in the public service’ in Chapman, R.A &amp; </w:t>
      </w:r>
      <w:proofErr w:type="spellStart"/>
      <w:r w:rsidRPr="0070400F">
        <w:rPr>
          <w:rFonts w:asciiTheme="minorHAnsi" w:eastAsiaTheme="minorHAnsi" w:hAnsiTheme="minorHAnsi" w:cstheme="minorHAnsi"/>
          <w:sz w:val="22"/>
          <w:szCs w:val="22"/>
          <w:lang w:val="en-US"/>
        </w:rPr>
        <w:t>Dunshire</w:t>
      </w:r>
      <w:proofErr w:type="spellEnd"/>
      <w:r w:rsidRPr="0070400F">
        <w:rPr>
          <w:rFonts w:asciiTheme="minorHAnsi" w:eastAsiaTheme="minorHAnsi" w:hAnsiTheme="minorHAnsi" w:cstheme="minorHAnsi"/>
          <w:sz w:val="22"/>
          <w:szCs w:val="22"/>
          <w:lang w:val="en-US"/>
        </w:rPr>
        <w:t xml:space="preserve">, A. Readings in British public administration. London: George Allen &amp; Unwin Ltd. </w:t>
      </w:r>
    </w:p>
    <w:p w14:paraId="1278AFCE"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u w:val="single"/>
        </w:rPr>
      </w:pPr>
      <w:r w:rsidRPr="0070400F">
        <w:rPr>
          <w:rFonts w:asciiTheme="minorHAnsi" w:eastAsiaTheme="minorHAnsi" w:hAnsiTheme="minorHAnsi" w:cstheme="minorHAnsi"/>
          <w:sz w:val="22"/>
          <w:szCs w:val="22"/>
        </w:rPr>
        <w:t>Tweede Kamer der Staten-Generaal. (2014). </w:t>
      </w:r>
      <w:r w:rsidRPr="0070400F">
        <w:rPr>
          <w:rFonts w:asciiTheme="minorHAnsi" w:eastAsiaTheme="minorHAnsi" w:hAnsiTheme="minorHAnsi" w:cstheme="minorHAnsi"/>
          <w:i/>
          <w:iCs/>
          <w:sz w:val="22"/>
          <w:szCs w:val="22"/>
        </w:rPr>
        <w:t>Parlementair onderzoek ICT-projecten bij de overheid</w:t>
      </w:r>
      <w:r w:rsidRPr="0070400F">
        <w:rPr>
          <w:rFonts w:asciiTheme="minorHAnsi" w:eastAsiaTheme="minorHAnsi" w:hAnsiTheme="minorHAnsi" w:cstheme="minorHAnsi"/>
          <w:sz w:val="22"/>
          <w:szCs w:val="22"/>
        </w:rPr>
        <w:t xml:space="preserve"> (vergaderjaar 2014–2015, 33 326, nr. 4). Geraadpleegd van </w:t>
      </w:r>
      <w:hyperlink r:id="rId80" w:history="1">
        <w:r w:rsidRPr="0070400F">
          <w:rPr>
            <w:rFonts w:asciiTheme="minorHAnsi" w:eastAsiaTheme="minorHAnsi" w:hAnsiTheme="minorHAnsi" w:cstheme="minorHAnsi"/>
            <w:color w:val="0563C1" w:themeColor="hyperlink"/>
            <w:sz w:val="22"/>
            <w:szCs w:val="22"/>
            <w:u w:val="single"/>
          </w:rPr>
          <w:t>https://www.tweedekamer.nl/sites/default/files/field_uploads/33326-4-Aanbiedingsbrief_tcm181-239825.pdf</w:t>
        </w:r>
      </w:hyperlink>
      <w:r w:rsidRPr="0070400F">
        <w:rPr>
          <w:rFonts w:asciiTheme="minorHAnsi" w:eastAsiaTheme="minorHAnsi" w:hAnsiTheme="minorHAnsi" w:cstheme="minorHAnsi"/>
          <w:sz w:val="22"/>
          <w:szCs w:val="22"/>
        </w:rPr>
        <w:t xml:space="preserve"> </w:t>
      </w:r>
    </w:p>
    <w:p w14:paraId="3AFD1CD8"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lang w:val="en-US"/>
        </w:rPr>
        <w:t>Underwood, J. (2009). The impact of digital technology: A review of the evidence of the impact of digital technologies on formal education. Coventry: British Educational Communications and Technology Agency (</w:t>
      </w:r>
      <w:proofErr w:type="spellStart"/>
      <w:r w:rsidRPr="0070400F">
        <w:rPr>
          <w:rFonts w:asciiTheme="minorHAnsi" w:eastAsiaTheme="minorHAnsi" w:hAnsiTheme="minorHAnsi" w:cstheme="minorHAnsi"/>
          <w:sz w:val="22"/>
          <w:szCs w:val="22"/>
          <w:lang w:val="en-US"/>
        </w:rPr>
        <w:t>Becta</w:t>
      </w:r>
      <w:proofErr w:type="spellEnd"/>
      <w:r w:rsidRPr="0070400F">
        <w:rPr>
          <w:rFonts w:asciiTheme="minorHAnsi" w:eastAsiaTheme="minorHAnsi" w:hAnsiTheme="minorHAnsi" w:cstheme="minorHAnsi"/>
          <w:sz w:val="22"/>
          <w:szCs w:val="22"/>
          <w:lang w:val="en-US"/>
        </w:rPr>
        <w:t xml:space="preserve">). </w:t>
      </w:r>
    </w:p>
    <w:p w14:paraId="1B486E5A" w14:textId="24151A94"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r w:rsidRPr="0070400F">
        <w:rPr>
          <w:rFonts w:asciiTheme="minorHAnsi" w:eastAsiaTheme="minorHAnsi" w:hAnsiTheme="minorHAnsi" w:cstheme="minorHAnsi"/>
          <w:sz w:val="22"/>
          <w:szCs w:val="22"/>
        </w:rPr>
        <w:t xml:space="preserve">Van Wetering, M. W. (2016). Technologiekompas voor het onderwijs. Kennisnet Trendrapport 2016-2017 (Kennisnet). Geraadpleegd van </w:t>
      </w:r>
      <w:hyperlink r:id="rId81" w:history="1">
        <w:r w:rsidRPr="0070400F">
          <w:rPr>
            <w:rFonts w:asciiTheme="minorHAnsi" w:eastAsiaTheme="minorHAnsi" w:hAnsiTheme="minorHAnsi" w:cstheme="minorHAnsi"/>
            <w:color w:val="0000FF"/>
            <w:sz w:val="22"/>
            <w:szCs w:val="22"/>
            <w:u w:val="single"/>
          </w:rPr>
          <w:t>https://www.kennisn</w:t>
        </w:r>
        <w:r w:rsidR="000B47A7">
          <w:rPr>
            <w:rFonts w:asciiTheme="minorHAnsi" w:eastAsiaTheme="minorHAnsi" w:hAnsiTheme="minorHAnsi" w:cstheme="minorHAnsi"/>
            <w:color w:val="0000FF"/>
            <w:sz w:val="22"/>
            <w:szCs w:val="22"/>
            <w:u w:val="single"/>
          </w:rPr>
          <w:t>et</w:t>
        </w:r>
        <w:r w:rsidRPr="0070400F">
          <w:rPr>
            <w:rFonts w:asciiTheme="minorHAnsi" w:eastAsiaTheme="minorHAnsi" w:hAnsiTheme="minorHAnsi" w:cstheme="minorHAnsi"/>
            <w:color w:val="0000FF"/>
            <w:sz w:val="22"/>
            <w:szCs w:val="22"/>
            <w:u w:val="single"/>
          </w:rPr>
          <w:t>nl/fileadmin/kennisnet/publicatie/trendrapport/Technologiekompas_voor_het_onderwijs_Kennisnet_Trendrapport_2016_2017.pdf</w:t>
        </w:r>
      </w:hyperlink>
    </w:p>
    <w:p w14:paraId="44BE2B0B" w14:textId="75F64025" w:rsidR="0070400F" w:rsidRPr="000B47A7" w:rsidRDefault="0070400F" w:rsidP="0070400F">
      <w:pPr>
        <w:numPr>
          <w:ilvl w:val="0"/>
          <w:numId w:val="36"/>
        </w:numPr>
        <w:spacing w:after="0" w:line="276" w:lineRule="auto"/>
        <w:rPr>
          <w:rFonts w:asciiTheme="minorHAnsi" w:eastAsiaTheme="minorHAnsi" w:hAnsiTheme="minorHAnsi" w:cstheme="minorHAnsi"/>
          <w:sz w:val="22"/>
          <w:szCs w:val="22"/>
          <w:lang w:val="en-US"/>
        </w:rPr>
      </w:pPr>
      <w:proofErr w:type="spellStart"/>
      <w:r w:rsidRPr="0070400F">
        <w:rPr>
          <w:rFonts w:asciiTheme="minorHAnsi" w:eastAsiaTheme="minorHAnsi" w:hAnsiTheme="minorHAnsi" w:cstheme="minorHAnsi"/>
          <w:sz w:val="22"/>
          <w:szCs w:val="22"/>
          <w:lang w:val="en-US"/>
        </w:rPr>
        <w:lastRenderedPageBreak/>
        <w:t>Veltman</w:t>
      </w:r>
      <w:proofErr w:type="spellEnd"/>
      <w:r w:rsidRPr="0070400F">
        <w:rPr>
          <w:rFonts w:asciiTheme="minorHAnsi" w:eastAsiaTheme="minorHAnsi" w:hAnsiTheme="minorHAnsi" w:cstheme="minorHAnsi"/>
          <w:sz w:val="22"/>
          <w:szCs w:val="22"/>
          <w:lang w:val="en-US"/>
        </w:rPr>
        <w:t>, K.H. (1997). New roles for education through the intern</w:t>
      </w:r>
      <w:r w:rsidR="000B47A7">
        <w:rPr>
          <w:rFonts w:asciiTheme="minorHAnsi" w:eastAsiaTheme="minorHAnsi" w:hAnsiTheme="minorHAnsi" w:cstheme="minorHAnsi"/>
          <w:sz w:val="22"/>
          <w:szCs w:val="22"/>
          <w:lang w:val="en-US"/>
        </w:rPr>
        <w:t>et</w:t>
      </w:r>
      <w:r w:rsidRPr="0070400F">
        <w:rPr>
          <w:rFonts w:asciiTheme="minorHAnsi" w:eastAsiaTheme="minorHAnsi" w:hAnsiTheme="minorHAnsi" w:cstheme="minorHAnsi"/>
          <w:sz w:val="22"/>
          <w:szCs w:val="22"/>
          <w:lang w:val="en-US"/>
        </w:rPr>
        <w:t xml:space="preserve"> </w:t>
      </w:r>
      <w:proofErr w:type="spellStart"/>
      <w:r w:rsidRPr="000B47A7">
        <w:rPr>
          <w:rFonts w:asciiTheme="minorHAnsi" w:eastAsiaTheme="minorHAnsi" w:hAnsiTheme="minorHAnsi" w:cstheme="minorHAnsi"/>
          <w:sz w:val="22"/>
          <w:szCs w:val="22"/>
          <w:lang w:val="en-US"/>
        </w:rPr>
        <w:t>Geraadpleeg</w:t>
      </w:r>
      <w:proofErr w:type="spellEnd"/>
      <w:r w:rsidRPr="000B47A7">
        <w:rPr>
          <w:rFonts w:asciiTheme="minorHAnsi" w:eastAsiaTheme="minorHAnsi" w:hAnsiTheme="minorHAnsi" w:cstheme="minorHAnsi"/>
          <w:sz w:val="22"/>
          <w:szCs w:val="22"/>
          <w:lang w:val="en-US"/>
        </w:rPr>
        <w:t xml:space="preserve"> via </w:t>
      </w:r>
      <w:hyperlink r:id="rId82" w:history="1">
        <w:r w:rsidRPr="000B47A7">
          <w:rPr>
            <w:rFonts w:asciiTheme="minorHAnsi" w:eastAsiaTheme="minorHAnsi" w:hAnsiTheme="minorHAnsi" w:cstheme="minorHAnsi"/>
            <w:color w:val="0000FF"/>
            <w:sz w:val="22"/>
            <w:szCs w:val="22"/>
            <w:u w:val="single"/>
            <w:lang w:val="en-US"/>
          </w:rPr>
          <w:t>https://www.isoc.org/inet97/proceedings/D3/D3_2.HTM</w:t>
        </w:r>
      </w:hyperlink>
    </w:p>
    <w:p w14:paraId="4E860F40"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proofErr w:type="spellStart"/>
      <w:r w:rsidRPr="0070400F">
        <w:rPr>
          <w:rFonts w:asciiTheme="minorHAnsi" w:eastAsiaTheme="minorHAnsi" w:hAnsiTheme="minorHAnsi" w:cstheme="minorHAnsi"/>
          <w:sz w:val="22"/>
          <w:szCs w:val="22"/>
        </w:rPr>
        <w:t>Vennix</w:t>
      </w:r>
      <w:proofErr w:type="spellEnd"/>
      <w:r w:rsidRPr="0070400F">
        <w:rPr>
          <w:rFonts w:asciiTheme="minorHAnsi" w:eastAsiaTheme="minorHAnsi" w:hAnsiTheme="minorHAnsi" w:cstheme="minorHAnsi"/>
          <w:sz w:val="22"/>
          <w:szCs w:val="22"/>
        </w:rPr>
        <w:t>, J. (2010). ‘Theorie en praktijk van empirisch onderzoek’. Pearson/</w:t>
      </w:r>
      <w:proofErr w:type="spellStart"/>
      <w:r w:rsidRPr="0070400F">
        <w:rPr>
          <w:rFonts w:asciiTheme="minorHAnsi" w:eastAsiaTheme="minorHAnsi" w:hAnsiTheme="minorHAnsi" w:cstheme="minorHAnsi"/>
          <w:sz w:val="22"/>
          <w:szCs w:val="22"/>
        </w:rPr>
        <w:t>Custom</w:t>
      </w:r>
      <w:proofErr w:type="spellEnd"/>
      <w:r w:rsidRPr="0070400F">
        <w:rPr>
          <w:rFonts w:asciiTheme="minorHAnsi" w:eastAsiaTheme="minorHAnsi" w:hAnsiTheme="minorHAnsi" w:cstheme="minorHAnsi"/>
          <w:sz w:val="22"/>
          <w:szCs w:val="22"/>
        </w:rPr>
        <w:t xml:space="preserve"> Publishing</w:t>
      </w:r>
    </w:p>
    <w:p w14:paraId="0803E451"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r w:rsidRPr="0070400F">
        <w:rPr>
          <w:rFonts w:asciiTheme="minorHAnsi" w:eastAsiaTheme="minorHAnsi" w:hAnsiTheme="minorHAnsi" w:cstheme="minorHAnsi"/>
          <w:sz w:val="22"/>
          <w:szCs w:val="22"/>
        </w:rPr>
        <w:t xml:space="preserve">Verhoeven, J. C. &amp; </w:t>
      </w:r>
      <w:proofErr w:type="spellStart"/>
      <w:r w:rsidRPr="0070400F">
        <w:rPr>
          <w:rFonts w:asciiTheme="minorHAnsi" w:eastAsiaTheme="minorHAnsi" w:hAnsiTheme="minorHAnsi" w:cstheme="minorHAnsi"/>
          <w:sz w:val="22"/>
          <w:szCs w:val="22"/>
        </w:rPr>
        <w:t>Kochuyt</w:t>
      </w:r>
      <w:proofErr w:type="spellEnd"/>
      <w:r w:rsidRPr="0070400F">
        <w:rPr>
          <w:rFonts w:asciiTheme="minorHAnsi" w:eastAsiaTheme="minorHAnsi" w:hAnsiTheme="minorHAnsi" w:cstheme="minorHAnsi"/>
          <w:sz w:val="22"/>
          <w:szCs w:val="22"/>
        </w:rPr>
        <w:t>, T. (1995) Kansenongelijkheid in het onderwijs. Een biografisch onderzoek naar het schoolgaan in arbeiders- en kansarme gezinnen. Brussel: Federale Diensten voor Wetenschappelijke, Technische en Culturele Aangelegenheden</w:t>
      </w:r>
    </w:p>
    <w:p w14:paraId="185AB7A4"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r w:rsidRPr="0070400F">
        <w:rPr>
          <w:rFonts w:asciiTheme="minorHAnsi" w:eastAsiaTheme="minorHAnsi" w:hAnsiTheme="minorHAnsi" w:cstheme="minorHAnsi"/>
          <w:sz w:val="22"/>
          <w:szCs w:val="22"/>
        </w:rPr>
        <w:t xml:space="preserve">Verhoeven, J., &amp; </w:t>
      </w:r>
      <w:proofErr w:type="spellStart"/>
      <w:r w:rsidRPr="0070400F">
        <w:rPr>
          <w:rFonts w:asciiTheme="minorHAnsi" w:eastAsiaTheme="minorHAnsi" w:hAnsiTheme="minorHAnsi" w:cstheme="minorHAnsi"/>
          <w:sz w:val="22"/>
          <w:szCs w:val="22"/>
        </w:rPr>
        <w:t>Kochuyt</w:t>
      </w:r>
      <w:proofErr w:type="spellEnd"/>
      <w:r w:rsidRPr="0070400F">
        <w:rPr>
          <w:rFonts w:asciiTheme="minorHAnsi" w:eastAsiaTheme="minorHAnsi" w:hAnsiTheme="minorHAnsi" w:cstheme="minorHAnsi"/>
          <w:sz w:val="22"/>
          <w:szCs w:val="22"/>
        </w:rPr>
        <w:t>, T. (1995). Kansenongelijkheid in het onderwijs. Een biografisch onderzoek naar het schoolgaan in arbeiders-en kansarme gezinnen.</w:t>
      </w:r>
    </w:p>
    <w:p w14:paraId="6B43DB9A"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rPr>
        <w:t xml:space="preserve">Verschuren, P., &amp; </w:t>
      </w:r>
      <w:proofErr w:type="spellStart"/>
      <w:r w:rsidRPr="0070400F">
        <w:rPr>
          <w:rFonts w:asciiTheme="minorHAnsi" w:eastAsiaTheme="minorHAnsi" w:hAnsiTheme="minorHAnsi" w:cstheme="minorHAnsi"/>
          <w:sz w:val="22"/>
          <w:szCs w:val="22"/>
        </w:rPr>
        <w:t>Doorewaard</w:t>
      </w:r>
      <w:proofErr w:type="spellEnd"/>
      <w:r w:rsidRPr="0070400F">
        <w:rPr>
          <w:rFonts w:asciiTheme="minorHAnsi" w:eastAsiaTheme="minorHAnsi" w:hAnsiTheme="minorHAnsi" w:cstheme="minorHAnsi"/>
          <w:sz w:val="22"/>
          <w:szCs w:val="22"/>
        </w:rPr>
        <w:t xml:space="preserve">, H. (2003). Het ontwerpen van een onderzoek (3e </w:t>
      </w:r>
      <w:proofErr w:type="spellStart"/>
      <w:r w:rsidRPr="0070400F">
        <w:rPr>
          <w:rFonts w:asciiTheme="minorHAnsi" w:eastAsiaTheme="minorHAnsi" w:hAnsiTheme="minorHAnsi" w:cstheme="minorHAnsi"/>
          <w:sz w:val="22"/>
          <w:szCs w:val="22"/>
        </w:rPr>
        <w:t>dr</w:t>
      </w:r>
      <w:proofErr w:type="spellEnd"/>
      <w:r w:rsidRPr="0070400F">
        <w:rPr>
          <w:rFonts w:asciiTheme="minorHAnsi" w:eastAsiaTheme="minorHAnsi" w:hAnsiTheme="minorHAnsi" w:cstheme="minorHAnsi"/>
          <w:sz w:val="22"/>
          <w:szCs w:val="22"/>
        </w:rPr>
        <w:t xml:space="preserve"> ed.). </w:t>
      </w:r>
      <w:r w:rsidRPr="0070400F">
        <w:rPr>
          <w:rFonts w:asciiTheme="minorHAnsi" w:eastAsiaTheme="minorHAnsi" w:hAnsiTheme="minorHAnsi" w:cstheme="minorHAnsi"/>
          <w:sz w:val="22"/>
          <w:szCs w:val="22"/>
          <w:lang w:val="en-US"/>
        </w:rPr>
        <w:t>Utrecht: Lemma.</w:t>
      </w:r>
      <w:r w:rsidRPr="0070400F">
        <w:rPr>
          <w:rFonts w:asciiTheme="minorHAnsi" w:eastAsiaTheme="minorHAnsi" w:hAnsiTheme="minorHAnsi" w:cstheme="minorHAnsi"/>
          <w:sz w:val="22"/>
          <w:szCs w:val="22"/>
        </w:rPr>
        <w:t xml:space="preserve"> P.147-191.</w:t>
      </w:r>
    </w:p>
    <w:p w14:paraId="06894CA9"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lang w:val="en-US"/>
        </w:rPr>
        <w:t xml:space="preserve">Von </w:t>
      </w:r>
      <w:proofErr w:type="spellStart"/>
      <w:r w:rsidRPr="0070400F">
        <w:rPr>
          <w:rFonts w:asciiTheme="minorHAnsi" w:eastAsiaTheme="minorHAnsi" w:hAnsiTheme="minorHAnsi" w:cstheme="minorHAnsi"/>
          <w:sz w:val="22"/>
          <w:szCs w:val="22"/>
          <w:lang w:val="en-US"/>
        </w:rPr>
        <w:t>Mehren</w:t>
      </w:r>
      <w:proofErr w:type="spellEnd"/>
      <w:r w:rsidRPr="0070400F">
        <w:rPr>
          <w:rFonts w:asciiTheme="minorHAnsi" w:eastAsiaTheme="minorHAnsi" w:hAnsiTheme="minorHAnsi" w:cstheme="minorHAnsi"/>
          <w:sz w:val="22"/>
          <w:szCs w:val="22"/>
          <w:lang w:val="en-US"/>
        </w:rPr>
        <w:t xml:space="preserve">, A. T., (1990). The “Battle of the Forms”: A Comparative View, The American Journal of Comparative Law, Volume 38, Issue 2. Pages 265–298, </w:t>
      </w:r>
      <w:proofErr w:type="spellStart"/>
      <w:r w:rsidRPr="0070400F">
        <w:rPr>
          <w:rFonts w:asciiTheme="minorHAnsi" w:eastAsiaTheme="minorHAnsi" w:hAnsiTheme="minorHAnsi" w:cstheme="minorHAnsi"/>
          <w:sz w:val="22"/>
          <w:szCs w:val="22"/>
          <w:lang w:val="en-US"/>
        </w:rPr>
        <w:t>Geraadpleegd</w:t>
      </w:r>
      <w:proofErr w:type="spellEnd"/>
      <w:r w:rsidRPr="0070400F">
        <w:rPr>
          <w:rFonts w:asciiTheme="minorHAnsi" w:eastAsiaTheme="minorHAnsi" w:hAnsiTheme="minorHAnsi" w:cstheme="minorHAnsi"/>
          <w:sz w:val="22"/>
          <w:szCs w:val="22"/>
          <w:lang w:val="en-US"/>
        </w:rPr>
        <w:t xml:space="preserve"> van: </w:t>
      </w:r>
      <w:hyperlink r:id="rId83" w:history="1">
        <w:r w:rsidRPr="0070400F">
          <w:rPr>
            <w:rFonts w:asciiTheme="minorHAnsi" w:eastAsiaTheme="minorHAnsi" w:hAnsiTheme="minorHAnsi" w:cstheme="minorHAnsi"/>
            <w:color w:val="0000FF"/>
            <w:sz w:val="22"/>
            <w:szCs w:val="22"/>
            <w:u w:val="single"/>
            <w:lang w:val="en-US"/>
          </w:rPr>
          <w:t>https://doi.org/10.2307/840101</w:t>
        </w:r>
      </w:hyperlink>
    </w:p>
    <w:p w14:paraId="5C4EAAE3"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proofErr w:type="spellStart"/>
      <w:r w:rsidRPr="0070400F">
        <w:rPr>
          <w:rFonts w:asciiTheme="minorHAnsi" w:eastAsiaTheme="minorHAnsi" w:hAnsiTheme="minorHAnsi" w:cstheme="minorHAnsi"/>
          <w:sz w:val="22"/>
          <w:szCs w:val="22"/>
          <w:lang w:val="en-US"/>
        </w:rPr>
        <w:t>Voogt</w:t>
      </w:r>
      <w:proofErr w:type="spellEnd"/>
      <w:r w:rsidRPr="0070400F">
        <w:rPr>
          <w:rFonts w:asciiTheme="minorHAnsi" w:eastAsiaTheme="minorHAnsi" w:hAnsiTheme="minorHAnsi" w:cstheme="minorHAnsi"/>
          <w:sz w:val="22"/>
          <w:szCs w:val="22"/>
          <w:lang w:val="en-US"/>
        </w:rPr>
        <w:t>, J., &amp; Pareja Roblin, N. (2012). A comparative analysis of international frameworks for 21</w:t>
      </w:r>
      <w:r w:rsidRPr="0070400F">
        <w:rPr>
          <w:rFonts w:asciiTheme="minorHAnsi" w:eastAsiaTheme="minorHAnsi" w:hAnsiTheme="minorHAnsi" w:cstheme="minorHAnsi"/>
          <w:sz w:val="22"/>
          <w:szCs w:val="22"/>
          <w:vertAlign w:val="superscript"/>
          <w:lang w:val="en-US"/>
        </w:rPr>
        <w:t>st</w:t>
      </w:r>
      <w:r w:rsidRPr="0070400F">
        <w:rPr>
          <w:rFonts w:asciiTheme="minorHAnsi" w:eastAsiaTheme="minorHAnsi" w:hAnsiTheme="minorHAnsi" w:cstheme="minorHAnsi"/>
          <w:sz w:val="22"/>
          <w:szCs w:val="22"/>
          <w:lang w:val="en-US"/>
        </w:rPr>
        <w:t xml:space="preserve"> century competences: implications for national curriculum policies. </w:t>
      </w:r>
      <w:r w:rsidRPr="0070400F">
        <w:rPr>
          <w:rFonts w:asciiTheme="minorHAnsi" w:eastAsiaTheme="minorHAnsi" w:hAnsiTheme="minorHAnsi" w:cstheme="minorHAnsi"/>
          <w:sz w:val="22"/>
          <w:szCs w:val="22"/>
        </w:rPr>
        <w:t xml:space="preserve">Journal Of Curriculum Studies, 44(3), p.299-321. </w:t>
      </w:r>
    </w:p>
    <w:p w14:paraId="50FEA8D8"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r w:rsidRPr="0070400F">
        <w:rPr>
          <w:rFonts w:asciiTheme="minorHAnsi" w:eastAsiaTheme="minorHAnsi" w:hAnsiTheme="minorHAnsi" w:cstheme="minorHAnsi"/>
          <w:sz w:val="22"/>
          <w:szCs w:val="22"/>
        </w:rPr>
        <w:t xml:space="preserve">VO-Raad. (2014). ‘Klaar voor de toekomst! Samen werken aan onderwijskwaliteit’. Geraadpleegd van: </w:t>
      </w:r>
      <w:hyperlink r:id="rId84" w:history="1">
        <w:r w:rsidRPr="0070400F">
          <w:rPr>
            <w:rFonts w:asciiTheme="minorHAnsi" w:eastAsiaTheme="minorHAnsi" w:hAnsiTheme="minorHAnsi" w:cstheme="minorHAnsi"/>
            <w:color w:val="0000FF"/>
            <w:sz w:val="22"/>
            <w:szCs w:val="22"/>
            <w:u w:val="single"/>
          </w:rPr>
          <w:t>https://www.rijksoverheid.nl/binaries/rijksoverheid/documenten/convenanten/2014/04/17/sectorakkoord-vo-2014-2017/sectorakkoord-vo-2014-2017.pdf</w:t>
        </w:r>
      </w:hyperlink>
    </w:p>
    <w:p w14:paraId="54A05344"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lang w:val="en-US"/>
        </w:rPr>
        <w:t>Waterman, R. W., &amp; Meier, K. J. (1998) "Principal-Agent Models: An Expansion?" Journal of Public Administration Research and Theory 8:173-202.</w:t>
      </w:r>
    </w:p>
    <w:p w14:paraId="18A9043E" w14:textId="2FB31C42"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r w:rsidRPr="0070400F">
        <w:rPr>
          <w:rFonts w:asciiTheme="minorHAnsi" w:eastAsiaTheme="minorHAnsi" w:hAnsiTheme="minorHAnsi" w:cstheme="minorHAnsi"/>
          <w:sz w:val="22"/>
          <w:szCs w:val="22"/>
        </w:rPr>
        <w:t xml:space="preserve">Wauters, C., Spruit, M., &amp; Vermeulen, M. (2008). Opgeruimd staat </w:t>
      </w:r>
      <w:r w:rsidR="00B70654" w:rsidRPr="0070400F">
        <w:rPr>
          <w:rFonts w:asciiTheme="minorHAnsi" w:eastAsiaTheme="minorHAnsi" w:hAnsiTheme="minorHAnsi" w:cstheme="minorHAnsi"/>
          <w:sz w:val="22"/>
          <w:szCs w:val="22"/>
        </w:rPr>
        <w:t>netjes</w:t>
      </w:r>
      <w:r w:rsidR="00B70654">
        <w:rPr>
          <w:rFonts w:asciiTheme="minorHAnsi" w:eastAsiaTheme="minorHAnsi" w:hAnsiTheme="minorHAnsi" w:cstheme="minorHAnsi"/>
          <w:sz w:val="22"/>
          <w:szCs w:val="22"/>
        </w:rPr>
        <w:t>:</w:t>
      </w:r>
      <w:r w:rsidRPr="0070400F">
        <w:rPr>
          <w:rFonts w:asciiTheme="minorHAnsi" w:eastAsiaTheme="minorHAnsi" w:hAnsiTheme="minorHAnsi" w:cstheme="minorHAnsi"/>
          <w:sz w:val="22"/>
          <w:szCs w:val="22"/>
        </w:rPr>
        <w:t xml:space="preserve"> uitbesteden van ICT in de publieke sector. Den Haag: </w:t>
      </w:r>
      <w:proofErr w:type="spellStart"/>
      <w:r w:rsidRPr="0070400F">
        <w:rPr>
          <w:rFonts w:asciiTheme="minorHAnsi" w:eastAsiaTheme="minorHAnsi" w:hAnsiTheme="minorHAnsi" w:cstheme="minorHAnsi"/>
          <w:sz w:val="22"/>
          <w:szCs w:val="22"/>
        </w:rPr>
        <w:t>Sdu</w:t>
      </w:r>
      <w:proofErr w:type="spellEnd"/>
      <w:r w:rsidRPr="0070400F">
        <w:rPr>
          <w:rFonts w:asciiTheme="minorHAnsi" w:eastAsiaTheme="minorHAnsi" w:hAnsiTheme="minorHAnsi" w:cstheme="minorHAnsi"/>
          <w:sz w:val="22"/>
          <w:szCs w:val="22"/>
        </w:rPr>
        <w:t xml:space="preserve"> Uitgevers.</w:t>
      </w:r>
    </w:p>
    <w:p w14:paraId="27147872"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r w:rsidRPr="0070400F">
        <w:rPr>
          <w:rFonts w:asciiTheme="minorHAnsi" w:eastAsiaTheme="minorHAnsi" w:hAnsiTheme="minorHAnsi" w:cstheme="minorHAnsi"/>
          <w:sz w:val="22"/>
          <w:szCs w:val="22"/>
        </w:rPr>
        <w:t>Weele, van, A.J. (1997). Inkoop in strategisch perspectief: analyse, planning en praktijk. Alphen aan den Rijn: Samson Bedrijfsinformatie. 2</w:t>
      </w:r>
      <w:r w:rsidRPr="0070400F">
        <w:rPr>
          <w:rFonts w:asciiTheme="minorHAnsi" w:eastAsiaTheme="minorHAnsi" w:hAnsiTheme="minorHAnsi" w:cstheme="minorHAnsi"/>
          <w:sz w:val="22"/>
          <w:szCs w:val="22"/>
          <w:vertAlign w:val="superscript"/>
        </w:rPr>
        <w:t>nd</w:t>
      </w:r>
      <w:r w:rsidRPr="0070400F">
        <w:rPr>
          <w:rFonts w:asciiTheme="minorHAnsi" w:eastAsiaTheme="minorHAnsi" w:hAnsiTheme="minorHAnsi" w:cstheme="minorHAnsi"/>
          <w:sz w:val="22"/>
          <w:szCs w:val="22"/>
        </w:rPr>
        <w:t xml:space="preserve"> Edition </w:t>
      </w:r>
    </w:p>
    <w:p w14:paraId="575D708C"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r w:rsidRPr="0070400F">
        <w:rPr>
          <w:rFonts w:asciiTheme="minorHAnsi" w:eastAsiaTheme="minorHAnsi" w:hAnsiTheme="minorHAnsi" w:cstheme="minorHAnsi"/>
          <w:sz w:val="22"/>
          <w:szCs w:val="22"/>
        </w:rPr>
        <w:t>Weele, van, A.J. (2008), “Inkoop in strategisch perspectief”, Zesde druk, Kluwer bv, Alphen aan de Rijn.</w:t>
      </w:r>
    </w:p>
    <w:p w14:paraId="36B3A179"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lang w:val="en-US"/>
        </w:rPr>
        <w:t>Wenger, E., R. Mc. Dermott &amp; W.M. Snyder (2002), Cultivating communities of practice. Boston: Harvard Business School Press.</w:t>
      </w:r>
    </w:p>
    <w:p w14:paraId="2446670A"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r w:rsidRPr="0070400F">
        <w:rPr>
          <w:rFonts w:asciiTheme="minorHAnsi" w:eastAsiaTheme="minorHAnsi" w:hAnsiTheme="minorHAnsi" w:cstheme="minorHAnsi"/>
          <w:sz w:val="22"/>
          <w:szCs w:val="22"/>
        </w:rPr>
        <w:t xml:space="preserve">Wetenschappelijke Raad voor het Regeringsbeleid (WRR). (2000). Het borgen van publiek belang (Nr.56). Geraadpleegd van </w:t>
      </w:r>
      <w:hyperlink r:id="rId85" w:history="1">
        <w:r w:rsidRPr="0070400F">
          <w:rPr>
            <w:rFonts w:asciiTheme="minorHAnsi" w:eastAsiaTheme="minorHAnsi" w:hAnsiTheme="minorHAnsi" w:cstheme="minorHAnsi"/>
            <w:color w:val="0000FF"/>
            <w:sz w:val="22"/>
            <w:szCs w:val="22"/>
            <w:u w:val="single"/>
          </w:rPr>
          <w:t>https://www.wrr.nl/binaries/wrr/documenten/rapporten/2000/04/26/het-borgen-van-publiek-belang/R056-Borgen-publiek-belang.pdf</w:t>
        </w:r>
      </w:hyperlink>
    </w:p>
    <w:p w14:paraId="3BEBBA6F"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lang w:val="en-US"/>
        </w:rPr>
        <w:t xml:space="preserve">Wilensky, H. (1964). The Professionalization of Everyone? American Journal of Sociology, 70(2), 137-158. </w:t>
      </w:r>
      <w:proofErr w:type="spellStart"/>
      <w:r w:rsidRPr="0070400F">
        <w:rPr>
          <w:rFonts w:asciiTheme="minorHAnsi" w:eastAsiaTheme="minorHAnsi" w:hAnsiTheme="minorHAnsi" w:cstheme="minorHAnsi"/>
          <w:sz w:val="22"/>
          <w:szCs w:val="22"/>
          <w:lang w:val="en-US"/>
        </w:rPr>
        <w:t>Geraadpleegd</w:t>
      </w:r>
      <w:proofErr w:type="spellEnd"/>
      <w:r w:rsidRPr="0070400F">
        <w:rPr>
          <w:rFonts w:asciiTheme="minorHAnsi" w:eastAsiaTheme="minorHAnsi" w:hAnsiTheme="minorHAnsi" w:cstheme="minorHAnsi"/>
          <w:sz w:val="22"/>
          <w:szCs w:val="22"/>
          <w:lang w:val="en-US"/>
        </w:rPr>
        <w:t xml:space="preserve"> van </w:t>
      </w:r>
      <w:hyperlink r:id="rId86" w:history="1">
        <w:r w:rsidRPr="0070400F">
          <w:rPr>
            <w:rFonts w:asciiTheme="minorHAnsi" w:eastAsiaTheme="minorHAnsi" w:hAnsiTheme="minorHAnsi" w:cstheme="minorHAnsi"/>
            <w:color w:val="0000FF"/>
            <w:sz w:val="22"/>
            <w:szCs w:val="22"/>
            <w:u w:val="single"/>
            <w:lang w:val="en-US"/>
          </w:rPr>
          <w:t>http://www.jstor.org/stable/2775206</w:t>
        </w:r>
      </w:hyperlink>
    </w:p>
    <w:p w14:paraId="5D5BF8F5"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lang w:val="en-US"/>
        </w:rPr>
        <w:t xml:space="preserve">Williams, R. &amp; </w:t>
      </w:r>
      <w:proofErr w:type="spellStart"/>
      <w:r w:rsidRPr="0070400F">
        <w:rPr>
          <w:rFonts w:asciiTheme="minorHAnsi" w:eastAsiaTheme="minorHAnsi" w:hAnsiTheme="minorHAnsi" w:cstheme="minorHAnsi"/>
          <w:sz w:val="22"/>
          <w:szCs w:val="22"/>
          <w:lang w:val="en-US"/>
        </w:rPr>
        <w:t>Smellie</w:t>
      </w:r>
      <w:proofErr w:type="spellEnd"/>
      <w:r w:rsidRPr="0070400F">
        <w:rPr>
          <w:rFonts w:asciiTheme="minorHAnsi" w:eastAsiaTheme="minorHAnsi" w:hAnsiTheme="minorHAnsi" w:cstheme="minorHAnsi"/>
          <w:sz w:val="22"/>
          <w:szCs w:val="22"/>
          <w:lang w:val="en-US"/>
        </w:rPr>
        <w:t xml:space="preserve">, R. (1985), Public purchasing: An administrative Cinderella. Public Administration, 63: 23-39. </w:t>
      </w:r>
      <w:proofErr w:type="spellStart"/>
      <w:r w:rsidRPr="0070400F">
        <w:rPr>
          <w:rFonts w:asciiTheme="minorHAnsi" w:eastAsiaTheme="minorHAnsi" w:hAnsiTheme="minorHAnsi" w:cstheme="minorHAnsi"/>
          <w:sz w:val="22"/>
          <w:szCs w:val="22"/>
          <w:lang w:val="en-US"/>
        </w:rPr>
        <w:t>Geraadpleegd</w:t>
      </w:r>
      <w:proofErr w:type="spellEnd"/>
      <w:r w:rsidRPr="0070400F">
        <w:rPr>
          <w:rFonts w:asciiTheme="minorHAnsi" w:eastAsiaTheme="minorHAnsi" w:hAnsiTheme="minorHAnsi" w:cstheme="minorHAnsi"/>
          <w:sz w:val="22"/>
          <w:szCs w:val="22"/>
          <w:lang w:val="en-US"/>
        </w:rPr>
        <w:t xml:space="preserve"> van: </w:t>
      </w:r>
      <w:hyperlink r:id="rId87" w:history="1">
        <w:r w:rsidRPr="0070400F">
          <w:rPr>
            <w:rFonts w:asciiTheme="minorHAnsi" w:eastAsiaTheme="minorHAnsi" w:hAnsiTheme="minorHAnsi" w:cstheme="minorHAnsi"/>
            <w:color w:val="0000FF"/>
            <w:sz w:val="22"/>
            <w:szCs w:val="22"/>
            <w:u w:val="single"/>
            <w:lang w:val="en-US"/>
          </w:rPr>
          <w:t>https://doi.org/10.1111/j.1467-9299.1985.tb00583.x</w:t>
        </w:r>
      </w:hyperlink>
    </w:p>
    <w:p w14:paraId="150F9ECC" w14:textId="42F0AC70" w:rsidR="0070400F" w:rsidRPr="00735768" w:rsidRDefault="0070400F" w:rsidP="00735768">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lang w:val="en-US"/>
        </w:rPr>
        <w:t>Wong, A. (2000). Integrating supplier satisfaction with customer satisfaction. Total Quality Management, p.427-432</w:t>
      </w:r>
    </w:p>
    <w:p w14:paraId="134BA90A"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lang w:val="en-US"/>
        </w:rPr>
      </w:pPr>
      <w:r w:rsidRPr="0070400F">
        <w:rPr>
          <w:rFonts w:asciiTheme="minorHAnsi" w:eastAsiaTheme="minorHAnsi" w:hAnsiTheme="minorHAnsi" w:cstheme="minorHAnsi"/>
          <w:sz w:val="22"/>
          <w:szCs w:val="22"/>
          <w:lang w:val="en-US"/>
        </w:rPr>
        <w:t xml:space="preserve">Yin, R.K. (2014) </w:t>
      </w:r>
      <w:proofErr w:type="spellStart"/>
      <w:r w:rsidRPr="0070400F">
        <w:rPr>
          <w:rFonts w:asciiTheme="minorHAnsi" w:eastAsiaTheme="minorHAnsi" w:hAnsiTheme="minorHAnsi" w:cstheme="minorHAnsi"/>
          <w:sz w:val="22"/>
          <w:szCs w:val="22"/>
          <w:lang w:val="en-US"/>
        </w:rPr>
        <w:t>Casestudy</w:t>
      </w:r>
      <w:proofErr w:type="spellEnd"/>
      <w:r w:rsidRPr="0070400F">
        <w:rPr>
          <w:rFonts w:asciiTheme="minorHAnsi" w:eastAsiaTheme="minorHAnsi" w:hAnsiTheme="minorHAnsi" w:cstheme="minorHAnsi"/>
          <w:sz w:val="22"/>
          <w:szCs w:val="22"/>
          <w:lang w:val="en-US"/>
        </w:rPr>
        <w:t xml:space="preserve"> research, design and methods. London Sage, Applied Social Research Methods Series Volume 5.</w:t>
      </w:r>
    </w:p>
    <w:p w14:paraId="58A0AF8F" w14:textId="77777777" w:rsidR="0070400F" w:rsidRPr="0070400F" w:rsidRDefault="0070400F" w:rsidP="0070400F">
      <w:pPr>
        <w:numPr>
          <w:ilvl w:val="0"/>
          <w:numId w:val="36"/>
        </w:numPr>
        <w:spacing w:after="0" w:line="276" w:lineRule="auto"/>
        <w:rPr>
          <w:rFonts w:asciiTheme="minorHAnsi" w:eastAsiaTheme="minorHAnsi" w:hAnsiTheme="minorHAnsi" w:cstheme="minorHAnsi"/>
          <w:sz w:val="22"/>
          <w:szCs w:val="22"/>
        </w:rPr>
      </w:pPr>
      <w:r w:rsidRPr="0070400F">
        <w:rPr>
          <w:rFonts w:asciiTheme="minorHAnsi" w:eastAsiaTheme="minorHAnsi" w:hAnsiTheme="minorHAnsi" w:cstheme="minorHAnsi"/>
          <w:sz w:val="22"/>
          <w:szCs w:val="22"/>
          <w:lang w:val="de-DE"/>
        </w:rPr>
        <w:t xml:space="preserve">Zhang, T., Huang, G. Q., Qu, T., &amp; Li, Z. (2000). </w:t>
      </w:r>
      <w:r w:rsidRPr="0070400F">
        <w:rPr>
          <w:rFonts w:asciiTheme="minorHAnsi" w:eastAsiaTheme="minorHAnsi" w:hAnsiTheme="minorHAnsi" w:cstheme="minorHAnsi"/>
          <w:sz w:val="22"/>
          <w:szCs w:val="22"/>
          <w:lang w:val="en-US"/>
        </w:rPr>
        <w:t xml:space="preserve">Headquarter-centered common sourcing management through order coordination and consolidation. </w:t>
      </w:r>
      <w:r w:rsidRPr="0070400F">
        <w:rPr>
          <w:rFonts w:asciiTheme="minorHAnsi" w:eastAsiaTheme="minorHAnsi" w:hAnsiTheme="minorHAnsi" w:cstheme="minorHAnsi"/>
          <w:sz w:val="22"/>
          <w:szCs w:val="22"/>
        </w:rPr>
        <w:t xml:space="preserve">Elsevier, 26, 141-142. Geraadpleegd van </w:t>
      </w:r>
      <w:hyperlink r:id="rId88" w:history="1">
        <w:r w:rsidRPr="0070400F">
          <w:rPr>
            <w:rFonts w:asciiTheme="minorHAnsi" w:eastAsiaTheme="minorHAnsi" w:hAnsiTheme="minorHAnsi" w:cstheme="minorHAnsi"/>
            <w:color w:val="0000FF"/>
            <w:sz w:val="22"/>
            <w:szCs w:val="22"/>
            <w:u w:val="single"/>
          </w:rPr>
          <w:t>http://jme.bmj.com/content/medethics/26/2/141.full.pdf</w:t>
        </w:r>
      </w:hyperlink>
    </w:p>
    <w:p w14:paraId="3E11866B" w14:textId="77777777" w:rsidR="0070400F" w:rsidRPr="0070400F" w:rsidRDefault="0070400F" w:rsidP="0070400F">
      <w:pPr>
        <w:pStyle w:val="NoSpacing"/>
      </w:pPr>
    </w:p>
    <w:p w14:paraId="2F6824A9" w14:textId="77777777" w:rsidR="000031F2" w:rsidRDefault="000031F2">
      <w:pPr>
        <w:kinsoku/>
        <w:autoSpaceDE/>
        <w:autoSpaceDN/>
        <w:adjustRightInd/>
        <w:spacing w:after="160" w:line="259" w:lineRule="auto"/>
        <w:rPr>
          <w:rFonts w:asciiTheme="minorHAnsi" w:eastAsiaTheme="minorHAnsi" w:hAnsiTheme="minorHAnsi"/>
          <w:sz w:val="22"/>
        </w:rPr>
      </w:pPr>
      <w:r>
        <w:br w:type="page"/>
      </w:r>
    </w:p>
    <w:p w14:paraId="03AC41E6" w14:textId="01596235" w:rsidR="00536E16" w:rsidRPr="00190722" w:rsidRDefault="000031F2" w:rsidP="008D0634">
      <w:pPr>
        <w:pStyle w:val="Heading1"/>
      </w:pPr>
      <w:bookmarkStart w:id="179" w:name="_Toc517455509"/>
      <w:r w:rsidRPr="008D0634">
        <w:lastRenderedPageBreak/>
        <w:t>Bijlagen</w:t>
      </w:r>
      <w:bookmarkEnd w:id="179"/>
    </w:p>
    <w:p w14:paraId="4A5271E6" w14:textId="57E84FEE" w:rsidR="00480D32" w:rsidRDefault="00480D32" w:rsidP="00480D32"/>
    <w:p w14:paraId="0C14E3A8" w14:textId="7292F6CE" w:rsidR="000D3AC3" w:rsidRPr="00190722" w:rsidRDefault="00190722" w:rsidP="00190722">
      <w:pPr>
        <w:pStyle w:val="Heading2"/>
        <w:numPr>
          <w:ilvl w:val="0"/>
          <w:numId w:val="0"/>
        </w:numPr>
        <w:ind w:left="360"/>
        <w:rPr>
          <w:color w:val="1F3864" w:themeColor="accent1" w:themeShade="80"/>
        </w:rPr>
      </w:pPr>
      <w:bookmarkStart w:id="180" w:name="_Toc517455510"/>
      <w:r w:rsidRPr="00190722">
        <w:rPr>
          <w:color w:val="1F3864" w:themeColor="accent1" w:themeShade="80"/>
        </w:rPr>
        <w:t>1.</w:t>
      </w:r>
      <w:r w:rsidRPr="00190722">
        <w:rPr>
          <w:color w:val="1F3864" w:themeColor="accent1" w:themeShade="80"/>
        </w:rPr>
        <w:tab/>
      </w:r>
      <w:r w:rsidR="00480D32" w:rsidRPr="00190722">
        <w:rPr>
          <w:color w:val="1F3864" w:themeColor="accent1" w:themeShade="80"/>
        </w:rPr>
        <w:t>Interview</w:t>
      </w:r>
      <w:r w:rsidR="000D3AC3" w:rsidRPr="00190722">
        <w:rPr>
          <w:color w:val="1F3864" w:themeColor="accent1" w:themeShade="80"/>
        </w:rPr>
        <w:t>guide</w:t>
      </w:r>
      <w:bookmarkEnd w:id="180"/>
    </w:p>
    <w:p w14:paraId="5F3C2413" w14:textId="77777777" w:rsidR="000D3AC3" w:rsidRDefault="000D3AC3" w:rsidP="00480D32">
      <w:pPr>
        <w:spacing w:after="0" w:line="240" w:lineRule="auto"/>
        <w:rPr>
          <w:rFonts w:ascii="Calibri" w:eastAsia="Calibri" w:hAnsi="Calibri"/>
          <w:b/>
        </w:rPr>
      </w:pPr>
    </w:p>
    <w:p w14:paraId="264F4EA0" w14:textId="4F86271A" w:rsidR="00480D32" w:rsidRPr="000D3AC3" w:rsidRDefault="000D3AC3" w:rsidP="000D3AC3">
      <w:pPr>
        <w:rPr>
          <w:rFonts w:asciiTheme="minorHAnsi" w:hAnsiTheme="minorHAnsi" w:cstheme="minorHAnsi"/>
          <w:b/>
          <w:i/>
        </w:rPr>
      </w:pPr>
      <w:r w:rsidRPr="000D3AC3">
        <w:rPr>
          <w:rFonts w:asciiTheme="minorHAnsi" w:hAnsiTheme="minorHAnsi" w:cstheme="minorHAnsi"/>
          <w:i/>
          <w:sz w:val="22"/>
        </w:rPr>
        <w:t>Introductievragen</w:t>
      </w:r>
      <w:r w:rsidR="00480D32" w:rsidRPr="000D3AC3">
        <w:rPr>
          <w:rFonts w:asciiTheme="minorHAnsi" w:eastAsia="Calibri" w:hAnsiTheme="minorHAnsi" w:cstheme="minorHAnsi"/>
          <w:b/>
          <w:i/>
          <w:sz w:val="22"/>
        </w:rPr>
        <w:tab/>
      </w:r>
      <w:r w:rsidR="00480D32" w:rsidRPr="000D3AC3">
        <w:rPr>
          <w:rFonts w:asciiTheme="minorHAnsi" w:eastAsia="Calibri" w:hAnsiTheme="minorHAnsi" w:cstheme="minorHAnsi"/>
          <w:b/>
          <w:i/>
        </w:rPr>
        <w:tab/>
      </w:r>
      <w:r w:rsidR="00480D32" w:rsidRPr="000D3AC3">
        <w:rPr>
          <w:rFonts w:asciiTheme="minorHAnsi" w:eastAsia="Calibri" w:hAnsiTheme="minorHAnsi" w:cstheme="minorHAnsi"/>
          <w:b/>
          <w:i/>
        </w:rPr>
        <w:tab/>
      </w:r>
      <w:r w:rsidR="00480D32" w:rsidRPr="000D3AC3">
        <w:rPr>
          <w:rFonts w:asciiTheme="minorHAnsi" w:eastAsia="Calibri" w:hAnsiTheme="minorHAnsi" w:cstheme="minorHAnsi"/>
          <w:b/>
          <w:i/>
        </w:rPr>
        <w:tab/>
      </w:r>
      <w:r w:rsidR="00480D32" w:rsidRPr="000D3AC3">
        <w:rPr>
          <w:rFonts w:asciiTheme="minorHAnsi" w:eastAsia="Calibri" w:hAnsiTheme="minorHAnsi" w:cstheme="minorHAnsi"/>
          <w:b/>
          <w:i/>
        </w:rPr>
        <w:tab/>
      </w:r>
      <w:r w:rsidR="00480D32" w:rsidRPr="000D3AC3">
        <w:rPr>
          <w:rFonts w:asciiTheme="minorHAnsi" w:eastAsia="Calibri" w:hAnsiTheme="minorHAnsi" w:cstheme="minorHAnsi"/>
          <w:b/>
          <w:i/>
        </w:rPr>
        <w:tab/>
      </w:r>
      <w:r w:rsidR="00480D32" w:rsidRPr="000D3AC3">
        <w:rPr>
          <w:rFonts w:asciiTheme="minorHAnsi" w:eastAsia="Calibri" w:hAnsiTheme="minorHAnsi" w:cstheme="minorHAnsi"/>
          <w:b/>
          <w:i/>
        </w:rPr>
        <w:tab/>
      </w:r>
      <w:r w:rsidR="00480D32" w:rsidRPr="000D3AC3">
        <w:rPr>
          <w:rFonts w:asciiTheme="minorHAnsi" w:eastAsia="Calibri" w:hAnsiTheme="minorHAnsi" w:cstheme="minorHAnsi"/>
          <w:b/>
          <w:i/>
        </w:rPr>
        <w:tab/>
      </w:r>
      <w:r w:rsidR="00480D32" w:rsidRPr="000D3AC3">
        <w:rPr>
          <w:rFonts w:asciiTheme="minorHAnsi" w:eastAsia="Calibri" w:hAnsiTheme="minorHAnsi" w:cstheme="minorHAnsi"/>
          <w:b/>
          <w:i/>
        </w:rPr>
        <w:tab/>
      </w:r>
      <w:r w:rsidR="00480D32" w:rsidRPr="000D3AC3">
        <w:rPr>
          <w:rFonts w:asciiTheme="minorHAnsi" w:eastAsia="Calibri" w:hAnsiTheme="minorHAnsi" w:cstheme="minorHAnsi"/>
          <w:b/>
          <w:i/>
        </w:rPr>
        <w:tab/>
      </w:r>
      <w:r w:rsidR="00480D32" w:rsidRPr="000D3AC3">
        <w:rPr>
          <w:rFonts w:asciiTheme="minorHAnsi" w:eastAsia="Calibri" w:hAnsiTheme="minorHAnsi" w:cstheme="minorHAnsi"/>
          <w:b/>
          <w:i/>
        </w:rPr>
        <w:tab/>
      </w:r>
    </w:p>
    <w:p w14:paraId="3F2F57E4" w14:textId="77777777" w:rsidR="00480D32" w:rsidRPr="006F1FD0" w:rsidRDefault="00480D32" w:rsidP="00480D32">
      <w:pPr>
        <w:pStyle w:val="NoSpacing"/>
        <w:numPr>
          <w:ilvl w:val="0"/>
          <w:numId w:val="29"/>
        </w:numPr>
        <w:kinsoku/>
        <w:autoSpaceDE/>
        <w:autoSpaceDN/>
        <w:adjustRightInd/>
        <w:spacing w:line="276" w:lineRule="auto"/>
      </w:pPr>
      <w:r w:rsidRPr="006F1FD0">
        <w:t xml:space="preserve">Hoe verloopt de inkoop binnen deze school? </w:t>
      </w:r>
    </w:p>
    <w:p w14:paraId="6B3C9731" w14:textId="77777777" w:rsidR="00480D32" w:rsidRPr="006F1FD0" w:rsidRDefault="00480D32" w:rsidP="00480D32">
      <w:pPr>
        <w:pStyle w:val="NoSpacing"/>
        <w:numPr>
          <w:ilvl w:val="0"/>
          <w:numId w:val="29"/>
        </w:numPr>
        <w:kinsoku/>
        <w:autoSpaceDE/>
        <w:autoSpaceDN/>
        <w:adjustRightInd/>
        <w:spacing w:line="276" w:lineRule="auto"/>
      </w:pPr>
      <w:r w:rsidRPr="006F1FD0">
        <w:t xml:space="preserve">Wie doet de inkoop; wie is hier verantwoordelijk voor? </w:t>
      </w:r>
    </w:p>
    <w:p w14:paraId="0B0A9C15" w14:textId="77777777" w:rsidR="00480D32" w:rsidRPr="006F1FD0" w:rsidRDefault="00480D32" w:rsidP="00480D32">
      <w:pPr>
        <w:pStyle w:val="NoSpacing"/>
        <w:numPr>
          <w:ilvl w:val="0"/>
          <w:numId w:val="29"/>
        </w:numPr>
        <w:kinsoku/>
        <w:autoSpaceDE/>
        <w:autoSpaceDN/>
        <w:adjustRightInd/>
        <w:spacing w:line="276" w:lineRule="auto"/>
      </w:pPr>
      <w:r w:rsidRPr="006F1FD0">
        <w:t>Welke actoren/personen zijn hier allemaal bij betrokken?</w:t>
      </w:r>
    </w:p>
    <w:p w14:paraId="2FDF3F18" w14:textId="77777777" w:rsidR="00480D32" w:rsidRPr="006F1FD0" w:rsidRDefault="00480D32" w:rsidP="00480D32">
      <w:pPr>
        <w:pStyle w:val="NoSpacing"/>
        <w:numPr>
          <w:ilvl w:val="0"/>
          <w:numId w:val="29"/>
        </w:numPr>
        <w:kinsoku/>
        <w:autoSpaceDE/>
        <w:autoSpaceDN/>
        <w:adjustRightInd/>
        <w:spacing w:line="276" w:lineRule="auto"/>
      </w:pPr>
      <w:r w:rsidRPr="006F1FD0">
        <w:t>Wanneer kunt u spreken van een goede inkoop? (onder welke voorwaarden)</w:t>
      </w:r>
    </w:p>
    <w:p w14:paraId="45413542" w14:textId="77777777" w:rsidR="00480D32" w:rsidRPr="006F1FD0" w:rsidRDefault="00480D32" w:rsidP="00480D32">
      <w:pPr>
        <w:pStyle w:val="NoSpacing"/>
        <w:numPr>
          <w:ilvl w:val="0"/>
          <w:numId w:val="29"/>
        </w:numPr>
        <w:kinsoku/>
        <w:autoSpaceDE/>
        <w:autoSpaceDN/>
        <w:adjustRightInd/>
        <w:spacing w:line="276" w:lineRule="auto"/>
      </w:pPr>
      <w:r w:rsidRPr="006F1FD0">
        <w:t>Hoe bepaalt u de kwaliteit van de producten?</w:t>
      </w:r>
    </w:p>
    <w:p w14:paraId="64744A56" w14:textId="3A51882A" w:rsidR="00480D32" w:rsidRPr="000D3AC3" w:rsidRDefault="00480D32" w:rsidP="00480D32">
      <w:pPr>
        <w:pStyle w:val="NoSpacing"/>
        <w:numPr>
          <w:ilvl w:val="0"/>
          <w:numId w:val="29"/>
        </w:numPr>
        <w:kinsoku/>
        <w:autoSpaceDE/>
        <w:autoSpaceDN/>
        <w:adjustRightInd/>
        <w:spacing w:line="276" w:lineRule="auto"/>
      </w:pPr>
      <w:r w:rsidRPr="006F1FD0">
        <w:t>Hoe gaat dat als u geen ervaring heeft bij producten?</w:t>
      </w:r>
    </w:p>
    <w:p w14:paraId="5C54AF57" w14:textId="77777777" w:rsidR="00480D32" w:rsidRPr="006F1FD0" w:rsidRDefault="00480D32" w:rsidP="00480D32">
      <w:pPr>
        <w:pStyle w:val="NoSpacing"/>
        <w:numPr>
          <w:ilvl w:val="0"/>
          <w:numId w:val="29"/>
        </w:numPr>
        <w:kinsoku/>
        <w:autoSpaceDE/>
        <w:autoSpaceDN/>
        <w:adjustRightInd/>
        <w:spacing w:line="276" w:lineRule="auto"/>
      </w:pPr>
      <w:r w:rsidRPr="006F1FD0">
        <w:t>Is er in de laatste jaren iets veranderd in de inkoopfunctie van deze school?</w:t>
      </w:r>
    </w:p>
    <w:p w14:paraId="6112B7A2" w14:textId="77777777" w:rsidR="00480D32" w:rsidRPr="006F1FD0" w:rsidRDefault="00480D32" w:rsidP="00480D32">
      <w:pPr>
        <w:pStyle w:val="NoSpacing"/>
        <w:numPr>
          <w:ilvl w:val="0"/>
          <w:numId w:val="29"/>
        </w:numPr>
        <w:kinsoku/>
        <w:autoSpaceDE/>
        <w:autoSpaceDN/>
        <w:adjustRightInd/>
        <w:spacing w:line="276" w:lineRule="auto"/>
      </w:pPr>
      <w:r w:rsidRPr="006F1FD0">
        <w:t>Zijn er problemen bij de inkoop? Zo ja, welke?</w:t>
      </w:r>
    </w:p>
    <w:p w14:paraId="10E230EB" w14:textId="77777777" w:rsidR="00480D32" w:rsidRPr="006F1FD0" w:rsidRDefault="00480D32" w:rsidP="00480D32">
      <w:pPr>
        <w:pStyle w:val="NoSpacing"/>
        <w:spacing w:line="276" w:lineRule="auto"/>
        <w:ind w:left="720"/>
      </w:pPr>
    </w:p>
    <w:p w14:paraId="507B5E25" w14:textId="77777777" w:rsidR="00480D32" w:rsidRPr="006F1FD0" w:rsidRDefault="00480D32" w:rsidP="00480D32">
      <w:pPr>
        <w:pStyle w:val="NoSpacing"/>
        <w:spacing w:line="276" w:lineRule="auto"/>
      </w:pPr>
      <w:r w:rsidRPr="006F1FD0">
        <w:rPr>
          <w:i/>
        </w:rPr>
        <w:t>Kennis en afhankelijkheid</w:t>
      </w:r>
    </w:p>
    <w:p w14:paraId="27D782D1" w14:textId="77777777" w:rsidR="00480D32" w:rsidRPr="006F1FD0" w:rsidRDefault="00480D32" w:rsidP="00480D32">
      <w:pPr>
        <w:pStyle w:val="NoSpacing"/>
        <w:numPr>
          <w:ilvl w:val="0"/>
          <w:numId w:val="29"/>
        </w:numPr>
        <w:kinsoku/>
        <w:autoSpaceDE/>
        <w:autoSpaceDN/>
        <w:adjustRightInd/>
        <w:spacing w:line="276" w:lineRule="auto"/>
      </w:pPr>
      <w:r w:rsidRPr="006F1FD0">
        <w:t>In hoeverre heeft uzelf kennis van de producten die u inkoopt?</w:t>
      </w:r>
    </w:p>
    <w:p w14:paraId="658852C2" w14:textId="77777777" w:rsidR="00480D32" w:rsidRPr="006F1FD0" w:rsidRDefault="00480D32" w:rsidP="00480D32">
      <w:pPr>
        <w:pStyle w:val="NoSpacing"/>
        <w:numPr>
          <w:ilvl w:val="0"/>
          <w:numId w:val="29"/>
        </w:numPr>
        <w:kinsoku/>
        <w:autoSpaceDE/>
        <w:autoSpaceDN/>
        <w:adjustRightInd/>
        <w:spacing w:line="276" w:lineRule="auto"/>
      </w:pPr>
      <w:r w:rsidRPr="006F1FD0">
        <w:t>Waar baseert u dit op?</w:t>
      </w:r>
    </w:p>
    <w:p w14:paraId="4057EBC8" w14:textId="77777777" w:rsidR="00480D32" w:rsidRPr="006F1FD0" w:rsidRDefault="00480D32" w:rsidP="00480D32">
      <w:pPr>
        <w:pStyle w:val="NoSpacing"/>
        <w:numPr>
          <w:ilvl w:val="0"/>
          <w:numId w:val="29"/>
        </w:numPr>
        <w:kinsoku/>
        <w:autoSpaceDE/>
        <w:autoSpaceDN/>
        <w:adjustRightInd/>
        <w:spacing w:line="276" w:lineRule="auto"/>
      </w:pPr>
      <w:r w:rsidRPr="006F1FD0">
        <w:t>Heeft u minder, evenveel of meer kennis dan de leverancier over producten en diensten?</w:t>
      </w:r>
    </w:p>
    <w:p w14:paraId="2CAE7E01" w14:textId="77777777" w:rsidR="00480D32" w:rsidRPr="006F1FD0" w:rsidRDefault="00480D32" w:rsidP="00480D32">
      <w:pPr>
        <w:pStyle w:val="NoSpacing"/>
        <w:numPr>
          <w:ilvl w:val="0"/>
          <w:numId w:val="29"/>
        </w:numPr>
        <w:kinsoku/>
        <w:autoSpaceDE/>
        <w:autoSpaceDN/>
        <w:adjustRightInd/>
        <w:spacing w:line="276" w:lineRule="auto"/>
      </w:pPr>
      <w:r w:rsidRPr="006F1FD0">
        <w:t>Bent u van mening dat de organisatie de juiste deskundigheid in huis heeft voor de inkoop van ICT?</w:t>
      </w:r>
    </w:p>
    <w:p w14:paraId="4322D51C" w14:textId="29FE86E0" w:rsidR="00480D32" w:rsidRDefault="00480D32" w:rsidP="00480D32">
      <w:pPr>
        <w:pStyle w:val="NoSpacing"/>
        <w:numPr>
          <w:ilvl w:val="0"/>
          <w:numId w:val="29"/>
        </w:numPr>
        <w:kinsoku/>
        <w:autoSpaceDE/>
        <w:autoSpaceDN/>
        <w:adjustRightInd/>
        <w:spacing w:line="276" w:lineRule="auto"/>
      </w:pPr>
      <w:r w:rsidRPr="006F1FD0">
        <w:t>Waar baseert u dit op?</w:t>
      </w:r>
    </w:p>
    <w:p w14:paraId="2488FB8B" w14:textId="77777777" w:rsidR="000D3AC3" w:rsidRPr="006F1FD0" w:rsidRDefault="000D3AC3" w:rsidP="000D3AC3">
      <w:pPr>
        <w:pStyle w:val="NoSpacing"/>
        <w:kinsoku/>
        <w:autoSpaceDE/>
        <w:autoSpaceDN/>
        <w:adjustRightInd/>
        <w:spacing w:line="276" w:lineRule="auto"/>
        <w:ind w:left="720"/>
      </w:pPr>
    </w:p>
    <w:p w14:paraId="5286A7E8" w14:textId="77777777" w:rsidR="00480D32" w:rsidRPr="006F1FD0" w:rsidRDefault="00480D32" w:rsidP="00480D32">
      <w:pPr>
        <w:pStyle w:val="NoSpacing"/>
        <w:spacing w:line="276" w:lineRule="auto"/>
      </w:pPr>
      <w:r w:rsidRPr="006F1FD0">
        <w:rPr>
          <w:i/>
        </w:rPr>
        <w:t>Professionalisering</w:t>
      </w:r>
    </w:p>
    <w:p w14:paraId="12E442C1" w14:textId="77777777" w:rsidR="00480D32" w:rsidRPr="006F1FD0" w:rsidRDefault="00480D32" w:rsidP="00480D32">
      <w:pPr>
        <w:pStyle w:val="NoSpacing"/>
        <w:numPr>
          <w:ilvl w:val="0"/>
          <w:numId w:val="29"/>
        </w:numPr>
        <w:kinsoku/>
        <w:autoSpaceDE/>
        <w:autoSpaceDN/>
        <w:adjustRightInd/>
        <w:spacing w:line="276" w:lineRule="auto"/>
      </w:pPr>
      <w:r w:rsidRPr="006F1FD0">
        <w:t>Hoeveel mensen houden zich bezig met de inkoop van ICT binnen deze school?</w:t>
      </w:r>
    </w:p>
    <w:p w14:paraId="40CDB082" w14:textId="77777777" w:rsidR="00480D32" w:rsidRPr="006F1FD0" w:rsidRDefault="00480D32" w:rsidP="00480D32">
      <w:pPr>
        <w:pStyle w:val="NoSpacing"/>
        <w:numPr>
          <w:ilvl w:val="0"/>
          <w:numId w:val="29"/>
        </w:numPr>
        <w:kinsoku/>
        <w:autoSpaceDE/>
        <w:autoSpaceDN/>
        <w:adjustRightInd/>
        <w:spacing w:line="276" w:lineRule="auto"/>
      </w:pPr>
      <w:r w:rsidRPr="006F1FD0">
        <w:t>In hoeverre hebben leerkrachten medezeggenschap hierin? In hoeverre maken zij ook daadwerkelijk gebruik van?</w:t>
      </w:r>
    </w:p>
    <w:p w14:paraId="4E17F7A4" w14:textId="77777777" w:rsidR="00480D32" w:rsidRPr="006F1FD0" w:rsidRDefault="00480D32" w:rsidP="00480D32">
      <w:pPr>
        <w:pStyle w:val="NoSpacing"/>
        <w:numPr>
          <w:ilvl w:val="0"/>
          <w:numId w:val="29"/>
        </w:numPr>
        <w:kinsoku/>
        <w:autoSpaceDE/>
        <w:autoSpaceDN/>
        <w:adjustRightInd/>
        <w:spacing w:line="276" w:lineRule="auto"/>
      </w:pPr>
      <w:r w:rsidRPr="006F1FD0">
        <w:t>Worden medewerkers bijgeschoold op het gebied van ICT?</w:t>
      </w:r>
    </w:p>
    <w:p w14:paraId="52BE8F25" w14:textId="77777777" w:rsidR="00480D32" w:rsidRPr="006F1FD0" w:rsidRDefault="00480D32" w:rsidP="00480D32">
      <w:pPr>
        <w:pStyle w:val="NoSpacing"/>
        <w:numPr>
          <w:ilvl w:val="0"/>
          <w:numId w:val="29"/>
        </w:numPr>
        <w:kinsoku/>
        <w:autoSpaceDE/>
        <w:autoSpaceDN/>
        <w:adjustRightInd/>
        <w:spacing w:line="276" w:lineRule="auto"/>
      </w:pPr>
      <w:r w:rsidRPr="006F1FD0">
        <w:t>Is er een inkoopmanager aanwezig binnen deze school?</w:t>
      </w:r>
    </w:p>
    <w:p w14:paraId="033D9C1C" w14:textId="77777777" w:rsidR="00480D32" w:rsidRPr="006F1FD0" w:rsidRDefault="00480D32" w:rsidP="00480D32">
      <w:pPr>
        <w:pStyle w:val="NoSpacing"/>
        <w:numPr>
          <w:ilvl w:val="0"/>
          <w:numId w:val="29"/>
        </w:numPr>
        <w:kinsoku/>
        <w:autoSpaceDE/>
        <w:autoSpaceDN/>
        <w:adjustRightInd/>
        <w:spacing w:line="276" w:lineRule="auto"/>
      </w:pPr>
      <w:r w:rsidRPr="006F1FD0">
        <w:t>Maakt u gebruik van externe hulp bij inkoop?</w:t>
      </w:r>
    </w:p>
    <w:p w14:paraId="5D0EE7C6" w14:textId="77777777" w:rsidR="00480D32" w:rsidRPr="006F1FD0" w:rsidRDefault="00480D32" w:rsidP="00480D32">
      <w:pPr>
        <w:pStyle w:val="NoSpacing"/>
        <w:spacing w:line="276" w:lineRule="auto"/>
      </w:pPr>
    </w:p>
    <w:p w14:paraId="1FDE6CBA" w14:textId="77777777" w:rsidR="00480D32" w:rsidRPr="006F1FD0" w:rsidRDefault="00480D32" w:rsidP="00480D32">
      <w:pPr>
        <w:pStyle w:val="NoSpacing"/>
        <w:spacing w:line="276" w:lineRule="auto"/>
        <w:rPr>
          <w:i/>
        </w:rPr>
      </w:pPr>
      <w:r w:rsidRPr="006F1FD0">
        <w:rPr>
          <w:i/>
        </w:rPr>
        <w:t>Gezamenlijk inkopen</w:t>
      </w:r>
    </w:p>
    <w:p w14:paraId="32FDCE39" w14:textId="3626D7DE" w:rsidR="00480D32" w:rsidRDefault="00480D32" w:rsidP="00480D32">
      <w:pPr>
        <w:pStyle w:val="NoSpacing"/>
        <w:numPr>
          <w:ilvl w:val="0"/>
          <w:numId w:val="29"/>
        </w:numPr>
        <w:kinsoku/>
        <w:autoSpaceDE/>
        <w:autoSpaceDN/>
        <w:adjustRightInd/>
        <w:spacing w:line="276" w:lineRule="auto"/>
      </w:pPr>
      <w:r w:rsidRPr="006F1FD0">
        <w:t>Koopt u individueel of gezamenlijk in en wat betekent dat in de praktijk?</w:t>
      </w:r>
    </w:p>
    <w:p w14:paraId="0B34275C" w14:textId="42359ECD" w:rsidR="000D3AC3" w:rsidRDefault="000D3AC3" w:rsidP="00480D32">
      <w:pPr>
        <w:pStyle w:val="NoSpacing"/>
        <w:numPr>
          <w:ilvl w:val="0"/>
          <w:numId w:val="29"/>
        </w:numPr>
        <w:kinsoku/>
        <w:autoSpaceDE/>
        <w:autoSpaceDN/>
        <w:adjustRightInd/>
        <w:spacing w:line="276" w:lineRule="auto"/>
      </w:pPr>
      <w:r>
        <w:t>Welke voordelen en nadelen ervaart hierbij?</w:t>
      </w:r>
    </w:p>
    <w:p w14:paraId="1E1A0341" w14:textId="779BD293" w:rsidR="00431A80" w:rsidRPr="006F1FD0" w:rsidRDefault="00431A80" w:rsidP="00480D32">
      <w:pPr>
        <w:pStyle w:val="NoSpacing"/>
        <w:numPr>
          <w:ilvl w:val="0"/>
          <w:numId w:val="29"/>
        </w:numPr>
        <w:kinsoku/>
        <w:autoSpaceDE/>
        <w:autoSpaceDN/>
        <w:adjustRightInd/>
        <w:spacing w:line="276" w:lineRule="auto"/>
      </w:pPr>
      <w:r>
        <w:t xml:space="preserve">Hoe zijn de bevoegdheden tussen de school en de scholengemeenschap belegd op het gebied van inkoop? </w:t>
      </w:r>
    </w:p>
    <w:p w14:paraId="39E56C80" w14:textId="77777777" w:rsidR="00480D32" w:rsidRPr="006F1FD0" w:rsidRDefault="00480D32" w:rsidP="00480D32">
      <w:pPr>
        <w:pStyle w:val="NoSpacing"/>
        <w:spacing w:line="276" w:lineRule="auto"/>
        <w:rPr>
          <w:i/>
        </w:rPr>
      </w:pPr>
    </w:p>
    <w:p w14:paraId="3180349B" w14:textId="77777777" w:rsidR="00480D32" w:rsidRPr="006F1FD0" w:rsidRDefault="00480D32" w:rsidP="00480D32">
      <w:pPr>
        <w:pStyle w:val="NoSpacing"/>
        <w:spacing w:line="276" w:lineRule="auto"/>
        <w:rPr>
          <w:i/>
        </w:rPr>
      </w:pPr>
      <w:r w:rsidRPr="006F1FD0">
        <w:rPr>
          <w:i/>
        </w:rPr>
        <w:t xml:space="preserve">Kiezen van leverancier en de soort relatie </w:t>
      </w:r>
    </w:p>
    <w:p w14:paraId="1E6EEA70" w14:textId="77777777" w:rsidR="00480D32" w:rsidRPr="006F1FD0" w:rsidRDefault="00480D32" w:rsidP="00480D32">
      <w:pPr>
        <w:pStyle w:val="NoSpacing"/>
        <w:numPr>
          <w:ilvl w:val="0"/>
          <w:numId w:val="29"/>
        </w:numPr>
        <w:kinsoku/>
        <w:autoSpaceDE/>
        <w:autoSpaceDN/>
        <w:adjustRightInd/>
        <w:spacing w:line="276" w:lineRule="auto"/>
      </w:pPr>
      <w:r w:rsidRPr="006F1FD0">
        <w:t>Wat voor soort relatie met de leverancier prefereert u?</w:t>
      </w:r>
    </w:p>
    <w:p w14:paraId="362DBEB8" w14:textId="77777777" w:rsidR="00480D32" w:rsidRPr="006F1FD0" w:rsidRDefault="00480D32" w:rsidP="00480D32">
      <w:pPr>
        <w:pStyle w:val="NoSpacing"/>
        <w:numPr>
          <w:ilvl w:val="0"/>
          <w:numId w:val="29"/>
        </w:numPr>
        <w:kinsoku/>
        <w:autoSpaceDE/>
        <w:autoSpaceDN/>
        <w:adjustRightInd/>
        <w:spacing w:line="276" w:lineRule="auto"/>
      </w:pPr>
      <w:r w:rsidRPr="006F1FD0">
        <w:t xml:space="preserve">Op welke wijze kiest u leveranciers? </w:t>
      </w:r>
    </w:p>
    <w:p w14:paraId="170DC44F" w14:textId="77777777" w:rsidR="00480D32" w:rsidRPr="006F1FD0" w:rsidRDefault="00480D32" w:rsidP="00480D32">
      <w:pPr>
        <w:pStyle w:val="NoSpacing"/>
        <w:numPr>
          <w:ilvl w:val="0"/>
          <w:numId w:val="29"/>
        </w:numPr>
        <w:kinsoku/>
        <w:autoSpaceDE/>
        <w:autoSpaceDN/>
        <w:adjustRightInd/>
        <w:spacing w:line="276" w:lineRule="auto"/>
      </w:pPr>
      <w:r w:rsidRPr="006F1FD0">
        <w:t>Hoe stuurt u leveranciers aan?</w:t>
      </w:r>
    </w:p>
    <w:p w14:paraId="1869A599" w14:textId="77777777" w:rsidR="00480D32" w:rsidRPr="006F1FD0" w:rsidRDefault="00480D32" w:rsidP="00480D32">
      <w:pPr>
        <w:pStyle w:val="NoSpacing"/>
        <w:numPr>
          <w:ilvl w:val="0"/>
          <w:numId w:val="29"/>
        </w:numPr>
        <w:kinsoku/>
        <w:autoSpaceDE/>
        <w:autoSpaceDN/>
        <w:adjustRightInd/>
        <w:spacing w:line="276" w:lineRule="auto"/>
      </w:pPr>
      <w:r w:rsidRPr="006F1FD0">
        <w:t>Hoeveel verschillende leveranciers betrekt u in het inkoopproces?</w:t>
      </w:r>
    </w:p>
    <w:p w14:paraId="07A6E43C" w14:textId="77777777" w:rsidR="00480D32" w:rsidRPr="006F1FD0" w:rsidRDefault="00480D32" w:rsidP="00480D32">
      <w:pPr>
        <w:pStyle w:val="NoSpacing"/>
        <w:numPr>
          <w:ilvl w:val="0"/>
          <w:numId w:val="29"/>
        </w:numPr>
        <w:kinsoku/>
        <w:autoSpaceDE/>
        <w:autoSpaceDN/>
        <w:adjustRightInd/>
        <w:spacing w:line="276" w:lineRule="auto"/>
      </w:pPr>
      <w:r w:rsidRPr="006F1FD0">
        <w:t xml:space="preserve">Wat gaat er hierbij goed en wat kan er beter? </w:t>
      </w:r>
    </w:p>
    <w:p w14:paraId="7E7641C7" w14:textId="77777777" w:rsidR="00480D32" w:rsidRPr="006F1FD0" w:rsidRDefault="00480D32" w:rsidP="00480D32">
      <w:pPr>
        <w:pStyle w:val="NoSpacing"/>
        <w:spacing w:line="276" w:lineRule="auto"/>
        <w:ind w:left="720"/>
        <w:rPr>
          <w:i/>
        </w:rPr>
      </w:pPr>
    </w:p>
    <w:p w14:paraId="19C67E42" w14:textId="1C39BFDF" w:rsidR="00480D32" w:rsidRPr="006F1FD0" w:rsidRDefault="00480D32" w:rsidP="00480D32">
      <w:pPr>
        <w:pStyle w:val="NoSpacing"/>
        <w:spacing w:line="276" w:lineRule="auto"/>
        <w:rPr>
          <w:u w:val="single"/>
        </w:rPr>
      </w:pPr>
      <w:r w:rsidRPr="006F1FD0">
        <w:rPr>
          <w:i/>
        </w:rPr>
        <w:t xml:space="preserve">Resultaten van </w:t>
      </w:r>
      <w:r w:rsidR="00D42751">
        <w:rPr>
          <w:i/>
        </w:rPr>
        <w:t xml:space="preserve">de </w:t>
      </w:r>
      <w:r w:rsidRPr="006F1FD0">
        <w:rPr>
          <w:i/>
        </w:rPr>
        <w:t>inkoop</w:t>
      </w:r>
    </w:p>
    <w:p w14:paraId="6EE67354" w14:textId="77777777" w:rsidR="00480D32" w:rsidRPr="006F1FD0" w:rsidRDefault="00480D32" w:rsidP="00480D32">
      <w:pPr>
        <w:pStyle w:val="NoSpacing"/>
        <w:numPr>
          <w:ilvl w:val="0"/>
          <w:numId w:val="29"/>
        </w:numPr>
        <w:kinsoku/>
        <w:autoSpaceDE/>
        <w:autoSpaceDN/>
        <w:adjustRightInd/>
        <w:spacing w:line="276" w:lineRule="auto"/>
      </w:pPr>
      <w:r w:rsidRPr="006F1FD0">
        <w:t>Als we naar de afgelopen inkooptrajecten kijken; is er dan geleverd wat er vooraf was afgesproken?</w:t>
      </w:r>
    </w:p>
    <w:p w14:paraId="335CE9D1" w14:textId="25ADDE95" w:rsidR="00480D32" w:rsidRPr="00431A80" w:rsidRDefault="00480D32" w:rsidP="00781D98">
      <w:pPr>
        <w:pStyle w:val="NoSpacing"/>
        <w:numPr>
          <w:ilvl w:val="0"/>
          <w:numId w:val="29"/>
        </w:numPr>
        <w:kinsoku/>
        <w:autoSpaceDE/>
        <w:autoSpaceDN/>
        <w:adjustRightInd/>
        <w:spacing w:line="276" w:lineRule="auto"/>
        <w:rPr>
          <w:i/>
          <w:color w:val="0070C0"/>
        </w:rPr>
      </w:pPr>
      <w:r w:rsidRPr="006F1FD0">
        <w:t>Op welke manier worden de afspraken met de leverancier bewaakt?</w:t>
      </w:r>
    </w:p>
    <w:p w14:paraId="0E82C1EF" w14:textId="77777777" w:rsidR="00480D32" w:rsidRPr="006F1FD0" w:rsidRDefault="00480D32" w:rsidP="00480D32">
      <w:pPr>
        <w:pStyle w:val="NoSpacing"/>
        <w:numPr>
          <w:ilvl w:val="0"/>
          <w:numId w:val="29"/>
        </w:numPr>
        <w:kinsoku/>
        <w:autoSpaceDE/>
        <w:autoSpaceDN/>
        <w:adjustRightInd/>
        <w:spacing w:line="276" w:lineRule="auto"/>
      </w:pPr>
      <w:r w:rsidRPr="006F1FD0">
        <w:t>Hoe evalueert u een inkoopproject?</w:t>
      </w:r>
    </w:p>
    <w:p w14:paraId="1A71446A" w14:textId="1CF2C89A" w:rsidR="00480D32" w:rsidRPr="006F1FD0" w:rsidRDefault="00480D32" w:rsidP="00480D32">
      <w:pPr>
        <w:pStyle w:val="NoSpacing"/>
        <w:numPr>
          <w:ilvl w:val="0"/>
          <w:numId w:val="29"/>
        </w:numPr>
        <w:kinsoku/>
        <w:autoSpaceDE/>
        <w:autoSpaceDN/>
        <w:adjustRightInd/>
        <w:spacing w:line="276" w:lineRule="auto"/>
      </w:pPr>
      <w:r w:rsidRPr="006F1FD0">
        <w:t>In hoeverre is dit vastgelegd?</w:t>
      </w:r>
    </w:p>
    <w:p w14:paraId="553907A7" w14:textId="77777777" w:rsidR="00480D32" w:rsidRPr="006F1FD0" w:rsidRDefault="00480D32" w:rsidP="00480D32">
      <w:pPr>
        <w:pStyle w:val="NoSpacing"/>
        <w:spacing w:line="276" w:lineRule="auto"/>
        <w:ind w:left="720"/>
      </w:pPr>
    </w:p>
    <w:p w14:paraId="07E76AFC" w14:textId="77777777" w:rsidR="00480D32" w:rsidRPr="006F1FD0" w:rsidRDefault="00480D32" w:rsidP="00480D32">
      <w:pPr>
        <w:pStyle w:val="NoSpacing"/>
        <w:spacing w:line="276" w:lineRule="auto"/>
        <w:rPr>
          <w:i/>
        </w:rPr>
      </w:pPr>
      <w:r w:rsidRPr="006F1FD0">
        <w:rPr>
          <w:i/>
        </w:rPr>
        <w:t>Institutionele setting openbaar bestuur</w:t>
      </w:r>
    </w:p>
    <w:p w14:paraId="54000CCE" w14:textId="77777777" w:rsidR="00480D32" w:rsidRPr="006F1FD0" w:rsidRDefault="00480D32" w:rsidP="00480D32">
      <w:pPr>
        <w:pStyle w:val="NoSpacing"/>
        <w:numPr>
          <w:ilvl w:val="0"/>
          <w:numId w:val="29"/>
        </w:numPr>
        <w:kinsoku/>
        <w:autoSpaceDE/>
        <w:autoSpaceDN/>
        <w:adjustRightInd/>
        <w:spacing w:line="276" w:lineRule="auto"/>
      </w:pPr>
      <w:r w:rsidRPr="006F1FD0">
        <w:t>U opereert binnen het publieke domein. In hoeverre heeft dat invloed op de wijze waarop u producten inkoopt?</w:t>
      </w:r>
    </w:p>
    <w:p w14:paraId="66BFB3B8" w14:textId="6DDFEA8A" w:rsidR="00480D32" w:rsidRPr="006F1FD0" w:rsidRDefault="00431A80" w:rsidP="00480D32">
      <w:pPr>
        <w:pStyle w:val="NoSpacing"/>
        <w:numPr>
          <w:ilvl w:val="0"/>
          <w:numId w:val="29"/>
        </w:numPr>
        <w:kinsoku/>
        <w:autoSpaceDE/>
        <w:autoSpaceDN/>
        <w:adjustRightInd/>
        <w:spacing w:line="276" w:lineRule="auto"/>
      </w:pPr>
      <w:r>
        <w:t>Met welke (</w:t>
      </w:r>
      <w:r w:rsidR="00480D32" w:rsidRPr="006F1FD0">
        <w:t>externe</w:t>
      </w:r>
      <w:r>
        <w:t>)</w:t>
      </w:r>
      <w:r w:rsidR="00480D32" w:rsidRPr="006F1FD0">
        <w:t xml:space="preserve"> actoren </w:t>
      </w:r>
      <w:r>
        <w:t>heef u</w:t>
      </w:r>
      <w:r w:rsidR="00480D32" w:rsidRPr="006F1FD0">
        <w:t xml:space="preserve"> te maken bij inkoop (en aanbestedingen)? </w:t>
      </w:r>
    </w:p>
    <w:p w14:paraId="12C8902B" w14:textId="77777777" w:rsidR="007C2303" w:rsidRDefault="00480D32" w:rsidP="00480D32">
      <w:pPr>
        <w:pStyle w:val="NoSpacing"/>
        <w:numPr>
          <w:ilvl w:val="0"/>
          <w:numId w:val="29"/>
        </w:numPr>
        <w:kinsoku/>
        <w:autoSpaceDE/>
        <w:autoSpaceDN/>
        <w:adjustRightInd/>
        <w:spacing w:line="276" w:lineRule="auto"/>
      </w:pPr>
      <w:r w:rsidRPr="006F1FD0">
        <w:t>In hoeverre is continuïteit van de dienstverlening</w:t>
      </w:r>
      <w:r w:rsidR="007C2303">
        <w:t xml:space="preserve"> </w:t>
      </w:r>
      <w:r w:rsidRPr="006F1FD0">
        <w:t>(=onderwijs) belangrijk voor u?</w:t>
      </w:r>
    </w:p>
    <w:p w14:paraId="064F5354" w14:textId="346C763F" w:rsidR="00480D32" w:rsidRPr="00480D32" w:rsidRDefault="007C2303" w:rsidP="00BF3F2F">
      <w:pPr>
        <w:pStyle w:val="NoSpacing"/>
        <w:numPr>
          <w:ilvl w:val="0"/>
          <w:numId w:val="29"/>
        </w:numPr>
        <w:kinsoku/>
        <w:autoSpaceDE/>
        <w:autoSpaceDN/>
        <w:adjustRightInd/>
        <w:spacing w:line="276" w:lineRule="auto"/>
      </w:pPr>
      <w:r>
        <w:t>Aan wie legt u verantwoording af?</w:t>
      </w:r>
    </w:p>
    <w:p w14:paraId="08626879" w14:textId="77777777" w:rsidR="00536E16" w:rsidRDefault="00536E16" w:rsidP="007A2BD8"/>
    <w:p w14:paraId="05B1DCD1" w14:textId="1FFB27AB" w:rsidR="007A2BD8" w:rsidRPr="007A2BD8" w:rsidRDefault="007A2BD8" w:rsidP="007A2BD8"/>
    <w:sectPr w:rsidR="007A2BD8" w:rsidRPr="007A2BD8" w:rsidSect="006018E4">
      <w:pgSz w:w="11906" w:h="16838"/>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FF40417" w14:textId="77777777" w:rsidR="003040E4" w:rsidRDefault="003040E4" w:rsidP="00901808">
      <w:pPr>
        <w:spacing w:after="0" w:line="240" w:lineRule="auto"/>
      </w:pPr>
      <w:r>
        <w:separator/>
      </w:r>
    </w:p>
  </w:endnote>
  <w:endnote w:type="continuationSeparator" w:id="0">
    <w:p w14:paraId="78092AEC" w14:textId="77777777" w:rsidR="003040E4" w:rsidRDefault="003040E4" w:rsidP="009018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7755471"/>
      <w:docPartObj>
        <w:docPartGallery w:val="Page Numbers (Bottom of Page)"/>
        <w:docPartUnique/>
      </w:docPartObj>
    </w:sdtPr>
    <w:sdtContent>
      <w:p w14:paraId="7A245607" w14:textId="53F5079C" w:rsidR="003040E4" w:rsidRDefault="003040E4">
        <w:pPr>
          <w:pStyle w:val="Footer"/>
          <w:jc w:val="center"/>
        </w:pPr>
        <w:r>
          <w:rPr>
            <w:noProof/>
          </w:rPr>
          <mc:AlternateContent>
            <mc:Choice Requires="wps">
              <w:drawing>
                <wp:inline distT="0" distB="0" distL="0" distR="0" wp14:anchorId="67EFD223" wp14:editId="2268FB3A">
                  <wp:extent cx="5467350" cy="45085"/>
                  <wp:effectExtent l="0" t="9525" r="0" b="2540"/>
                  <wp:docPr id="26" name="Flowchart: Decision 26" descr="Light horizontal"/>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467350" cy="45085"/>
                          </a:xfrm>
                          <a:prstGeom prst="flowChartDecision">
                            <a:avLst/>
                          </a:prstGeom>
                          <a:pattFill prst="ltHorz">
                            <a:fgClr>
                              <a:srgbClr val="000000"/>
                            </a:fgClr>
                            <a:bgClr>
                              <a:srgbClr val="FFFFFF"/>
                            </a:bgClr>
                          </a:patt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shapetype w14:anchorId="6D229A6C" id="_x0000_t110" coordsize="21600,21600" o:spt="110" path="m10800,l,10800,10800,21600,21600,10800xe">
                  <v:stroke joinstyle="miter"/>
                  <v:path gradientshapeok="t" o:connecttype="rect" textboxrect="5400,5400,16200,16200"/>
                </v:shapetype>
                <v:shape id="Flowchart: Decision 26" o:spid="_x0000_s1026" type="#_x0000_t110" alt="Light horizontal" style="width:430.5pt;height:3.55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" fillcolor="black" stroked="f">
                  <v:fill r:id="rId1" o:title="" type="pattern"/>
                  <w10:anchorlock/>
                </v:shape>
              </w:pict>
            </mc:Fallback>
          </mc:AlternateContent>
        </w:r>
      </w:p>
      <w:p w14:paraId="5F053FA8" w14:textId="134A8508" w:rsidR="003040E4" w:rsidRDefault="003040E4">
        <w:pPr>
          <w:pStyle w:val="Footer"/>
          <w:jc w:val="center"/>
        </w:pPr>
        <w:r>
          <w:fldChar w:fldCharType="begin"/>
        </w:r>
        <w:r>
          <w:instrText>PAGE    \* MERGEFORMAT</w:instrText>
        </w:r>
        <w:r>
          <w:fldChar w:fldCharType="separate"/>
        </w:r>
        <w:r>
          <w:t>2</w:t>
        </w:r>
        <w:r>
          <w:fldChar w:fldCharType="end"/>
        </w:r>
      </w:p>
    </w:sdtContent>
  </w:sdt>
  <w:p w14:paraId="08B835C6" w14:textId="1BC9758B" w:rsidR="003040E4" w:rsidRDefault="003040E4">
    <w:pPr>
      <w:pStyle w:val="Footer"/>
    </w:pPr>
    <w:r>
      <w:rPr>
        <w:rFonts w:ascii="Times New Roman" w:hAnsi="Times New Roman"/>
        <w:b/>
        <w:sz w:val="20"/>
      </w:rPr>
      <w:tab/>
    </w:r>
    <w:r>
      <w:rPr>
        <w:rFonts w:ascii="Times New Roman" w:hAnsi="Times New Roman"/>
        <w:b/>
        <w:sz w:val="20"/>
      </w:rPr>
      <w:tab/>
    </w:r>
    <w:r>
      <w:rPr>
        <w:rFonts w:ascii="Times New Roman" w:hAnsi="Times New Roman"/>
        <w:b/>
        <w:sz w:val="20"/>
      </w:rPr>
      <w:tab/>
    </w:r>
    <w:r>
      <w:rPr>
        <w:rFonts w:ascii="Times New Roman" w:hAnsi="Times New Roman"/>
        <w:b/>
        <w:sz w:val="20"/>
      </w:rPr>
      <w:tab/>
    </w:r>
    <w:r>
      <w:rPr>
        <w:rFonts w:ascii="Times New Roman" w:hAnsi="Times New Roman"/>
        <w:b/>
        <w:sz w:val="20"/>
      </w:rPr>
      <w:tab/>
    </w:r>
    <w:r>
      <w:rPr>
        <w:rFonts w:ascii="Times New Roman" w:hAnsi="Times New Roman"/>
        <w:b/>
        <w:sz w:val="20"/>
      </w:rPr>
      <w:tab/>
    </w:r>
    <w:r>
      <w:rPr>
        <w:rFonts w:ascii="Times New Roman" w:hAnsi="Times New Roman"/>
        <w:b/>
        <w:sz w:val="20"/>
      </w:rPr>
      <w:tab/>
    </w:r>
    <w:r>
      <w:rPr>
        <w:rFonts w:ascii="Times New Roman" w:hAnsi="Times New Roman"/>
        <w:b/>
        <w:sz w:val="20"/>
      </w:rPr>
      <w:tab/>
    </w:r>
    <w:r>
      <w:rPr>
        <w:rFonts w:ascii="Times New Roman" w:hAnsi="Times New Roman"/>
        <w:b/>
        <w:sz w:val="20"/>
      </w:rPr>
      <w:tab/>
    </w:r>
    <w:r>
      <w:rPr>
        <w:rFonts w:ascii="Times New Roman" w:hAnsi="Times New Roman"/>
        <w:b/>
        <w:sz w:val="20"/>
      </w:rPr>
      <w:tab/>
    </w:r>
    <w:r>
      <w:rPr>
        <w:rFonts w:ascii="Times New Roman" w:hAnsi="Times New Roman"/>
        <w:b/>
        <w:sz w:val="20"/>
      </w:rPr>
      <w:tab/>
    </w:r>
    <w:r>
      <w:rPr>
        <w:rFonts w:ascii="Times New Roman" w:hAnsi="Times New Roman"/>
        <w:b/>
        <w:sz w:val="20"/>
      </w:rPr>
      <w:tab/>
    </w:r>
    <w:r w:rsidRPr="00FC4CCE">
      <w:rPr>
        <w:rFonts w:ascii="Times New Roman" w:hAnsi="Times New Roman"/>
        <w:b/>
        <w:sz w:val="20"/>
      </w:rPr>
      <w:t>H. Nasiri (s3053857)</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A7E284" w14:textId="6EAF368E" w:rsidR="003040E4" w:rsidRPr="00FC4CCE" w:rsidRDefault="003040E4">
    <w:pPr>
      <w:pStyle w:val="Footer"/>
      <w:rPr>
        <w:rFonts w:ascii="Times New Roman" w:hAnsi="Times New Roman"/>
        <w:b/>
        <w:sz w:val="20"/>
      </w:rPr>
    </w:pPr>
    <w:r>
      <w:rPr>
        <w:rFonts w:ascii="Times New Roman" w:hAnsi="Times New Roman"/>
        <w:b/>
        <w:sz w:val="20"/>
      </w:rPr>
      <w:tab/>
    </w:r>
    <w:r>
      <w:rPr>
        <w:rFonts w:ascii="Times New Roman" w:hAnsi="Times New Roman"/>
        <w:b/>
        <w:sz w:val="20"/>
      </w:rPr>
      <w:tab/>
    </w:r>
    <w:r>
      <w:rPr>
        <w:rFonts w:ascii="Times New Roman" w:hAnsi="Times New Roman"/>
        <w:b/>
        <w:sz w:val="20"/>
      </w:rPr>
      <w:tab/>
    </w:r>
    <w:r>
      <w:rPr>
        <w:rFonts w:ascii="Times New Roman" w:hAnsi="Times New Roman"/>
        <w:b/>
        <w:sz w:val="20"/>
      </w:rPr>
      <w:tab/>
    </w:r>
    <w:r>
      <w:rPr>
        <w:rFonts w:ascii="Times New Roman" w:hAnsi="Times New Roman"/>
        <w:b/>
        <w:sz w:val="20"/>
      </w:rPr>
      <w:tab/>
    </w:r>
    <w:r>
      <w:rPr>
        <w:rFonts w:ascii="Times New Roman" w:hAnsi="Times New Roman"/>
        <w:b/>
        <w:sz w:val="20"/>
      </w:rPr>
      <w:tab/>
    </w:r>
    <w:r>
      <w:rPr>
        <w:rFonts w:ascii="Times New Roman" w:hAnsi="Times New Roman"/>
        <w:b/>
        <w:sz w:val="20"/>
      </w:rPr>
      <w:tab/>
    </w:r>
    <w:r>
      <w:rPr>
        <w:rFonts w:ascii="Times New Roman" w:hAnsi="Times New Roman"/>
        <w:b/>
        <w:sz w:val="20"/>
      </w:rPr>
      <w:tab/>
    </w:r>
    <w:r>
      <w:rPr>
        <w:rFonts w:ascii="Times New Roman" w:hAnsi="Times New Roman"/>
        <w:b/>
        <w:sz w:val="20"/>
      </w:rPr>
      <w:tab/>
    </w:r>
    <w:r>
      <w:rPr>
        <w:rFonts w:ascii="Times New Roman" w:hAnsi="Times New Roman"/>
        <w:b/>
        <w:sz w:val="20"/>
      </w:rPr>
      <w:tab/>
    </w:r>
    <w:r>
      <w:rPr>
        <w:rFonts w:ascii="Times New Roman" w:hAnsi="Times New Roman"/>
        <w:b/>
        <w:sz w:val="20"/>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86897746"/>
      <w:docPartObj>
        <w:docPartGallery w:val="Page Numbers (Bottom of Page)"/>
        <w:docPartUnique/>
      </w:docPartObj>
    </w:sdtPr>
    <w:sdtContent>
      <w:p w14:paraId="48D780DA" w14:textId="77777777" w:rsidR="003040E4" w:rsidRDefault="003040E4">
        <w:pPr>
          <w:pStyle w:val="Footer"/>
          <w:jc w:val="center"/>
        </w:pPr>
        <w:r>
          <w:rPr>
            <w:noProof/>
          </w:rPr>
          <mc:AlternateContent>
            <mc:Choice Requires="wps">
              <w:drawing>
                <wp:inline distT="0" distB="0" distL="0" distR="0" wp14:anchorId="49E6BAEF" wp14:editId="339E35D9">
                  <wp:extent cx="5467350" cy="45085"/>
                  <wp:effectExtent l="0" t="9525" r="0" b="2540"/>
                  <wp:docPr id="29" name="Flowchart: Decision 29" descr="Light horizontal"/>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467350" cy="45085"/>
                          </a:xfrm>
                          <a:prstGeom prst="flowChartDecision">
                            <a:avLst/>
                          </a:prstGeom>
                          <a:pattFill prst="ltHorz">
                            <a:fgClr>
                              <a:srgbClr val="000000"/>
                            </a:fgClr>
                            <a:bgClr>
                              <a:srgbClr val="FFFFFF"/>
                            </a:bgClr>
                          </a:patt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shapetype w14:anchorId="2731B856" id="_x0000_t110" coordsize="21600,21600" o:spt="110" path="m10800,l,10800,10800,21600,21600,10800xe">
                  <v:stroke joinstyle="miter"/>
                  <v:path gradientshapeok="t" o:connecttype="rect" textboxrect="5400,5400,16200,16200"/>
                </v:shapetype>
                <v:shape id="Flowchart: Decision 29" o:spid="_x0000_s1026" type="#_x0000_t110" alt="Light horizontal" style="width:430.5pt;height:3.55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" fillcolor="black" stroked="f">
                  <v:fill r:id="rId1" o:title="" type="pattern"/>
                  <w10:anchorlock/>
                </v:shape>
              </w:pict>
            </mc:Fallback>
          </mc:AlternateContent>
        </w:r>
      </w:p>
      <w:p w14:paraId="0E76F6A7" w14:textId="77777777" w:rsidR="003040E4" w:rsidRDefault="003040E4">
        <w:pPr>
          <w:pStyle w:val="Footer"/>
          <w:jc w:val="center"/>
        </w:pPr>
        <w:r>
          <w:fldChar w:fldCharType="begin"/>
        </w:r>
        <w:r>
          <w:instrText>PAGE    \* MERGEFORMAT</w:instrText>
        </w:r>
        <w:r>
          <w:fldChar w:fldCharType="separate"/>
        </w:r>
        <w:r>
          <w:t>2</w:t>
        </w:r>
        <w:r>
          <w:fldChar w:fldCharType="end"/>
        </w:r>
      </w:p>
    </w:sdtContent>
  </w:sdt>
  <w:p w14:paraId="04E114C7" w14:textId="11AA0C4E" w:rsidR="003040E4" w:rsidRDefault="003040E4">
    <w:pPr>
      <w:pStyle w:val="Footer"/>
    </w:pPr>
    <w:r>
      <w:rPr>
        <w:rFonts w:ascii="Times New Roman" w:hAnsi="Times New Roman"/>
        <w:b/>
        <w:sz w:val="20"/>
      </w:rPr>
      <w:tab/>
    </w:r>
    <w:r>
      <w:rPr>
        <w:rFonts w:ascii="Times New Roman" w:hAnsi="Times New Roman"/>
        <w:b/>
        <w:sz w:val="20"/>
      </w:rPr>
      <w:tab/>
    </w:r>
    <w:r>
      <w:rPr>
        <w:rFonts w:ascii="Times New Roman" w:hAnsi="Times New Roman"/>
        <w:b/>
        <w:sz w:val="20"/>
      </w:rPr>
      <w:tab/>
    </w:r>
    <w:r>
      <w:rPr>
        <w:rFonts w:ascii="Times New Roman" w:hAnsi="Times New Roman"/>
        <w:b/>
        <w:sz w:val="20"/>
      </w:rPr>
      <w:tab/>
    </w:r>
    <w:r>
      <w:rPr>
        <w:rFonts w:ascii="Times New Roman" w:hAnsi="Times New Roman"/>
        <w:b/>
        <w:sz w:val="20"/>
      </w:rPr>
      <w:tab/>
    </w:r>
    <w:r>
      <w:rPr>
        <w:rFonts w:ascii="Times New Roman" w:hAnsi="Times New Roman"/>
        <w:b/>
        <w:sz w:val="20"/>
      </w:rPr>
      <w:tab/>
    </w:r>
    <w:r>
      <w:rPr>
        <w:rFonts w:ascii="Times New Roman" w:hAnsi="Times New Roman"/>
        <w:b/>
        <w:sz w:val="20"/>
      </w:rPr>
      <w:tab/>
    </w:r>
    <w:r>
      <w:rPr>
        <w:rFonts w:ascii="Times New Roman" w:hAnsi="Times New Roman"/>
        <w:b/>
        <w:sz w:val="20"/>
      </w:rPr>
      <w:tab/>
    </w:r>
    <w:r>
      <w:rPr>
        <w:rFonts w:ascii="Times New Roman" w:hAnsi="Times New Roman"/>
        <w:b/>
        <w:sz w:val="20"/>
      </w:rPr>
      <w:tab/>
    </w:r>
    <w:r>
      <w:rPr>
        <w:rFonts w:ascii="Times New Roman" w:hAnsi="Times New Roman"/>
        <w:b/>
        <w:sz w:val="20"/>
      </w:rPr>
      <w:tab/>
    </w:r>
    <w:r>
      <w:rPr>
        <w:rFonts w:ascii="Times New Roman" w:hAnsi="Times New Roman"/>
        <w:b/>
        <w:sz w:val="20"/>
      </w:rPr>
      <w:tab/>
    </w:r>
    <w:r>
      <w:rPr>
        <w:rFonts w:ascii="Times New Roman" w:hAnsi="Times New Roman"/>
        <w:b/>
        <w:sz w:val="20"/>
      </w:rPr>
      <w:tab/>
    </w:r>
    <w:r w:rsidRPr="00FC4CCE">
      <w:rPr>
        <w:rFonts w:ascii="Times New Roman" w:hAnsi="Times New Roman"/>
        <w:b/>
        <w:sz w:val="20"/>
      </w:rPr>
      <w:t>H. Nasiri (s3053857)</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5D650B" w14:textId="78FA53D3" w:rsidR="003040E4" w:rsidRPr="00FC4CCE" w:rsidRDefault="003040E4">
    <w:pPr>
      <w:pStyle w:val="Footer"/>
      <w:rPr>
        <w:rFonts w:ascii="Times New Roman" w:hAnsi="Times New Roman"/>
        <w:b/>
        <w:sz w:val="20"/>
      </w:rPr>
    </w:pPr>
    <w:r>
      <w:rPr>
        <w:rFonts w:ascii="Times New Roman" w:hAnsi="Times New Roman"/>
        <w:b/>
        <w:sz w:val="20"/>
      </w:rPr>
      <w:tab/>
    </w:r>
    <w:r>
      <w:rPr>
        <w:rFonts w:ascii="Times New Roman" w:hAnsi="Times New Roman"/>
        <w:b/>
        <w:sz w:val="20"/>
      </w:rPr>
      <w:tab/>
    </w:r>
    <w:r>
      <w:rPr>
        <w:rFonts w:ascii="Times New Roman" w:hAnsi="Times New Roman"/>
        <w:b/>
        <w:sz w:val="20"/>
      </w:rPr>
      <w:tab/>
    </w:r>
    <w:r>
      <w:rPr>
        <w:rFonts w:ascii="Times New Roman" w:hAnsi="Times New Roman"/>
        <w:b/>
        <w:sz w:val="20"/>
      </w:rPr>
      <w:tab/>
    </w:r>
    <w:r>
      <w:rPr>
        <w:rFonts w:ascii="Times New Roman" w:hAnsi="Times New Roman"/>
        <w:b/>
        <w:sz w:val="20"/>
      </w:rPr>
      <w:tab/>
    </w:r>
    <w:r>
      <w:rPr>
        <w:rFonts w:ascii="Times New Roman" w:hAnsi="Times New Roman"/>
        <w:b/>
        <w:sz w:val="20"/>
      </w:rPr>
      <w:tab/>
    </w:r>
    <w:r>
      <w:rPr>
        <w:rFonts w:ascii="Times New Roman" w:hAnsi="Times New Roman"/>
        <w:b/>
        <w:sz w:val="20"/>
      </w:rPr>
      <w:tab/>
    </w:r>
    <w:r>
      <w:rPr>
        <w:rFonts w:ascii="Times New Roman" w:hAnsi="Times New Roman"/>
        <w:b/>
        <w:sz w:val="20"/>
      </w:rPr>
      <w:tab/>
    </w:r>
    <w:r>
      <w:rPr>
        <w:rFonts w:ascii="Times New Roman" w:hAnsi="Times New Roman"/>
        <w:b/>
        <w:sz w:val="20"/>
      </w:rPr>
      <w:tab/>
    </w:r>
    <w:r>
      <w:rPr>
        <w:rFonts w:ascii="Times New Roman" w:hAnsi="Times New Roman"/>
        <w:b/>
        <w:sz w:val="20"/>
      </w:rPr>
      <w:tab/>
    </w:r>
    <w:r>
      <w:rPr>
        <w:rFonts w:ascii="Times New Roman" w:hAnsi="Times New Roman"/>
        <w:b/>
        <w:sz w:val="20"/>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9688FF5" w14:textId="77777777" w:rsidR="003040E4" w:rsidRDefault="003040E4" w:rsidP="00901808">
      <w:pPr>
        <w:spacing w:after="0" w:line="240" w:lineRule="auto"/>
      </w:pPr>
      <w:r>
        <w:separator/>
      </w:r>
    </w:p>
  </w:footnote>
  <w:footnote w:type="continuationSeparator" w:id="0">
    <w:p w14:paraId="0030A501" w14:textId="77777777" w:rsidR="003040E4" w:rsidRDefault="003040E4" w:rsidP="00901808">
      <w:pPr>
        <w:spacing w:after="0" w:line="240" w:lineRule="auto"/>
      </w:pPr>
      <w:r>
        <w:continuationSeparator/>
      </w:r>
    </w:p>
  </w:footnote>
  <w:footnote w:id="1">
    <w:p w14:paraId="7F6E556F" w14:textId="4A9675B4" w:rsidR="003040E4" w:rsidRDefault="003040E4" w:rsidP="002912E2">
      <w:pPr>
        <w:pStyle w:val="FootnoteText"/>
      </w:pPr>
      <w:r>
        <w:rPr>
          <w:rStyle w:val="FootnoteReference"/>
        </w:rPr>
        <w:footnoteRef/>
      </w:r>
      <w:r>
        <w:t xml:space="preserve"> </w:t>
      </w:r>
      <w:r w:rsidRPr="005D1582">
        <w:t>Informatiemaatschappij refereert naar de sterke toename van informatie en informatiestromen door de mogelijkheden van informatie-en communicatietechnologieën (ICT). De term kennismaatschappij heeft een breder strekking. Het beschrijft de wijze waarop de economie in een moderne samenleving is georganiseerd (Anderson, 2008).</w:t>
      </w:r>
    </w:p>
  </w:footnote>
  <w:footnote w:id="2">
    <w:p w14:paraId="46D087B9" w14:textId="77777777" w:rsidR="003040E4" w:rsidRDefault="003040E4" w:rsidP="002912E2">
      <w:pPr>
        <w:pStyle w:val="FootnoteText"/>
      </w:pPr>
      <w:r>
        <w:rPr>
          <w:rStyle w:val="FootnoteReference"/>
        </w:rPr>
        <w:footnoteRef/>
      </w:r>
      <w:r>
        <w:t xml:space="preserve"> </w:t>
      </w:r>
    </w:p>
    <w:p w14:paraId="48F39C8C" w14:textId="77777777" w:rsidR="003040E4" w:rsidRDefault="003040E4" w:rsidP="002912E2">
      <w:pPr>
        <w:pStyle w:val="FootnoteText"/>
      </w:pPr>
      <w:r w:rsidRPr="001163F8">
        <w:t xml:space="preserve">Steve Jobs (naar oprichter van Apple Inc.) scholen zijn volledig in co-creatie opgestart uit onvrede over de mainstream lesmethoden op de reguliere scholen. Anno 2016 groeit het aantal scholen en kent een aantal bestaande Steve Jobs scholen een wachtlijst voor nieuwe aanmeldingen. Na een inspectie van IvhO worden deze scholen middels bestaande regelingen gesubsidieerd.  </w:t>
      </w:r>
    </w:p>
  </w:footnote>
  <w:footnote w:id="3">
    <w:p w14:paraId="44C9869E" w14:textId="77777777" w:rsidR="003040E4" w:rsidRDefault="003040E4" w:rsidP="002912E2">
      <w:pPr>
        <w:pStyle w:val="FootnoteText"/>
      </w:pPr>
      <w:r>
        <w:rPr>
          <w:rStyle w:val="FootnoteReference"/>
        </w:rPr>
        <w:footnoteRef/>
      </w:r>
      <w:r>
        <w:t xml:space="preserve"> </w:t>
      </w:r>
      <w:r w:rsidRPr="0026793D">
        <w:t xml:space="preserve">Het Doorbraakproject is een gezamenlijk initiatief van de PO-raad, VO-raad en de ministeries van Onderwijs, Cultuur en Wetenschap en Economische Zaken. Kennisnet </w:t>
      </w:r>
      <w:r>
        <w:t xml:space="preserve">is de projectleider en tevens de auteur/onderzoeker. </w:t>
      </w:r>
    </w:p>
  </w:footnote>
  <w:footnote w:id="4">
    <w:p w14:paraId="40592765" w14:textId="51D807CD" w:rsidR="003040E4" w:rsidRPr="005A54FE" w:rsidRDefault="003040E4" w:rsidP="00AA6B78">
      <w:pPr>
        <w:pStyle w:val="FootnoteText"/>
      </w:pPr>
      <w:r>
        <w:rPr>
          <w:rStyle w:val="FootnoteReference"/>
        </w:rPr>
        <w:footnoteRef/>
      </w:r>
      <w:r>
        <w:t xml:space="preserve"> </w:t>
      </w:r>
      <w:r w:rsidRPr="005A54FE">
        <w:t xml:space="preserve">Total </w:t>
      </w:r>
      <w:proofErr w:type="spellStart"/>
      <w:r w:rsidRPr="005A54FE">
        <w:t>Cost</w:t>
      </w:r>
      <w:proofErr w:type="spellEnd"/>
      <w:r w:rsidRPr="005A54FE">
        <w:t xml:space="preserve"> of </w:t>
      </w:r>
      <w:proofErr w:type="spellStart"/>
      <w:r w:rsidRPr="005A54FE">
        <w:t>Ownership</w:t>
      </w:r>
      <w:proofErr w:type="spellEnd"/>
      <w:r w:rsidRPr="005A54FE">
        <w:t xml:space="preserve"> (TCO) is een veelvuldig gehanteerde methode om ICT kosten in kaart te brengen middels een gestandaardiseerde indeling in kostensoorten. Binnen de ICT-kostenoverzicht staat de ICT-begroting en de </w:t>
      </w:r>
      <w:r w:rsidRPr="00596CBB">
        <w:t>indirecte kosten die met ICT gemoeid gaan. Al deze kosten dienen bij elkaar worden geteld (</w:t>
      </w:r>
      <w:proofErr w:type="spellStart"/>
      <w:r w:rsidRPr="00596CBB">
        <w:t>Vercouteren</w:t>
      </w:r>
      <w:proofErr w:type="spellEnd"/>
      <w:r w:rsidRPr="00596CBB">
        <w:t>, z.j.). TCO kan ook worden omschreven als integrale kosten</w:t>
      </w:r>
      <w:r>
        <w:t xml:space="preserve"> (</w:t>
      </w:r>
      <w:proofErr w:type="spellStart"/>
      <w:r>
        <w:t>Ellram</w:t>
      </w:r>
      <w:proofErr w:type="spellEnd"/>
      <w:r>
        <w:t>, 1995).</w:t>
      </w:r>
      <w:r w:rsidRPr="00596CBB">
        <w:t xml:space="preserve">  </w:t>
      </w:r>
    </w:p>
    <w:p w14:paraId="374924C2" w14:textId="77777777" w:rsidR="003040E4" w:rsidRDefault="003040E4" w:rsidP="00AA6B78">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1.25pt;height:11.25pt" o:bullet="t">
        <v:imagedata r:id="rId1" o:title="mso6E35"/>
      </v:shape>
    </w:pict>
  </w:numPicBullet>
  <w:abstractNum w:abstractNumId="0" w15:restartNumberingAfterBreak="0">
    <w:nsid w:val="047B073B"/>
    <w:multiLevelType w:val="hybridMultilevel"/>
    <w:tmpl w:val="396C458C"/>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05D728B0"/>
    <w:multiLevelType w:val="hybridMultilevel"/>
    <w:tmpl w:val="63820D6A"/>
    <w:lvl w:ilvl="0" w:tplc="1650650E">
      <w:start w:val="3"/>
      <w:numFmt w:val="bullet"/>
      <w:lvlText w:val="-"/>
      <w:lvlJc w:val="left"/>
      <w:pPr>
        <w:ind w:left="720" w:hanging="360"/>
      </w:pPr>
      <w:rPr>
        <w:rFonts w:ascii="Calibri" w:eastAsiaTheme="minorHAnsi" w:hAnsi="Calibri" w:cstheme="minorHAns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7917585"/>
    <w:multiLevelType w:val="hybridMultilevel"/>
    <w:tmpl w:val="19D2EC1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15:restartNumberingAfterBreak="0">
    <w:nsid w:val="0A0636D7"/>
    <w:multiLevelType w:val="multilevel"/>
    <w:tmpl w:val="0413001D"/>
    <w:lvl w:ilvl="0">
      <w:start w:val="1"/>
      <w:numFmt w:val="decimal"/>
      <w:lvlText w:val="%1)"/>
      <w:lvlJc w:val="left"/>
      <w:pPr>
        <w:ind w:left="786" w:hanging="360"/>
      </w:pPr>
    </w:lvl>
    <w:lvl w:ilvl="1">
      <w:start w:val="1"/>
      <w:numFmt w:val="lowerLetter"/>
      <w:lvlText w:val="%2)"/>
      <w:lvlJc w:val="left"/>
      <w:pPr>
        <w:ind w:left="1146" w:hanging="360"/>
      </w:pPr>
    </w:lvl>
    <w:lvl w:ilvl="2">
      <w:start w:val="1"/>
      <w:numFmt w:val="lowerRoman"/>
      <w:lvlText w:val="%3)"/>
      <w:lvlJc w:val="left"/>
      <w:pPr>
        <w:ind w:left="1506" w:hanging="360"/>
      </w:pPr>
    </w:lvl>
    <w:lvl w:ilvl="3">
      <w:start w:val="1"/>
      <w:numFmt w:val="decimal"/>
      <w:lvlText w:val="(%4)"/>
      <w:lvlJc w:val="left"/>
      <w:pPr>
        <w:ind w:left="1866" w:hanging="360"/>
      </w:pPr>
    </w:lvl>
    <w:lvl w:ilvl="4">
      <w:start w:val="1"/>
      <w:numFmt w:val="lowerLetter"/>
      <w:lvlText w:val="(%5)"/>
      <w:lvlJc w:val="left"/>
      <w:pPr>
        <w:ind w:left="2226" w:hanging="360"/>
      </w:pPr>
    </w:lvl>
    <w:lvl w:ilvl="5">
      <w:start w:val="1"/>
      <w:numFmt w:val="lowerRoman"/>
      <w:lvlText w:val="(%6)"/>
      <w:lvlJc w:val="left"/>
      <w:pPr>
        <w:ind w:left="2586" w:hanging="360"/>
      </w:pPr>
    </w:lvl>
    <w:lvl w:ilvl="6">
      <w:start w:val="1"/>
      <w:numFmt w:val="decimal"/>
      <w:lvlText w:val="%7."/>
      <w:lvlJc w:val="left"/>
      <w:pPr>
        <w:ind w:left="2946" w:hanging="360"/>
      </w:pPr>
    </w:lvl>
    <w:lvl w:ilvl="7">
      <w:start w:val="1"/>
      <w:numFmt w:val="lowerLetter"/>
      <w:lvlText w:val="%8."/>
      <w:lvlJc w:val="left"/>
      <w:pPr>
        <w:ind w:left="3306" w:hanging="360"/>
      </w:pPr>
    </w:lvl>
    <w:lvl w:ilvl="8">
      <w:start w:val="1"/>
      <w:numFmt w:val="lowerRoman"/>
      <w:lvlText w:val="%9."/>
      <w:lvlJc w:val="left"/>
      <w:pPr>
        <w:ind w:left="3666" w:hanging="360"/>
      </w:pPr>
    </w:lvl>
  </w:abstractNum>
  <w:abstractNum w:abstractNumId="4" w15:restartNumberingAfterBreak="0">
    <w:nsid w:val="0A0C26BF"/>
    <w:multiLevelType w:val="hybridMultilevel"/>
    <w:tmpl w:val="BD5E706E"/>
    <w:lvl w:ilvl="0" w:tplc="04130015">
      <w:start w:val="1"/>
      <w:numFmt w:val="upp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0B3A6CF6"/>
    <w:multiLevelType w:val="hybridMultilevel"/>
    <w:tmpl w:val="17AEACB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0EBF709B"/>
    <w:multiLevelType w:val="hybridMultilevel"/>
    <w:tmpl w:val="86E8D500"/>
    <w:lvl w:ilvl="0" w:tplc="6FEC2FBC">
      <w:start w:val="1"/>
      <w:numFmt w:val="bullet"/>
      <w:pStyle w:val="BTStip1"/>
      <w:lvlText w:val=""/>
      <w:lvlJc w:val="left"/>
      <w:pPr>
        <w:tabs>
          <w:tab w:val="num" w:pos="340"/>
        </w:tabs>
        <w:ind w:left="340" w:hanging="340"/>
      </w:pPr>
      <w:rPr>
        <w:rFonts w:ascii="Wingdings 2" w:hAnsi="Wingdings 2" w:hint="default"/>
        <w:color w:val="auto"/>
        <w:sz w:val="12"/>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6057957"/>
    <w:multiLevelType w:val="hybridMultilevel"/>
    <w:tmpl w:val="BA8C33F2"/>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8" w15:restartNumberingAfterBreak="0">
    <w:nsid w:val="18176746"/>
    <w:multiLevelType w:val="hybridMultilevel"/>
    <w:tmpl w:val="57ACFE8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9" w15:restartNumberingAfterBreak="0">
    <w:nsid w:val="22EE4D2C"/>
    <w:multiLevelType w:val="multilevel"/>
    <w:tmpl w:val="CC9C0410"/>
    <w:lvl w:ilvl="0">
      <w:start w:val="5"/>
      <w:numFmt w:val="decimal"/>
      <w:lvlText w:val="%1."/>
      <w:lvlJc w:val="left"/>
      <w:pPr>
        <w:ind w:left="720" w:hanging="360"/>
      </w:pPr>
      <w:rPr>
        <w:rFonts w:hint="default"/>
        <w:b/>
        <w:sz w:val="32"/>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26A71F9B"/>
    <w:multiLevelType w:val="hybridMultilevel"/>
    <w:tmpl w:val="4B544040"/>
    <w:lvl w:ilvl="0" w:tplc="9CDA0116">
      <w:start w:val="1"/>
      <w:numFmt w:val="bullet"/>
      <w:pStyle w:val="BTStiptabel"/>
      <w:lvlText w:val=""/>
      <w:lvlJc w:val="left"/>
      <w:pPr>
        <w:tabs>
          <w:tab w:val="num" w:pos="340"/>
        </w:tabs>
        <w:ind w:left="340" w:hanging="340"/>
      </w:pPr>
      <w:rPr>
        <w:rFonts w:ascii="Wingdings 2" w:hAnsi="Wingdings 2" w:hint="default"/>
        <w:color w:val="auto"/>
        <w:sz w:val="12"/>
      </w:rPr>
    </w:lvl>
    <w:lvl w:ilvl="1" w:tplc="04130003">
      <w:start w:val="1"/>
      <w:numFmt w:val="decimal"/>
      <w:lvlText w:val="%2."/>
      <w:lvlJc w:val="left"/>
      <w:pPr>
        <w:tabs>
          <w:tab w:val="num" w:pos="1440"/>
        </w:tabs>
        <w:ind w:left="1440" w:hanging="360"/>
      </w:pPr>
      <w:rPr>
        <w:rFonts w:hint="default"/>
        <w:color w:val="auto"/>
        <w:sz w:val="12"/>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9F96848"/>
    <w:multiLevelType w:val="hybridMultilevel"/>
    <w:tmpl w:val="6CC64FD6"/>
    <w:lvl w:ilvl="0" w:tplc="5A98E860">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2" w15:restartNumberingAfterBreak="0">
    <w:nsid w:val="2B580D8D"/>
    <w:multiLevelType w:val="hybridMultilevel"/>
    <w:tmpl w:val="0CDA853C"/>
    <w:lvl w:ilvl="0" w:tplc="04130011">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3" w15:restartNumberingAfterBreak="0">
    <w:nsid w:val="2D6535F2"/>
    <w:multiLevelType w:val="hybridMultilevel"/>
    <w:tmpl w:val="31D2C940"/>
    <w:lvl w:ilvl="0" w:tplc="1EBEB018">
      <w:start w:val="3"/>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15:restartNumberingAfterBreak="0">
    <w:nsid w:val="35165420"/>
    <w:multiLevelType w:val="hybridMultilevel"/>
    <w:tmpl w:val="15C2FF04"/>
    <w:lvl w:ilvl="0" w:tplc="1F927ED4">
      <w:start w:val="1"/>
      <w:numFmt w:val="bullet"/>
      <w:pStyle w:val="BTOpen"/>
      <w:lvlText w:val=""/>
      <w:lvlJc w:val="left"/>
      <w:pPr>
        <w:tabs>
          <w:tab w:val="num" w:pos="1021"/>
        </w:tabs>
        <w:ind w:left="1021" w:hanging="341"/>
      </w:pPr>
      <w:rPr>
        <w:rFonts w:ascii="Wingdings 2" w:hAnsi="Wingdings 2" w:hint="default"/>
        <w:color w:val="auto"/>
        <w:sz w:val="12"/>
      </w:rPr>
    </w:lvl>
    <w:lvl w:ilvl="1" w:tplc="04130003">
      <w:start w:val="1"/>
      <w:numFmt w:val="bullet"/>
      <w:lvlText w:val="o"/>
      <w:lvlJc w:val="left"/>
      <w:pPr>
        <w:tabs>
          <w:tab w:val="num" w:pos="1440"/>
        </w:tabs>
        <w:ind w:left="1440" w:hanging="360"/>
      </w:pPr>
      <w:rPr>
        <w:rFonts w:ascii="Courier New" w:hAnsi="Courier New" w:cs="Courier New" w:hint="default"/>
      </w:rPr>
    </w:lvl>
    <w:lvl w:ilvl="2" w:tplc="04130005">
      <w:start w:val="1"/>
      <w:numFmt w:val="bullet"/>
      <w:lvlText w:val=""/>
      <w:lvlJc w:val="left"/>
      <w:pPr>
        <w:tabs>
          <w:tab w:val="num" w:pos="2160"/>
        </w:tabs>
        <w:ind w:left="2160" w:hanging="360"/>
      </w:pPr>
      <w:rPr>
        <w:rFonts w:ascii="Wingdings" w:hAnsi="Wingdings" w:hint="default"/>
      </w:rPr>
    </w:lvl>
    <w:lvl w:ilvl="3" w:tplc="04130001">
      <w:start w:val="1"/>
      <w:numFmt w:val="bullet"/>
      <w:lvlText w:val=""/>
      <w:lvlJc w:val="left"/>
      <w:pPr>
        <w:tabs>
          <w:tab w:val="num" w:pos="2880"/>
        </w:tabs>
        <w:ind w:left="2880" w:hanging="360"/>
      </w:pPr>
      <w:rPr>
        <w:rFonts w:ascii="Symbol" w:hAnsi="Symbol" w:hint="default"/>
      </w:rPr>
    </w:lvl>
    <w:lvl w:ilvl="4" w:tplc="04130003">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9A06BCD"/>
    <w:multiLevelType w:val="multilevel"/>
    <w:tmpl w:val="D7208C24"/>
    <w:lvl w:ilvl="0">
      <w:start w:val="1"/>
      <w:numFmt w:val="decimal"/>
      <w:lvlText w:val="%1"/>
      <w:lvlJc w:val="left"/>
      <w:pPr>
        <w:ind w:left="360" w:hanging="360"/>
      </w:pPr>
      <w:rPr>
        <w:rFonts w:hint="default"/>
      </w:rPr>
    </w:lvl>
    <w:lvl w:ilvl="1">
      <w:start w:val="1"/>
      <w:numFmt w:val="decimal"/>
      <w:pStyle w:val="Heading2"/>
      <w:lvlText w:val="%1.%2"/>
      <w:lvlJc w:val="left"/>
      <w:pPr>
        <w:ind w:left="360" w:hanging="360"/>
      </w:pPr>
      <w:rPr>
        <w:rFonts w:hint="default"/>
        <w:color w:val="1F3864" w:themeColor="accent1" w:themeShade="80"/>
        <w:sz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3FEE4C8B"/>
    <w:multiLevelType w:val="hybridMultilevel"/>
    <w:tmpl w:val="2B6EA5D4"/>
    <w:lvl w:ilvl="0" w:tplc="4988498E">
      <w:start w:val="1"/>
      <w:numFmt w:val="decimal"/>
      <w:lvlText w:val="%1)"/>
      <w:lvlJc w:val="left"/>
      <w:pPr>
        <w:ind w:left="720" w:hanging="360"/>
      </w:pPr>
      <w:rPr>
        <w:i w:val="0"/>
        <w:color w:val="auto"/>
      </w:rPr>
    </w:lvl>
    <w:lvl w:ilvl="1" w:tplc="F81CE1B6">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6E16EF0"/>
    <w:multiLevelType w:val="hybridMultilevel"/>
    <w:tmpl w:val="336C0B82"/>
    <w:lvl w:ilvl="0" w:tplc="0C5ED4DA">
      <w:start w:val="1"/>
      <w:numFmt w:val="decimal"/>
      <w:pStyle w:val="Getal1"/>
      <w:lvlText w:val="%1."/>
      <w:lvlJc w:val="left"/>
      <w:pPr>
        <w:tabs>
          <w:tab w:val="num" w:pos="340"/>
        </w:tabs>
        <w:ind w:left="340" w:hanging="340"/>
      </w:pPr>
      <w:rPr>
        <w:rFonts w:ascii="Arial" w:hAnsi="Arial" w:hint="default"/>
        <w:b w:val="0"/>
        <w:i w:val="0"/>
        <w:sz w:val="20"/>
      </w:r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18" w15:restartNumberingAfterBreak="0">
    <w:nsid w:val="4A05648C"/>
    <w:multiLevelType w:val="hybridMultilevel"/>
    <w:tmpl w:val="3E62B072"/>
    <w:lvl w:ilvl="0" w:tplc="FD7E75B0">
      <w:numFmt w:val="bullet"/>
      <w:lvlText w:val="•"/>
      <w:lvlJc w:val="left"/>
      <w:pPr>
        <w:ind w:left="1068" w:hanging="708"/>
      </w:pPr>
      <w:rPr>
        <w:rFonts w:ascii="Calibri" w:eastAsiaTheme="minorHAnsi" w:hAnsi="Calibri"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9" w15:restartNumberingAfterBreak="0">
    <w:nsid w:val="4C0516F5"/>
    <w:multiLevelType w:val="hybridMultilevel"/>
    <w:tmpl w:val="8D94E2EA"/>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0" w15:restartNumberingAfterBreak="0">
    <w:nsid w:val="4CF34BA7"/>
    <w:multiLevelType w:val="hybridMultilevel"/>
    <w:tmpl w:val="F63A95D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1" w15:restartNumberingAfterBreak="0">
    <w:nsid w:val="50226342"/>
    <w:multiLevelType w:val="multilevel"/>
    <w:tmpl w:val="C2583BC8"/>
    <w:lvl w:ilvl="0">
      <w:start w:val="1"/>
      <w:numFmt w:val="decimal"/>
      <w:lvlText w:val="%1."/>
      <w:lvlJc w:val="left"/>
      <w:pPr>
        <w:ind w:left="360" w:hanging="360"/>
      </w:pPr>
      <w:rPr>
        <w:rFonts w:hint="default"/>
        <w:b/>
        <w:sz w:val="32"/>
      </w:r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15:restartNumberingAfterBreak="0">
    <w:nsid w:val="54EC2D8A"/>
    <w:multiLevelType w:val="hybridMultilevel"/>
    <w:tmpl w:val="991A2828"/>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3" w15:restartNumberingAfterBreak="0">
    <w:nsid w:val="59590709"/>
    <w:multiLevelType w:val="multilevel"/>
    <w:tmpl w:val="C2583BC8"/>
    <w:lvl w:ilvl="0">
      <w:start w:val="1"/>
      <w:numFmt w:val="decimal"/>
      <w:lvlText w:val="%1."/>
      <w:lvlJc w:val="left"/>
      <w:pPr>
        <w:ind w:left="360" w:hanging="360"/>
      </w:pPr>
      <w:rPr>
        <w:rFonts w:hint="default"/>
        <w:b/>
        <w:sz w:val="32"/>
      </w:r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4" w15:restartNumberingAfterBreak="0">
    <w:nsid w:val="5BC72BEA"/>
    <w:multiLevelType w:val="multilevel"/>
    <w:tmpl w:val="EE3E5CFE"/>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5" w15:restartNumberingAfterBreak="0">
    <w:nsid w:val="61D453BD"/>
    <w:multiLevelType w:val="hybridMultilevel"/>
    <w:tmpl w:val="F3662E1A"/>
    <w:lvl w:ilvl="0" w:tplc="648CCD88">
      <w:start w:val="1"/>
      <w:numFmt w:val="bullet"/>
      <w:pStyle w:val="BTStreep"/>
      <w:lvlText w:val="־"/>
      <w:lvlJc w:val="left"/>
      <w:pPr>
        <w:tabs>
          <w:tab w:val="num" w:pos="680"/>
        </w:tabs>
        <w:ind w:left="680" w:hanging="340"/>
      </w:pPr>
      <w:rPr>
        <w:rFonts w:ascii="Times New Roman" w:hAnsi="Times New Roman" w:cs="Times New Roman" w:hint="default"/>
        <w:color w:val="auto"/>
        <w:sz w:val="20"/>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7917946"/>
    <w:multiLevelType w:val="hybridMultilevel"/>
    <w:tmpl w:val="CAF4907E"/>
    <w:lvl w:ilvl="0" w:tplc="0A1E86B2">
      <w:start w:val="1"/>
      <w:numFmt w:val="bullet"/>
      <w:lvlText w:val="-"/>
      <w:lvlJc w:val="left"/>
      <w:pPr>
        <w:ind w:left="720" w:hanging="360"/>
      </w:pPr>
      <w:rPr>
        <w:rFonts w:ascii="Calibri" w:eastAsia="Calibr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7" w15:restartNumberingAfterBreak="0">
    <w:nsid w:val="67933FCD"/>
    <w:multiLevelType w:val="multilevel"/>
    <w:tmpl w:val="5CDE10C0"/>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69F3613D"/>
    <w:multiLevelType w:val="hybridMultilevel"/>
    <w:tmpl w:val="8228C54E"/>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9" w15:restartNumberingAfterBreak="0">
    <w:nsid w:val="6A4E7AFF"/>
    <w:multiLevelType w:val="hybridMultilevel"/>
    <w:tmpl w:val="B448C78C"/>
    <w:lvl w:ilvl="0" w:tplc="348433AC">
      <w:numFmt w:val="bullet"/>
      <w:lvlText w:val="•"/>
      <w:lvlJc w:val="left"/>
      <w:pPr>
        <w:ind w:left="1068" w:hanging="708"/>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0" w15:restartNumberingAfterBreak="0">
    <w:nsid w:val="6D396C8A"/>
    <w:multiLevelType w:val="hybridMultilevel"/>
    <w:tmpl w:val="F4A87D7C"/>
    <w:lvl w:ilvl="0" w:tplc="C2AE3530">
      <w:start w:val="3"/>
      <w:numFmt w:val="bullet"/>
      <w:lvlText w:val="-"/>
      <w:lvlJc w:val="left"/>
      <w:pPr>
        <w:ind w:left="720" w:hanging="360"/>
      </w:pPr>
      <w:rPr>
        <w:rFonts w:ascii="Calibri" w:eastAsia="Calibr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1" w15:restartNumberingAfterBreak="0">
    <w:nsid w:val="6ECA1848"/>
    <w:multiLevelType w:val="hybridMultilevel"/>
    <w:tmpl w:val="85CED45A"/>
    <w:lvl w:ilvl="0" w:tplc="04130007">
      <w:start w:val="1"/>
      <w:numFmt w:val="bullet"/>
      <w:lvlText w:val=""/>
      <w:lvlPicBulletId w:val="0"/>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2" w15:restartNumberingAfterBreak="0">
    <w:nsid w:val="6F1B35B1"/>
    <w:multiLevelType w:val="multilevel"/>
    <w:tmpl w:val="37D0A6A0"/>
    <w:lvl w:ilvl="0">
      <w:start w:val="1"/>
      <w:numFmt w:val="decimal"/>
      <w:pStyle w:val="BTHoofdstuk"/>
      <w:lvlText w:val="%1."/>
      <w:lvlJc w:val="left"/>
      <w:pPr>
        <w:tabs>
          <w:tab w:val="num" w:pos="284"/>
        </w:tabs>
        <w:ind w:left="284" w:hanging="284"/>
      </w:pPr>
      <w:rPr>
        <w:rFonts w:ascii="Arial" w:hAnsi="Arial" w:hint="default"/>
        <w:b/>
        <w:i w:val="0"/>
        <w:sz w:val="24"/>
      </w:rPr>
    </w:lvl>
    <w:lvl w:ilvl="1">
      <w:start w:val="1"/>
      <w:numFmt w:val="decimal"/>
      <w:pStyle w:val="BTParagraaf"/>
      <w:lvlText w:val="%1.%2"/>
      <w:lvlJc w:val="left"/>
      <w:pPr>
        <w:tabs>
          <w:tab w:val="num" w:pos="397"/>
        </w:tabs>
        <w:ind w:left="397" w:hanging="397"/>
      </w:pPr>
      <w:rPr>
        <w:rFonts w:ascii="Arial" w:hAnsi="Arial" w:hint="default"/>
        <w:b/>
        <w:i w:val="0"/>
        <w:sz w:val="20"/>
      </w:rPr>
    </w:lvl>
    <w:lvl w:ilvl="2">
      <w:start w:val="1"/>
      <w:numFmt w:val="decimal"/>
      <w:pStyle w:val="BTSubParagraaf"/>
      <w:lvlText w:val="%1.%2.%3"/>
      <w:lvlJc w:val="left"/>
      <w:pPr>
        <w:tabs>
          <w:tab w:val="num" w:pos="567"/>
        </w:tabs>
        <w:ind w:left="567" w:hanging="567"/>
      </w:pPr>
      <w:rPr>
        <w:rFonts w:ascii="Arial" w:hAnsi="Arial" w:hint="default"/>
        <w:b/>
        <w:i w:val="0"/>
        <w:sz w:val="2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15:restartNumberingAfterBreak="0">
    <w:nsid w:val="707B5DFC"/>
    <w:multiLevelType w:val="hybridMultilevel"/>
    <w:tmpl w:val="8B0CEE36"/>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4" w15:restartNumberingAfterBreak="0">
    <w:nsid w:val="7B65334A"/>
    <w:multiLevelType w:val="hybridMultilevel"/>
    <w:tmpl w:val="CA6ADC1E"/>
    <w:lvl w:ilvl="0" w:tplc="04130011">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32"/>
  </w:num>
  <w:num w:numId="2">
    <w:abstractNumId w:val="14"/>
  </w:num>
  <w:num w:numId="3">
    <w:abstractNumId w:val="10"/>
  </w:num>
  <w:num w:numId="4">
    <w:abstractNumId w:val="6"/>
  </w:num>
  <w:num w:numId="5">
    <w:abstractNumId w:val="25"/>
  </w:num>
  <w:num w:numId="6">
    <w:abstractNumId w:val="17"/>
  </w:num>
  <w:num w:numId="7">
    <w:abstractNumId w:val="13"/>
  </w:num>
  <w:num w:numId="8">
    <w:abstractNumId w:val="15"/>
  </w:num>
  <w:num w:numId="9">
    <w:abstractNumId w:val="34"/>
  </w:num>
  <w:num w:numId="10">
    <w:abstractNumId w:val="29"/>
  </w:num>
  <w:num w:numId="11">
    <w:abstractNumId w:val="2"/>
  </w:num>
  <w:num w:numId="12">
    <w:abstractNumId w:val="8"/>
  </w:num>
  <w:num w:numId="13">
    <w:abstractNumId w:val="5"/>
  </w:num>
  <w:num w:numId="14">
    <w:abstractNumId w:val="20"/>
  </w:num>
  <w:num w:numId="15">
    <w:abstractNumId w:val="7"/>
  </w:num>
  <w:num w:numId="16">
    <w:abstractNumId w:val="28"/>
  </w:num>
  <w:num w:numId="17">
    <w:abstractNumId w:val="33"/>
  </w:num>
  <w:num w:numId="18">
    <w:abstractNumId w:val="19"/>
  </w:num>
  <w:num w:numId="19">
    <w:abstractNumId w:val="3"/>
  </w:num>
  <w:num w:numId="20">
    <w:abstractNumId w:val="18"/>
  </w:num>
  <w:num w:numId="21">
    <w:abstractNumId w:val="12"/>
  </w:num>
  <w:num w:numId="22">
    <w:abstractNumId w:val="11"/>
  </w:num>
  <w:num w:numId="23">
    <w:abstractNumId w:val="1"/>
  </w:num>
  <w:num w:numId="24">
    <w:abstractNumId w:val="22"/>
  </w:num>
  <w:num w:numId="25">
    <w:abstractNumId w:val="0"/>
  </w:num>
  <w:num w:numId="26">
    <w:abstractNumId w:val="21"/>
  </w:num>
  <w:num w:numId="27">
    <w:abstractNumId w:val="23"/>
  </w:num>
  <w:num w:numId="28">
    <w:abstractNumId w:val="4"/>
  </w:num>
  <w:num w:numId="29">
    <w:abstractNumId w:val="16"/>
  </w:num>
  <w:num w:numId="30">
    <w:abstractNumId w:val="26"/>
  </w:num>
  <w:num w:numId="31">
    <w:abstractNumId w:val="30"/>
  </w:num>
  <w:num w:numId="32">
    <w:abstractNumId w:val="9"/>
  </w:num>
  <w:num w:numId="33">
    <w:abstractNumId w:val="27"/>
  </w:num>
  <w:num w:numId="34">
    <w:abstractNumId w:val="24"/>
  </w:num>
  <w:num w:numId="35">
    <w:abstractNumId w:val="15"/>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1808"/>
    <w:rsid w:val="0000181F"/>
    <w:rsid w:val="00002297"/>
    <w:rsid w:val="000031F2"/>
    <w:rsid w:val="0000333B"/>
    <w:rsid w:val="00006328"/>
    <w:rsid w:val="0000767E"/>
    <w:rsid w:val="00011882"/>
    <w:rsid w:val="00012ADB"/>
    <w:rsid w:val="00015DAD"/>
    <w:rsid w:val="00017E7A"/>
    <w:rsid w:val="000215C1"/>
    <w:rsid w:val="00037E92"/>
    <w:rsid w:val="0004389C"/>
    <w:rsid w:val="000449BC"/>
    <w:rsid w:val="000452AD"/>
    <w:rsid w:val="000462D6"/>
    <w:rsid w:val="000475E2"/>
    <w:rsid w:val="00052990"/>
    <w:rsid w:val="00053374"/>
    <w:rsid w:val="000634C1"/>
    <w:rsid w:val="00065442"/>
    <w:rsid w:val="00072060"/>
    <w:rsid w:val="00080598"/>
    <w:rsid w:val="000830D5"/>
    <w:rsid w:val="00083C10"/>
    <w:rsid w:val="00083CCE"/>
    <w:rsid w:val="00086445"/>
    <w:rsid w:val="00086A3D"/>
    <w:rsid w:val="00091F56"/>
    <w:rsid w:val="000A4CEE"/>
    <w:rsid w:val="000A5E89"/>
    <w:rsid w:val="000A75CD"/>
    <w:rsid w:val="000A78AA"/>
    <w:rsid w:val="000B0390"/>
    <w:rsid w:val="000B1485"/>
    <w:rsid w:val="000B47A7"/>
    <w:rsid w:val="000B554A"/>
    <w:rsid w:val="000B60A3"/>
    <w:rsid w:val="000B683E"/>
    <w:rsid w:val="000B7514"/>
    <w:rsid w:val="000C32B6"/>
    <w:rsid w:val="000C7B40"/>
    <w:rsid w:val="000D02B2"/>
    <w:rsid w:val="000D2F5F"/>
    <w:rsid w:val="000D34B9"/>
    <w:rsid w:val="000D3AC3"/>
    <w:rsid w:val="000D44A2"/>
    <w:rsid w:val="000E3FEC"/>
    <w:rsid w:val="000F0474"/>
    <w:rsid w:val="00103041"/>
    <w:rsid w:val="00113700"/>
    <w:rsid w:val="00117B11"/>
    <w:rsid w:val="0012042A"/>
    <w:rsid w:val="00126C00"/>
    <w:rsid w:val="00132F21"/>
    <w:rsid w:val="00135A4A"/>
    <w:rsid w:val="001361F1"/>
    <w:rsid w:val="00145428"/>
    <w:rsid w:val="0014747B"/>
    <w:rsid w:val="00155482"/>
    <w:rsid w:val="00162364"/>
    <w:rsid w:val="00165A81"/>
    <w:rsid w:val="001661EE"/>
    <w:rsid w:val="00167A41"/>
    <w:rsid w:val="001754CE"/>
    <w:rsid w:val="00176372"/>
    <w:rsid w:val="001808D9"/>
    <w:rsid w:val="00180BE3"/>
    <w:rsid w:val="00182DDA"/>
    <w:rsid w:val="001850E2"/>
    <w:rsid w:val="00190722"/>
    <w:rsid w:val="00191FB0"/>
    <w:rsid w:val="001922BE"/>
    <w:rsid w:val="00192D12"/>
    <w:rsid w:val="001963A8"/>
    <w:rsid w:val="00197AB4"/>
    <w:rsid w:val="001A3C7C"/>
    <w:rsid w:val="001A59A1"/>
    <w:rsid w:val="001B75F6"/>
    <w:rsid w:val="001C23E3"/>
    <w:rsid w:val="001C5064"/>
    <w:rsid w:val="001D110E"/>
    <w:rsid w:val="001D4C30"/>
    <w:rsid w:val="001D526C"/>
    <w:rsid w:val="001E044C"/>
    <w:rsid w:val="001E3FB0"/>
    <w:rsid w:val="001E5C4C"/>
    <w:rsid w:val="001F3713"/>
    <w:rsid w:val="001F675D"/>
    <w:rsid w:val="001F72C2"/>
    <w:rsid w:val="00203640"/>
    <w:rsid w:val="00205458"/>
    <w:rsid w:val="00205981"/>
    <w:rsid w:val="002103E4"/>
    <w:rsid w:val="002105DD"/>
    <w:rsid w:val="00210DA7"/>
    <w:rsid w:val="00216BE0"/>
    <w:rsid w:val="00221676"/>
    <w:rsid w:val="00230781"/>
    <w:rsid w:val="00231675"/>
    <w:rsid w:val="0023210B"/>
    <w:rsid w:val="00233C8A"/>
    <w:rsid w:val="00236356"/>
    <w:rsid w:val="0023759C"/>
    <w:rsid w:val="00240B3A"/>
    <w:rsid w:val="0024619B"/>
    <w:rsid w:val="00251FA4"/>
    <w:rsid w:val="00252566"/>
    <w:rsid w:val="00255C0F"/>
    <w:rsid w:val="00255FD5"/>
    <w:rsid w:val="00260AE6"/>
    <w:rsid w:val="002649FD"/>
    <w:rsid w:val="00264D06"/>
    <w:rsid w:val="00273501"/>
    <w:rsid w:val="002762C3"/>
    <w:rsid w:val="00280238"/>
    <w:rsid w:val="00283058"/>
    <w:rsid w:val="00283DEB"/>
    <w:rsid w:val="0028634C"/>
    <w:rsid w:val="002912E2"/>
    <w:rsid w:val="002915EA"/>
    <w:rsid w:val="00295A1B"/>
    <w:rsid w:val="00296512"/>
    <w:rsid w:val="002A027E"/>
    <w:rsid w:val="002A34DD"/>
    <w:rsid w:val="002A6E1A"/>
    <w:rsid w:val="002B1323"/>
    <w:rsid w:val="002B3559"/>
    <w:rsid w:val="002B401E"/>
    <w:rsid w:val="002B4508"/>
    <w:rsid w:val="002C2A5E"/>
    <w:rsid w:val="002C3F83"/>
    <w:rsid w:val="002C44E1"/>
    <w:rsid w:val="002C71E9"/>
    <w:rsid w:val="002D2C7C"/>
    <w:rsid w:val="002E48BF"/>
    <w:rsid w:val="002E772D"/>
    <w:rsid w:val="002F1BFD"/>
    <w:rsid w:val="002F34A2"/>
    <w:rsid w:val="003040E4"/>
    <w:rsid w:val="0031118F"/>
    <w:rsid w:val="00311500"/>
    <w:rsid w:val="003122E8"/>
    <w:rsid w:val="003144BC"/>
    <w:rsid w:val="00316214"/>
    <w:rsid w:val="00321CDB"/>
    <w:rsid w:val="00322721"/>
    <w:rsid w:val="003233AD"/>
    <w:rsid w:val="00330852"/>
    <w:rsid w:val="00335AF8"/>
    <w:rsid w:val="00337905"/>
    <w:rsid w:val="00357A70"/>
    <w:rsid w:val="003607C5"/>
    <w:rsid w:val="00372B1D"/>
    <w:rsid w:val="0037767F"/>
    <w:rsid w:val="0038052D"/>
    <w:rsid w:val="00381744"/>
    <w:rsid w:val="00384D6E"/>
    <w:rsid w:val="0038543D"/>
    <w:rsid w:val="00385E60"/>
    <w:rsid w:val="00386228"/>
    <w:rsid w:val="00387531"/>
    <w:rsid w:val="00387C44"/>
    <w:rsid w:val="00397ACC"/>
    <w:rsid w:val="003A0600"/>
    <w:rsid w:val="003A5547"/>
    <w:rsid w:val="003A798B"/>
    <w:rsid w:val="003B0084"/>
    <w:rsid w:val="003B17F9"/>
    <w:rsid w:val="003B1A28"/>
    <w:rsid w:val="003B56D6"/>
    <w:rsid w:val="003B65D7"/>
    <w:rsid w:val="003C3542"/>
    <w:rsid w:val="003C43CF"/>
    <w:rsid w:val="003C58CD"/>
    <w:rsid w:val="003D66D4"/>
    <w:rsid w:val="003D7F8C"/>
    <w:rsid w:val="003E1D39"/>
    <w:rsid w:val="003E2367"/>
    <w:rsid w:val="003E2701"/>
    <w:rsid w:val="003E68AA"/>
    <w:rsid w:val="003F3A94"/>
    <w:rsid w:val="003F6710"/>
    <w:rsid w:val="00405D63"/>
    <w:rsid w:val="0040657F"/>
    <w:rsid w:val="00407AE0"/>
    <w:rsid w:val="004103BC"/>
    <w:rsid w:val="004146F2"/>
    <w:rsid w:val="00416718"/>
    <w:rsid w:val="00421A25"/>
    <w:rsid w:val="0042386B"/>
    <w:rsid w:val="00424E68"/>
    <w:rsid w:val="00424FD4"/>
    <w:rsid w:val="004260E8"/>
    <w:rsid w:val="0042678D"/>
    <w:rsid w:val="00431A80"/>
    <w:rsid w:val="00437B88"/>
    <w:rsid w:val="0044050E"/>
    <w:rsid w:val="004417E7"/>
    <w:rsid w:val="00441A4D"/>
    <w:rsid w:val="00442509"/>
    <w:rsid w:val="00452E1E"/>
    <w:rsid w:val="00453762"/>
    <w:rsid w:val="00453D36"/>
    <w:rsid w:val="0045770C"/>
    <w:rsid w:val="004578E3"/>
    <w:rsid w:val="00457E76"/>
    <w:rsid w:val="00462BD7"/>
    <w:rsid w:val="00470552"/>
    <w:rsid w:val="00470734"/>
    <w:rsid w:val="00473E8D"/>
    <w:rsid w:val="00480D32"/>
    <w:rsid w:val="00480E03"/>
    <w:rsid w:val="00481A19"/>
    <w:rsid w:val="004840B9"/>
    <w:rsid w:val="004848A4"/>
    <w:rsid w:val="0048537C"/>
    <w:rsid w:val="00487133"/>
    <w:rsid w:val="0049135E"/>
    <w:rsid w:val="00494D11"/>
    <w:rsid w:val="004B041F"/>
    <w:rsid w:val="004B0894"/>
    <w:rsid w:val="004B36AE"/>
    <w:rsid w:val="004B3921"/>
    <w:rsid w:val="004B3C38"/>
    <w:rsid w:val="004B4611"/>
    <w:rsid w:val="004B7CBF"/>
    <w:rsid w:val="004C2021"/>
    <w:rsid w:val="004C3238"/>
    <w:rsid w:val="004C66F1"/>
    <w:rsid w:val="004C74E0"/>
    <w:rsid w:val="004D02C3"/>
    <w:rsid w:val="004D12C8"/>
    <w:rsid w:val="004D362A"/>
    <w:rsid w:val="004D6D4F"/>
    <w:rsid w:val="004E3B2E"/>
    <w:rsid w:val="004F094C"/>
    <w:rsid w:val="004F2B36"/>
    <w:rsid w:val="004F31A0"/>
    <w:rsid w:val="004F50DB"/>
    <w:rsid w:val="004F5BFA"/>
    <w:rsid w:val="00500990"/>
    <w:rsid w:val="005047C6"/>
    <w:rsid w:val="00504856"/>
    <w:rsid w:val="00511060"/>
    <w:rsid w:val="00520C9A"/>
    <w:rsid w:val="00523130"/>
    <w:rsid w:val="00526610"/>
    <w:rsid w:val="0052705E"/>
    <w:rsid w:val="0052756E"/>
    <w:rsid w:val="005279EF"/>
    <w:rsid w:val="00530215"/>
    <w:rsid w:val="00531A97"/>
    <w:rsid w:val="005324BE"/>
    <w:rsid w:val="00534B7C"/>
    <w:rsid w:val="00536E16"/>
    <w:rsid w:val="00536EEE"/>
    <w:rsid w:val="00537F82"/>
    <w:rsid w:val="00537F8E"/>
    <w:rsid w:val="0054152B"/>
    <w:rsid w:val="00542543"/>
    <w:rsid w:val="005477BA"/>
    <w:rsid w:val="005479D1"/>
    <w:rsid w:val="00554BE9"/>
    <w:rsid w:val="005637A7"/>
    <w:rsid w:val="00572EDC"/>
    <w:rsid w:val="0057307B"/>
    <w:rsid w:val="00573D95"/>
    <w:rsid w:val="00575175"/>
    <w:rsid w:val="0058002A"/>
    <w:rsid w:val="00580B0D"/>
    <w:rsid w:val="00587689"/>
    <w:rsid w:val="00593654"/>
    <w:rsid w:val="00595ACC"/>
    <w:rsid w:val="005969EE"/>
    <w:rsid w:val="0059704A"/>
    <w:rsid w:val="005A38AE"/>
    <w:rsid w:val="005A4C41"/>
    <w:rsid w:val="005B0354"/>
    <w:rsid w:val="005B0BBC"/>
    <w:rsid w:val="005B3842"/>
    <w:rsid w:val="005C3959"/>
    <w:rsid w:val="005D2CE8"/>
    <w:rsid w:val="005D5C17"/>
    <w:rsid w:val="005F29E7"/>
    <w:rsid w:val="005F2A94"/>
    <w:rsid w:val="005F3ADE"/>
    <w:rsid w:val="005F76E5"/>
    <w:rsid w:val="00600D41"/>
    <w:rsid w:val="006018E4"/>
    <w:rsid w:val="00606F0E"/>
    <w:rsid w:val="006118C8"/>
    <w:rsid w:val="00615C2F"/>
    <w:rsid w:val="0062022D"/>
    <w:rsid w:val="006247AB"/>
    <w:rsid w:val="0063417C"/>
    <w:rsid w:val="00635B70"/>
    <w:rsid w:val="00641B5C"/>
    <w:rsid w:val="006458B5"/>
    <w:rsid w:val="006544EE"/>
    <w:rsid w:val="00663840"/>
    <w:rsid w:val="00664953"/>
    <w:rsid w:val="0067753D"/>
    <w:rsid w:val="00681383"/>
    <w:rsid w:val="0068252C"/>
    <w:rsid w:val="00682B1C"/>
    <w:rsid w:val="006858A7"/>
    <w:rsid w:val="00693E6D"/>
    <w:rsid w:val="00694496"/>
    <w:rsid w:val="0069715A"/>
    <w:rsid w:val="006A2AB3"/>
    <w:rsid w:val="006A33A2"/>
    <w:rsid w:val="006A7980"/>
    <w:rsid w:val="006B30B5"/>
    <w:rsid w:val="006B65FE"/>
    <w:rsid w:val="006B7A09"/>
    <w:rsid w:val="006B7F05"/>
    <w:rsid w:val="006C416B"/>
    <w:rsid w:val="006C5F1C"/>
    <w:rsid w:val="006C6FFF"/>
    <w:rsid w:val="006D11B3"/>
    <w:rsid w:val="006D19EA"/>
    <w:rsid w:val="006D2231"/>
    <w:rsid w:val="006D4B6A"/>
    <w:rsid w:val="006D65AA"/>
    <w:rsid w:val="006E03D0"/>
    <w:rsid w:val="006E14BC"/>
    <w:rsid w:val="006E1C3D"/>
    <w:rsid w:val="006E2068"/>
    <w:rsid w:val="006E6073"/>
    <w:rsid w:val="006F5E89"/>
    <w:rsid w:val="0070400F"/>
    <w:rsid w:val="00705D45"/>
    <w:rsid w:val="0070651A"/>
    <w:rsid w:val="0071539A"/>
    <w:rsid w:val="00717BF5"/>
    <w:rsid w:val="0072027D"/>
    <w:rsid w:val="007204EB"/>
    <w:rsid w:val="0072158D"/>
    <w:rsid w:val="007219A6"/>
    <w:rsid w:val="00722D00"/>
    <w:rsid w:val="0072379D"/>
    <w:rsid w:val="00723CE8"/>
    <w:rsid w:val="00731E5C"/>
    <w:rsid w:val="00734722"/>
    <w:rsid w:val="00735768"/>
    <w:rsid w:val="00735FB1"/>
    <w:rsid w:val="007377AD"/>
    <w:rsid w:val="0074074D"/>
    <w:rsid w:val="00742253"/>
    <w:rsid w:val="00747938"/>
    <w:rsid w:val="00750162"/>
    <w:rsid w:val="00750CA5"/>
    <w:rsid w:val="00751AF1"/>
    <w:rsid w:val="00755E4F"/>
    <w:rsid w:val="0076145C"/>
    <w:rsid w:val="00770687"/>
    <w:rsid w:val="0077563C"/>
    <w:rsid w:val="00775E0C"/>
    <w:rsid w:val="00780711"/>
    <w:rsid w:val="007808E8"/>
    <w:rsid w:val="0078093A"/>
    <w:rsid w:val="007827E0"/>
    <w:rsid w:val="0078636A"/>
    <w:rsid w:val="007906F6"/>
    <w:rsid w:val="00792B25"/>
    <w:rsid w:val="00793418"/>
    <w:rsid w:val="00793D3D"/>
    <w:rsid w:val="0079452E"/>
    <w:rsid w:val="00796ACB"/>
    <w:rsid w:val="007A1696"/>
    <w:rsid w:val="007A2BD8"/>
    <w:rsid w:val="007A508C"/>
    <w:rsid w:val="007A55AF"/>
    <w:rsid w:val="007A74BD"/>
    <w:rsid w:val="007B236D"/>
    <w:rsid w:val="007B5942"/>
    <w:rsid w:val="007B703F"/>
    <w:rsid w:val="007C21C7"/>
    <w:rsid w:val="007C2303"/>
    <w:rsid w:val="007C2C8C"/>
    <w:rsid w:val="007C40D7"/>
    <w:rsid w:val="007C4555"/>
    <w:rsid w:val="007C7A26"/>
    <w:rsid w:val="007D1063"/>
    <w:rsid w:val="007D36DA"/>
    <w:rsid w:val="007D516C"/>
    <w:rsid w:val="007D6E33"/>
    <w:rsid w:val="007D729B"/>
    <w:rsid w:val="007E4A9D"/>
    <w:rsid w:val="007E629D"/>
    <w:rsid w:val="007E665C"/>
    <w:rsid w:val="007F392B"/>
    <w:rsid w:val="00813203"/>
    <w:rsid w:val="00823D88"/>
    <w:rsid w:val="008252DF"/>
    <w:rsid w:val="00835DB9"/>
    <w:rsid w:val="00836A75"/>
    <w:rsid w:val="00837BC8"/>
    <w:rsid w:val="00841DF5"/>
    <w:rsid w:val="00843E30"/>
    <w:rsid w:val="00860912"/>
    <w:rsid w:val="0086171C"/>
    <w:rsid w:val="0086365D"/>
    <w:rsid w:val="008727FB"/>
    <w:rsid w:val="0087765E"/>
    <w:rsid w:val="00880D9F"/>
    <w:rsid w:val="008811BF"/>
    <w:rsid w:val="00884A3A"/>
    <w:rsid w:val="00884A79"/>
    <w:rsid w:val="00885A9F"/>
    <w:rsid w:val="008873FA"/>
    <w:rsid w:val="008904E7"/>
    <w:rsid w:val="008942EB"/>
    <w:rsid w:val="008970F6"/>
    <w:rsid w:val="00897549"/>
    <w:rsid w:val="008A1239"/>
    <w:rsid w:val="008A217B"/>
    <w:rsid w:val="008A2DDB"/>
    <w:rsid w:val="008A4E9F"/>
    <w:rsid w:val="008B04FC"/>
    <w:rsid w:val="008B31E7"/>
    <w:rsid w:val="008B4FEA"/>
    <w:rsid w:val="008B6DDD"/>
    <w:rsid w:val="008B6FC1"/>
    <w:rsid w:val="008D0634"/>
    <w:rsid w:val="008D1D33"/>
    <w:rsid w:val="008D6C6F"/>
    <w:rsid w:val="008E1A5A"/>
    <w:rsid w:val="008E3D67"/>
    <w:rsid w:val="008E479A"/>
    <w:rsid w:val="008E4FFA"/>
    <w:rsid w:val="008E55CD"/>
    <w:rsid w:val="008F04E8"/>
    <w:rsid w:val="008F0579"/>
    <w:rsid w:val="008F3B71"/>
    <w:rsid w:val="008F53C7"/>
    <w:rsid w:val="008F61B7"/>
    <w:rsid w:val="00901808"/>
    <w:rsid w:val="00906769"/>
    <w:rsid w:val="009103CE"/>
    <w:rsid w:val="009119AD"/>
    <w:rsid w:val="009235D9"/>
    <w:rsid w:val="00936BF6"/>
    <w:rsid w:val="009371D8"/>
    <w:rsid w:val="00943A26"/>
    <w:rsid w:val="00953768"/>
    <w:rsid w:val="00955834"/>
    <w:rsid w:val="00957421"/>
    <w:rsid w:val="00960C15"/>
    <w:rsid w:val="009637E3"/>
    <w:rsid w:val="00964D64"/>
    <w:rsid w:val="00965AFC"/>
    <w:rsid w:val="00966845"/>
    <w:rsid w:val="009845D3"/>
    <w:rsid w:val="00985515"/>
    <w:rsid w:val="00985D79"/>
    <w:rsid w:val="00985EE8"/>
    <w:rsid w:val="00987D76"/>
    <w:rsid w:val="00987DCA"/>
    <w:rsid w:val="009905D5"/>
    <w:rsid w:val="00996BF1"/>
    <w:rsid w:val="009A062E"/>
    <w:rsid w:val="009A1EBC"/>
    <w:rsid w:val="009A4792"/>
    <w:rsid w:val="009A71F7"/>
    <w:rsid w:val="009B025A"/>
    <w:rsid w:val="009B11B6"/>
    <w:rsid w:val="009B1F5D"/>
    <w:rsid w:val="009B20DC"/>
    <w:rsid w:val="009B5948"/>
    <w:rsid w:val="009B5AC4"/>
    <w:rsid w:val="009B6523"/>
    <w:rsid w:val="009B71F1"/>
    <w:rsid w:val="009C01A3"/>
    <w:rsid w:val="009C049C"/>
    <w:rsid w:val="009C0AF2"/>
    <w:rsid w:val="009C1741"/>
    <w:rsid w:val="009C26AF"/>
    <w:rsid w:val="009C6A05"/>
    <w:rsid w:val="009C7CF5"/>
    <w:rsid w:val="009D19B3"/>
    <w:rsid w:val="009D5C4B"/>
    <w:rsid w:val="009D7558"/>
    <w:rsid w:val="009E5854"/>
    <w:rsid w:val="009E6A86"/>
    <w:rsid w:val="009F1550"/>
    <w:rsid w:val="009F2864"/>
    <w:rsid w:val="009F3135"/>
    <w:rsid w:val="009F413B"/>
    <w:rsid w:val="00A0588E"/>
    <w:rsid w:val="00A1096C"/>
    <w:rsid w:val="00A22B8E"/>
    <w:rsid w:val="00A30518"/>
    <w:rsid w:val="00A31459"/>
    <w:rsid w:val="00A321DC"/>
    <w:rsid w:val="00A33F17"/>
    <w:rsid w:val="00A35C10"/>
    <w:rsid w:val="00A37EDD"/>
    <w:rsid w:val="00A462F8"/>
    <w:rsid w:val="00A4638B"/>
    <w:rsid w:val="00A5164A"/>
    <w:rsid w:val="00A54260"/>
    <w:rsid w:val="00A55931"/>
    <w:rsid w:val="00A57281"/>
    <w:rsid w:val="00A6098F"/>
    <w:rsid w:val="00A6486B"/>
    <w:rsid w:val="00A708B7"/>
    <w:rsid w:val="00A73BCF"/>
    <w:rsid w:val="00A77268"/>
    <w:rsid w:val="00A82CF9"/>
    <w:rsid w:val="00A87533"/>
    <w:rsid w:val="00A87693"/>
    <w:rsid w:val="00A95D51"/>
    <w:rsid w:val="00A9666B"/>
    <w:rsid w:val="00A97B13"/>
    <w:rsid w:val="00AA060A"/>
    <w:rsid w:val="00AA0FE6"/>
    <w:rsid w:val="00AA1BD4"/>
    <w:rsid w:val="00AA1F93"/>
    <w:rsid w:val="00AA6B78"/>
    <w:rsid w:val="00AB117F"/>
    <w:rsid w:val="00AB6E00"/>
    <w:rsid w:val="00AC34CB"/>
    <w:rsid w:val="00AC5D7C"/>
    <w:rsid w:val="00AC7675"/>
    <w:rsid w:val="00AD0058"/>
    <w:rsid w:val="00AD2D5E"/>
    <w:rsid w:val="00AD3321"/>
    <w:rsid w:val="00AD4E3F"/>
    <w:rsid w:val="00AE0F67"/>
    <w:rsid w:val="00AE1D71"/>
    <w:rsid w:val="00AE3F9E"/>
    <w:rsid w:val="00AF16E0"/>
    <w:rsid w:val="00AF1D9D"/>
    <w:rsid w:val="00B02295"/>
    <w:rsid w:val="00B027C5"/>
    <w:rsid w:val="00B11CCA"/>
    <w:rsid w:val="00B22E3E"/>
    <w:rsid w:val="00B2326E"/>
    <w:rsid w:val="00B25E88"/>
    <w:rsid w:val="00B3011A"/>
    <w:rsid w:val="00B3052A"/>
    <w:rsid w:val="00B34791"/>
    <w:rsid w:val="00B359FD"/>
    <w:rsid w:val="00B460A4"/>
    <w:rsid w:val="00B55146"/>
    <w:rsid w:val="00B554BE"/>
    <w:rsid w:val="00B56800"/>
    <w:rsid w:val="00B568D5"/>
    <w:rsid w:val="00B622E5"/>
    <w:rsid w:val="00B70654"/>
    <w:rsid w:val="00B70765"/>
    <w:rsid w:val="00B71FEB"/>
    <w:rsid w:val="00B739E9"/>
    <w:rsid w:val="00B76811"/>
    <w:rsid w:val="00B773D3"/>
    <w:rsid w:val="00B8036C"/>
    <w:rsid w:val="00B80F8A"/>
    <w:rsid w:val="00B81CB5"/>
    <w:rsid w:val="00B82A28"/>
    <w:rsid w:val="00B83012"/>
    <w:rsid w:val="00B83F94"/>
    <w:rsid w:val="00B8425A"/>
    <w:rsid w:val="00B84878"/>
    <w:rsid w:val="00B90131"/>
    <w:rsid w:val="00B90EAD"/>
    <w:rsid w:val="00B9122C"/>
    <w:rsid w:val="00B918D3"/>
    <w:rsid w:val="00B935F3"/>
    <w:rsid w:val="00B93C78"/>
    <w:rsid w:val="00B9715C"/>
    <w:rsid w:val="00B975F9"/>
    <w:rsid w:val="00BB09F7"/>
    <w:rsid w:val="00BB6790"/>
    <w:rsid w:val="00BC3147"/>
    <w:rsid w:val="00BC4EDA"/>
    <w:rsid w:val="00BD2550"/>
    <w:rsid w:val="00BD37CE"/>
    <w:rsid w:val="00BD4AA5"/>
    <w:rsid w:val="00BE3FF8"/>
    <w:rsid w:val="00BE40A2"/>
    <w:rsid w:val="00BE7EEE"/>
    <w:rsid w:val="00BF016B"/>
    <w:rsid w:val="00BF1B69"/>
    <w:rsid w:val="00BF21CC"/>
    <w:rsid w:val="00BF3924"/>
    <w:rsid w:val="00BF3F2F"/>
    <w:rsid w:val="00BF4E6C"/>
    <w:rsid w:val="00BF569B"/>
    <w:rsid w:val="00C00BA9"/>
    <w:rsid w:val="00C0315B"/>
    <w:rsid w:val="00C03454"/>
    <w:rsid w:val="00C10859"/>
    <w:rsid w:val="00C15396"/>
    <w:rsid w:val="00C22804"/>
    <w:rsid w:val="00C2333E"/>
    <w:rsid w:val="00C234ED"/>
    <w:rsid w:val="00C24C65"/>
    <w:rsid w:val="00C265A9"/>
    <w:rsid w:val="00C315AB"/>
    <w:rsid w:val="00C3193C"/>
    <w:rsid w:val="00C31B45"/>
    <w:rsid w:val="00C32AEF"/>
    <w:rsid w:val="00C33A78"/>
    <w:rsid w:val="00C34327"/>
    <w:rsid w:val="00C35C19"/>
    <w:rsid w:val="00C427F4"/>
    <w:rsid w:val="00C45E24"/>
    <w:rsid w:val="00C46639"/>
    <w:rsid w:val="00C4780E"/>
    <w:rsid w:val="00C540A4"/>
    <w:rsid w:val="00C54FD6"/>
    <w:rsid w:val="00C55869"/>
    <w:rsid w:val="00C57065"/>
    <w:rsid w:val="00C6072B"/>
    <w:rsid w:val="00C67F90"/>
    <w:rsid w:val="00C70134"/>
    <w:rsid w:val="00C744A5"/>
    <w:rsid w:val="00C748C7"/>
    <w:rsid w:val="00C91F24"/>
    <w:rsid w:val="00C976A9"/>
    <w:rsid w:val="00CA070E"/>
    <w:rsid w:val="00CA0B10"/>
    <w:rsid w:val="00CA1607"/>
    <w:rsid w:val="00CA2F7E"/>
    <w:rsid w:val="00CA3900"/>
    <w:rsid w:val="00CB7FE7"/>
    <w:rsid w:val="00CC18BD"/>
    <w:rsid w:val="00CC73B2"/>
    <w:rsid w:val="00CD014B"/>
    <w:rsid w:val="00CD39F8"/>
    <w:rsid w:val="00CD5B36"/>
    <w:rsid w:val="00CD7C2B"/>
    <w:rsid w:val="00CE17F0"/>
    <w:rsid w:val="00CE3F38"/>
    <w:rsid w:val="00CE73A2"/>
    <w:rsid w:val="00CF6097"/>
    <w:rsid w:val="00CF617B"/>
    <w:rsid w:val="00CF6382"/>
    <w:rsid w:val="00CF64A8"/>
    <w:rsid w:val="00D02489"/>
    <w:rsid w:val="00D02778"/>
    <w:rsid w:val="00D02925"/>
    <w:rsid w:val="00D055B0"/>
    <w:rsid w:val="00D10775"/>
    <w:rsid w:val="00D12C93"/>
    <w:rsid w:val="00D14ECA"/>
    <w:rsid w:val="00D336BA"/>
    <w:rsid w:val="00D359CB"/>
    <w:rsid w:val="00D35A3A"/>
    <w:rsid w:val="00D35A65"/>
    <w:rsid w:val="00D36F22"/>
    <w:rsid w:val="00D373F1"/>
    <w:rsid w:val="00D40859"/>
    <w:rsid w:val="00D42751"/>
    <w:rsid w:val="00D43714"/>
    <w:rsid w:val="00D46CDC"/>
    <w:rsid w:val="00D4710F"/>
    <w:rsid w:val="00D50F3E"/>
    <w:rsid w:val="00D5128D"/>
    <w:rsid w:val="00D52939"/>
    <w:rsid w:val="00D548F2"/>
    <w:rsid w:val="00D623A2"/>
    <w:rsid w:val="00D62E1F"/>
    <w:rsid w:val="00D634F7"/>
    <w:rsid w:val="00D63549"/>
    <w:rsid w:val="00D635E2"/>
    <w:rsid w:val="00D65384"/>
    <w:rsid w:val="00D65824"/>
    <w:rsid w:val="00D67CF5"/>
    <w:rsid w:val="00D723BE"/>
    <w:rsid w:val="00D74730"/>
    <w:rsid w:val="00D766EA"/>
    <w:rsid w:val="00D82558"/>
    <w:rsid w:val="00D87070"/>
    <w:rsid w:val="00D875F8"/>
    <w:rsid w:val="00D968C8"/>
    <w:rsid w:val="00D97AE1"/>
    <w:rsid w:val="00DA0CA5"/>
    <w:rsid w:val="00DA5E94"/>
    <w:rsid w:val="00DB0E0C"/>
    <w:rsid w:val="00DB29FC"/>
    <w:rsid w:val="00DB3220"/>
    <w:rsid w:val="00DB42C5"/>
    <w:rsid w:val="00DB4AE4"/>
    <w:rsid w:val="00DB5F95"/>
    <w:rsid w:val="00DB7A42"/>
    <w:rsid w:val="00DB7AA1"/>
    <w:rsid w:val="00DC719F"/>
    <w:rsid w:val="00DD16DA"/>
    <w:rsid w:val="00DD406F"/>
    <w:rsid w:val="00DD474A"/>
    <w:rsid w:val="00DE18AF"/>
    <w:rsid w:val="00DE3076"/>
    <w:rsid w:val="00DF1A5B"/>
    <w:rsid w:val="00DF427C"/>
    <w:rsid w:val="00E15C9B"/>
    <w:rsid w:val="00E22C5F"/>
    <w:rsid w:val="00E23456"/>
    <w:rsid w:val="00E3432C"/>
    <w:rsid w:val="00E34376"/>
    <w:rsid w:val="00E3600C"/>
    <w:rsid w:val="00E45752"/>
    <w:rsid w:val="00E470F5"/>
    <w:rsid w:val="00E52B7E"/>
    <w:rsid w:val="00E53740"/>
    <w:rsid w:val="00E537BB"/>
    <w:rsid w:val="00E66AD5"/>
    <w:rsid w:val="00E728BD"/>
    <w:rsid w:val="00E73B23"/>
    <w:rsid w:val="00E74A35"/>
    <w:rsid w:val="00E814EC"/>
    <w:rsid w:val="00E9000A"/>
    <w:rsid w:val="00E900BA"/>
    <w:rsid w:val="00E905D4"/>
    <w:rsid w:val="00E93D90"/>
    <w:rsid w:val="00EA0DDF"/>
    <w:rsid w:val="00EA2C84"/>
    <w:rsid w:val="00EA3325"/>
    <w:rsid w:val="00EA3DF7"/>
    <w:rsid w:val="00EB26F7"/>
    <w:rsid w:val="00EB4994"/>
    <w:rsid w:val="00EB6156"/>
    <w:rsid w:val="00EC4879"/>
    <w:rsid w:val="00EC5270"/>
    <w:rsid w:val="00EC632C"/>
    <w:rsid w:val="00ED2EF9"/>
    <w:rsid w:val="00ED3CDC"/>
    <w:rsid w:val="00ED768A"/>
    <w:rsid w:val="00EE412F"/>
    <w:rsid w:val="00EF11C4"/>
    <w:rsid w:val="00EF1D67"/>
    <w:rsid w:val="00EF5B75"/>
    <w:rsid w:val="00F002D3"/>
    <w:rsid w:val="00F01471"/>
    <w:rsid w:val="00F01515"/>
    <w:rsid w:val="00F13D31"/>
    <w:rsid w:val="00F16AE3"/>
    <w:rsid w:val="00F17029"/>
    <w:rsid w:val="00F221A8"/>
    <w:rsid w:val="00F233E8"/>
    <w:rsid w:val="00F26545"/>
    <w:rsid w:val="00F32630"/>
    <w:rsid w:val="00F3542F"/>
    <w:rsid w:val="00F37A7D"/>
    <w:rsid w:val="00F41FD2"/>
    <w:rsid w:val="00F42582"/>
    <w:rsid w:val="00F43F7E"/>
    <w:rsid w:val="00F50506"/>
    <w:rsid w:val="00F62480"/>
    <w:rsid w:val="00F62B0F"/>
    <w:rsid w:val="00F64F74"/>
    <w:rsid w:val="00F660C6"/>
    <w:rsid w:val="00F6703F"/>
    <w:rsid w:val="00F74711"/>
    <w:rsid w:val="00F814FF"/>
    <w:rsid w:val="00F842E3"/>
    <w:rsid w:val="00FA2781"/>
    <w:rsid w:val="00FA36F1"/>
    <w:rsid w:val="00FA6712"/>
    <w:rsid w:val="00FC3371"/>
    <w:rsid w:val="00FC4CCE"/>
    <w:rsid w:val="00FC5496"/>
    <w:rsid w:val="00FC5522"/>
    <w:rsid w:val="00FC5AB2"/>
    <w:rsid w:val="00FC7531"/>
    <w:rsid w:val="00FC7DD2"/>
    <w:rsid w:val="00FD0459"/>
    <w:rsid w:val="00FD1C11"/>
    <w:rsid w:val="00FD48D9"/>
    <w:rsid w:val="00FE001D"/>
    <w:rsid w:val="00FE05E7"/>
    <w:rsid w:val="00FE0AE3"/>
    <w:rsid w:val="00FE121D"/>
    <w:rsid w:val="00FE18A4"/>
    <w:rsid w:val="00FE31DA"/>
    <w:rsid w:val="00FE6DE0"/>
    <w:rsid w:val="00FF12C9"/>
    <w:rsid w:val="00FF55F5"/>
    <w:rsid w:val="00FF613F"/>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54ECB6F"/>
  <w15:docId w15:val="{306D15E7-6174-403A-AD02-B27D9F22F9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01808"/>
    <w:pPr>
      <w:kinsoku w:val="0"/>
      <w:autoSpaceDE w:val="0"/>
      <w:autoSpaceDN w:val="0"/>
      <w:adjustRightInd w:val="0"/>
      <w:spacing w:after="140" w:line="280" w:lineRule="atLeast"/>
    </w:pPr>
    <w:rPr>
      <w:rFonts w:ascii="Arial" w:eastAsia="Times New Roman" w:hAnsi="Arial" w:cs="Times New Roman"/>
      <w:sz w:val="20"/>
      <w:szCs w:val="24"/>
    </w:rPr>
  </w:style>
  <w:style w:type="paragraph" w:styleId="Heading1">
    <w:name w:val="heading 1"/>
    <w:basedOn w:val="NoSpacing"/>
    <w:next w:val="Normal"/>
    <w:link w:val="Heading1Char"/>
    <w:qFormat/>
    <w:rsid w:val="008D0634"/>
    <w:pPr>
      <w:outlineLvl w:val="0"/>
    </w:pPr>
    <w:rPr>
      <w:rFonts w:cstheme="minorHAnsi"/>
      <w:b/>
      <w:color w:val="1F3864" w:themeColor="accent1" w:themeShade="80"/>
      <w:sz w:val="32"/>
    </w:rPr>
  </w:style>
  <w:style w:type="paragraph" w:styleId="Heading2">
    <w:name w:val="heading 2"/>
    <w:basedOn w:val="NoSpacing"/>
    <w:next w:val="Normal"/>
    <w:link w:val="Heading2Char"/>
    <w:qFormat/>
    <w:rsid w:val="002915EA"/>
    <w:pPr>
      <w:numPr>
        <w:ilvl w:val="1"/>
        <w:numId w:val="8"/>
      </w:numPr>
      <w:spacing w:line="276" w:lineRule="auto"/>
      <w:outlineLvl w:val="1"/>
    </w:pPr>
    <w:rPr>
      <w:b/>
      <w:sz w:val="24"/>
    </w:rPr>
  </w:style>
  <w:style w:type="paragraph" w:styleId="Heading3">
    <w:name w:val="heading 3"/>
    <w:basedOn w:val="NoSpacing"/>
    <w:next w:val="Normal"/>
    <w:link w:val="Heading3Char"/>
    <w:qFormat/>
    <w:rsid w:val="002915EA"/>
    <w:pPr>
      <w:spacing w:line="360" w:lineRule="auto"/>
      <w:outlineLvl w:val="2"/>
    </w:pPr>
    <w:rPr>
      <w:b/>
    </w:rPr>
  </w:style>
  <w:style w:type="paragraph" w:styleId="Heading4">
    <w:name w:val="heading 4"/>
    <w:basedOn w:val="Normal"/>
    <w:next w:val="Normal"/>
    <w:link w:val="Heading4Char"/>
    <w:qFormat/>
    <w:rsid w:val="00901808"/>
    <w:pPr>
      <w:keepNext/>
      <w:spacing w:after="80" w:line="240" w:lineRule="auto"/>
      <w:outlineLvl w:val="3"/>
    </w:pPr>
    <w:rPr>
      <w:b/>
      <w:bCs/>
      <w:sz w:val="36"/>
      <w:szCs w:val="28"/>
    </w:rPr>
  </w:style>
  <w:style w:type="paragraph" w:styleId="Heading5">
    <w:name w:val="heading 5"/>
    <w:basedOn w:val="Normal"/>
    <w:next w:val="Normal"/>
    <w:link w:val="Heading5Char"/>
    <w:qFormat/>
    <w:rsid w:val="00901808"/>
    <w:pPr>
      <w:spacing w:before="240" w:after="60"/>
      <w:outlineLvl w:val="4"/>
    </w:pPr>
    <w:rPr>
      <w:b/>
      <w:bCs/>
      <w:i/>
      <w:iCs/>
      <w:sz w:val="26"/>
      <w:szCs w:val="26"/>
    </w:rPr>
  </w:style>
  <w:style w:type="paragraph" w:styleId="Heading6">
    <w:name w:val="heading 6"/>
    <w:basedOn w:val="Normal"/>
    <w:next w:val="Normal"/>
    <w:link w:val="Heading6Char"/>
    <w:qFormat/>
    <w:rsid w:val="00901808"/>
    <w:pPr>
      <w:spacing w:before="240" w:after="60"/>
      <w:outlineLvl w:val="5"/>
    </w:pPr>
    <w:rPr>
      <w:rFonts w:ascii="Times New Roman" w:hAnsi="Times New Roman"/>
      <w:b/>
      <w:bCs/>
      <w:sz w:val="22"/>
      <w:szCs w:val="22"/>
    </w:rPr>
  </w:style>
  <w:style w:type="paragraph" w:styleId="Heading7">
    <w:name w:val="heading 7"/>
    <w:basedOn w:val="Normal"/>
    <w:next w:val="Normal"/>
    <w:link w:val="Heading7Char"/>
    <w:qFormat/>
    <w:rsid w:val="00901808"/>
    <w:pPr>
      <w:spacing w:before="240" w:after="60"/>
      <w:outlineLvl w:val="6"/>
    </w:pPr>
    <w:rPr>
      <w:rFonts w:ascii="Times New Roman" w:hAnsi="Times New Roman"/>
      <w:sz w:val="24"/>
    </w:rPr>
  </w:style>
  <w:style w:type="paragraph" w:styleId="Heading8">
    <w:name w:val="heading 8"/>
    <w:basedOn w:val="Normal"/>
    <w:next w:val="Normal"/>
    <w:link w:val="Heading8Char"/>
    <w:qFormat/>
    <w:rsid w:val="00901808"/>
    <w:pPr>
      <w:spacing w:before="240" w:after="60"/>
      <w:outlineLvl w:val="7"/>
    </w:pPr>
    <w:rPr>
      <w:rFonts w:ascii="Times New Roman" w:hAnsi="Times New Roman"/>
      <w:i/>
      <w:iCs/>
      <w:sz w:val="24"/>
    </w:rPr>
  </w:style>
  <w:style w:type="paragraph" w:styleId="Heading9">
    <w:name w:val="heading 9"/>
    <w:basedOn w:val="Normal"/>
    <w:next w:val="Normal"/>
    <w:link w:val="Heading9Char"/>
    <w:qFormat/>
    <w:rsid w:val="00901808"/>
    <w:pPr>
      <w:spacing w:before="240" w:after="60"/>
      <w:outlineLvl w:val="8"/>
    </w:pPr>
    <w:rPr>
      <w:rFonts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D0634"/>
    <w:rPr>
      <w:rFonts w:cstheme="minorHAnsi"/>
      <w:b/>
      <w:color w:val="1F3864" w:themeColor="accent1" w:themeShade="80"/>
      <w:sz w:val="32"/>
      <w:szCs w:val="24"/>
    </w:rPr>
  </w:style>
  <w:style w:type="character" w:customStyle="1" w:styleId="Heading2Char">
    <w:name w:val="Heading 2 Char"/>
    <w:basedOn w:val="DefaultParagraphFont"/>
    <w:link w:val="Heading2"/>
    <w:rsid w:val="002915EA"/>
    <w:rPr>
      <w:rFonts w:cs="Times New Roman"/>
      <w:b/>
      <w:sz w:val="24"/>
      <w:szCs w:val="24"/>
    </w:rPr>
  </w:style>
  <w:style w:type="character" w:customStyle="1" w:styleId="Heading3Char">
    <w:name w:val="Heading 3 Char"/>
    <w:basedOn w:val="DefaultParagraphFont"/>
    <w:link w:val="Heading3"/>
    <w:rsid w:val="002915EA"/>
    <w:rPr>
      <w:rFonts w:cs="Times New Roman"/>
      <w:b/>
      <w:szCs w:val="24"/>
    </w:rPr>
  </w:style>
  <w:style w:type="character" w:customStyle="1" w:styleId="Heading4Char">
    <w:name w:val="Heading 4 Char"/>
    <w:basedOn w:val="DefaultParagraphFont"/>
    <w:link w:val="Heading4"/>
    <w:rsid w:val="00901808"/>
    <w:rPr>
      <w:rFonts w:ascii="Arial" w:eastAsia="Times New Roman" w:hAnsi="Arial" w:cs="Times New Roman"/>
      <w:b/>
      <w:bCs/>
      <w:sz w:val="36"/>
      <w:szCs w:val="28"/>
    </w:rPr>
  </w:style>
  <w:style w:type="character" w:customStyle="1" w:styleId="Heading5Char">
    <w:name w:val="Heading 5 Char"/>
    <w:basedOn w:val="DefaultParagraphFont"/>
    <w:link w:val="Heading5"/>
    <w:rsid w:val="00901808"/>
    <w:rPr>
      <w:rFonts w:ascii="Arial" w:eastAsia="Times New Roman" w:hAnsi="Arial" w:cs="Times New Roman"/>
      <w:b/>
      <w:bCs/>
      <w:i/>
      <w:iCs/>
      <w:sz w:val="26"/>
      <w:szCs w:val="26"/>
    </w:rPr>
  </w:style>
  <w:style w:type="character" w:customStyle="1" w:styleId="Heading6Char">
    <w:name w:val="Heading 6 Char"/>
    <w:basedOn w:val="DefaultParagraphFont"/>
    <w:link w:val="Heading6"/>
    <w:rsid w:val="00901808"/>
    <w:rPr>
      <w:rFonts w:ascii="Times New Roman" w:eastAsia="Times New Roman" w:hAnsi="Times New Roman" w:cs="Times New Roman"/>
      <w:b/>
      <w:bCs/>
    </w:rPr>
  </w:style>
  <w:style w:type="character" w:customStyle="1" w:styleId="Heading7Char">
    <w:name w:val="Heading 7 Char"/>
    <w:basedOn w:val="DefaultParagraphFont"/>
    <w:link w:val="Heading7"/>
    <w:rsid w:val="00901808"/>
    <w:rPr>
      <w:rFonts w:ascii="Times New Roman" w:eastAsia="Times New Roman" w:hAnsi="Times New Roman" w:cs="Times New Roman"/>
      <w:sz w:val="24"/>
      <w:szCs w:val="24"/>
    </w:rPr>
  </w:style>
  <w:style w:type="character" w:customStyle="1" w:styleId="Heading8Char">
    <w:name w:val="Heading 8 Char"/>
    <w:basedOn w:val="DefaultParagraphFont"/>
    <w:link w:val="Heading8"/>
    <w:rsid w:val="00901808"/>
    <w:rPr>
      <w:rFonts w:ascii="Times New Roman" w:eastAsia="Times New Roman" w:hAnsi="Times New Roman" w:cs="Times New Roman"/>
      <w:i/>
      <w:iCs/>
      <w:sz w:val="24"/>
      <w:szCs w:val="24"/>
    </w:rPr>
  </w:style>
  <w:style w:type="character" w:customStyle="1" w:styleId="Heading9Char">
    <w:name w:val="Heading 9 Char"/>
    <w:basedOn w:val="DefaultParagraphFont"/>
    <w:link w:val="Heading9"/>
    <w:rsid w:val="00901808"/>
    <w:rPr>
      <w:rFonts w:ascii="Arial" w:eastAsia="Times New Roman" w:hAnsi="Arial" w:cs="Arial"/>
    </w:rPr>
  </w:style>
  <w:style w:type="paragraph" w:customStyle="1" w:styleId="BTBijlage">
    <w:name w:val="BT_Bijlage"/>
    <w:basedOn w:val="Normal"/>
    <w:next w:val="Normal"/>
    <w:rsid w:val="00901808"/>
    <w:pPr>
      <w:keepNext/>
      <w:keepLines/>
      <w:pageBreakBefore/>
      <w:spacing w:before="3360" w:after="560"/>
    </w:pPr>
    <w:rPr>
      <w:sz w:val="48"/>
    </w:rPr>
  </w:style>
  <w:style w:type="paragraph" w:customStyle="1" w:styleId="BTHeading1">
    <w:name w:val="BT_Heading1"/>
    <w:basedOn w:val="Normal"/>
    <w:next w:val="Normal"/>
    <w:rsid w:val="00901808"/>
    <w:pPr>
      <w:keepNext/>
      <w:keepLines/>
      <w:spacing w:after="560"/>
    </w:pPr>
    <w:rPr>
      <w:b/>
      <w:sz w:val="24"/>
    </w:rPr>
  </w:style>
  <w:style w:type="paragraph" w:customStyle="1" w:styleId="BTHeading2">
    <w:name w:val="BT_Heading2"/>
    <w:basedOn w:val="Normal"/>
    <w:next w:val="Normal"/>
    <w:rsid w:val="00901808"/>
    <w:pPr>
      <w:keepNext/>
      <w:keepLines/>
    </w:pPr>
    <w:rPr>
      <w:b/>
    </w:rPr>
  </w:style>
  <w:style w:type="paragraph" w:customStyle="1" w:styleId="BTHeading3">
    <w:name w:val="BT_Heading3"/>
    <w:basedOn w:val="Normal"/>
    <w:next w:val="Normal"/>
    <w:rsid w:val="00901808"/>
    <w:pPr>
      <w:keepNext/>
      <w:keepLines/>
    </w:pPr>
    <w:rPr>
      <w:b/>
    </w:rPr>
  </w:style>
  <w:style w:type="paragraph" w:customStyle="1" w:styleId="BTHeading4">
    <w:name w:val="BT_Heading4"/>
    <w:basedOn w:val="Normal"/>
    <w:next w:val="Normal"/>
    <w:rsid w:val="00901808"/>
    <w:rPr>
      <w:i/>
    </w:rPr>
  </w:style>
  <w:style w:type="paragraph" w:customStyle="1" w:styleId="BTHoofdstuk">
    <w:name w:val="BT_Hoofdstuk"/>
    <w:basedOn w:val="Normal"/>
    <w:next w:val="Normal"/>
    <w:rsid w:val="00901808"/>
    <w:pPr>
      <w:keepNext/>
      <w:keepLines/>
      <w:pageBreakBefore/>
      <w:numPr>
        <w:numId w:val="1"/>
      </w:numPr>
      <w:spacing w:after="560"/>
    </w:pPr>
    <w:rPr>
      <w:b/>
      <w:sz w:val="24"/>
    </w:rPr>
  </w:style>
  <w:style w:type="paragraph" w:customStyle="1" w:styleId="BTKopInhoudsopgave">
    <w:name w:val="BT_KopInhoudsopgave"/>
    <w:basedOn w:val="Normal"/>
    <w:next w:val="Normal"/>
    <w:rsid w:val="00901808"/>
    <w:pPr>
      <w:tabs>
        <w:tab w:val="right" w:pos="8874"/>
      </w:tabs>
    </w:pPr>
    <w:rPr>
      <w:b/>
      <w:sz w:val="24"/>
    </w:rPr>
  </w:style>
  <w:style w:type="paragraph" w:customStyle="1" w:styleId="BTOpen">
    <w:name w:val="BT_Open"/>
    <w:basedOn w:val="Normal"/>
    <w:rsid w:val="00901808"/>
    <w:pPr>
      <w:numPr>
        <w:numId w:val="2"/>
      </w:numPr>
    </w:pPr>
  </w:style>
  <w:style w:type="paragraph" w:customStyle="1" w:styleId="BTParagraaf">
    <w:name w:val="BT_Paragraaf"/>
    <w:basedOn w:val="BTHoofdstuk"/>
    <w:next w:val="Normal"/>
    <w:rsid w:val="00901808"/>
    <w:pPr>
      <w:pageBreakBefore w:val="0"/>
      <w:numPr>
        <w:ilvl w:val="1"/>
      </w:numPr>
      <w:spacing w:after="140"/>
    </w:pPr>
    <w:rPr>
      <w:sz w:val="20"/>
    </w:rPr>
  </w:style>
  <w:style w:type="paragraph" w:customStyle="1" w:styleId="BTStandaardTabel">
    <w:name w:val="BT_StandaardTabel"/>
    <w:basedOn w:val="Normal"/>
    <w:rsid w:val="00901808"/>
    <w:pPr>
      <w:spacing w:before="40" w:after="40" w:line="240" w:lineRule="auto"/>
    </w:pPr>
    <w:rPr>
      <w:sz w:val="18"/>
    </w:rPr>
  </w:style>
  <w:style w:type="paragraph" w:customStyle="1" w:styleId="BTStiptabel">
    <w:name w:val="BT_Stip tabel"/>
    <w:basedOn w:val="Normal"/>
    <w:rsid w:val="00901808"/>
    <w:pPr>
      <w:numPr>
        <w:numId w:val="3"/>
      </w:numPr>
      <w:spacing w:before="40" w:after="40" w:line="240" w:lineRule="auto"/>
    </w:pPr>
    <w:rPr>
      <w:sz w:val="18"/>
    </w:rPr>
  </w:style>
  <w:style w:type="paragraph" w:customStyle="1" w:styleId="BTStip1">
    <w:name w:val="BT_Stip1"/>
    <w:basedOn w:val="Normal"/>
    <w:rsid w:val="00901808"/>
    <w:pPr>
      <w:numPr>
        <w:numId w:val="4"/>
      </w:numPr>
    </w:pPr>
  </w:style>
  <w:style w:type="paragraph" w:customStyle="1" w:styleId="BTStreep">
    <w:name w:val="BT_Streep"/>
    <w:basedOn w:val="Normal"/>
    <w:rsid w:val="00901808"/>
    <w:pPr>
      <w:numPr>
        <w:numId w:val="5"/>
      </w:numPr>
    </w:pPr>
  </w:style>
  <w:style w:type="paragraph" w:customStyle="1" w:styleId="BTSubParagraaf">
    <w:name w:val="BT_SubParagraaf"/>
    <w:basedOn w:val="BTHoofdstuk"/>
    <w:next w:val="Normal"/>
    <w:rsid w:val="00901808"/>
    <w:pPr>
      <w:pageBreakBefore w:val="0"/>
      <w:numPr>
        <w:ilvl w:val="2"/>
      </w:numPr>
      <w:spacing w:after="140"/>
    </w:pPr>
    <w:rPr>
      <w:sz w:val="20"/>
    </w:rPr>
  </w:style>
  <w:style w:type="paragraph" w:customStyle="1" w:styleId="Getal1">
    <w:name w:val="Getal1"/>
    <w:basedOn w:val="Normal"/>
    <w:rsid w:val="00901808"/>
    <w:pPr>
      <w:numPr>
        <w:numId w:val="6"/>
      </w:numPr>
    </w:pPr>
  </w:style>
  <w:style w:type="character" w:styleId="Hyperlink">
    <w:name w:val="Hyperlink"/>
    <w:basedOn w:val="DefaultParagraphFont"/>
    <w:uiPriority w:val="99"/>
    <w:rsid w:val="00901808"/>
    <w:rPr>
      <w:color w:val="0000FF"/>
      <w:u w:val="single"/>
    </w:rPr>
  </w:style>
  <w:style w:type="paragraph" w:styleId="TOC1">
    <w:name w:val="toc 1"/>
    <w:basedOn w:val="Normal"/>
    <w:next w:val="Normal"/>
    <w:autoRedefine/>
    <w:uiPriority w:val="39"/>
    <w:rsid w:val="005C3959"/>
    <w:pPr>
      <w:tabs>
        <w:tab w:val="left" w:pos="397"/>
        <w:tab w:val="right" w:pos="8874"/>
      </w:tabs>
      <w:spacing w:before="280" w:after="0"/>
    </w:pPr>
    <w:rPr>
      <w:rFonts w:asciiTheme="minorHAnsi" w:hAnsiTheme="minorHAnsi" w:cstheme="minorHAnsi"/>
      <w:b/>
      <w:noProof/>
      <w:sz w:val="24"/>
      <w:szCs w:val="22"/>
    </w:rPr>
  </w:style>
  <w:style w:type="paragraph" w:styleId="TOC2">
    <w:name w:val="toc 2"/>
    <w:basedOn w:val="Normal"/>
    <w:next w:val="Normal"/>
    <w:autoRedefine/>
    <w:uiPriority w:val="39"/>
    <w:rsid w:val="00901808"/>
    <w:pPr>
      <w:tabs>
        <w:tab w:val="left" w:pos="851"/>
        <w:tab w:val="right" w:pos="8874"/>
      </w:tabs>
      <w:spacing w:after="0"/>
      <w:ind w:left="397"/>
    </w:pPr>
    <w:rPr>
      <w:b/>
    </w:rPr>
  </w:style>
  <w:style w:type="paragraph" w:styleId="TOC3">
    <w:name w:val="toc 3"/>
    <w:basedOn w:val="Normal"/>
    <w:next w:val="Normal"/>
    <w:autoRedefine/>
    <w:uiPriority w:val="39"/>
    <w:rsid w:val="00901808"/>
    <w:pPr>
      <w:tabs>
        <w:tab w:val="left" w:pos="1440"/>
        <w:tab w:val="right" w:pos="8874"/>
      </w:tabs>
      <w:spacing w:after="0"/>
      <w:ind w:left="851"/>
    </w:pPr>
    <w:rPr>
      <w:b/>
    </w:rPr>
  </w:style>
  <w:style w:type="paragraph" w:styleId="Header">
    <w:name w:val="header"/>
    <w:basedOn w:val="Normal"/>
    <w:link w:val="HeaderChar"/>
    <w:uiPriority w:val="99"/>
    <w:rsid w:val="00901808"/>
    <w:pPr>
      <w:tabs>
        <w:tab w:val="center" w:pos="4536"/>
        <w:tab w:val="right" w:pos="9072"/>
      </w:tabs>
      <w:spacing w:after="0"/>
    </w:pPr>
  </w:style>
  <w:style w:type="character" w:customStyle="1" w:styleId="HeaderChar">
    <w:name w:val="Header Char"/>
    <w:basedOn w:val="DefaultParagraphFont"/>
    <w:link w:val="Header"/>
    <w:uiPriority w:val="99"/>
    <w:rsid w:val="00901808"/>
    <w:rPr>
      <w:rFonts w:ascii="Arial" w:eastAsia="Times New Roman" w:hAnsi="Arial" w:cs="Times New Roman"/>
      <w:sz w:val="20"/>
      <w:szCs w:val="24"/>
    </w:rPr>
  </w:style>
  <w:style w:type="character" w:styleId="PageNumber">
    <w:name w:val="page number"/>
    <w:basedOn w:val="DefaultParagraphFont"/>
    <w:rsid w:val="00901808"/>
    <w:rPr>
      <w:rFonts w:ascii="Arial" w:hAnsi="Arial"/>
      <w:sz w:val="18"/>
    </w:rPr>
  </w:style>
  <w:style w:type="character" w:styleId="LineNumber">
    <w:name w:val="line number"/>
    <w:basedOn w:val="DefaultParagraphFont"/>
    <w:rsid w:val="00901808"/>
  </w:style>
  <w:style w:type="table" w:styleId="TableGrid">
    <w:name w:val="Table Grid"/>
    <w:basedOn w:val="TableNormal"/>
    <w:uiPriority w:val="39"/>
    <w:rsid w:val="00901808"/>
    <w:pPr>
      <w:spacing w:before="40" w:after="40" w:line="240" w:lineRule="auto"/>
    </w:pPr>
    <w:rPr>
      <w:rFonts w:ascii="Arial" w:eastAsia="Times New Roman" w:hAnsi="Arial" w:cs="Times New Roman"/>
      <w:sz w:val="18"/>
      <w:szCs w:val="20"/>
      <w:lang w:eastAsia="nl-NL"/>
    </w:rPr>
    <w:tblP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57" w:type="dxa"/>
        <w:right w:w="57" w:type="dxa"/>
      </w:tblCellMar>
    </w:tblPr>
  </w:style>
  <w:style w:type="character" w:styleId="FootnoteReference">
    <w:name w:val="footnote reference"/>
    <w:basedOn w:val="DefaultParagraphFont"/>
    <w:uiPriority w:val="99"/>
    <w:semiHidden/>
    <w:rsid w:val="00901808"/>
    <w:rPr>
      <w:sz w:val="18"/>
      <w:vertAlign w:val="superscript"/>
    </w:rPr>
  </w:style>
  <w:style w:type="paragraph" w:styleId="FootnoteText">
    <w:name w:val="footnote text"/>
    <w:basedOn w:val="Normal"/>
    <w:link w:val="FootnoteTextChar"/>
    <w:uiPriority w:val="99"/>
    <w:rsid w:val="00901808"/>
    <w:rPr>
      <w:sz w:val="18"/>
      <w:szCs w:val="20"/>
    </w:rPr>
  </w:style>
  <w:style w:type="character" w:customStyle="1" w:styleId="FootnoteTextChar">
    <w:name w:val="Footnote Text Char"/>
    <w:basedOn w:val="DefaultParagraphFont"/>
    <w:link w:val="FootnoteText"/>
    <w:uiPriority w:val="99"/>
    <w:rsid w:val="00901808"/>
    <w:rPr>
      <w:rFonts w:ascii="Arial" w:eastAsia="Times New Roman" w:hAnsi="Arial" w:cs="Times New Roman"/>
      <w:sz w:val="18"/>
      <w:szCs w:val="20"/>
    </w:rPr>
  </w:style>
  <w:style w:type="paragraph" w:styleId="Footer">
    <w:name w:val="footer"/>
    <w:basedOn w:val="Normal"/>
    <w:link w:val="FooterChar"/>
    <w:uiPriority w:val="99"/>
    <w:rsid w:val="00901808"/>
    <w:pPr>
      <w:spacing w:after="0"/>
    </w:pPr>
    <w:rPr>
      <w:sz w:val="18"/>
    </w:rPr>
  </w:style>
  <w:style w:type="character" w:customStyle="1" w:styleId="FooterChar">
    <w:name w:val="Footer Char"/>
    <w:basedOn w:val="DefaultParagraphFont"/>
    <w:link w:val="Footer"/>
    <w:uiPriority w:val="99"/>
    <w:rsid w:val="00901808"/>
    <w:rPr>
      <w:rFonts w:ascii="Arial" w:eastAsia="Times New Roman" w:hAnsi="Arial" w:cs="Times New Roman"/>
      <w:sz w:val="18"/>
      <w:szCs w:val="24"/>
    </w:rPr>
  </w:style>
  <w:style w:type="paragraph" w:styleId="NoSpacing">
    <w:name w:val="No Spacing"/>
    <w:link w:val="NoSpacingChar"/>
    <w:uiPriority w:val="1"/>
    <w:qFormat/>
    <w:rsid w:val="00901808"/>
    <w:pPr>
      <w:kinsoku w:val="0"/>
      <w:autoSpaceDE w:val="0"/>
      <w:autoSpaceDN w:val="0"/>
      <w:adjustRightInd w:val="0"/>
      <w:spacing w:after="0" w:line="240" w:lineRule="auto"/>
    </w:pPr>
    <w:rPr>
      <w:rFonts w:cs="Times New Roman"/>
      <w:szCs w:val="24"/>
    </w:rPr>
  </w:style>
  <w:style w:type="character" w:customStyle="1" w:styleId="NoSpacingChar">
    <w:name w:val="No Spacing Char"/>
    <w:basedOn w:val="DefaultParagraphFont"/>
    <w:link w:val="NoSpacing"/>
    <w:uiPriority w:val="1"/>
    <w:rsid w:val="00901808"/>
    <w:rPr>
      <w:rFonts w:cs="Times New Roman"/>
      <w:szCs w:val="24"/>
    </w:rPr>
  </w:style>
  <w:style w:type="paragraph" w:styleId="BalloonText">
    <w:name w:val="Balloon Text"/>
    <w:basedOn w:val="Normal"/>
    <w:link w:val="BalloonTextChar"/>
    <w:uiPriority w:val="99"/>
    <w:semiHidden/>
    <w:unhideWhenUsed/>
    <w:rsid w:val="0090180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01808"/>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901808"/>
    <w:rPr>
      <w:sz w:val="16"/>
      <w:szCs w:val="16"/>
    </w:rPr>
  </w:style>
  <w:style w:type="paragraph" w:styleId="CommentText">
    <w:name w:val="annotation text"/>
    <w:basedOn w:val="Normal"/>
    <w:link w:val="CommentTextChar"/>
    <w:uiPriority w:val="99"/>
    <w:unhideWhenUsed/>
    <w:rsid w:val="00901808"/>
    <w:pPr>
      <w:spacing w:line="240" w:lineRule="auto"/>
    </w:pPr>
    <w:rPr>
      <w:szCs w:val="20"/>
    </w:rPr>
  </w:style>
  <w:style w:type="character" w:customStyle="1" w:styleId="CommentTextChar">
    <w:name w:val="Comment Text Char"/>
    <w:basedOn w:val="DefaultParagraphFont"/>
    <w:link w:val="CommentText"/>
    <w:uiPriority w:val="99"/>
    <w:rsid w:val="00901808"/>
    <w:rPr>
      <w:rFonts w:ascii="Arial" w:eastAsia="Times New Roman" w:hAnsi="Arial" w:cs="Times New Roman"/>
      <w:sz w:val="20"/>
      <w:szCs w:val="20"/>
    </w:rPr>
  </w:style>
  <w:style w:type="paragraph" w:styleId="Caption">
    <w:name w:val="caption"/>
    <w:basedOn w:val="Normal"/>
    <w:next w:val="Normal"/>
    <w:uiPriority w:val="35"/>
    <w:unhideWhenUsed/>
    <w:qFormat/>
    <w:rsid w:val="00901808"/>
    <w:pPr>
      <w:spacing w:after="200" w:line="240" w:lineRule="auto"/>
    </w:pPr>
    <w:rPr>
      <w:b/>
      <w:bCs/>
      <w:color w:val="4472C4" w:themeColor="accent1"/>
      <w:sz w:val="18"/>
      <w:szCs w:val="18"/>
    </w:rPr>
  </w:style>
  <w:style w:type="table" w:styleId="LightList-Accent1">
    <w:name w:val="Light List Accent 1"/>
    <w:basedOn w:val="TableNormal"/>
    <w:uiPriority w:val="61"/>
    <w:rsid w:val="00901808"/>
    <w:pPr>
      <w:spacing w:after="0" w:line="240" w:lineRule="auto"/>
    </w:p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character" w:customStyle="1" w:styleId="CommentSubjectChar">
    <w:name w:val="Comment Subject Char"/>
    <w:basedOn w:val="CommentTextChar"/>
    <w:link w:val="CommentSubject"/>
    <w:uiPriority w:val="99"/>
    <w:semiHidden/>
    <w:rsid w:val="00901808"/>
    <w:rPr>
      <w:rFonts w:ascii="Arial" w:eastAsia="Times New Roman" w:hAnsi="Arial" w:cs="Times New Roman"/>
      <w:b/>
      <w:bCs/>
      <w:sz w:val="20"/>
      <w:szCs w:val="20"/>
    </w:rPr>
  </w:style>
  <w:style w:type="paragraph" w:styleId="CommentSubject">
    <w:name w:val="annotation subject"/>
    <w:basedOn w:val="CommentText"/>
    <w:next w:val="CommentText"/>
    <w:link w:val="CommentSubjectChar"/>
    <w:uiPriority w:val="99"/>
    <w:semiHidden/>
    <w:unhideWhenUsed/>
    <w:rsid w:val="00901808"/>
    <w:rPr>
      <w:b/>
      <w:bCs/>
    </w:rPr>
  </w:style>
  <w:style w:type="paragraph" w:styleId="ListParagraph">
    <w:name w:val="List Paragraph"/>
    <w:basedOn w:val="Normal"/>
    <w:uiPriority w:val="34"/>
    <w:qFormat/>
    <w:rsid w:val="00901808"/>
    <w:pPr>
      <w:ind w:left="720"/>
      <w:contextualSpacing/>
    </w:pPr>
  </w:style>
  <w:style w:type="paragraph" w:styleId="BodyText">
    <w:name w:val="Body Text"/>
    <w:basedOn w:val="Normal"/>
    <w:link w:val="BodyTextChar"/>
    <w:rsid w:val="00901808"/>
    <w:pPr>
      <w:tabs>
        <w:tab w:val="left" w:pos="0"/>
        <w:tab w:val="left" w:pos="125"/>
        <w:tab w:val="left" w:pos="720"/>
        <w:tab w:val="left" w:pos="1446"/>
        <w:tab w:val="left" w:pos="1690"/>
        <w:tab w:val="left" w:pos="3060"/>
        <w:tab w:val="left" w:pos="4194"/>
        <w:tab w:val="left" w:pos="5328"/>
        <w:tab w:val="left" w:pos="6462"/>
        <w:tab w:val="left" w:pos="7596"/>
        <w:tab w:val="left" w:pos="7920"/>
      </w:tabs>
      <w:suppressAutoHyphens/>
      <w:kinsoku/>
      <w:autoSpaceDE/>
      <w:autoSpaceDN/>
      <w:adjustRightInd/>
      <w:spacing w:after="0" w:line="360" w:lineRule="auto"/>
      <w:jc w:val="both"/>
    </w:pPr>
    <w:rPr>
      <w:rFonts w:cs="Arial"/>
      <w:sz w:val="22"/>
      <w:lang w:eastAsia="nl-NL"/>
    </w:rPr>
  </w:style>
  <w:style w:type="character" w:customStyle="1" w:styleId="BodyTextChar">
    <w:name w:val="Body Text Char"/>
    <w:basedOn w:val="DefaultParagraphFont"/>
    <w:link w:val="BodyText"/>
    <w:rsid w:val="00901808"/>
    <w:rPr>
      <w:rFonts w:ascii="Arial" w:eastAsia="Times New Roman" w:hAnsi="Arial" w:cs="Arial"/>
      <w:szCs w:val="24"/>
      <w:lang w:eastAsia="nl-NL"/>
    </w:rPr>
  </w:style>
  <w:style w:type="table" w:customStyle="1" w:styleId="ListTable3-Accent31">
    <w:name w:val="List Table 3 - Accent 31"/>
    <w:basedOn w:val="TableNormal"/>
    <w:uiPriority w:val="48"/>
    <w:rsid w:val="003607C5"/>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character" w:customStyle="1" w:styleId="UnresolvedMention1">
    <w:name w:val="Unresolved Mention1"/>
    <w:basedOn w:val="DefaultParagraphFont"/>
    <w:uiPriority w:val="99"/>
    <w:semiHidden/>
    <w:unhideWhenUsed/>
    <w:rsid w:val="009B5948"/>
    <w:rPr>
      <w:color w:val="808080"/>
      <w:shd w:val="clear" w:color="auto" w:fill="E6E6E6"/>
    </w:rPr>
  </w:style>
  <w:style w:type="character" w:styleId="FollowedHyperlink">
    <w:name w:val="FollowedHyperlink"/>
    <w:basedOn w:val="DefaultParagraphFont"/>
    <w:uiPriority w:val="99"/>
    <w:semiHidden/>
    <w:unhideWhenUsed/>
    <w:rsid w:val="004146F2"/>
    <w:rPr>
      <w:color w:val="954F72" w:themeColor="followedHyperlink"/>
      <w:u w:val="single"/>
    </w:rPr>
  </w:style>
  <w:style w:type="table" w:styleId="GridTable1Light">
    <w:name w:val="Grid Table 1 Light"/>
    <w:basedOn w:val="TableNormal"/>
    <w:uiPriority w:val="46"/>
    <w:rsid w:val="009D19B3"/>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GridTable1Light1">
    <w:name w:val="Grid Table 1 Light1"/>
    <w:basedOn w:val="TableNormal"/>
    <w:next w:val="GridTable1Light"/>
    <w:uiPriority w:val="46"/>
    <w:rsid w:val="007E665C"/>
    <w:pPr>
      <w:spacing w:after="0" w:line="240" w:lineRule="auto"/>
    </w:p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paragraph" w:styleId="TOCHeading">
    <w:name w:val="TOC Heading"/>
    <w:basedOn w:val="Heading1"/>
    <w:next w:val="Normal"/>
    <w:uiPriority w:val="39"/>
    <w:unhideWhenUsed/>
    <w:qFormat/>
    <w:rsid w:val="00537F8E"/>
    <w:pPr>
      <w:keepNext/>
      <w:keepLines/>
      <w:kinsoku/>
      <w:autoSpaceDE/>
      <w:autoSpaceDN/>
      <w:adjustRightInd/>
      <w:spacing w:before="240" w:line="259" w:lineRule="auto"/>
      <w:outlineLvl w:val="9"/>
    </w:pPr>
    <w:rPr>
      <w:rFonts w:asciiTheme="majorHAnsi" w:eastAsiaTheme="majorEastAsia" w:hAnsiTheme="majorHAnsi" w:cstheme="majorBidi"/>
      <w:b w:val="0"/>
      <w:color w:val="2F5496" w:themeColor="accent1" w:themeShade="BF"/>
      <w:szCs w:val="32"/>
      <w:lang w:eastAsia="nl-NL"/>
    </w:rPr>
  </w:style>
  <w:style w:type="paragraph" w:styleId="TableofFigures">
    <w:name w:val="table of figures"/>
    <w:basedOn w:val="Normal"/>
    <w:next w:val="Normal"/>
    <w:uiPriority w:val="99"/>
    <w:semiHidden/>
    <w:unhideWhenUsed/>
    <w:rsid w:val="00C15396"/>
    <w:pPr>
      <w:spacing w:after="0"/>
    </w:pPr>
  </w:style>
  <w:style w:type="character" w:styleId="UnresolvedMention">
    <w:name w:val="Unresolved Mention"/>
    <w:basedOn w:val="DefaultParagraphFont"/>
    <w:uiPriority w:val="99"/>
    <w:semiHidden/>
    <w:unhideWhenUsed/>
    <w:rsid w:val="00BF1B6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68698630">
      <w:bodyDiv w:val="1"/>
      <w:marLeft w:val="0"/>
      <w:marRight w:val="0"/>
      <w:marTop w:val="0"/>
      <w:marBottom w:val="0"/>
      <w:divBdr>
        <w:top w:val="none" w:sz="0" w:space="0" w:color="auto"/>
        <w:left w:val="none" w:sz="0" w:space="0" w:color="auto"/>
        <w:bottom w:val="none" w:sz="0" w:space="0" w:color="auto"/>
        <w:right w:val="none" w:sz="0" w:space="0" w:color="auto"/>
      </w:divBdr>
    </w:div>
    <w:div w:id="1304041399">
      <w:bodyDiv w:val="1"/>
      <w:marLeft w:val="0"/>
      <w:marRight w:val="0"/>
      <w:marTop w:val="0"/>
      <w:marBottom w:val="0"/>
      <w:divBdr>
        <w:top w:val="none" w:sz="0" w:space="0" w:color="auto"/>
        <w:left w:val="none" w:sz="0" w:space="0" w:color="auto"/>
        <w:bottom w:val="none" w:sz="0" w:space="0" w:color="auto"/>
        <w:right w:val="none" w:sz="0" w:space="0" w:color="auto"/>
      </w:divBdr>
    </w:div>
    <w:div w:id="1442067223">
      <w:bodyDiv w:val="1"/>
      <w:marLeft w:val="0"/>
      <w:marRight w:val="0"/>
      <w:marTop w:val="0"/>
      <w:marBottom w:val="0"/>
      <w:divBdr>
        <w:top w:val="none" w:sz="0" w:space="0" w:color="auto"/>
        <w:left w:val="none" w:sz="0" w:space="0" w:color="auto"/>
        <w:bottom w:val="none" w:sz="0" w:space="0" w:color="auto"/>
        <w:right w:val="none" w:sz="0" w:space="0" w:color="auto"/>
      </w:divBdr>
    </w:div>
    <w:div w:id="19960622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hyperlink" Target="http://www.voion.nl/downloads/14bff633-0e48-4ae8-afe3-f68fc68c12a3" TargetMode="External"/><Relationship Id="rId26" Type="http://schemas.openxmlformats.org/officeDocument/2006/relationships/hyperlink" Target="https://www.inkoopportal.com/inkoopportal/download/common/041112_informatie_professionalisering.pdf" TargetMode="External"/><Relationship Id="rId39" Type="http://schemas.openxmlformats.org/officeDocument/2006/relationships/diagramLayout" Target="diagrams/layout2.xml"/><Relationship Id="rId21" Type="http://schemas.openxmlformats.org/officeDocument/2006/relationships/diagramData" Target="diagrams/data1.xml"/><Relationship Id="rId34" Type="http://schemas.openxmlformats.org/officeDocument/2006/relationships/image" Target="media/image7.emf"/><Relationship Id="rId42" Type="http://schemas.microsoft.com/office/2007/relationships/diagramDrawing" Target="diagrams/drawing2.xml"/><Relationship Id="rId47" Type="http://schemas.openxmlformats.org/officeDocument/2006/relationships/hyperlink" Target="http://www.jstor.org/stable/pdf/1831454.pdf?refreqid=excelsior%3A0b1495bcb3cc66e6a4143d6f8bcd8b92" TargetMode="External"/><Relationship Id="rId50" Type="http://schemas.openxmlformats.org/officeDocument/2006/relationships/hyperlink" Target="https://www.icm.nl/content/uploads/2017/06/De-juiste-leverancier-kiezen-met-een-goed-gevoel.pdf" TargetMode="External"/><Relationship Id="rId55" Type="http://schemas.openxmlformats.org/officeDocument/2006/relationships/hyperlink" Target="https://www.compact.nl/articles/ict-innovatie-in-het-onderwijs-structureerbaar-en-beheersbaar/" TargetMode="External"/><Relationship Id="rId63" Type="http://schemas.openxmlformats.org/officeDocument/2006/relationships/hyperlink" Target="https://www.trouw.nl/samenleving/pvda-meer-salaris-en-status-voor-leraren~ae619122/" TargetMode="External"/><Relationship Id="rId68" Type="http://schemas.openxmlformats.org/officeDocument/2006/relationships/hyperlink" Target="https://www.kennisnet.nl/publicaties/vier-in-balans-monitor/" TargetMode="External"/><Relationship Id="rId76" Type="http://schemas.openxmlformats.org/officeDocument/2006/relationships/hyperlink" Target="https://www.rijksoverheid.nl/documenten/rapporten/2016/01/23/eindadvies-platform-onderwijs2032-ons-onderwijs2032" TargetMode="External"/><Relationship Id="rId84" Type="http://schemas.openxmlformats.org/officeDocument/2006/relationships/hyperlink" Target="https://www.rijksoverheid.nl/binaries/rijksoverheid/documenten/convenanten/2014/04/17/sectorakkoord-vo-2014-2017/sectorakkoord-vo-2014-2017.pdf" TargetMode="External"/><Relationship Id="rId89"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s://www.pianoo.nl/sites/default/files/documents/documents/onderzoek-verminder-afhankelijkheid-van-ict-leveranciers-te-verminderen-feb2016.pdf" TargetMode="External"/><Relationship Id="rId2" Type="http://schemas.openxmlformats.org/officeDocument/2006/relationships/numbering" Target="numbering.xml"/><Relationship Id="rId16" Type="http://schemas.openxmlformats.org/officeDocument/2006/relationships/image" Target="media/image5.jpeg"/><Relationship Id="rId29" Type="http://schemas.openxmlformats.org/officeDocument/2006/relationships/image" Target="media/image6.png"/><Relationship Id="rId11" Type="http://schemas.openxmlformats.org/officeDocument/2006/relationships/image" Target="media/image3.jpeg"/><Relationship Id="rId24" Type="http://schemas.openxmlformats.org/officeDocument/2006/relationships/diagramColors" Target="diagrams/colors1.xml"/><Relationship Id="rId32" Type="http://schemas.openxmlformats.org/officeDocument/2006/relationships/hyperlink" Target="http://download.springer.com.ru.idm.oclc.org/static/pdf/993/bok%253A978-90-313-6910-2.pdf?originUrl=http%3A%2F%2Flink.springer.com%2Fbook%2F10.1007%2F978-90-313-6910-2&amp;token2=exp=1488811927~acl=%2Fstatic%2Fpdf%2F993%2Fbok%25253A978-90-313-6910-2.pdf%3ForiginUrl%3Dhttp%253A%252F%252Flink.springer.com%252Fbook%252F10.1007%252F978-90-313-6910-2*~hmac=20fdc6642e761177a414ca798379de34c3e2f15bb225a3e9e0c99db766864d16" TargetMode="External"/><Relationship Id="rId37" Type="http://schemas.openxmlformats.org/officeDocument/2006/relationships/hyperlink" Target="https://www.researchgate.net/file.PostFileLoader.html?id=582a0dbf217e20276533f5a5&amp;assetKey=AS%3A428404664213506%401479151039119" TargetMode="External"/><Relationship Id="rId40" Type="http://schemas.openxmlformats.org/officeDocument/2006/relationships/diagramQuickStyle" Target="diagrams/quickStyle2.xml"/><Relationship Id="rId45" Type="http://schemas.openxmlformats.org/officeDocument/2006/relationships/hyperlink" Target="http://journals.sagepub.com/doi/abs/10.1177/0091026016669169" TargetMode="External"/><Relationship Id="rId53" Type="http://schemas.openxmlformats.org/officeDocument/2006/relationships/hyperlink" Target="https://www.elsevierweekblad.nl/economie/news/2014/04/overheid-verspilt-miljarden-euros-aan-mislukte-ict-projecten-1509910W/" TargetMode="External"/><Relationship Id="rId58" Type="http://schemas.openxmlformats.org/officeDocument/2006/relationships/hyperlink" Target="https://www.cpb.nl/sites/default/files/publicaties/download/achtergronddocument-onderwijs-nederland.pdf" TargetMode="External"/><Relationship Id="rId66" Type="http://schemas.openxmlformats.org/officeDocument/2006/relationships/hyperlink" Target="https://kennisnetonderzoek.wordpress.com/inleiding/de-ict-landing-inhet-voortgezet-onderwijs-ligt-binnen-handberei/" TargetMode="External"/><Relationship Id="rId74" Type="http://schemas.openxmlformats.org/officeDocument/2006/relationships/hyperlink" Target="https://nevi.nl/sites/default/files/MSU%20+/MSU+%202.0%20model.pdf" TargetMode="External"/><Relationship Id="rId79" Type="http://schemas.openxmlformats.org/officeDocument/2006/relationships/hyperlink" Target="http://www.schoolfacilities.nl/bedrijfsvoering/inkoop/3418-john-schreijer-professionalisering-van-inkoop-bevordert-een-efficiente-bedrijfsvoering-en-levert-veel-geld-op" TargetMode="External"/><Relationship Id="rId87" Type="http://schemas.openxmlformats.org/officeDocument/2006/relationships/hyperlink" Target="https://doi.org/10.1111/j.1467-9299.1985.tb00583.x" TargetMode="External"/><Relationship Id="rId5" Type="http://schemas.openxmlformats.org/officeDocument/2006/relationships/webSettings" Target="webSettings.xml"/><Relationship Id="rId61" Type="http://schemas.openxmlformats.org/officeDocument/2006/relationships/hyperlink" Target="https://www.cbs.nl/-/media/imported/documents/2015/05/kan-het-onderwijs-in-nederland-efficienter-2012-wp.pdf" TargetMode="External"/><Relationship Id="rId82" Type="http://schemas.openxmlformats.org/officeDocument/2006/relationships/hyperlink" Target="https://www.isoc.org/inet97/proceedings/D3/D3_2.HTM" TargetMode="External"/><Relationship Id="rId90" Type="http://schemas.openxmlformats.org/officeDocument/2006/relationships/theme" Target="theme/theme1.xml"/><Relationship Id="rId19" Type="http://schemas.openxmlformats.org/officeDocument/2006/relationships/hyperlink" Target="https://pure.rug.nl/ws/files/15093764/Review_professionele_ontw_leraren.pdf"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oter" Target="footer3.xml"/><Relationship Id="rId22" Type="http://schemas.openxmlformats.org/officeDocument/2006/relationships/diagramLayout" Target="diagrams/layout1.xml"/><Relationship Id="rId27" Type="http://schemas.openxmlformats.org/officeDocument/2006/relationships/hyperlink" Target="https://www.researchgate.net/profile/Wendy_Van_der_Valk/publication/235313477_Buying_business_services_towards_a_structured_service_purchasing_process/links/0c9605183a247ceeff000000.pdf" TargetMode="External"/><Relationship Id="rId30" Type="http://schemas.openxmlformats.org/officeDocument/2006/relationships/hyperlink" Target="https://www.researchgate.net/profile/Wendy_Van_der_Valk/publication/235313477_Buying_business_services_towards_a_structured_service_purchasing_process/links/0c9605183a247ceeff000000.pdf" TargetMode="External"/><Relationship Id="rId35" Type="http://schemas.openxmlformats.org/officeDocument/2006/relationships/image" Target="media/image8.jpeg"/><Relationship Id="rId43" Type="http://schemas.openxmlformats.org/officeDocument/2006/relationships/image" Target="media/image9.jpeg"/><Relationship Id="rId48" Type="http://schemas.openxmlformats.org/officeDocument/2006/relationships/hyperlink" Target="http://wetten.overheid.nl/BWBR0002399/2018-02-01" TargetMode="External"/><Relationship Id="rId56" Type="http://schemas.openxmlformats.org/officeDocument/2006/relationships/hyperlink" Target="https://www.pianoo.nl/sites/default/files/documents/documents/modelinkoopenaanbestedingsbeleidvng.pdf" TargetMode="External"/><Relationship Id="rId64" Type="http://schemas.openxmlformats.org/officeDocument/2006/relationships/hyperlink" Target="https://pdfs.semanticscholar.org/09a6/2d0c51d773656626d90122a5601e5003050b.pdf" TargetMode="External"/><Relationship Id="rId69" Type="http://schemas.openxmlformats.org/officeDocument/2006/relationships/hyperlink" Target="https://www.kennisnet.nl/artikel/doorbraakproject-onderwijs-ict-dit-zijn-de-resultaten/" TargetMode="External"/><Relationship Id="rId77" Type="http://schemas.openxmlformats.org/officeDocument/2006/relationships/hyperlink" Target="https://surfsharekit.nl/publiek/hu/876c8350-0bd4-407e-b816-7949ee2e7097" TargetMode="External"/><Relationship Id="rId8" Type="http://schemas.openxmlformats.org/officeDocument/2006/relationships/footer" Target="footer1.xml"/><Relationship Id="rId51" Type="http://schemas.openxmlformats.org/officeDocument/2006/relationships/hyperlink" Target="https://doi.org/10.1080/01900692.2013.798809" TargetMode="External"/><Relationship Id="rId72" Type="http://schemas.openxmlformats.org/officeDocument/2006/relationships/hyperlink" Target="http://www.hanleune.nl/docman/638-onderwijssociologie-en-onderwijsbeleid-in-nederland-1993" TargetMode="External"/><Relationship Id="rId80" Type="http://schemas.openxmlformats.org/officeDocument/2006/relationships/hyperlink" Target="https://www.tweedekamer.nl/sites/default/files/field_uploads/33326-4-Aanbiedingsbrief_tcm181-239825.pdf" TargetMode="External"/><Relationship Id="rId85" Type="http://schemas.openxmlformats.org/officeDocument/2006/relationships/hyperlink" Target="https://www.wrr.nl/binaries/wrr/documenten/rapporten/2000/04/26/het-borgen-van-publiek-belang/R056-Borgen-publiek-belang.pdf" TargetMode="External"/><Relationship Id="rId3" Type="http://schemas.openxmlformats.org/officeDocument/2006/relationships/styles" Target="styles.xml"/><Relationship Id="rId12" Type="http://schemas.openxmlformats.org/officeDocument/2006/relationships/hyperlink" Target="https://www.google.nl/url?sa=t&amp;rct=j&amp;q=&amp;esrc=s&amp;source=web&amp;cd=2&amp;cad=rja&amp;uact=8&amp;ved=0ahUKEwikxciu9IbUAhUQZVAKHfPgBNkQFggtMAE&amp;url=http%3A%2F%2Fdownloads.kennisnet.nl%2Fonderzoek%2Fdigitaleontdekkingsreis.pdf&amp;usg=AFQjCNH6FK16fBJAyDNQt5USYqJRz6qlaA&amp;sig2=IDwU1gsf81LjzHOKdcSL8Q" TargetMode="External"/><Relationship Id="rId17" Type="http://schemas.openxmlformats.org/officeDocument/2006/relationships/hyperlink" Target="https://nevi.nl/content/inkoop" TargetMode="External"/><Relationship Id="rId25" Type="http://schemas.microsoft.com/office/2007/relationships/diagramDrawing" Target="diagrams/drawing1.xml"/><Relationship Id="rId33" Type="http://schemas.openxmlformats.org/officeDocument/2006/relationships/hyperlink" Target="http://www.fmresource.nl/publicatie/FMM12405_2-63corr.pdf" TargetMode="External"/><Relationship Id="rId38" Type="http://schemas.openxmlformats.org/officeDocument/2006/relationships/diagramData" Target="diagrams/data2.xml"/><Relationship Id="rId46" Type="http://schemas.openxmlformats.org/officeDocument/2006/relationships/hyperlink" Target="http://v2.sparqcms.com/dir_upload/site/904aa6652dcacb85e3620e7f3169f2f9/itdpubliek.pdf" TargetMode="External"/><Relationship Id="rId59" Type="http://schemas.openxmlformats.org/officeDocument/2006/relationships/hyperlink" Target="https://doi.org/10.1111/j.1467-9299.2007.00674.x" TargetMode="External"/><Relationship Id="rId67" Type="http://schemas.openxmlformats.org/officeDocument/2006/relationships/hyperlink" Target="http://www.kennisnet.nl/uploads/tx_kncontentelements/Kennisnet_verslag_definitief_11022014_didactische_ict_bekwaamheid.pdf" TargetMode="External"/><Relationship Id="rId20" Type="http://schemas.openxmlformats.org/officeDocument/2006/relationships/hyperlink" Target="https://www.researchgate.net/profile/Hans_Voordijk/publication/263377352_Designing_a_tool_for_an_effective_assessment_of_purchasing_maturity_in_construction/links/550034230cf28e4ac347eba7.pdf" TargetMode="External"/><Relationship Id="rId41" Type="http://schemas.openxmlformats.org/officeDocument/2006/relationships/diagramColors" Target="diagrams/colors2.xml"/><Relationship Id="rId54" Type="http://schemas.openxmlformats.org/officeDocument/2006/relationships/hyperlink" Target="https://anzdoc.com/uitbesteden-van-it-diensten-bezint-eer-u-begint.html" TargetMode="External"/><Relationship Id="rId62" Type="http://schemas.openxmlformats.org/officeDocument/2006/relationships/hyperlink" Target="https://www.dub.uu.nl/nl/artikel/de-voor-en-nadelen-van-ict-het-onderwijs" TargetMode="External"/><Relationship Id="rId70" Type="http://schemas.openxmlformats.org/officeDocument/2006/relationships/hyperlink" Target="https://doi.org/10.1111/1467-9302.00361" TargetMode="External"/><Relationship Id="rId75" Type="http://schemas.openxmlformats.org/officeDocument/2006/relationships/hyperlink" Target="http://koine.vsko.be/doc/PB/artikelen%20ICT/ICTOVanPetegemLeerkrachten1.pdf" TargetMode="External"/><Relationship Id="rId83" Type="http://schemas.openxmlformats.org/officeDocument/2006/relationships/hyperlink" Target="https://doi.org/10.2307/840101" TargetMode="External"/><Relationship Id="rId88" Type="http://schemas.openxmlformats.org/officeDocument/2006/relationships/hyperlink" Target="http://jme.bmj.com/content/medethics/26/2/141.full.pdf"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4.xml"/><Relationship Id="rId23" Type="http://schemas.openxmlformats.org/officeDocument/2006/relationships/diagramQuickStyle" Target="diagrams/quickStyle1.xml"/><Relationship Id="rId28" Type="http://schemas.openxmlformats.org/officeDocument/2006/relationships/hyperlink" Target="https://www.researchgate.net/profile/Wendy_Van_der_Valk/publication/235313477_Buying_business_services_towards_a_structured_service_purchasing_process/links/0c9605183a247ceeff000000.pdf" TargetMode="External"/><Relationship Id="rId36" Type="http://schemas.openxmlformats.org/officeDocument/2006/relationships/hyperlink" Target="https://www.researchgate.net/file.PostFileLoader.html?id=582a0dbf217e20276533f5a5&amp;assetKey=AS%3A428404664213506%401479151039119" TargetMode="External"/><Relationship Id="rId49" Type="http://schemas.openxmlformats.org/officeDocument/2006/relationships/hyperlink" Target="https://ssrn.com/abstract=1887791" TargetMode="External"/><Relationship Id="rId57" Type="http://schemas.openxmlformats.org/officeDocument/2006/relationships/hyperlink" Target="http://dx.doi.org/10.1332/030557312X655431" TargetMode="External"/><Relationship Id="rId10" Type="http://schemas.openxmlformats.org/officeDocument/2006/relationships/image" Target="media/image2.jpeg"/><Relationship Id="rId31" Type="http://schemas.openxmlformats.org/officeDocument/2006/relationships/hyperlink" Target="http://www.jstor.org/stable/840101?seq=1" TargetMode="External"/><Relationship Id="rId44" Type="http://schemas.openxmlformats.org/officeDocument/2006/relationships/hyperlink" Target="https://books.google.nl/books?hl=nl&amp;lr=&amp;id=N4Ik8Xsrjx0C&amp;oi=fnd&amp;pg=PR9&amp;dq=professionalism&amp;ots=RvfkMeVoim&amp;sig=QA4asgcJHeFrkyugBprNJ6HRhrk" TargetMode="External"/><Relationship Id="rId52" Type="http://schemas.openxmlformats.org/officeDocument/2006/relationships/hyperlink" Target="http://jme.bmj.com/content/medethics/26/2/141.full.pdf" TargetMode="External"/><Relationship Id="rId60" Type="http://schemas.openxmlformats.org/officeDocument/2006/relationships/hyperlink" Target="https://tijdschriften.boombestuurskunde.nl/tijdschrift/bso/2015/2/Beleidsonderzoek-2015-15.pdf" TargetMode="External"/><Relationship Id="rId65" Type="http://schemas.openxmlformats.org/officeDocument/2006/relationships/hyperlink" Target="https://www.versnellingsvragen.nl/files/2017-11/versnellingsvraag_internationale_taalklas_nieuwkomersonderwijs.pdf" TargetMode="External"/><Relationship Id="rId73" Type="http://schemas.openxmlformats.org/officeDocument/2006/relationships/hyperlink" Target="https://www.voion.nl/downloads/14bff633-0e48-4ae8-afe3-f68fc68c12a3" TargetMode="External"/><Relationship Id="rId78" Type="http://schemas.openxmlformats.org/officeDocument/2006/relationships/hyperlink" Target="http://www.rijksbegroting.nl/2017/voorbereiding/begroting,kst226152_15.html" TargetMode="External"/><Relationship Id="rId81" Type="http://schemas.openxmlformats.org/officeDocument/2006/relationships/hyperlink" Target="https://www.kennisnet.nl/fileadmin/kennisnet/publicatie/trendrapport/Technologiekompas_voor_het_onderwijs_Kennisnet_Trendrapport_2016_2017.pdf" TargetMode="External"/><Relationship Id="rId86" Type="http://schemas.openxmlformats.org/officeDocument/2006/relationships/hyperlink" Target="http://www.jstor.org/stable/2775206"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gif"/></Relationships>
</file>

<file path=word/_rels/footer3.xml.rels><?xml version="1.0" encoding="UTF-8" standalone="yes"?>
<Relationships xmlns="http://schemas.openxmlformats.org/package/2006/relationships"><Relationship Id="rId1" Type="http://schemas.openxmlformats.org/officeDocument/2006/relationships/image" Target="media/image2.gif"/></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2_1">
  <dgm:title val=""/>
  <dgm:desc val=""/>
  <dgm:catLst>
    <dgm:cat type="accent2" pri="11100"/>
  </dgm:catLst>
  <dgm:styleLbl name="node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2">
        <a:shade val="80000"/>
      </a:schemeClr>
    </dgm:linClrLst>
    <dgm:effectClrLst/>
    <dgm:txLinClrLst/>
    <dgm:txFillClrLst/>
    <dgm:txEffectClrLst/>
  </dgm:styleLbl>
  <dgm:styleLbl name="node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f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align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b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dgm:txEffectClrLst/>
  </dgm:styleLbl>
  <dgm:styleLbl name="parChTrans2D2">
    <dgm:fillClrLst meth="repeat">
      <a:schemeClr val="accent2"/>
    </dgm:fillClrLst>
    <dgm:linClrLst meth="repeat">
      <a:schemeClr val="accent2"/>
    </dgm:linClrLst>
    <dgm:effectClrLst/>
    <dgm:txLinClrLst/>
    <dgm:txFillClrLst/>
    <dgm:txEffectClrLst/>
  </dgm:styleLbl>
  <dgm:styleLbl name="parChTrans2D3">
    <dgm:fillClrLst meth="repeat">
      <a:schemeClr val="accent2"/>
    </dgm:fillClrLst>
    <dgm:linClrLst meth="repeat">
      <a:schemeClr val="accent2"/>
    </dgm:linClrLst>
    <dgm:effectClrLst/>
    <dgm:txLinClrLst/>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con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align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trAlignAcc1">
    <dgm:fillClrLst meth="repeat">
      <a:schemeClr val="accent2">
        <a:alpha val="40000"/>
        <a:tint val="40000"/>
      </a:schemeClr>
    </dgm:fillClrLst>
    <dgm:linClrLst meth="repeat">
      <a:schemeClr val="accent2"/>
    </dgm:linClrLst>
    <dgm:effectClrLst/>
    <dgm:txLinClrLst/>
    <dgm:txFillClrLst meth="repeat">
      <a:schemeClr val="dk1"/>
    </dgm:txFillClrLst>
    <dgm:txEffectClrLst/>
  </dgm:styleLbl>
  <dgm:styleLbl name="b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fgAcc0">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2">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3">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4">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3FEA730-3ABA-4696-85BA-DA3C2913B7BE}" type="doc">
      <dgm:prSet loTypeId="urn:microsoft.com/office/officeart/2005/8/layout/chevron1" loCatId="process" qsTypeId="urn:microsoft.com/office/officeart/2005/8/quickstyle/simple1" qsCatId="simple" csTypeId="urn:microsoft.com/office/officeart/2005/8/colors/accent0_1" csCatId="mainScheme" phldr="1"/>
      <dgm:spPr/>
    </dgm:pt>
    <dgm:pt modelId="{E526B71B-48A7-49A3-A490-5287BCBD986A}">
      <dgm:prSet phldrT="[Tekst]" custT="1"/>
      <dgm:spPr/>
      <dgm:t>
        <a:bodyPr/>
        <a:lstStyle/>
        <a:p>
          <a:r>
            <a:rPr lang="nl-NL" sz="1000"/>
            <a:t>specificeren</a:t>
          </a:r>
          <a:endParaRPr lang="nl-NL" sz="600"/>
        </a:p>
      </dgm:t>
    </dgm:pt>
    <dgm:pt modelId="{3422D580-2D59-4CFD-90D6-0483265D7864}" type="parTrans" cxnId="{6788A731-F9B0-4E55-9BB3-5A8D08297B23}">
      <dgm:prSet/>
      <dgm:spPr/>
      <dgm:t>
        <a:bodyPr/>
        <a:lstStyle/>
        <a:p>
          <a:endParaRPr lang="nl-NL"/>
        </a:p>
      </dgm:t>
    </dgm:pt>
    <dgm:pt modelId="{06E442C1-CBEA-4D01-A866-72A5EDB40C8B}" type="sibTrans" cxnId="{6788A731-F9B0-4E55-9BB3-5A8D08297B23}">
      <dgm:prSet/>
      <dgm:spPr/>
      <dgm:t>
        <a:bodyPr/>
        <a:lstStyle/>
        <a:p>
          <a:endParaRPr lang="nl-NL"/>
        </a:p>
      </dgm:t>
    </dgm:pt>
    <dgm:pt modelId="{B6FEDB09-581D-4C57-8580-EE93B5D8594F}">
      <dgm:prSet phldrT="[Tekst]" custT="1"/>
      <dgm:spPr/>
      <dgm:t>
        <a:bodyPr/>
        <a:lstStyle/>
        <a:p>
          <a:r>
            <a:rPr lang="nl-NL" sz="1000"/>
            <a:t>selecteren</a:t>
          </a:r>
        </a:p>
      </dgm:t>
    </dgm:pt>
    <dgm:pt modelId="{59D98B8F-D8EF-4BF3-8FDB-51C7D32C4507}" type="parTrans" cxnId="{B3554B42-1CB2-42E4-81DA-3E33AF90C31D}">
      <dgm:prSet/>
      <dgm:spPr/>
      <dgm:t>
        <a:bodyPr/>
        <a:lstStyle/>
        <a:p>
          <a:endParaRPr lang="nl-NL"/>
        </a:p>
      </dgm:t>
    </dgm:pt>
    <dgm:pt modelId="{2A9EE2A0-98FB-4320-B395-C18C85D9E3C8}" type="sibTrans" cxnId="{B3554B42-1CB2-42E4-81DA-3E33AF90C31D}">
      <dgm:prSet/>
      <dgm:spPr/>
      <dgm:t>
        <a:bodyPr/>
        <a:lstStyle/>
        <a:p>
          <a:endParaRPr lang="nl-NL"/>
        </a:p>
      </dgm:t>
    </dgm:pt>
    <dgm:pt modelId="{0557BD8E-893B-4242-A3BD-72967BEACED2}">
      <dgm:prSet phldrT="[Tekst]" custT="1"/>
      <dgm:spPr/>
      <dgm:t>
        <a:bodyPr/>
        <a:lstStyle/>
        <a:p>
          <a:pPr algn="ctr"/>
          <a:r>
            <a:rPr lang="nl-NL" sz="1000"/>
            <a:t>contracteren</a:t>
          </a:r>
          <a:endParaRPr lang="nl-NL" sz="600"/>
        </a:p>
      </dgm:t>
    </dgm:pt>
    <dgm:pt modelId="{BB4275B9-FEB8-4267-8136-C935DDA0A4B5}" type="parTrans" cxnId="{ED00092A-7239-4AC0-B7FC-33BCE766F857}">
      <dgm:prSet/>
      <dgm:spPr/>
      <dgm:t>
        <a:bodyPr/>
        <a:lstStyle/>
        <a:p>
          <a:endParaRPr lang="nl-NL"/>
        </a:p>
      </dgm:t>
    </dgm:pt>
    <dgm:pt modelId="{A17EC004-D5AF-4BB3-B8E9-1BA7D8D24619}" type="sibTrans" cxnId="{ED00092A-7239-4AC0-B7FC-33BCE766F857}">
      <dgm:prSet/>
      <dgm:spPr/>
      <dgm:t>
        <a:bodyPr/>
        <a:lstStyle/>
        <a:p>
          <a:endParaRPr lang="nl-NL"/>
        </a:p>
      </dgm:t>
    </dgm:pt>
    <dgm:pt modelId="{7DEF7CE5-AFF3-4CBB-9245-E26CBE841572}">
      <dgm:prSet custT="1"/>
      <dgm:spPr/>
      <dgm:t>
        <a:bodyPr/>
        <a:lstStyle/>
        <a:p>
          <a:r>
            <a:rPr lang="nl-NL" sz="1000"/>
            <a:t>bewaken</a:t>
          </a:r>
          <a:endParaRPr lang="nl-NL" sz="800"/>
        </a:p>
      </dgm:t>
    </dgm:pt>
    <dgm:pt modelId="{6E085035-6C8B-460E-80CE-78B404164E6E}" type="parTrans" cxnId="{7D98C837-4EFB-4ABA-B9E2-79F26933D165}">
      <dgm:prSet/>
      <dgm:spPr/>
      <dgm:t>
        <a:bodyPr/>
        <a:lstStyle/>
        <a:p>
          <a:endParaRPr lang="nl-NL"/>
        </a:p>
      </dgm:t>
    </dgm:pt>
    <dgm:pt modelId="{5D2A2DEE-D997-4856-BBCF-23DEB8FDB332}" type="sibTrans" cxnId="{7D98C837-4EFB-4ABA-B9E2-79F26933D165}">
      <dgm:prSet/>
      <dgm:spPr/>
      <dgm:t>
        <a:bodyPr/>
        <a:lstStyle/>
        <a:p>
          <a:endParaRPr lang="nl-NL"/>
        </a:p>
      </dgm:t>
    </dgm:pt>
    <dgm:pt modelId="{6B941B2C-A83E-44CD-B855-BA74FB579568}">
      <dgm:prSet custT="1"/>
      <dgm:spPr/>
      <dgm:t>
        <a:bodyPr/>
        <a:lstStyle/>
        <a:p>
          <a:r>
            <a:rPr lang="nl-NL" sz="1050"/>
            <a:t>nazorg</a:t>
          </a:r>
          <a:endParaRPr lang="nl-NL" sz="1100"/>
        </a:p>
      </dgm:t>
    </dgm:pt>
    <dgm:pt modelId="{08C9EE9E-36AF-4187-AFD4-044E533562DD}" type="parTrans" cxnId="{B8E52997-9E17-4AB1-BFA0-63DACA00C8E4}">
      <dgm:prSet/>
      <dgm:spPr/>
      <dgm:t>
        <a:bodyPr/>
        <a:lstStyle/>
        <a:p>
          <a:endParaRPr lang="nl-NL"/>
        </a:p>
      </dgm:t>
    </dgm:pt>
    <dgm:pt modelId="{E5FF2B1B-2D0B-4725-88DE-EEB609A16855}" type="sibTrans" cxnId="{B8E52997-9E17-4AB1-BFA0-63DACA00C8E4}">
      <dgm:prSet/>
      <dgm:spPr/>
      <dgm:t>
        <a:bodyPr/>
        <a:lstStyle/>
        <a:p>
          <a:endParaRPr lang="nl-NL"/>
        </a:p>
      </dgm:t>
    </dgm:pt>
    <dgm:pt modelId="{A681290D-F4D0-4DF1-A136-1C7328FEEAAA}" type="pres">
      <dgm:prSet presAssocID="{23FEA730-3ABA-4696-85BA-DA3C2913B7BE}" presName="Name0" presStyleCnt="0">
        <dgm:presLayoutVars>
          <dgm:dir/>
          <dgm:animLvl val="lvl"/>
          <dgm:resizeHandles val="exact"/>
        </dgm:presLayoutVars>
      </dgm:prSet>
      <dgm:spPr/>
    </dgm:pt>
    <dgm:pt modelId="{96974FE9-A4A5-4560-9338-91A99E900BBC}" type="pres">
      <dgm:prSet presAssocID="{E526B71B-48A7-49A3-A490-5287BCBD986A}" presName="parTxOnly" presStyleLbl="node1" presStyleIdx="0" presStyleCnt="5" custScaleX="106411">
        <dgm:presLayoutVars>
          <dgm:chMax val="0"/>
          <dgm:chPref val="0"/>
          <dgm:bulletEnabled val="1"/>
        </dgm:presLayoutVars>
      </dgm:prSet>
      <dgm:spPr/>
    </dgm:pt>
    <dgm:pt modelId="{E40934ED-A49C-466F-A0B8-892E3FC387A2}" type="pres">
      <dgm:prSet presAssocID="{06E442C1-CBEA-4D01-A866-72A5EDB40C8B}" presName="parTxOnlySpace" presStyleCnt="0"/>
      <dgm:spPr/>
    </dgm:pt>
    <dgm:pt modelId="{F58D89B7-CE24-438D-AF28-530D58EDF825}" type="pres">
      <dgm:prSet presAssocID="{B6FEDB09-581D-4C57-8580-EE93B5D8594F}" presName="parTxOnly" presStyleLbl="node1" presStyleIdx="1" presStyleCnt="5" custScaleX="106734">
        <dgm:presLayoutVars>
          <dgm:chMax val="0"/>
          <dgm:chPref val="0"/>
          <dgm:bulletEnabled val="1"/>
        </dgm:presLayoutVars>
      </dgm:prSet>
      <dgm:spPr/>
    </dgm:pt>
    <dgm:pt modelId="{C9896213-93DE-45E6-BD68-9B764F2DC2E1}" type="pres">
      <dgm:prSet presAssocID="{2A9EE2A0-98FB-4320-B395-C18C85D9E3C8}" presName="parTxOnlySpace" presStyleCnt="0"/>
      <dgm:spPr/>
    </dgm:pt>
    <dgm:pt modelId="{497B734D-C1A7-4ECB-BD3E-32D2D7B847F2}" type="pres">
      <dgm:prSet presAssocID="{0557BD8E-893B-4242-A3BD-72967BEACED2}" presName="parTxOnly" presStyleLbl="node1" presStyleIdx="2" presStyleCnt="5" custScaleX="113493">
        <dgm:presLayoutVars>
          <dgm:chMax val="0"/>
          <dgm:chPref val="0"/>
          <dgm:bulletEnabled val="1"/>
        </dgm:presLayoutVars>
      </dgm:prSet>
      <dgm:spPr/>
    </dgm:pt>
    <dgm:pt modelId="{7861CC70-0110-4F9B-A3AA-CA57BEC93B87}" type="pres">
      <dgm:prSet presAssocID="{A17EC004-D5AF-4BB3-B8E9-1BA7D8D24619}" presName="parTxOnlySpace" presStyleCnt="0"/>
      <dgm:spPr/>
    </dgm:pt>
    <dgm:pt modelId="{E8F95FFE-FF9C-4AE4-AA68-8FA2F280F12E}" type="pres">
      <dgm:prSet presAssocID="{7DEF7CE5-AFF3-4CBB-9245-E26CBE841572}" presName="parTxOnly" presStyleLbl="node1" presStyleIdx="3" presStyleCnt="5">
        <dgm:presLayoutVars>
          <dgm:chMax val="0"/>
          <dgm:chPref val="0"/>
          <dgm:bulletEnabled val="1"/>
        </dgm:presLayoutVars>
      </dgm:prSet>
      <dgm:spPr/>
    </dgm:pt>
    <dgm:pt modelId="{2328766E-D226-4012-9087-48CEE41E5537}" type="pres">
      <dgm:prSet presAssocID="{5D2A2DEE-D997-4856-BBCF-23DEB8FDB332}" presName="parTxOnlySpace" presStyleCnt="0"/>
      <dgm:spPr/>
    </dgm:pt>
    <dgm:pt modelId="{7DB7F966-6BA2-43FA-8422-1DE45CB9172F}" type="pres">
      <dgm:prSet presAssocID="{6B941B2C-A83E-44CD-B855-BA74FB579568}" presName="parTxOnly" presStyleLbl="node1" presStyleIdx="4" presStyleCnt="5" custLinFactNeighborX="2008" custLinFactNeighborY="-2306">
        <dgm:presLayoutVars>
          <dgm:chMax val="0"/>
          <dgm:chPref val="0"/>
          <dgm:bulletEnabled val="1"/>
        </dgm:presLayoutVars>
      </dgm:prSet>
      <dgm:spPr/>
    </dgm:pt>
  </dgm:ptLst>
  <dgm:cxnLst>
    <dgm:cxn modelId="{0FF86116-D1FD-4970-86A1-62D7CFADA665}" type="presOf" srcId="{23FEA730-3ABA-4696-85BA-DA3C2913B7BE}" destId="{A681290D-F4D0-4DF1-A136-1C7328FEEAAA}" srcOrd="0" destOrd="0" presId="urn:microsoft.com/office/officeart/2005/8/layout/chevron1"/>
    <dgm:cxn modelId="{BF565F26-E690-4D64-9539-8DF6CA71E7DB}" type="presOf" srcId="{0557BD8E-893B-4242-A3BD-72967BEACED2}" destId="{497B734D-C1A7-4ECB-BD3E-32D2D7B847F2}" srcOrd="0" destOrd="0" presId="urn:microsoft.com/office/officeart/2005/8/layout/chevron1"/>
    <dgm:cxn modelId="{ED00092A-7239-4AC0-B7FC-33BCE766F857}" srcId="{23FEA730-3ABA-4696-85BA-DA3C2913B7BE}" destId="{0557BD8E-893B-4242-A3BD-72967BEACED2}" srcOrd="2" destOrd="0" parTransId="{BB4275B9-FEB8-4267-8136-C935DDA0A4B5}" sibTransId="{A17EC004-D5AF-4BB3-B8E9-1BA7D8D24619}"/>
    <dgm:cxn modelId="{6788A731-F9B0-4E55-9BB3-5A8D08297B23}" srcId="{23FEA730-3ABA-4696-85BA-DA3C2913B7BE}" destId="{E526B71B-48A7-49A3-A490-5287BCBD986A}" srcOrd="0" destOrd="0" parTransId="{3422D580-2D59-4CFD-90D6-0483265D7864}" sibTransId="{06E442C1-CBEA-4D01-A866-72A5EDB40C8B}"/>
    <dgm:cxn modelId="{C102B837-47DA-456B-9D64-3ACF71AB4FDE}" type="presOf" srcId="{E526B71B-48A7-49A3-A490-5287BCBD986A}" destId="{96974FE9-A4A5-4560-9338-91A99E900BBC}" srcOrd="0" destOrd="0" presId="urn:microsoft.com/office/officeart/2005/8/layout/chevron1"/>
    <dgm:cxn modelId="{7D98C837-4EFB-4ABA-B9E2-79F26933D165}" srcId="{23FEA730-3ABA-4696-85BA-DA3C2913B7BE}" destId="{7DEF7CE5-AFF3-4CBB-9245-E26CBE841572}" srcOrd="3" destOrd="0" parTransId="{6E085035-6C8B-460E-80CE-78B404164E6E}" sibTransId="{5D2A2DEE-D997-4856-BBCF-23DEB8FDB332}"/>
    <dgm:cxn modelId="{B3554B42-1CB2-42E4-81DA-3E33AF90C31D}" srcId="{23FEA730-3ABA-4696-85BA-DA3C2913B7BE}" destId="{B6FEDB09-581D-4C57-8580-EE93B5D8594F}" srcOrd="1" destOrd="0" parTransId="{59D98B8F-D8EF-4BF3-8FDB-51C7D32C4507}" sibTransId="{2A9EE2A0-98FB-4320-B395-C18C85D9E3C8}"/>
    <dgm:cxn modelId="{916B5869-502F-49E3-916E-DBA452812BC6}" type="presOf" srcId="{7DEF7CE5-AFF3-4CBB-9245-E26CBE841572}" destId="{E8F95FFE-FF9C-4AE4-AA68-8FA2F280F12E}" srcOrd="0" destOrd="0" presId="urn:microsoft.com/office/officeart/2005/8/layout/chevron1"/>
    <dgm:cxn modelId="{7391778E-F925-467E-AD8D-7513FDB92B0D}" type="presOf" srcId="{6B941B2C-A83E-44CD-B855-BA74FB579568}" destId="{7DB7F966-6BA2-43FA-8422-1DE45CB9172F}" srcOrd="0" destOrd="0" presId="urn:microsoft.com/office/officeart/2005/8/layout/chevron1"/>
    <dgm:cxn modelId="{B8E52997-9E17-4AB1-BFA0-63DACA00C8E4}" srcId="{23FEA730-3ABA-4696-85BA-DA3C2913B7BE}" destId="{6B941B2C-A83E-44CD-B855-BA74FB579568}" srcOrd="4" destOrd="0" parTransId="{08C9EE9E-36AF-4187-AFD4-044E533562DD}" sibTransId="{E5FF2B1B-2D0B-4725-88DE-EEB609A16855}"/>
    <dgm:cxn modelId="{7FD5D1D9-748E-4321-BB5A-12C30FE64A46}" type="presOf" srcId="{B6FEDB09-581D-4C57-8580-EE93B5D8594F}" destId="{F58D89B7-CE24-438D-AF28-530D58EDF825}" srcOrd="0" destOrd="0" presId="urn:microsoft.com/office/officeart/2005/8/layout/chevron1"/>
    <dgm:cxn modelId="{A1A4A05E-2D2F-4798-A8E2-FE634DF09488}" type="presParOf" srcId="{A681290D-F4D0-4DF1-A136-1C7328FEEAAA}" destId="{96974FE9-A4A5-4560-9338-91A99E900BBC}" srcOrd="0" destOrd="0" presId="urn:microsoft.com/office/officeart/2005/8/layout/chevron1"/>
    <dgm:cxn modelId="{D992C578-B931-4A16-AD48-9A9B6A1A453B}" type="presParOf" srcId="{A681290D-F4D0-4DF1-A136-1C7328FEEAAA}" destId="{E40934ED-A49C-466F-A0B8-892E3FC387A2}" srcOrd="1" destOrd="0" presId="urn:microsoft.com/office/officeart/2005/8/layout/chevron1"/>
    <dgm:cxn modelId="{FBBF4C1D-A816-4007-B4BB-5089C5E5F48F}" type="presParOf" srcId="{A681290D-F4D0-4DF1-A136-1C7328FEEAAA}" destId="{F58D89B7-CE24-438D-AF28-530D58EDF825}" srcOrd="2" destOrd="0" presId="urn:microsoft.com/office/officeart/2005/8/layout/chevron1"/>
    <dgm:cxn modelId="{7A9E9CC2-B5F6-454E-B217-EDD4A79B5984}" type="presParOf" srcId="{A681290D-F4D0-4DF1-A136-1C7328FEEAAA}" destId="{C9896213-93DE-45E6-BD68-9B764F2DC2E1}" srcOrd="3" destOrd="0" presId="urn:microsoft.com/office/officeart/2005/8/layout/chevron1"/>
    <dgm:cxn modelId="{F559151D-4BFC-4BFC-B8EB-4B8761FA56AD}" type="presParOf" srcId="{A681290D-F4D0-4DF1-A136-1C7328FEEAAA}" destId="{497B734D-C1A7-4ECB-BD3E-32D2D7B847F2}" srcOrd="4" destOrd="0" presId="urn:microsoft.com/office/officeart/2005/8/layout/chevron1"/>
    <dgm:cxn modelId="{77D6BBF1-5C9B-4CD6-A198-DFCD73D79F0F}" type="presParOf" srcId="{A681290D-F4D0-4DF1-A136-1C7328FEEAAA}" destId="{7861CC70-0110-4F9B-A3AA-CA57BEC93B87}" srcOrd="5" destOrd="0" presId="urn:microsoft.com/office/officeart/2005/8/layout/chevron1"/>
    <dgm:cxn modelId="{E82DD3CC-FC0F-4118-AFDC-7D49A09DD8DE}" type="presParOf" srcId="{A681290D-F4D0-4DF1-A136-1C7328FEEAAA}" destId="{E8F95FFE-FF9C-4AE4-AA68-8FA2F280F12E}" srcOrd="6" destOrd="0" presId="urn:microsoft.com/office/officeart/2005/8/layout/chevron1"/>
    <dgm:cxn modelId="{74197320-6ECE-4E31-9FF6-299A4B497C6A}" type="presParOf" srcId="{A681290D-F4D0-4DF1-A136-1C7328FEEAAA}" destId="{2328766E-D226-4012-9087-48CEE41E5537}" srcOrd="7" destOrd="0" presId="urn:microsoft.com/office/officeart/2005/8/layout/chevron1"/>
    <dgm:cxn modelId="{0833B549-99AC-4613-87A0-4FD1AF47653C}" type="presParOf" srcId="{A681290D-F4D0-4DF1-A136-1C7328FEEAAA}" destId="{7DB7F966-6BA2-43FA-8422-1DE45CB9172F}" srcOrd="8" destOrd="0" presId="urn:microsoft.com/office/officeart/2005/8/layout/chevron1"/>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BDD320F8-14D8-458B-B2AF-7E769FB0739D}" type="doc">
      <dgm:prSet loTypeId="urn:microsoft.com/office/officeart/2008/layout/RadialCluster" loCatId="relationship" qsTypeId="urn:microsoft.com/office/officeart/2005/8/quickstyle/simple1" qsCatId="simple" csTypeId="urn:microsoft.com/office/officeart/2005/8/colors/accent2_1" csCatId="accent2" phldr="1"/>
      <dgm:spPr/>
      <dgm:t>
        <a:bodyPr/>
        <a:lstStyle/>
        <a:p>
          <a:endParaRPr lang="en-US"/>
        </a:p>
      </dgm:t>
    </dgm:pt>
    <dgm:pt modelId="{8EADB689-E818-4F61-BFAF-90D862D9D3A5}">
      <dgm:prSet phldrT="[Text]" custT="1"/>
      <dgm:spPr>
        <a:solidFill>
          <a:schemeClr val="accent1">
            <a:lumMod val="50000"/>
          </a:schemeClr>
        </a:solidFill>
        <a:ln>
          <a:solidFill>
            <a:schemeClr val="accent1">
              <a:lumMod val="50000"/>
            </a:schemeClr>
          </a:solidFill>
        </a:ln>
      </dgm:spPr>
      <dgm:t>
        <a:bodyPr/>
        <a:lstStyle/>
        <a:p>
          <a:r>
            <a:rPr lang="en-US" sz="1100" b="1">
              <a:solidFill>
                <a:schemeClr val="bg1"/>
              </a:solidFill>
            </a:rPr>
            <a:t>Zichtbaar patroon</a:t>
          </a:r>
        </a:p>
      </dgm:t>
    </dgm:pt>
    <dgm:pt modelId="{3CDCFB67-59E8-40C3-99F9-A256BB5A726E}" type="parTrans" cxnId="{994EECCC-FB87-43CD-A2E1-6EDA738C249C}">
      <dgm:prSet/>
      <dgm:spPr/>
      <dgm:t>
        <a:bodyPr/>
        <a:lstStyle/>
        <a:p>
          <a:endParaRPr lang="en-US"/>
        </a:p>
      </dgm:t>
    </dgm:pt>
    <dgm:pt modelId="{11ECF878-F5CC-4B38-898E-C146E17CCB51}" type="sibTrans" cxnId="{994EECCC-FB87-43CD-A2E1-6EDA738C249C}">
      <dgm:prSet/>
      <dgm:spPr/>
      <dgm:t>
        <a:bodyPr/>
        <a:lstStyle/>
        <a:p>
          <a:endParaRPr lang="en-US"/>
        </a:p>
      </dgm:t>
    </dgm:pt>
    <dgm:pt modelId="{2344603E-9585-4C99-9FC2-F9D92DB6E802}">
      <dgm:prSet phldrT="[Text]" custT="1"/>
      <dgm:spPr/>
      <dgm:t>
        <a:bodyPr/>
        <a:lstStyle/>
        <a:p>
          <a:r>
            <a:rPr lang="en-US" sz="1000" b="1"/>
            <a:t>Vertrouwen</a:t>
          </a:r>
          <a:r>
            <a:rPr lang="en-US" sz="1000"/>
            <a:t>:</a:t>
          </a:r>
        </a:p>
        <a:p>
          <a:r>
            <a:rPr lang="nl-NL" sz="1000"/>
            <a:t>▪ Vertrouwen is gebouwd op eerdere ervaringen en vormt basis voor toekomstige beslissingen </a:t>
          </a:r>
        </a:p>
        <a:p>
          <a:r>
            <a:rPr lang="nl-NL" sz="1000"/>
            <a:t>▪ Vertrouwen in groter in lokale leveranciers vanwege bereikbaarheid en toegankelijkheid</a:t>
          </a:r>
          <a:endParaRPr lang="en-US" sz="1000"/>
        </a:p>
      </dgm:t>
    </dgm:pt>
    <dgm:pt modelId="{B356BFB7-D38B-4F4B-B874-0E4909902CE8}" type="parTrans" cxnId="{ADAF2106-0A6D-45D6-A7A8-BF29BAD4CDE2}">
      <dgm:prSet/>
      <dgm:spPr/>
      <dgm:t>
        <a:bodyPr/>
        <a:lstStyle/>
        <a:p>
          <a:endParaRPr lang="en-US"/>
        </a:p>
      </dgm:t>
    </dgm:pt>
    <dgm:pt modelId="{297579EC-336C-4676-841F-A427C8C64CD1}" type="sibTrans" cxnId="{ADAF2106-0A6D-45D6-A7A8-BF29BAD4CDE2}">
      <dgm:prSet/>
      <dgm:spPr/>
      <dgm:t>
        <a:bodyPr/>
        <a:lstStyle/>
        <a:p>
          <a:endParaRPr lang="en-US"/>
        </a:p>
      </dgm:t>
    </dgm:pt>
    <dgm:pt modelId="{301B99AD-BCD9-4A08-852F-A72781FD278E}">
      <dgm:prSet phldrT="[Text]" custT="1"/>
      <dgm:spPr/>
      <dgm:t>
        <a:bodyPr/>
        <a:lstStyle/>
        <a:p>
          <a:r>
            <a:rPr lang="en-US" sz="1000" b="1"/>
            <a:t>Kennis en expertise</a:t>
          </a:r>
          <a:r>
            <a:rPr lang="en-US" sz="1000"/>
            <a:t>:</a:t>
          </a:r>
        </a:p>
        <a:p>
          <a:r>
            <a:rPr lang="nl-NL" sz="1000"/>
            <a:t>▪ Aanwezigheid van kennisachterstand en asymmetrie wordt deels herkent, maar dit wordt niet als een belemmering gezien voor efficiënt inkoop</a:t>
          </a:r>
        </a:p>
        <a:p>
          <a:r>
            <a:rPr lang="nl-NL" sz="1000"/>
            <a:t>▪ Een meerderheid heeft zich gespecialiseerd in ICT</a:t>
          </a:r>
        </a:p>
        <a:p>
          <a:r>
            <a:rPr lang="nl-NL" sz="1000"/>
            <a:t>▪ Specialistische kernteams</a:t>
          </a:r>
          <a:endParaRPr lang="en-US" sz="1000"/>
        </a:p>
      </dgm:t>
    </dgm:pt>
    <dgm:pt modelId="{E778EF00-FF40-42D7-9FBA-81B39CA572F5}" type="parTrans" cxnId="{F22C518E-4D55-4102-8CCA-48112039AF07}">
      <dgm:prSet/>
      <dgm:spPr/>
      <dgm:t>
        <a:bodyPr/>
        <a:lstStyle/>
        <a:p>
          <a:endParaRPr lang="en-US"/>
        </a:p>
      </dgm:t>
    </dgm:pt>
    <dgm:pt modelId="{7719399B-0740-4E55-ACA0-E7E9A80CA457}" type="sibTrans" cxnId="{F22C518E-4D55-4102-8CCA-48112039AF07}">
      <dgm:prSet/>
      <dgm:spPr/>
      <dgm:t>
        <a:bodyPr/>
        <a:lstStyle/>
        <a:p>
          <a:endParaRPr lang="en-US"/>
        </a:p>
      </dgm:t>
    </dgm:pt>
    <dgm:pt modelId="{28EB33B6-DBA3-4912-98CC-2AF86C286751}">
      <dgm:prSet phldrT="[Text]" custT="1"/>
      <dgm:spPr/>
      <dgm:t>
        <a:bodyPr/>
        <a:lstStyle/>
        <a:p>
          <a:r>
            <a:rPr lang="en-US" sz="1000" b="1"/>
            <a:t>Relatie opdrachtgeverschap</a:t>
          </a:r>
          <a:r>
            <a:rPr lang="en-US" sz="1000"/>
            <a:t>:</a:t>
          </a:r>
        </a:p>
        <a:p>
          <a:r>
            <a:rPr lang="nl-NL" sz="1000"/>
            <a:t>▪ Direct en persoonlijk op basis van wederzijdse vertrouwen</a:t>
          </a:r>
        </a:p>
        <a:p>
          <a:r>
            <a:rPr lang="nl-NL" sz="1000"/>
            <a:t>▪ Voorkeur voor partnershap en coöperatie</a:t>
          </a:r>
          <a:endParaRPr lang="en-US" sz="1000"/>
        </a:p>
      </dgm:t>
    </dgm:pt>
    <dgm:pt modelId="{91EC9DC6-0A88-4DAD-AE12-255237642F35}" type="parTrans" cxnId="{EC4F8710-2A47-4A0D-9285-2673F897DAB2}">
      <dgm:prSet/>
      <dgm:spPr/>
      <dgm:t>
        <a:bodyPr/>
        <a:lstStyle/>
        <a:p>
          <a:endParaRPr lang="en-US"/>
        </a:p>
      </dgm:t>
    </dgm:pt>
    <dgm:pt modelId="{13DF92F2-9D10-485E-854D-A8886C5BD9E1}" type="sibTrans" cxnId="{EC4F8710-2A47-4A0D-9285-2673F897DAB2}">
      <dgm:prSet/>
      <dgm:spPr/>
      <dgm:t>
        <a:bodyPr/>
        <a:lstStyle/>
        <a:p>
          <a:endParaRPr lang="en-US"/>
        </a:p>
      </dgm:t>
    </dgm:pt>
    <dgm:pt modelId="{A6B84210-B49A-471B-AAFF-B6E8566E0BBF}">
      <dgm:prSet custT="1"/>
      <dgm:spPr/>
      <dgm:t>
        <a:bodyPr/>
        <a:lstStyle/>
        <a:p>
          <a:r>
            <a:rPr lang="en-US" sz="1000" b="1"/>
            <a:t>Gezamenlijke</a:t>
          </a:r>
          <a:r>
            <a:rPr lang="en-US" sz="1000"/>
            <a:t> </a:t>
          </a:r>
          <a:r>
            <a:rPr lang="en-US" sz="1000" b="1"/>
            <a:t>inkoop</a:t>
          </a:r>
          <a:r>
            <a:rPr lang="en-US" sz="1000"/>
            <a:t>:</a:t>
          </a:r>
        </a:p>
        <a:p>
          <a:r>
            <a:rPr lang="nl-NL" sz="1000"/>
            <a:t>▪ Bijna alle scholen kopen gemeenschappelijk in, gericht op efficiëntie, professionalisering en ontzorgen van scholen</a:t>
          </a:r>
        </a:p>
        <a:p>
          <a:r>
            <a:rPr lang="nl-NL" sz="1000"/>
            <a:t>▪ Gedeelde materiële middelen</a:t>
          </a:r>
        </a:p>
        <a:p>
          <a:r>
            <a:rPr lang="nl-NL" sz="1000"/>
            <a:t>▪ Zien risico’s als verlies van autonomie en wendbaarheid</a:t>
          </a:r>
          <a:endParaRPr lang="en-US" sz="1000"/>
        </a:p>
      </dgm:t>
    </dgm:pt>
    <dgm:pt modelId="{F38DD556-1C89-404D-96DA-30106287AC71}" type="parTrans" cxnId="{8CA8BA18-DB3C-488C-841F-55DF5BF4EAE9}">
      <dgm:prSet/>
      <dgm:spPr/>
      <dgm:t>
        <a:bodyPr/>
        <a:lstStyle/>
        <a:p>
          <a:endParaRPr lang="en-US"/>
        </a:p>
      </dgm:t>
    </dgm:pt>
    <dgm:pt modelId="{02CEBA51-9189-4427-A1A9-6B73A9E08DFF}" type="sibTrans" cxnId="{8CA8BA18-DB3C-488C-841F-55DF5BF4EAE9}">
      <dgm:prSet/>
      <dgm:spPr/>
      <dgm:t>
        <a:bodyPr/>
        <a:lstStyle/>
        <a:p>
          <a:endParaRPr lang="en-US"/>
        </a:p>
      </dgm:t>
    </dgm:pt>
    <dgm:pt modelId="{75D319FF-5CDC-4884-B460-8CDAE1C841C6}">
      <dgm:prSet custT="1"/>
      <dgm:spPr/>
      <dgm:t>
        <a:bodyPr/>
        <a:lstStyle/>
        <a:p>
          <a:endParaRPr lang="en-US" sz="1000" b="1"/>
        </a:p>
        <a:p>
          <a:r>
            <a:rPr lang="en-US" sz="1000" b="1"/>
            <a:t>Professionalisering</a:t>
          </a:r>
          <a:r>
            <a:rPr lang="en-US" sz="1000"/>
            <a:t>:</a:t>
          </a:r>
        </a:p>
        <a:p>
          <a:r>
            <a:rPr lang="nl-NL" sz="1000"/>
            <a:t>▪ Actieve (technische) scholing van medewerkers</a:t>
          </a:r>
        </a:p>
        <a:p>
          <a:r>
            <a:rPr lang="nl-NL" sz="1000"/>
            <a:t>▪ Weinig aandacht voor evaluaties en externe deskundigheid </a:t>
          </a:r>
        </a:p>
        <a:p>
          <a:r>
            <a:rPr lang="nl-NL" sz="1000"/>
            <a:t>▪ Geen gebruik van inkoopmodellen en het inkoopproces </a:t>
          </a:r>
        </a:p>
        <a:p>
          <a:endParaRPr lang="en-US" sz="1200"/>
        </a:p>
      </dgm:t>
    </dgm:pt>
    <dgm:pt modelId="{7E6D78DC-4832-40A2-BBE5-8DDF7B355AF8}" type="parTrans" cxnId="{09308A59-C350-4E64-B0F2-C2093C63C875}">
      <dgm:prSet/>
      <dgm:spPr/>
      <dgm:t>
        <a:bodyPr/>
        <a:lstStyle/>
        <a:p>
          <a:endParaRPr lang="en-US"/>
        </a:p>
      </dgm:t>
    </dgm:pt>
    <dgm:pt modelId="{07C26F7A-7DC2-4F91-BD41-DBD18F067853}" type="sibTrans" cxnId="{09308A59-C350-4E64-B0F2-C2093C63C875}">
      <dgm:prSet/>
      <dgm:spPr/>
      <dgm:t>
        <a:bodyPr/>
        <a:lstStyle/>
        <a:p>
          <a:endParaRPr lang="en-US"/>
        </a:p>
      </dgm:t>
    </dgm:pt>
    <dgm:pt modelId="{F6E580AB-6252-4EA9-A548-C9AE8B17FD6B}">
      <dgm:prSet custT="1"/>
      <dgm:spPr/>
      <dgm:t>
        <a:bodyPr/>
        <a:lstStyle/>
        <a:p>
          <a:endParaRPr lang="en-US" sz="1000" b="1"/>
        </a:p>
        <a:p>
          <a:r>
            <a:rPr lang="en-US" sz="1000" b="1"/>
            <a:t>Institutionele</a:t>
          </a:r>
          <a:r>
            <a:rPr lang="en-US" sz="1000"/>
            <a:t> </a:t>
          </a:r>
          <a:r>
            <a:rPr lang="en-US" sz="1000" b="1"/>
            <a:t>setting</a:t>
          </a:r>
          <a:r>
            <a:rPr lang="en-US" sz="1000"/>
            <a:t>: </a:t>
          </a:r>
        </a:p>
        <a:p>
          <a:r>
            <a:rPr lang="nl-NL" sz="1000"/>
            <a:t>▪ Institutionele setting heeft geen invloed op werkwijze van de inkopers</a:t>
          </a:r>
        </a:p>
        <a:p>
          <a:r>
            <a:rPr lang="nl-NL" sz="1000"/>
            <a:t>▪ Voldoen aan de Aanbestedingswet</a:t>
          </a:r>
        </a:p>
        <a:p>
          <a:r>
            <a:rPr lang="nl-NL" sz="1000"/>
            <a:t>▪ Continuïteit onderwijs als belangrijkste drijfveer </a:t>
          </a:r>
        </a:p>
        <a:p>
          <a:r>
            <a:rPr lang="nl-NL" sz="1000"/>
            <a:t>▪ Geen sprake van veelheid aan verdeelde loyaliteiten </a:t>
          </a:r>
        </a:p>
        <a:p>
          <a:endParaRPr lang="en-US" sz="1050"/>
        </a:p>
      </dgm:t>
    </dgm:pt>
    <dgm:pt modelId="{17F42F29-EC96-4C1B-94F9-885C00D2A174}" type="parTrans" cxnId="{F1F5CFE5-10FD-48AE-BA91-03571DD3DBCE}">
      <dgm:prSet/>
      <dgm:spPr/>
      <dgm:t>
        <a:bodyPr/>
        <a:lstStyle/>
        <a:p>
          <a:endParaRPr lang="en-US"/>
        </a:p>
      </dgm:t>
    </dgm:pt>
    <dgm:pt modelId="{0582CD7A-F700-450C-AEB2-E277993EF5AF}" type="sibTrans" cxnId="{F1F5CFE5-10FD-48AE-BA91-03571DD3DBCE}">
      <dgm:prSet/>
      <dgm:spPr/>
      <dgm:t>
        <a:bodyPr/>
        <a:lstStyle/>
        <a:p>
          <a:endParaRPr lang="en-US"/>
        </a:p>
      </dgm:t>
    </dgm:pt>
    <dgm:pt modelId="{D674988E-5E4C-4A7D-B0D3-CBA7C4F161E1}">
      <dgm:prSet/>
      <dgm:spPr/>
      <dgm:t>
        <a:bodyPr/>
        <a:lstStyle/>
        <a:p>
          <a:endParaRPr lang="en-US"/>
        </a:p>
      </dgm:t>
    </dgm:pt>
    <dgm:pt modelId="{B467ED0B-2C46-4ED5-A8C3-B3CA175D3560}" type="parTrans" cxnId="{5C129C58-3B03-4018-801A-6E3ED081ECBE}">
      <dgm:prSet/>
      <dgm:spPr/>
      <dgm:t>
        <a:bodyPr/>
        <a:lstStyle/>
        <a:p>
          <a:endParaRPr lang="en-US"/>
        </a:p>
      </dgm:t>
    </dgm:pt>
    <dgm:pt modelId="{FA700361-E505-4C77-B867-92A5F949D90A}" type="sibTrans" cxnId="{5C129C58-3B03-4018-801A-6E3ED081ECBE}">
      <dgm:prSet/>
      <dgm:spPr/>
      <dgm:t>
        <a:bodyPr/>
        <a:lstStyle/>
        <a:p>
          <a:endParaRPr lang="en-US"/>
        </a:p>
      </dgm:t>
    </dgm:pt>
    <dgm:pt modelId="{D87FF8BC-0C58-478C-B431-EB9091A02078}">
      <dgm:prSet/>
      <dgm:spPr/>
      <dgm:t>
        <a:bodyPr/>
        <a:lstStyle/>
        <a:p>
          <a:endParaRPr lang="en-US"/>
        </a:p>
      </dgm:t>
    </dgm:pt>
    <dgm:pt modelId="{5CB4EED3-4150-4631-9C48-F14A126EE186}" type="parTrans" cxnId="{B032C91A-1238-4831-88C8-58D0C67B8404}">
      <dgm:prSet/>
      <dgm:spPr/>
      <dgm:t>
        <a:bodyPr/>
        <a:lstStyle/>
        <a:p>
          <a:endParaRPr lang="en-US"/>
        </a:p>
      </dgm:t>
    </dgm:pt>
    <dgm:pt modelId="{B9BB8E25-41ED-456C-BC8A-73DA00EF4099}" type="sibTrans" cxnId="{B032C91A-1238-4831-88C8-58D0C67B8404}">
      <dgm:prSet/>
      <dgm:spPr/>
      <dgm:t>
        <a:bodyPr/>
        <a:lstStyle/>
        <a:p>
          <a:endParaRPr lang="en-US"/>
        </a:p>
      </dgm:t>
    </dgm:pt>
    <dgm:pt modelId="{E684D39F-00C3-4131-A4C2-731BC4B516B8}">
      <dgm:prSet/>
      <dgm:spPr/>
      <dgm:t>
        <a:bodyPr/>
        <a:lstStyle/>
        <a:p>
          <a:endParaRPr lang="en-US"/>
        </a:p>
      </dgm:t>
    </dgm:pt>
    <dgm:pt modelId="{550653EF-82AC-4A52-975F-742AB15F67E2}" type="parTrans" cxnId="{EFCDB549-2F95-4822-BEFB-413AA140BDB8}">
      <dgm:prSet/>
      <dgm:spPr/>
      <dgm:t>
        <a:bodyPr/>
        <a:lstStyle/>
        <a:p>
          <a:endParaRPr lang="en-US"/>
        </a:p>
      </dgm:t>
    </dgm:pt>
    <dgm:pt modelId="{3022BC05-4046-4553-AEB5-812DA8ACFEE8}" type="sibTrans" cxnId="{EFCDB549-2F95-4822-BEFB-413AA140BDB8}">
      <dgm:prSet/>
      <dgm:spPr/>
      <dgm:t>
        <a:bodyPr/>
        <a:lstStyle/>
        <a:p>
          <a:endParaRPr lang="en-US"/>
        </a:p>
      </dgm:t>
    </dgm:pt>
    <dgm:pt modelId="{9B195119-05DB-45D9-AED8-BF4B04CCB747}">
      <dgm:prSet/>
      <dgm:spPr/>
      <dgm:t>
        <a:bodyPr/>
        <a:lstStyle/>
        <a:p>
          <a:endParaRPr lang="en-US"/>
        </a:p>
      </dgm:t>
    </dgm:pt>
    <dgm:pt modelId="{9DDDF1BA-27E1-40BF-8584-CB1F2330390B}" type="parTrans" cxnId="{453BF81B-3F6C-4F4B-907E-CA7FC4FEE46B}">
      <dgm:prSet/>
      <dgm:spPr/>
      <dgm:t>
        <a:bodyPr/>
        <a:lstStyle/>
        <a:p>
          <a:endParaRPr lang="en-US"/>
        </a:p>
      </dgm:t>
    </dgm:pt>
    <dgm:pt modelId="{5548EAA9-8F81-4F03-A5EE-5BD9E5E927FF}" type="sibTrans" cxnId="{453BF81B-3F6C-4F4B-907E-CA7FC4FEE46B}">
      <dgm:prSet/>
      <dgm:spPr/>
      <dgm:t>
        <a:bodyPr/>
        <a:lstStyle/>
        <a:p>
          <a:endParaRPr lang="en-US"/>
        </a:p>
      </dgm:t>
    </dgm:pt>
    <dgm:pt modelId="{AB33527D-092B-416B-91F1-97AA6CBBBFC4}">
      <dgm:prSet/>
      <dgm:spPr/>
      <dgm:t>
        <a:bodyPr/>
        <a:lstStyle/>
        <a:p>
          <a:endParaRPr lang="en-US"/>
        </a:p>
      </dgm:t>
    </dgm:pt>
    <dgm:pt modelId="{B3932096-AAF3-4D56-84EE-10D2D36F685C}" type="parTrans" cxnId="{2473A054-1078-4190-AC79-5DA2D3B961EC}">
      <dgm:prSet/>
      <dgm:spPr/>
      <dgm:t>
        <a:bodyPr/>
        <a:lstStyle/>
        <a:p>
          <a:endParaRPr lang="en-US"/>
        </a:p>
      </dgm:t>
    </dgm:pt>
    <dgm:pt modelId="{071A8821-33EA-4116-A16A-249E26FCFFF2}" type="sibTrans" cxnId="{2473A054-1078-4190-AC79-5DA2D3B961EC}">
      <dgm:prSet/>
      <dgm:spPr/>
      <dgm:t>
        <a:bodyPr/>
        <a:lstStyle/>
        <a:p>
          <a:endParaRPr lang="en-US"/>
        </a:p>
      </dgm:t>
    </dgm:pt>
    <dgm:pt modelId="{C2B94B22-ED7C-4883-93BF-D306A83A38F7}">
      <dgm:prSet/>
      <dgm:spPr/>
      <dgm:t>
        <a:bodyPr/>
        <a:lstStyle/>
        <a:p>
          <a:endParaRPr lang="en-US"/>
        </a:p>
      </dgm:t>
    </dgm:pt>
    <dgm:pt modelId="{3A3892A4-81A5-4F95-A88A-E84AA85194DB}" type="parTrans" cxnId="{0A5E79D4-4843-4063-94B7-FBD79E05DC77}">
      <dgm:prSet/>
      <dgm:spPr/>
      <dgm:t>
        <a:bodyPr/>
        <a:lstStyle/>
        <a:p>
          <a:endParaRPr lang="en-US"/>
        </a:p>
      </dgm:t>
    </dgm:pt>
    <dgm:pt modelId="{D90D408F-51A4-4929-93B2-DE03A0806E42}" type="sibTrans" cxnId="{0A5E79D4-4843-4063-94B7-FBD79E05DC77}">
      <dgm:prSet/>
      <dgm:spPr/>
      <dgm:t>
        <a:bodyPr/>
        <a:lstStyle/>
        <a:p>
          <a:endParaRPr lang="en-US"/>
        </a:p>
      </dgm:t>
    </dgm:pt>
    <dgm:pt modelId="{E84000E0-AA40-4056-92C2-27E1B15D21C0}">
      <dgm:prSet/>
      <dgm:spPr/>
      <dgm:t>
        <a:bodyPr/>
        <a:lstStyle/>
        <a:p>
          <a:endParaRPr lang="en-US"/>
        </a:p>
      </dgm:t>
    </dgm:pt>
    <dgm:pt modelId="{C4C5E5A2-4CA9-430D-996E-B353B082A81E}" type="parTrans" cxnId="{C5C6F959-3376-4E1D-AF93-366472E86602}">
      <dgm:prSet/>
      <dgm:spPr/>
      <dgm:t>
        <a:bodyPr/>
        <a:lstStyle/>
        <a:p>
          <a:endParaRPr lang="en-US"/>
        </a:p>
      </dgm:t>
    </dgm:pt>
    <dgm:pt modelId="{AF67CE96-A9EC-4479-A997-FFB7BA32FF1A}" type="sibTrans" cxnId="{C5C6F959-3376-4E1D-AF93-366472E86602}">
      <dgm:prSet/>
      <dgm:spPr/>
      <dgm:t>
        <a:bodyPr/>
        <a:lstStyle/>
        <a:p>
          <a:endParaRPr lang="en-US"/>
        </a:p>
      </dgm:t>
    </dgm:pt>
    <dgm:pt modelId="{DD139160-AFEC-447D-8C50-58254D146DD3}">
      <dgm:prSet/>
      <dgm:spPr/>
      <dgm:t>
        <a:bodyPr/>
        <a:lstStyle/>
        <a:p>
          <a:endParaRPr lang="en-US"/>
        </a:p>
      </dgm:t>
    </dgm:pt>
    <dgm:pt modelId="{DC722F8B-E938-49B3-9BB9-803785C033D5}" type="parTrans" cxnId="{33EE064D-8780-48FC-9780-84067A22935B}">
      <dgm:prSet/>
      <dgm:spPr/>
      <dgm:t>
        <a:bodyPr/>
        <a:lstStyle/>
        <a:p>
          <a:endParaRPr lang="en-US"/>
        </a:p>
      </dgm:t>
    </dgm:pt>
    <dgm:pt modelId="{4482D847-7EC1-467B-B32F-7929F10D4DCD}" type="sibTrans" cxnId="{33EE064D-8780-48FC-9780-84067A22935B}">
      <dgm:prSet/>
      <dgm:spPr/>
      <dgm:t>
        <a:bodyPr/>
        <a:lstStyle/>
        <a:p>
          <a:endParaRPr lang="en-US"/>
        </a:p>
      </dgm:t>
    </dgm:pt>
    <dgm:pt modelId="{7DF9D462-DA45-421A-A84F-6CA947F0FF8B}">
      <dgm:prSet/>
      <dgm:spPr/>
      <dgm:t>
        <a:bodyPr/>
        <a:lstStyle/>
        <a:p>
          <a:endParaRPr lang="en-US"/>
        </a:p>
      </dgm:t>
    </dgm:pt>
    <dgm:pt modelId="{61DC4CA7-C919-426A-AA82-31E0CCC9FFCD}" type="parTrans" cxnId="{C3149C99-9353-40FF-8419-1253C92816BE}">
      <dgm:prSet/>
      <dgm:spPr/>
      <dgm:t>
        <a:bodyPr/>
        <a:lstStyle/>
        <a:p>
          <a:endParaRPr lang="en-US"/>
        </a:p>
      </dgm:t>
    </dgm:pt>
    <dgm:pt modelId="{6FEC0F74-1477-435C-8B0B-F8257DF75524}" type="sibTrans" cxnId="{C3149C99-9353-40FF-8419-1253C92816BE}">
      <dgm:prSet/>
      <dgm:spPr/>
      <dgm:t>
        <a:bodyPr/>
        <a:lstStyle/>
        <a:p>
          <a:endParaRPr lang="en-US"/>
        </a:p>
      </dgm:t>
    </dgm:pt>
    <dgm:pt modelId="{7BBEEE6B-13CF-470E-93E6-C7DBE3DF6DA3}">
      <dgm:prSet/>
      <dgm:spPr/>
      <dgm:t>
        <a:bodyPr/>
        <a:lstStyle/>
        <a:p>
          <a:endParaRPr lang="en-US"/>
        </a:p>
      </dgm:t>
    </dgm:pt>
    <dgm:pt modelId="{6456B662-47DA-4E17-B345-448E697A88E7}" type="parTrans" cxnId="{B5AC3AF5-839D-4DF8-A4AF-5E7D72C1B60D}">
      <dgm:prSet/>
      <dgm:spPr/>
      <dgm:t>
        <a:bodyPr/>
        <a:lstStyle/>
        <a:p>
          <a:endParaRPr lang="en-US"/>
        </a:p>
      </dgm:t>
    </dgm:pt>
    <dgm:pt modelId="{9F61B8E6-A365-4827-81EE-5951BC01E92B}" type="sibTrans" cxnId="{B5AC3AF5-839D-4DF8-A4AF-5E7D72C1B60D}">
      <dgm:prSet/>
      <dgm:spPr/>
      <dgm:t>
        <a:bodyPr/>
        <a:lstStyle/>
        <a:p>
          <a:endParaRPr lang="en-US"/>
        </a:p>
      </dgm:t>
    </dgm:pt>
    <dgm:pt modelId="{14F92D70-C14B-409B-AF61-C36BFC73F474}">
      <dgm:prSet/>
      <dgm:spPr/>
      <dgm:t>
        <a:bodyPr/>
        <a:lstStyle/>
        <a:p>
          <a:endParaRPr lang="en-US"/>
        </a:p>
      </dgm:t>
    </dgm:pt>
    <dgm:pt modelId="{88462AAF-9301-4195-B450-E19C27985815}" type="parTrans" cxnId="{575B6780-2A5D-4C2F-8891-53880202C31A}">
      <dgm:prSet/>
      <dgm:spPr/>
      <dgm:t>
        <a:bodyPr/>
        <a:lstStyle/>
        <a:p>
          <a:endParaRPr lang="en-US"/>
        </a:p>
      </dgm:t>
    </dgm:pt>
    <dgm:pt modelId="{078D2631-2AD0-4274-9B2C-C49A654A0151}" type="sibTrans" cxnId="{575B6780-2A5D-4C2F-8891-53880202C31A}">
      <dgm:prSet/>
      <dgm:spPr/>
      <dgm:t>
        <a:bodyPr/>
        <a:lstStyle/>
        <a:p>
          <a:endParaRPr lang="en-US"/>
        </a:p>
      </dgm:t>
    </dgm:pt>
    <dgm:pt modelId="{FD0E53F1-7D6C-4B34-999B-10067245961C}">
      <dgm:prSet/>
      <dgm:spPr/>
      <dgm:t>
        <a:bodyPr/>
        <a:lstStyle/>
        <a:p>
          <a:endParaRPr lang="en-US"/>
        </a:p>
      </dgm:t>
    </dgm:pt>
    <dgm:pt modelId="{1141ADBD-BE60-4B02-A0A7-F3D397877AEC}" type="parTrans" cxnId="{C7B34F09-ADEF-47B8-965D-CD279CAF0E4F}">
      <dgm:prSet/>
      <dgm:spPr/>
      <dgm:t>
        <a:bodyPr/>
        <a:lstStyle/>
        <a:p>
          <a:endParaRPr lang="en-US"/>
        </a:p>
      </dgm:t>
    </dgm:pt>
    <dgm:pt modelId="{81BF5AD5-12EC-4EDF-B431-622B732248DB}" type="sibTrans" cxnId="{C7B34F09-ADEF-47B8-965D-CD279CAF0E4F}">
      <dgm:prSet/>
      <dgm:spPr/>
      <dgm:t>
        <a:bodyPr/>
        <a:lstStyle/>
        <a:p>
          <a:endParaRPr lang="en-US"/>
        </a:p>
      </dgm:t>
    </dgm:pt>
    <dgm:pt modelId="{35D679D6-D668-48E1-919D-42F23D9E0048}">
      <dgm:prSet/>
      <dgm:spPr/>
      <dgm:t>
        <a:bodyPr/>
        <a:lstStyle/>
        <a:p>
          <a:endParaRPr lang="en-US"/>
        </a:p>
      </dgm:t>
    </dgm:pt>
    <dgm:pt modelId="{AC14FF7F-8543-4700-AE54-715197E3DD54}" type="parTrans" cxnId="{0B24107A-36FF-4BAD-82F2-B8CBAE9D585E}">
      <dgm:prSet/>
      <dgm:spPr/>
      <dgm:t>
        <a:bodyPr/>
        <a:lstStyle/>
        <a:p>
          <a:endParaRPr lang="en-US"/>
        </a:p>
      </dgm:t>
    </dgm:pt>
    <dgm:pt modelId="{CEF462A2-2D22-464E-B9F3-551B663F04C0}" type="sibTrans" cxnId="{0B24107A-36FF-4BAD-82F2-B8CBAE9D585E}">
      <dgm:prSet/>
      <dgm:spPr/>
      <dgm:t>
        <a:bodyPr/>
        <a:lstStyle/>
        <a:p>
          <a:endParaRPr lang="en-US"/>
        </a:p>
      </dgm:t>
    </dgm:pt>
    <dgm:pt modelId="{46CB3D16-218E-4313-A7F6-A724E079F87F}">
      <dgm:prSet/>
      <dgm:spPr/>
      <dgm:t>
        <a:bodyPr/>
        <a:lstStyle/>
        <a:p>
          <a:endParaRPr lang="en-US"/>
        </a:p>
      </dgm:t>
    </dgm:pt>
    <dgm:pt modelId="{537315BB-5310-4405-96CF-CB4FE3E541E5}" type="parTrans" cxnId="{2F3F13B8-DBBA-4B28-A137-BB8415A6E7EA}">
      <dgm:prSet/>
      <dgm:spPr/>
      <dgm:t>
        <a:bodyPr/>
        <a:lstStyle/>
        <a:p>
          <a:endParaRPr lang="en-US"/>
        </a:p>
      </dgm:t>
    </dgm:pt>
    <dgm:pt modelId="{4EBA2295-1394-4871-92DD-11D61F045A55}" type="sibTrans" cxnId="{2F3F13B8-DBBA-4B28-A137-BB8415A6E7EA}">
      <dgm:prSet/>
      <dgm:spPr/>
      <dgm:t>
        <a:bodyPr/>
        <a:lstStyle/>
        <a:p>
          <a:endParaRPr lang="en-US"/>
        </a:p>
      </dgm:t>
    </dgm:pt>
    <dgm:pt modelId="{49F571C1-2DC6-45D8-A9AE-C9CECCAE1EC2}">
      <dgm:prSet/>
      <dgm:spPr/>
      <dgm:t>
        <a:bodyPr/>
        <a:lstStyle/>
        <a:p>
          <a:endParaRPr lang="en-US"/>
        </a:p>
      </dgm:t>
    </dgm:pt>
    <dgm:pt modelId="{C4FCB115-9B89-4DA2-80F3-22241B1012BE}" type="parTrans" cxnId="{D2B1E16A-A63F-4726-9796-109F3BBB276E}">
      <dgm:prSet/>
      <dgm:spPr/>
      <dgm:t>
        <a:bodyPr/>
        <a:lstStyle/>
        <a:p>
          <a:endParaRPr lang="en-US"/>
        </a:p>
      </dgm:t>
    </dgm:pt>
    <dgm:pt modelId="{08C5096C-B6FD-4A4F-AE7B-937010A98525}" type="sibTrans" cxnId="{D2B1E16A-A63F-4726-9796-109F3BBB276E}">
      <dgm:prSet/>
      <dgm:spPr/>
      <dgm:t>
        <a:bodyPr/>
        <a:lstStyle/>
        <a:p>
          <a:endParaRPr lang="en-US"/>
        </a:p>
      </dgm:t>
    </dgm:pt>
    <dgm:pt modelId="{E71A6B44-DBB3-4673-9B92-53F559E516A8}">
      <dgm:prSet/>
      <dgm:spPr/>
      <dgm:t>
        <a:bodyPr/>
        <a:lstStyle/>
        <a:p>
          <a:endParaRPr lang="en-US"/>
        </a:p>
      </dgm:t>
    </dgm:pt>
    <dgm:pt modelId="{958132D2-BDE7-481A-ACC7-02EE73414253}" type="parTrans" cxnId="{271E91C6-7EAC-443E-9925-12680F26FC6B}">
      <dgm:prSet/>
      <dgm:spPr/>
      <dgm:t>
        <a:bodyPr/>
        <a:lstStyle/>
        <a:p>
          <a:endParaRPr lang="en-US"/>
        </a:p>
      </dgm:t>
    </dgm:pt>
    <dgm:pt modelId="{69985E70-3DD6-42DE-88DB-A183C7A319C4}" type="sibTrans" cxnId="{271E91C6-7EAC-443E-9925-12680F26FC6B}">
      <dgm:prSet/>
      <dgm:spPr/>
      <dgm:t>
        <a:bodyPr/>
        <a:lstStyle/>
        <a:p>
          <a:endParaRPr lang="en-US"/>
        </a:p>
      </dgm:t>
    </dgm:pt>
    <dgm:pt modelId="{31CA2CBF-F106-484A-A00F-A0DB13CA5F69}">
      <dgm:prSet/>
      <dgm:spPr/>
      <dgm:t>
        <a:bodyPr/>
        <a:lstStyle/>
        <a:p>
          <a:endParaRPr lang="en-US"/>
        </a:p>
      </dgm:t>
    </dgm:pt>
    <dgm:pt modelId="{7CE65F2E-2B91-4514-AD3B-843BED1ED158}" type="parTrans" cxnId="{353CEC10-25F7-41BB-B1B9-D63097AA493C}">
      <dgm:prSet/>
      <dgm:spPr/>
      <dgm:t>
        <a:bodyPr/>
        <a:lstStyle/>
        <a:p>
          <a:endParaRPr lang="en-US"/>
        </a:p>
      </dgm:t>
    </dgm:pt>
    <dgm:pt modelId="{408E5A2E-9DD7-409D-9788-DE07AB71AEA9}" type="sibTrans" cxnId="{353CEC10-25F7-41BB-B1B9-D63097AA493C}">
      <dgm:prSet/>
      <dgm:spPr/>
      <dgm:t>
        <a:bodyPr/>
        <a:lstStyle/>
        <a:p>
          <a:endParaRPr lang="en-US"/>
        </a:p>
      </dgm:t>
    </dgm:pt>
    <dgm:pt modelId="{C3A94D35-B7D1-4B7E-96CD-D88FD5832F24}" type="pres">
      <dgm:prSet presAssocID="{BDD320F8-14D8-458B-B2AF-7E769FB0739D}" presName="Name0" presStyleCnt="0">
        <dgm:presLayoutVars>
          <dgm:chMax val="1"/>
          <dgm:chPref val="1"/>
          <dgm:dir/>
          <dgm:animOne val="branch"/>
          <dgm:animLvl val="lvl"/>
        </dgm:presLayoutVars>
      </dgm:prSet>
      <dgm:spPr/>
    </dgm:pt>
    <dgm:pt modelId="{5534FCE9-5775-4D4C-9343-787C22541D02}" type="pres">
      <dgm:prSet presAssocID="{8EADB689-E818-4F61-BFAF-90D862D9D3A5}" presName="singleCycle" presStyleCnt="0"/>
      <dgm:spPr/>
    </dgm:pt>
    <dgm:pt modelId="{C39B07EA-2796-44F7-B3CB-BCB05C31629B}" type="pres">
      <dgm:prSet presAssocID="{8EADB689-E818-4F61-BFAF-90D862D9D3A5}" presName="singleCenter" presStyleLbl="node1" presStyleIdx="0" presStyleCnt="7" custScaleY="15726">
        <dgm:presLayoutVars>
          <dgm:chMax val="7"/>
          <dgm:chPref val="7"/>
        </dgm:presLayoutVars>
      </dgm:prSet>
      <dgm:spPr/>
    </dgm:pt>
    <dgm:pt modelId="{E78DC31D-4189-4069-8431-25E8CCA249CA}" type="pres">
      <dgm:prSet presAssocID="{B356BFB7-D38B-4F4B-B874-0E4909902CE8}" presName="Name56" presStyleLbl="parChTrans1D2" presStyleIdx="0" presStyleCnt="6"/>
      <dgm:spPr/>
    </dgm:pt>
    <dgm:pt modelId="{8EF0180D-C137-4A50-B9D9-EB95F279C2F4}" type="pres">
      <dgm:prSet presAssocID="{2344603E-9585-4C99-9FC2-F9D92DB6E802}" presName="text0" presStyleLbl="node1" presStyleIdx="1" presStyleCnt="7" custScaleX="324569" custRadScaleRad="99033">
        <dgm:presLayoutVars>
          <dgm:bulletEnabled val="1"/>
        </dgm:presLayoutVars>
      </dgm:prSet>
      <dgm:spPr/>
    </dgm:pt>
    <dgm:pt modelId="{C8D73E7E-E7D0-41B7-828E-CE3601DCE72E}" type="pres">
      <dgm:prSet presAssocID="{E778EF00-FF40-42D7-9FBA-81B39CA572F5}" presName="Name56" presStyleLbl="parChTrans1D2" presStyleIdx="1" presStyleCnt="6"/>
      <dgm:spPr/>
    </dgm:pt>
    <dgm:pt modelId="{88342834-4235-445F-8CF8-807CFFA95436}" type="pres">
      <dgm:prSet presAssocID="{301B99AD-BCD9-4A08-852F-A72781FD278E}" presName="text0" presStyleLbl="node1" presStyleIdx="2" presStyleCnt="7" custScaleX="287821" custScaleY="107813" custRadScaleRad="98278" custRadScaleInc="5957">
        <dgm:presLayoutVars>
          <dgm:bulletEnabled val="1"/>
        </dgm:presLayoutVars>
      </dgm:prSet>
      <dgm:spPr/>
    </dgm:pt>
    <dgm:pt modelId="{7CBCCA32-5167-40AF-866E-544716C38191}" type="pres">
      <dgm:prSet presAssocID="{91EC9DC6-0A88-4DAD-AE12-255237642F35}" presName="Name56" presStyleLbl="parChTrans1D2" presStyleIdx="2" presStyleCnt="6"/>
      <dgm:spPr/>
    </dgm:pt>
    <dgm:pt modelId="{BC186BBC-3CA8-47B3-B5E2-294D1432E3C0}" type="pres">
      <dgm:prSet presAssocID="{28EB33B6-DBA3-4912-98CC-2AF86C286751}" presName="text0" presStyleLbl="node1" presStyleIdx="3" presStyleCnt="7" custScaleX="286897">
        <dgm:presLayoutVars>
          <dgm:bulletEnabled val="1"/>
        </dgm:presLayoutVars>
      </dgm:prSet>
      <dgm:spPr/>
    </dgm:pt>
    <dgm:pt modelId="{4B0D32DC-C9FF-4CC4-8981-31F63B86B99A}" type="pres">
      <dgm:prSet presAssocID="{F38DD556-1C89-404D-96DA-30106287AC71}" presName="Name56" presStyleLbl="parChTrans1D2" presStyleIdx="3" presStyleCnt="6"/>
      <dgm:spPr/>
    </dgm:pt>
    <dgm:pt modelId="{B5FCC306-581A-45FF-BED9-FFBAA07B2324}" type="pres">
      <dgm:prSet presAssocID="{A6B84210-B49A-471B-AAFF-B6E8566E0BBF}" presName="text0" presStyleLbl="node1" presStyleIdx="4" presStyleCnt="7" custScaleX="335837">
        <dgm:presLayoutVars>
          <dgm:bulletEnabled val="1"/>
        </dgm:presLayoutVars>
      </dgm:prSet>
      <dgm:spPr/>
    </dgm:pt>
    <dgm:pt modelId="{B2D96894-5BE3-4B5F-9A2C-45AD4E3DC9BB}" type="pres">
      <dgm:prSet presAssocID="{7E6D78DC-4832-40A2-BBE5-8DDF7B355AF8}" presName="Name56" presStyleLbl="parChTrans1D2" presStyleIdx="4" presStyleCnt="6"/>
      <dgm:spPr/>
    </dgm:pt>
    <dgm:pt modelId="{F1D89C94-0D72-408D-B9BA-DCAFA1D372B4}" type="pres">
      <dgm:prSet presAssocID="{75D319FF-5CDC-4884-B460-8CDAE1C841C6}" presName="text0" presStyleLbl="node1" presStyleIdx="5" presStyleCnt="7" custScaleX="302397">
        <dgm:presLayoutVars>
          <dgm:bulletEnabled val="1"/>
        </dgm:presLayoutVars>
      </dgm:prSet>
      <dgm:spPr/>
    </dgm:pt>
    <dgm:pt modelId="{376A60A0-1B21-43D9-980C-5A3FC4634FA1}" type="pres">
      <dgm:prSet presAssocID="{17F42F29-EC96-4C1B-94F9-885C00D2A174}" presName="Name56" presStyleLbl="parChTrans1D2" presStyleIdx="5" presStyleCnt="6"/>
      <dgm:spPr/>
    </dgm:pt>
    <dgm:pt modelId="{901D2F5E-D8E2-4A75-B5BB-B9E2FED06D69}" type="pres">
      <dgm:prSet presAssocID="{F6E580AB-6252-4EA9-A548-C9AE8B17FD6B}" presName="text0" presStyleLbl="node1" presStyleIdx="6" presStyleCnt="7" custScaleX="296835" custScaleY="107813" custRadScaleRad="98260" custRadScaleInc="-6026">
        <dgm:presLayoutVars>
          <dgm:bulletEnabled val="1"/>
        </dgm:presLayoutVars>
      </dgm:prSet>
      <dgm:spPr/>
    </dgm:pt>
  </dgm:ptLst>
  <dgm:cxnLst>
    <dgm:cxn modelId="{ADAF2106-0A6D-45D6-A7A8-BF29BAD4CDE2}" srcId="{8EADB689-E818-4F61-BFAF-90D862D9D3A5}" destId="{2344603E-9585-4C99-9FC2-F9D92DB6E802}" srcOrd="0" destOrd="0" parTransId="{B356BFB7-D38B-4F4B-B874-0E4909902CE8}" sibTransId="{297579EC-336C-4676-841F-A427C8C64CD1}"/>
    <dgm:cxn modelId="{C7B34F09-ADEF-47B8-965D-CD279CAF0E4F}" srcId="{BDD320F8-14D8-458B-B2AF-7E769FB0739D}" destId="{FD0E53F1-7D6C-4B34-999B-10067245961C}" srcOrd="12" destOrd="0" parTransId="{1141ADBD-BE60-4B02-A0A7-F3D397877AEC}" sibTransId="{81BF5AD5-12EC-4EDF-B431-622B732248DB}"/>
    <dgm:cxn modelId="{EC4F8710-2A47-4A0D-9285-2673F897DAB2}" srcId="{8EADB689-E818-4F61-BFAF-90D862D9D3A5}" destId="{28EB33B6-DBA3-4912-98CC-2AF86C286751}" srcOrd="2" destOrd="0" parTransId="{91EC9DC6-0A88-4DAD-AE12-255237642F35}" sibTransId="{13DF92F2-9D10-485E-854D-A8886C5BD9E1}"/>
    <dgm:cxn modelId="{353CEC10-25F7-41BB-B1B9-D63097AA493C}" srcId="{BDD320F8-14D8-458B-B2AF-7E769FB0739D}" destId="{31CA2CBF-F106-484A-A00F-A0DB13CA5F69}" srcOrd="17" destOrd="0" parTransId="{7CE65F2E-2B91-4514-AD3B-843BED1ED158}" sibTransId="{408E5A2E-9DD7-409D-9788-DE07AB71AEA9}"/>
    <dgm:cxn modelId="{73E0F410-8F9D-4672-91AD-4BD8DFCA2D8A}" type="presOf" srcId="{F38DD556-1C89-404D-96DA-30106287AC71}" destId="{4B0D32DC-C9FF-4CC4-8981-31F63B86B99A}" srcOrd="0" destOrd="0" presId="urn:microsoft.com/office/officeart/2008/layout/RadialCluster"/>
    <dgm:cxn modelId="{59758A17-A2DD-487D-BD6B-3F53C9079F4F}" type="presOf" srcId="{F6E580AB-6252-4EA9-A548-C9AE8B17FD6B}" destId="{901D2F5E-D8E2-4A75-B5BB-B9E2FED06D69}" srcOrd="0" destOrd="0" presId="urn:microsoft.com/office/officeart/2008/layout/RadialCluster"/>
    <dgm:cxn modelId="{8CA8BA18-DB3C-488C-841F-55DF5BF4EAE9}" srcId="{8EADB689-E818-4F61-BFAF-90D862D9D3A5}" destId="{A6B84210-B49A-471B-AAFF-B6E8566E0BBF}" srcOrd="3" destOrd="0" parTransId="{F38DD556-1C89-404D-96DA-30106287AC71}" sibTransId="{02CEBA51-9189-4427-A1A9-6B73A9E08DFF}"/>
    <dgm:cxn modelId="{B032C91A-1238-4831-88C8-58D0C67B8404}" srcId="{BDD320F8-14D8-458B-B2AF-7E769FB0739D}" destId="{D87FF8BC-0C58-478C-B431-EB9091A02078}" srcOrd="2" destOrd="0" parTransId="{5CB4EED3-4150-4631-9C48-F14A126EE186}" sibTransId="{B9BB8E25-41ED-456C-BC8A-73DA00EF4099}"/>
    <dgm:cxn modelId="{453BF81B-3F6C-4F4B-907E-CA7FC4FEE46B}" srcId="{BDD320F8-14D8-458B-B2AF-7E769FB0739D}" destId="{9B195119-05DB-45D9-AED8-BF4B04CCB747}" srcOrd="4" destOrd="0" parTransId="{9DDDF1BA-27E1-40BF-8584-CB1F2330390B}" sibTransId="{5548EAA9-8F81-4F03-A5EE-5BD9E5E927FF}"/>
    <dgm:cxn modelId="{910FE73E-9625-4572-88E8-76B32CEDE686}" type="presOf" srcId="{2344603E-9585-4C99-9FC2-F9D92DB6E802}" destId="{8EF0180D-C137-4A50-B9D9-EB95F279C2F4}" srcOrd="0" destOrd="0" presId="urn:microsoft.com/office/officeart/2008/layout/RadialCluster"/>
    <dgm:cxn modelId="{A1A2265B-2A47-47AE-9AB7-B28BFFD63C44}" type="presOf" srcId="{75D319FF-5CDC-4884-B460-8CDAE1C841C6}" destId="{F1D89C94-0D72-408D-B9BA-DCAFA1D372B4}" srcOrd="0" destOrd="0" presId="urn:microsoft.com/office/officeart/2008/layout/RadialCluster"/>
    <dgm:cxn modelId="{EDC31C5E-FF32-4DF2-9143-A0F6316CBA99}" type="presOf" srcId="{E778EF00-FF40-42D7-9FBA-81B39CA572F5}" destId="{C8D73E7E-E7D0-41B7-828E-CE3601DCE72E}" srcOrd="0" destOrd="0" presId="urn:microsoft.com/office/officeart/2008/layout/RadialCluster"/>
    <dgm:cxn modelId="{A30E3D68-1036-4434-9D5D-6AF956EB984B}" type="presOf" srcId="{28EB33B6-DBA3-4912-98CC-2AF86C286751}" destId="{BC186BBC-3CA8-47B3-B5E2-294D1432E3C0}" srcOrd="0" destOrd="0" presId="urn:microsoft.com/office/officeart/2008/layout/RadialCluster"/>
    <dgm:cxn modelId="{EFCDB549-2F95-4822-BEFB-413AA140BDB8}" srcId="{BDD320F8-14D8-458B-B2AF-7E769FB0739D}" destId="{E684D39F-00C3-4131-A4C2-731BC4B516B8}" srcOrd="3" destOrd="0" parTransId="{550653EF-82AC-4A52-975F-742AB15F67E2}" sibTransId="{3022BC05-4046-4553-AEB5-812DA8ACFEE8}"/>
    <dgm:cxn modelId="{D2B1E16A-A63F-4726-9796-109F3BBB276E}" srcId="{BDD320F8-14D8-458B-B2AF-7E769FB0739D}" destId="{49F571C1-2DC6-45D8-A9AE-C9CECCAE1EC2}" srcOrd="15" destOrd="0" parTransId="{C4FCB115-9B89-4DA2-80F3-22241B1012BE}" sibTransId="{08C5096C-B6FD-4A4F-AE7B-937010A98525}"/>
    <dgm:cxn modelId="{33EE064D-8780-48FC-9780-84067A22935B}" srcId="{BDD320F8-14D8-458B-B2AF-7E769FB0739D}" destId="{DD139160-AFEC-447D-8C50-58254D146DD3}" srcOrd="8" destOrd="0" parTransId="{DC722F8B-E938-49B3-9BB9-803785C033D5}" sibTransId="{4482D847-7EC1-467B-B32F-7929F10D4DCD}"/>
    <dgm:cxn modelId="{3490BB4D-0951-4F43-8ACA-38E2D6498924}" type="presOf" srcId="{8EADB689-E818-4F61-BFAF-90D862D9D3A5}" destId="{C39B07EA-2796-44F7-B3CB-BCB05C31629B}" srcOrd="0" destOrd="0" presId="urn:microsoft.com/office/officeart/2008/layout/RadialCluster"/>
    <dgm:cxn modelId="{2473A054-1078-4190-AC79-5DA2D3B961EC}" srcId="{BDD320F8-14D8-458B-B2AF-7E769FB0739D}" destId="{AB33527D-092B-416B-91F1-97AA6CBBBFC4}" srcOrd="5" destOrd="0" parTransId="{B3932096-AAF3-4D56-84EE-10D2D36F685C}" sibTransId="{071A8821-33EA-4116-A16A-249E26FCFFF2}"/>
    <dgm:cxn modelId="{5C129C58-3B03-4018-801A-6E3ED081ECBE}" srcId="{BDD320F8-14D8-458B-B2AF-7E769FB0739D}" destId="{D674988E-5E4C-4A7D-B0D3-CBA7C4F161E1}" srcOrd="1" destOrd="0" parTransId="{B467ED0B-2C46-4ED5-A8C3-B3CA175D3560}" sibTransId="{FA700361-E505-4C77-B867-92A5F949D90A}"/>
    <dgm:cxn modelId="{09308A59-C350-4E64-B0F2-C2093C63C875}" srcId="{8EADB689-E818-4F61-BFAF-90D862D9D3A5}" destId="{75D319FF-5CDC-4884-B460-8CDAE1C841C6}" srcOrd="4" destOrd="0" parTransId="{7E6D78DC-4832-40A2-BBE5-8DDF7B355AF8}" sibTransId="{07C26F7A-7DC2-4F91-BD41-DBD18F067853}"/>
    <dgm:cxn modelId="{C5919679-5D7D-4BF6-9C44-F6E21E86DF5B}" type="presOf" srcId="{B356BFB7-D38B-4F4B-B874-0E4909902CE8}" destId="{E78DC31D-4189-4069-8431-25E8CCA249CA}" srcOrd="0" destOrd="0" presId="urn:microsoft.com/office/officeart/2008/layout/RadialCluster"/>
    <dgm:cxn modelId="{C5C6F959-3376-4E1D-AF93-366472E86602}" srcId="{BDD320F8-14D8-458B-B2AF-7E769FB0739D}" destId="{E84000E0-AA40-4056-92C2-27E1B15D21C0}" srcOrd="7" destOrd="0" parTransId="{C4C5E5A2-4CA9-430D-996E-B353B082A81E}" sibTransId="{AF67CE96-A9EC-4479-A997-FFB7BA32FF1A}"/>
    <dgm:cxn modelId="{0B24107A-36FF-4BAD-82F2-B8CBAE9D585E}" srcId="{BDD320F8-14D8-458B-B2AF-7E769FB0739D}" destId="{35D679D6-D668-48E1-919D-42F23D9E0048}" srcOrd="13" destOrd="0" parTransId="{AC14FF7F-8543-4700-AE54-715197E3DD54}" sibTransId="{CEF462A2-2D22-464E-B9F3-551B663F04C0}"/>
    <dgm:cxn modelId="{575B6780-2A5D-4C2F-8891-53880202C31A}" srcId="{BDD320F8-14D8-458B-B2AF-7E769FB0739D}" destId="{14F92D70-C14B-409B-AF61-C36BFC73F474}" srcOrd="11" destOrd="0" parTransId="{88462AAF-9301-4195-B450-E19C27985815}" sibTransId="{078D2631-2AD0-4274-9B2C-C49A654A0151}"/>
    <dgm:cxn modelId="{F22C518E-4D55-4102-8CCA-48112039AF07}" srcId="{8EADB689-E818-4F61-BFAF-90D862D9D3A5}" destId="{301B99AD-BCD9-4A08-852F-A72781FD278E}" srcOrd="1" destOrd="0" parTransId="{E778EF00-FF40-42D7-9FBA-81B39CA572F5}" sibTransId="{7719399B-0740-4E55-ACA0-E7E9A80CA457}"/>
    <dgm:cxn modelId="{85DD1493-7D5F-4473-945F-07D0D358F1B8}" type="presOf" srcId="{BDD320F8-14D8-458B-B2AF-7E769FB0739D}" destId="{C3A94D35-B7D1-4B7E-96CD-D88FD5832F24}" srcOrd="0" destOrd="0" presId="urn:microsoft.com/office/officeart/2008/layout/RadialCluster"/>
    <dgm:cxn modelId="{C3149C99-9353-40FF-8419-1253C92816BE}" srcId="{BDD320F8-14D8-458B-B2AF-7E769FB0739D}" destId="{7DF9D462-DA45-421A-A84F-6CA947F0FF8B}" srcOrd="9" destOrd="0" parTransId="{61DC4CA7-C919-426A-AA82-31E0CCC9FFCD}" sibTransId="{6FEC0F74-1477-435C-8B0B-F8257DF75524}"/>
    <dgm:cxn modelId="{2F3F13B8-DBBA-4B28-A137-BB8415A6E7EA}" srcId="{BDD320F8-14D8-458B-B2AF-7E769FB0739D}" destId="{46CB3D16-218E-4313-A7F6-A724E079F87F}" srcOrd="14" destOrd="0" parTransId="{537315BB-5310-4405-96CF-CB4FE3E541E5}" sibTransId="{4EBA2295-1394-4871-92DD-11D61F045A55}"/>
    <dgm:cxn modelId="{271E91C6-7EAC-443E-9925-12680F26FC6B}" srcId="{BDD320F8-14D8-458B-B2AF-7E769FB0739D}" destId="{E71A6B44-DBB3-4673-9B92-53F559E516A8}" srcOrd="16" destOrd="0" parTransId="{958132D2-BDE7-481A-ACC7-02EE73414253}" sibTransId="{69985E70-3DD6-42DE-88DB-A183C7A319C4}"/>
    <dgm:cxn modelId="{994EECCC-FB87-43CD-A2E1-6EDA738C249C}" srcId="{BDD320F8-14D8-458B-B2AF-7E769FB0739D}" destId="{8EADB689-E818-4F61-BFAF-90D862D9D3A5}" srcOrd="0" destOrd="0" parTransId="{3CDCFB67-59E8-40C3-99F9-A256BB5A726E}" sibTransId="{11ECF878-F5CC-4B38-898E-C146E17CCB51}"/>
    <dgm:cxn modelId="{561D6CCF-43C3-423B-A846-6D7ED14841AC}" type="presOf" srcId="{7E6D78DC-4832-40A2-BBE5-8DDF7B355AF8}" destId="{B2D96894-5BE3-4B5F-9A2C-45AD4E3DC9BB}" srcOrd="0" destOrd="0" presId="urn:microsoft.com/office/officeart/2008/layout/RadialCluster"/>
    <dgm:cxn modelId="{48EA34D0-7014-432B-9A7C-C18F0BB4A444}" type="presOf" srcId="{91EC9DC6-0A88-4DAD-AE12-255237642F35}" destId="{7CBCCA32-5167-40AF-866E-544716C38191}" srcOrd="0" destOrd="0" presId="urn:microsoft.com/office/officeart/2008/layout/RadialCluster"/>
    <dgm:cxn modelId="{0A5E79D4-4843-4063-94B7-FBD79E05DC77}" srcId="{BDD320F8-14D8-458B-B2AF-7E769FB0739D}" destId="{C2B94B22-ED7C-4883-93BF-D306A83A38F7}" srcOrd="6" destOrd="0" parTransId="{3A3892A4-81A5-4F95-A88A-E84AA85194DB}" sibTransId="{D90D408F-51A4-4929-93B2-DE03A0806E42}"/>
    <dgm:cxn modelId="{F1F5CFE5-10FD-48AE-BA91-03571DD3DBCE}" srcId="{8EADB689-E818-4F61-BFAF-90D862D9D3A5}" destId="{F6E580AB-6252-4EA9-A548-C9AE8B17FD6B}" srcOrd="5" destOrd="0" parTransId="{17F42F29-EC96-4C1B-94F9-885C00D2A174}" sibTransId="{0582CD7A-F700-450C-AEB2-E277993EF5AF}"/>
    <dgm:cxn modelId="{F51528EB-1DAD-4D88-AA2F-FD8FA3E39AFE}" type="presOf" srcId="{A6B84210-B49A-471B-AAFF-B6E8566E0BBF}" destId="{B5FCC306-581A-45FF-BED9-FFBAA07B2324}" srcOrd="0" destOrd="0" presId="urn:microsoft.com/office/officeart/2008/layout/RadialCluster"/>
    <dgm:cxn modelId="{09395CEF-FC45-442F-BD6D-9C6AEFF64993}" type="presOf" srcId="{301B99AD-BCD9-4A08-852F-A72781FD278E}" destId="{88342834-4235-445F-8CF8-807CFFA95436}" srcOrd="0" destOrd="0" presId="urn:microsoft.com/office/officeart/2008/layout/RadialCluster"/>
    <dgm:cxn modelId="{B5AC3AF5-839D-4DF8-A4AF-5E7D72C1B60D}" srcId="{BDD320F8-14D8-458B-B2AF-7E769FB0739D}" destId="{7BBEEE6B-13CF-470E-93E6-C7DBE3DF6DA3}" srcOrd="10" destOrd="0" parTransId="{6456B662-47DA-4E17-B345-448E697A88E7}" sibTransId="{9F61B8E6-A365-4827-81EE-5951BC01E92B}"/>
    <dgm:cxn modelId="{8660F8FE-13AA-4339-ACDE-9D6272DFC2E7}" type="presOf" srcId="{17F42F29-EC96-4C1B-94F9-885C00D2A174}" destId="{376A60A0-1B21-43D9-980C-5A3FC4634FA1}" srcOrd="0" destOrd="0" presId="urn:microsoft.com/office/officeart/2008/layout/RadialCluster"/>
    <dgm:cxn modelId="{EB2359F0-6465-40B7-85AF-B234A1843BD1}" type="presParOf" srcId="{C3A94D35-B7D1-4B7E-96CD-D88FD5832F24}" destId="{5534FCE9-5775-4D4C-9343-787C22541D02}" srcOrd="0" destOrd="0" presId="urn:microsoft.com/office/officeart/2008/layout/RadialCluster"/>
    <dgm:cxn modelId="{759C4A8D-AB1D-41C4-BFD4-3805688CA39E}" type="presParOf" srcId="{5534FCE9-5775-4D4C-9343-787C22541D02}" destId="{C39B07EA-2796-44F7-B3CB-BCB05C31629B}" srcOrd="0" destOrd="0" presId="urn:microsoft.com/office/officeart/2008/layout/RadialCluster"/>
    <dgm:cxn modelId="{27F3EF1C-FE84-46E6-8FCF-6ADAF5652705}" type="presParOf" srcId="{5534FCE9-5775-4D4C-9343-787C22541D02}" destId="{E78DC31D-4189-4069-8431-25E8CCA249CA}" srcOrd="1" destOrd="0" presId="urn:microsoft.com/office/officeart/2008/layout/RadialCluster"/>
    <dgm:cxn modelId="{0916D570-F7F9-45AA-A8DB-1396EBA1FA2B}" type="presParOf" srcId="{5534FCE9-5775-4D4C-9343-787C22541D02}" destId="{8EF0180D-C137-4A50-B9D9-EB95F279C2F4}" srcOrd="2" destOrd="0" presId="urn:microsoft.com/office/officeart/2008/layout/RadialCluster"/>
    <dgm:cxn modelId="{0B381A4A-557B-494F-BFF2-1A02E06C9FEF}" type="presParOf" srcId="{5534FCE9-5775-4D4C-9343-787C22541D02}" destId="{C8D73E7E-E7D0-41B7-828E-CE3601DCE72E}" srcOrd="3" destOrd="0" presId="urn:microsoft.com/office/officeart/2008/layout/RadialCluster"/>
    <dgm:cxn modelId="{C163F75F-E172-4CD2-8468-8A2C5124D15C}" type="presParOf" srcId="{5534FCE9-5775-4D4C-9343-787C22541D02}" destId="{88342834-4235-445F-8CF8-807CFFA95436}" srcOrd="4" destOrd="0" presId="urn:microsoft.com/office/officeart/2008/layout/RadialCluster"/>
    <dgm:cxn modelId="{2534DA8F-B05A-4E7E-B6CA-331B3C640263}" type="presParOf" srcId="{5534FCE9-5775-4D4C-9343-787C22541D02}" destId="{7CBCCA32-5167-40AF-866E-544716C38191}" srcOrd="5" destOrd="0" presId="urn:microsoft.com/office/officeart/2008/layout/RadialCluster"/>
    <dgm:cxn modelId="{454F5A5D-EE81-454B-95B2-C1F5576D1D0F}" type="presParOf" srcId="{5534FCE9-5775-4D4C-9343-787C22541D02}" destId="{BC186BBC-3CA8-47B3-B5E2-294D1432E3C0}" srcOrd="6" destOrd="0" presId="urn:microsoft.com/office/officeart/2008/layout/RadialCluster"/>
    <dgm:cxn modelId="{6C9EFB72-2D0A-421E-968F-85B487C74346}" type="presParOf" srcId="{5534FCE9-5775-4D4C-9343-787C22541D02}" destId="{4B0D32DC-C9FF-4CC4-8981-31F63B86B99A}" srcOrd="7" destOrd="0" presId="urn:microsoft.com/office/officeart/2008/layout/RadialCluster"/>
    <dgm:cxn modelId="{2B263111-067C-4F88-A6E1-F1DA705C43DE}" type="presParOf" srcId="{5534FCE9-5775-4D4C-9343-787C22541D02}" destId="{B5FCC306-581A-45FF-BED9-FFBAA07B2324}" srcOrd="8" destOrd="0" presId="urn:microsoft.com/office/officeart/2008/layout/RadialCluster"/>
    <dgm:cxn modelId="{88115561-2DF4-4CF6-96C9-B493B86B05CA}" type="presParOf" srcId="{5534FCE9-5775-4D4C-9343-787C22541D02}" destId="{B2D96894-5BE3-4B5F-9A2C-45AD4E3DC9BB}" srcOrd="9" destOrd="0" presId="urn:microsoft.com/office/officeart/2008/layout/RadialCluster"/>
    <dgm:cxn modelId="{8E58C70C-B26F-4378-A5B7-578205900C41}" type="presParOf" srcId="{5534FCE9-5775-4D4C-9343-787C22541D02}" destId="{F1D89C94-0D72-408D-B9BA-DCAFA1D372B4}" srcOrd="10" destOrd="0" presId="urn:microsoft.com/office/officeart/2008/layout/RadialCluster"/>
    <dgm:cxn modelId="{81064D48-3B3D-45B9-819A-14C26F825A1D}" type="presParOf" srcId="{5534FCE9-5775-4D4C-9343-787C22541D02}" destId="{376A60A0-1B21-43D9-980C-5A3FC4634FA1}" srcOrd="11" destOrd="0" presId="urn:microsoft.com/office/officeart/2008/layout/RadialCluster"/>
    <dgm:cxn modelId="{105D4A32-A475-40EA-B0AC-273E835ADA18}" type="presParOf" srcId="{5534FCE9-5775-4D4C-9343-787C22541D02}" destId="{901D2F5E-D8E2-4A75-B5BB-B9E2FED06D69}" srcOrd="12" destOrd="0" presId="urn:microsoft.com/office/officeart/2008/layout/RadialCluster"/>
  </dgm:cxnLst>
  <dgm:bg/>
  <dgm:whole/>
  <dgm:extLst>
    <a:ext uri="http://schemas.microsoft.com/office/drawing/2008/diagram">
      <dsp:dataModelExt xmlns:dsp="http://schemas.microsoft.com/office/drawing/2008/diagram" relId="rId4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6974FE9-A4A5-4560-9338-91A99E900BBC}">
      <dsp:nvSpPr>
        <dsp:cNvPr id="0" name=""/>
        <dsp:cNvSpPr/>
      </dsp:nvSpPr>
      <dsp:spPr>
        <a:xfrm>
          <a:off x="2071" y="364978"/>
          <a:ext cx="1098807" cy="413042"/>
        </a:xfrm>
        <a:prstGeom prst="chevron">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0005" tIns="13335" rIns="13335" bIns="13335" numCol="1" spcCol="1270" anchor="ctr" anchorCtr="0">
          <a:noAutofit/>
        </a:bodyPr>
        <a:lstStyle/>
        <a:p>
          <a:pPr marL="0" lvl="0" indent="0" algn="ctr" defTabSz="444500">
            <a:lnSpc>
              <a:spcPct val="90000"/>
            </a:lnSpc>
            <a:spcBef>
              <a:spcPct val="0"/>
            </a:spcBef>
            <a:spcAft>
              <a:spcPct val="35000"/>
            </a:spcAft>
            <a:buNone/>
          </a:pPr>
          <a:r>
            <a:rPr lang="nl-NL" sz="1000" kern="1200"/>
            <a:t>specificeren</a:t>
          </a:r>
          <a:endParaRPr lang="nl-NL" sz="600" kern="1200"/>
        </a:p>
      </dsp:txBody>
      <dsp:txXfrm>
        <a:off x="208592" y="364978"/>
        <a:ext cx="685765" cy="413042"/>
      </dsp:txXfrm>
    </dsp:sp>
    <dsp:sp modelId="{F58D89B7-CE24-438D-AF28-530D58EDF825}">
      <dsp:nvSpPr>
        <dsp:cNvPr id="0" name=""/>
        <dsp:cNvSpPr/>
      </dsp:nvSpPr>
      <dsp:spPr>
        <a:xfrm>
          <a:off x="997618" y="364978"/>
          <a:ext cx="1102142" cy="413042"/>
        </a:xfrm>
        <a:prstGeom prst="chevron">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0005" tIns="13335" rIns="13335" bIns="13335" numCol="1" spcCol="1270" anchor="ctr" anchorCtr="0">
          <a:noAutofit/>
        </a:bodyPr>
        <a:lstStyle/>
        <a:p>
          <a:pPr marL="0" lvl="0" indent="0" algn="ctr" defTabSz="444500">
            <a:lnSpc>
              <a:spcPct val="90000"/>
            </a:lnSpc>
            <a:spcBef>
              <a:spcPct val="0"/>
            </a:spcBef>
            <a:spcAft>
              <a:spcPct val="35000"/>
            </a:spcAft>
            <a:buNone/>
          </a:pPr>
          <a:r>
            <a:rPr lang="nl-NL" sz="1000" kern="1200"/>
            <a:t>selecteren</a:t>
          </a:r>
        </a:p>
      </dsp:txBody>
      <dsp:txXfrm>
        <a:off x="1204139" y="364978"/>
        <a:ext cx="689100" cy="413042"/>
      </dsp:txXfrm>
    </dsp:sp>
    <dsp:sp modelId="{497B734D-C1A7-4ECB-BD3E-32D2D7B847F2}">
      <dsp:nvSpPr>
        <dsp:cNvPr id="0" name=""/>
        <dsp:cNvSpPr/>
      </dsp:nvSpPr>
      <dsp:spPr>
        <a:xfrm>
          <a:off x="1996499" y="364978"/>
          <a:ext cx="1171936" cy="413042"/>
        </a:xfrm>
        <a:prstGeom prst="chevron">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0005" tIns="13335" rIns="13335" bIns="13335" numCol="1" spcCol="1270" anchor="ctr" anchorCtr="0">
          <a:noAutofit/>
        </a:bodyPr>
        <a:lstStyle/>
        <a:p>
          <a:pPr marL="0" lvl="0" indent="0" algn="ctr" defTabSz="444500">
            <a:lnSpc>
              <a:spcPct val="90000"/>
            </a:lnSpc>
            <a:spcBef>
              <a:spcPct val="0"/>
            </a:spcBef>
            <a:spcAft>
              <a:spcPct val="35000"/>
            </a:spcAft>
            <a:buNone/>
          </a:pPr>
          <a:r>
            <a:rPr lang="nl-NL" sz="1000" kern="1200"/>
            <a:t>contracteren</a:t>
          </a:r>
          <a:endParaRPr lang="nl-NL" sz="600" kern="1200"/>
        </a:p>
      </dsp:txBody>
      <dsp:txXfrm>
        <a:off x="2203020" y="364978"/>
        <a:ext cx="758894" cy="413042"/>
      </dsp:txXfrm>
    </dsp:sp>
    <dsp:sp modelId="{E8F95FFE-FF9C-4AE4-AA68-8FA2F280F12E}">
      <dsp:nvSpPr>
        <dsp:cNvPr id="0" name=""/>
        <dsp:cNvSpPr/>
      </dsp:nvSpPr>
      <dsp:spPr>
        <a:xfrm>
          <a:off x="3065175" y="364978"/>
          <a:ext cx="1032606" cy="413042"/>
        </a:xfrm>
        <a:prstGeom prst="chevron">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0005" tIns="13335" rIns="13335" bIns="13335" numCol="1" spcCol="1270" anchor="ctr" anchorCtr="0">
          <a:noAutofit/>
        </a:bodyPr>
        <a:lstStyle/>
        <a:p>
          <a:pPr marL="0" lvl="0" indent="0" algn="ctr" defTabSz="444500">
            <a:lnSpc>
              <a:spcPct val="90000"/>
            </a:lnSpc>
            <a:spcBef>
              <a:spcPct val="0"/>
            </a:spcBef>
            <a:spcAft>
              <a:spcPct val="35000"/>
            </a:spcAft>
            <a:buNone/>
          </a:pPr>
          <a:r>
            <a:rPr lang="nl-NL" sz="1000" kern="1200"/>
            <a:t>bewaken</a:t>
          </a:r>
          <a:endParaRPr lang="nl-NL" sz="800" kern="1200"/>
        </a:p>
      </dsp:txBody>
      <dsp:txXfrm>
        <a:off x="3271696" y="364978"/>
        <a:ext cx="619564" cy="413042"/>
      </dsp:txXfrm>
    </dsp:sp>
    <dsp:sp modelId="{7DB7F966-6BA2-43FA-8422-1DE45CB9172F}">
      <dsp:nvSpPr>
        <dsp:cNvPr id="0" name=""/>
        <dsp:cNvSpPr/>
      </dsp:nvSpPr>
      <dsp:spPr>
        <a:xfrm>
          <a:off x="3996593" y="355453"/>
          <a:ext cx="1032606" cy="413042"/>
        </a:xfrm>
        <a:prstGeom prst="chevron">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006" tIns="14669" rIns="14669" bIns="14669" numCol="1" spcCol="1270" anchor="ctr" anchorCtr="0">
          <a:noAutofit/>
        </a:bodyPr>
        <a:lstStyle/>
        <a:p>
          <a:pPr marL="0" lvl="0" indent="0" algn="ctr" defTabSz="466725">
            <a:lnSpc>
              <a:spcPct val="90000"/>
            </a:lnSpc>
            <a:spcBef>
              <a:spcPct val="0"/>
            </a:spcBef>
            <a:spcAft>
              <a:spcPct val="35000"/>
            </a:spcAft>
            <a:buNone/>
          </a:pPr>
          <a:r>
            <a:rPr lang="nl-NL" sz="1050" kern="1200"/>
            <a:t>nazorg</a:t>
          </a:r>
          <a:endParaRPr lang="nl-NL" sz="1100" kern="1200"/>
        </a:p>
      </dsp:txBody>
      <dsp:txXfrm>
        <a:off x="4203114" y="355453"/>
        <a:ext cx="619564" cy="413042"/>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39B07EA-2796-44F7-B3CB-BCB05C31629B}">
      <dsp:nvSpPr>
        <dsp:cNvPr id="0" name=""/>
        <dsp:cNvSpPr/>
      </dsp:nvSpPr>
      <dsp:spPr>
        <a:xfrm>
          <a:off x="2729532" y="2566376"/>
          <a:ext cx="1616069" cy="254143"/>
        </a:xfrm>
        <a:prstGeom prst="roundRect">
          <a:avLst/>
        </a:prstGeom>
        <a:solidFill>
          <a:schemeClr val="accent1">
            <a:lumMod val="50000"/>
          </a:schemeClr>
        </a:solidFill>
        <a:ln w="12700" cap="flat" cmpd="sng" algn="ctr">
          <a:solidFill>
            <a:schemeClr val="accent1">
              <a:lumMod val="5000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7940" rIns="27940" bIns="27940" numCol="1" spcCol="1270" anchor="ctr" anchorCtr="0">
          <a:noAutofit/>
        </a:bodyPr>
        <a:lstStyle/>
        <a:p>
          <a:pPr marL="0" lvl="0" indent="0" algn="ctr" defTabSz="488950">
            <a:lnSpc>
              <a:spcPct val="90000"/>
            </a:lnSpc>
            <a:spcBef>
              <a:spcPct val="0"/>
            </a:spcBef>
            <a:spcAft>
              <a:spcPct val="35000"/>
            </a:spcAft>
            <a:buNone/>
          </a:pPr>
          <a:r>
            <a:rPr lang="en-US" sz="1100" b="1" kern="1200">
              <a:solidFill>
                <a:schemeClr val="bg1"/>
              </a:solidFill>
            </a:rPr>
            <a:t>Zichtbaar patroon</a:t>
          </a:r>
        </a:p>
      </dsp:txBody>
      <dsp:txXfrm>
        <a:off x="2741938" y="2578782"/>
        <a:ext cx="1591257" cy="229331"/>
      </dsp:txXfrm>
    </dsp:sp>
    <dsp:sp modelId="{E78DC31D-4189-4069-8431-25E8CCA249CA}">
      <dsp:nvSpPr>
        <dsp:cNvPr id="0" name=""/>
        <dsp:cNvSpPr/>
      </dsp:nvSpPr>
      <dsp:spPr>
        <a:xfrm rot="16200000">
          <a:off x="2806396" y="1835206"/>
          <a:ext cx="1462341" cy="0"/>
        </a:xfrm>
        <a:custGeom>
          <a:avLst/>
          <a:gdLst/>
          <a:ahLst/>
          <a:cxnLst/>
          <a:rect l="0" t="0" r="0" b="0"/>
          <a:pathLst>
            <a:path>
              <a:moveTo>
                <a:pt x="0" y="0"/>
              </a:moveTo>
              <a:lnTo>
                <a:pt x="1462341" y="0"/>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EF0180D-C137-4A50-B9D9-EB95F279C2F4}">
      <dsp:nvSpPr>
        <dsp:cNvPr id="0" name=""/>
        <dsp:cNvSpPr/>
      </dsp:nvSpPr>
      <dsp:spPr>
        <a:xfrm>
          <a:off x="1780405" y="21268"/>
          <a:ext cx="3514323" cy="1082766"/>
        </a:xfrm>
        <a:prstGeom prst="round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5400" tIns="25400" rIns="25400" bIns="25400" numCol="1" spcCol="1270" anchor="ctr" anchorCtr="0">
          <a:noAutofit/>
        </a:bodyPr>
        <a:lstStyle/>
        <a:p>
          <a:pPr marL="0" lvl="0" indent="0" algn="ctr" defTabSz="444500">
            <a:lnSpc>
              <a:spcPct val="90000"/>
            </a:lnSpc>
            <a:spcBef>
              <a:spcPct val="0"/>
            </a:spcBef>
            <a:spcAft>
              <a:spcPct val="35000"/>
            </a:spcAft>
            <a:buNone/>
          </a:pPr>
          <a:r>
            <a:rPr lang="en-US" sz="1000" b="1" kern="1200"/>
            <a:t>Vertrouwen</a:t>
          </a:r>
          <a:r>
            <a:rPr lang="en-US" sz="1000" kern="1200"/>
            <a:t>:</a:t>
          </a:r>
        </a:p>
        <a:p>
          <a:pPr marL="0" lvl="0" indent="0" algn="ctr" defTabSz="444500">
            <a:lnSpc>
              <a:spcPct val="90000"/>
            </a:lnSpc>
            <a:spcBef>
              <a:spcPct val="0"/>
            </a:spcBef>
            <a:spcAft>
              <a:spcPct val="35000"/>
            </a:spcAft>
            <a:buNone/>
          </a:pPr>
          <a:r>
            <a:rPr lang="nl-NL" sz="1000" kern="1200"/>
            <a:t>▪ Vertrouwen is gebouwd op eerdere ervaringen en vormt basis voor toekomstige beslissingen </a:t>
          </a:r>
        </a:p>
        <a:p>
          <a:pPr marL="0" lvl="0" indent="0" algn="ctr" defTabSz="444500">
            <a:lnSpc>
              <a:spcPct val="90000"/>
            </a:lnSpc>
            <a:spcBef>
              <a:spcPct val="0"/>
            </a:spcBef>
            <a:spcAft>
              <a:spcPct val="35000"/>
            </a:spcAft>
            <a:buNone/>
          </a:pPr>
          <a:r>
            <a:rPr lang="nl-NL" sz="1000" kern="1200"/>
            <a:t>▪ Vertrouwen in groter in lokale leveranciers vanwege bereikbaarheid en toegankelijkheid</a:t>
          </a:r>
          <a:endParaRPr lang="en-US" sz="1000" kern="1200"/>
        </a:p>
      </dsp:txBody>
      <dsp:txXfrm>
        <a:off x="1833261" y="74124"/>
        <a:ext cx="3408611" cy="977054"/>
      </dsp:txXfrm>
    </dsp:sp>
    <dsp:sp modelId="{C8D73E7E-E7D0-41B7-828E-CE3601DCE72E}">
      <dsp:nvSpPr>
        <dsp:cNvPr id="0" name=""/>
        <dsp:cNvSpPr/>
      </dsp:nvSpPr>
      <dsp:spPr>
        <a:xfrm rot="19907226">
          <a:off x="3738126" y="2421927"/>
          <a:ext cx="611105" cy="0"/>
        </a:xfrm>
        <a:custGeom>
          <a:avLst/>
          <a:gdLst/>
          <a:ahLst/>
          <a:cxnLst/>
          <a:rect l="0" t="0" r="0" b="0"/>
          <a:pathLst>
            <a:path>
              <a:moveTo>
                <a:pt x="0" y="0"/>
              </a:moveTo>
              <a:lnTo>
                <a:pt x="611105" y="0"/>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8342834-4235-445F-8CF8-807CFFA95436}">
      <dsp:nvSpPr>
        <dsp:cNvPr id="0" name=""/>
        <dsp:cNvSpPr/>
      </dsp:nvSpPr>
      <dsp:spPr>
        <a:xfrm>
          <a:off x="3842689" y="1110114"/>
          <a:ext cx="3116428" cy="1167362"/>
        </a:xfrm>
        <a:prstGeom prst="round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5400" tIns="25400" rIns="25400" bIns="25400" numCol="1" spcCol="1270" anchor="ctr" anchorCtr="0">
          <a:noAutofit/>
        </a:bodyPr>
        <a:lstStyle/>
        <a:p>
          <a:pPr marL="0" lvl="0" indent="0" algn="ctr" defTabSz="444500">
            <a:lnSpc>
              <a:spcPct val="90000"/>
            </a:lnSpc>
            <a:spcBef>
              <a:spcPct val="0"/>
            </a:spcBef>
            <a:spcAft>
              <a:spcPct val="35000"/>
            </a:spcAft>
            <a:buNone/>
          </a:pPr>
          <a:r>
            <a:rPr lang="en-US" sz="1000" b="1" kern="1200"/>
            <a:t>Kennis en expertise</a:t>
          </a:r>
          <a:r>
            <a:rPr lang="en-US" sz="1000" kern="1200"/>
            <a:t>:</a:t>
          </a:r>
        </a:p>
        <a:p>
          <a:pPr marL="0" lvl="0" indent="0" algn="ctr" defTabSz="444500">
            <a:lnSpc>
              <a:spcPct val="90000"/>
            </a:lnSpc>
            <a:spcBef>
              <a:spcPct val="0"/>
            </a:spcBef>
            <a:spcAft>
              <a:spcPct val="35000"/>
            </a:spcAft>
            <a:buNone/>
          </a:pPr>
          <a:r>
            <a:rPr lang="nl-NL" sz="1000" kern="1200"/>
            <a:t>▪ Aanwezigheid van kennisachterstand en asymmetrie wordt deels herkent, maar dit wordt niet als een belemmering gezien voor efficiënt inkoop</a:t>
          </a:r>
        </a:p>
        <a:p>
          <a:pPr marL="0" lvl="0" indent="0" algn="ctr" defTabSz="444500">
            <a:lnSpc>
              <a:spcPct val="90000"/>
            </a:lnSpc>
            <a:spcBef>
              <a:spcPct val="0"/>
            </a:spcBef>
            <a:spcAft>
              <a:spcPct val="35000"/>
            </a:spcAft>
            <a:buNone/>
          </a:pPr>
          <a:r>
            <a:rPr lang="nl-NL" sz="1000" kern="1200"/>
            <a:t>▪ Een meerderheid heeft zich gespecialiseerd in ICT</a:t>
          </a:r>
        </a:p>
        <a:p>
          <a:pPr marL="0" lvl="0" indent="0" algn="ctr" defTabSz="444500">
            <a:lnSpc>
              <a:spcPct val="90000"/>
            </a:lnSpc>
            <a:spcBef>
              <a:spcPct val="0"/>
            </a:spcBef>
            <a:spcAft>
              <a:spcPct val="35000"/>
            </a:spcAft>
            <a:buNone/>
          </a:pPr>
          <a:r>
            <a:rPr lang="nl-NL" sz="1000" kern="1200"/>
            <a:t>▪ Specialistische kernteams</a:t>
          </a:r>
          <a:endParaRPr lang="en-US" sz="1000" kern="1200"/>
        </a:p>
      </dsp:txBody>
      <dsp:txXfrm>
        <a:off x="3899675" y="1167100"/>
        <a:ext cx="3002456" cy="1053390"/>
      </dsp:txXfrm>
    </dsp:sp>
    <dsp:sp modelId="{7CBCCA32-5167-40AF-866E-544716C38191}">
      <dsp:nvSpPr>
        <dsp:cNvPr id="0" name=""/>
        <dsp:cNvSpPr/>
      </dsp:nvSpPr>
      <dsp:spPr>
        <a:xfrm rot="1800000">
          <a:off x="3703087" y="3024193"/>
          <a:ext cx="814693" cy="0"/>
        </a:xfrm>
        <a:custGeom>
          <a:avLst/>
          <a:gdLst/>
          <a:ahLst/>
          <a:cxnLst/>
          <a:rect l="0" t="0" r="0" b="0"/>
          <a:pathLst>
            <a:path>
              <a:moveTo>
                <a:pt x="0" y="0"/>
              </a:moveTo>
              <a:lnTo>
                <a:pt x="814693" y="0"/>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C186BBC-3CA8-47B3-B5E2-294D1432E3C0}">
      <dsp:nvSpPr>
        <dsp:cNvPr id="0" name=""/>
        <dsp:cNvSpPr/>
      </dsp:nvSpPr>
      <dsp:spPr>
        <a:xfrm>
          <a:off x="3847697" y="3227866"/>
          <a:ext cx="3106424" cy="1082766"/>
        </a:xfrm>
        <a:prstGeom prst="round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5400" tIns="25400" rIns="25400" bIns="25400" numCol="1" spcCol="1270" anchor="ctr" anchorCtr="0">
          <a:noAutofit/>
        </a:bodyPr>
        <a:lstStyle/>
        <a:p>
          <a:pPr marL="0" lvl="0" indent="0" algn="ctr" defTabSz="444500">
            <a:lnSpc>
              <a:spcPct val="90000"/>
            </a:lnSpc>
            <a:spcBef>
              <a:spcPct val="0"/>
            </a:spcBef>
            <a:spcAft>
              <a:spcPct val="35000"/>
            </a:spcAft>
            <a:buNone/>
          </a:pPr>
          <a:r>
            <a:rPr lang="en-US" sz="1000" b="1" kern="1200"/>
            <a:t>Relatie opdrachtgeverschap</a:t>
          </a:r>
          <a:r>
            <a:rPr lang="en-US" sz="1000" kern="1200"/>
            <a:t>:</a:t>
          </a:r>
        </a:p>
        <a:p>
          <a:pPr marL="0" lvl="0" indent="0" algn="ctr" defTabSz="444500">
            <a:lnSpc>
              <a:spcPct val="90000"/>
            </a:lnSpc>
            <a:spcBef>
              <a:spcPct val="0"/>
            </a:spcBef>
            <a:spcAft>
              <a:spcPct val="35000"/>
            </a:spcAft>
            <a:buNone/>
          </a:pPr>
          <a:r>
            <a:rPr lang="nl-NL" sz="1000" kern="1200"/>
            <a:t>▪ Direct en persoonlijk op basis van wederzijdse vertrouwen</a:t>
          </a:r>
        </a:p>
        <a:p>
          <a:pPr marL="0" lvl="0" indent="0" algn="ctr" defTabSz="444500">
            <a:lnSpc>
              <a:spcPct val="90000"/>
            </a:lnSpc>
            <a:spcBef>
              <a:spcPct val="0"/>
            </a:spcBef>
            <a:spcAft>
              <a:spcPct val="35000"/>
            </a:spcAft>
            <a:buNone/>
          </a:pPr>
          <a:r>
            <a:rPr lang="nl-NL" sz="1000" kern="1200"/>
            <a:t>▪ Voorkeur voor partnershap en coöperatie</a:t>
          </a:r>
          <a:endParaRPr lang="en-US" sz="1000" kern="1200"/>
        </a:p>
      </dsp:txBody>
      <dsp:txXfrm>
        <a:off x="3900553" y="3280722"/>
        <a:ext cx="3000712" cy="977054"/>
      </dsp:txXfrm>
    </dsp:sp>
    <dsp:sp modelId="{4B0D32DC-C9FF-4CC4-8981-31F63B86B99A}">
      <dsp:nvSpPr>
        <dsp:cNvPr id="0" name=""/>
        <dsp:cNvSpPr/>
      </dsp:nvSpPr>
      <dsp:spPr>
        <a:xfrm rot="5400000">
          <a:off x="2795993" y="3562093"/>
          <a:ext cx="1483147" cy="0"/>
        </a:xfrm>
        <a:custGeom>
          <a:avLst/>
          <a:gdLst/>
          <a:ahLst/>
          <a:cxnLst/>
          <a:rect l="0" t="0" r="0" b="0"/>
          <a:pathLst>
            <a:path>
              <a:moveTo>
                <a:pt x="0" y="0"/>
              </a:moveTo>
              <a:lnTo>
                <a:pt x="1483147" y="0"/>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5FCC306-581A-45FF-BED9-FFBAA07B2324}">
      <dsp:nvSpPr>
        <dsp:cNvPr id="0" name=""/>
        <dsp:cNvSpPr/>
      </dsp:nvSpPr>
      <dsp:spPr>
        <a:xfrm>
          <a:off x="1719402" y="4303667"/>
          <a:ext cx="3636329" cy="1082766"/>
        </a:xfrm>
        <a:prstGeom prst="round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5400" tIns="25400" rIns="25400" bIns="25400" numCol="1" spcCol="1270" anchor="ctr" anchorCtr="0">
          <a:noAutofit/>
        </a:bodyPr>
        <a:lstStyle/>
        <a:p>
          <a:pPr marL="0" lvl="0" indent="0" algn="ctr" defTabSz="444500">
            <a:lnSpc>
              <a:spcPct val="90000"/>
            </a:lnSpc>
            <a:spcBef>
              <a:spcPct val="0"/>
            </a:spcBef>
            <a:spcAft>
              <a:spcPct val="35000"/>
            </a:spcAft>
            <a:buNone/>
          </a:pPr>
          <a:r>
            <a:rPr lang="en-US" sz="1000" b="1" kern="1200"/>
            <a:t>Gezamenlijke</a:t>
          </a:r>
          <a:r>
            <a:rPr lang="en-US" sz="1000" kern="1200"/>
            <a:t> </a:t>
          </a:r>
          <a:r>
            <a:rPr lang="en-US" sz="1000" b="1" kern="1200"/>
            <a:t>inkoop</a:t>
          </a:r>
          <a:r>
            <a:rPr lang="en-US" sz="1000" kern="1200"/>
            <a:t>:</a:t>
          </a:r>
        </a:p>
        <a:p>
          <a:pPr marL="0" lvl="0" indent="0" algn="ctr" defTabSz="444500">
            <a:lnSpc>
              <a:spcPct val="90000"/>
            </a:lnSpc>
            <a:spcBef>
              <a:spcPct val="0"/>
            </a:spcBef>
            <a:spcAft>
              <a:spcPct val="35000"/>
            </a:spcAft>
            <a:buNone/>
          </a:pPr>
          <a:r>
            <a:rPr lang="nl-NL" sz="1000" kern="1200"/>
            <a:t>▪ Bijna alle scholen kopen gemeenschappelijk in, gericht op efficiëntie, professionalisering en ontzorgen van scholen</a:t>
          </a:r>
        </a:p>
        <a:p>
          <a:pPr marL="0" lvl="0" indent="0" algn="ctr" defTabSz="444500">
            <a:lnSpc>
              <a:spcPct val="90000"/>
            </a:lnSpc>
            <a:spcBef>
              <a:spcPct val="0"/>
            </a:spcBef>
            <a:spcAft>
              <a:spcPct val="35000"/>
            </a:spcAft>
            <a:buNone/>
          </a:pPr>
          <a:r>
            <a:rPr lang="nl-NL" sz="1000" kern="1200"/>
            <a:t>▪ Gedeelde materiële middelen</a:t>
          </a:r>
        </a:p>
        <a:p>
          <a:pPr marL="0" lvl="0" indent="0" algn="ctr" defTabSz="444500">
            <a:lnSpc>
              <a:spcPct val="90000"/>
            </a:lnSpc>
            <a:spcBef>
              <a:spcPct val="0"/>
            </a:spcBef>
            <a:spcAft>
              <a:spcPct val="35000"/>
            </a:spcAft>
            <a:buNone/>
          </a:pPr>
          <a:r>
            <a:rPr lang="nl-NL" sz="1000" kern="1200"/>
            <a:t>▪ Zien risico’s als verlies van autonomie en wendbaarheid</a:t>
          </a:r>
          <a:endParaRPr lang="en-US" sz="1000" kern="1200"/>
        </a:p>
      </dsp:txBody>
      <dsp:txXfrm>
        <a:off x="1772258" y="4356523"/>
        <a:ext cx="3530617" cy="977054"/>
      </dsp:txXfrm>
    </dsp:sp>
    <dsp:sp modelId="{B2D96894-5BE3-4B5F-9A2C-45AD4E3DC9BB}">
      <dsp:nvSpPr>
        <dsp:cNvPr id="0" name=""/>
        <dsp:cNvSpPr/>
      </dsp:nvSpPr>
      <dsp:spPr>
        <a:xfrm rot="9000000">
          <a:off x="2557354" y="3024193"/>
          <a:ext cx="814693" cy="0"/>
        </a:xfrm>
        <a:custGeom>
          <a:avLst/>
          <a:gdLst/>
          <a:ahLst/>
          <a:cxnLst/>
          <a:rect l="0" t="0" r="0" b="0"/>
          <a:pathLst>
            <a:path>
              <a:moveTo>
                <a:pt x="0" y="0"/>
              </a:moveTo>
              <a:lnTo>
                <a:pt x="814693" y="0"/>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1D89C94-0D72-408D-B9BA-DCAFA1D372B4}">
      <dsp:nvSpPr>
        <dsp:cNvPr id="0" name=""/>
        <dsp:cNvSpPr/>
      </dsp:nvSpPr>
      <dsp:spPr>
        <a:xfrm>
          <a:off x="37098" y="3227866"/>
          <a:ext cx="3274252" cy="1082766"/>
        </a:xfrm>
        <a:prstGeom prst="round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5400" tIns="25400" rIns="25400" bIns="25400" numCol="1" spcCol="1270" anchor="ctr" anchorCtr="0">
          <a:noAutofit/>
        </a:bodyPr>
        <a:lstStyle/>
        <a:p>
          <a:pPr marL="0" lvl="0" indent="0" algn="ctr" defTabSz="444500">
            <a:lnSpc>
              <a:spcPct val="90000"/>
            </a:lnSpc>
            <a:spcBef>
              <a:spcPct val="0"/>
            </a:spcBef>
            <a:spcAft>
              <a:spcPct val="35000"/>
            </a:spcAft>
            <a:buNone/>
          </a:pPr>
          <a:endParaRPr lang="en-US" sz="1000" b="1" kern="1200"/>
        </a:p>
        <a:p>
          <a:pPr marL="0" lvl="0" indent="0" algn="ctr" defTabSz="444500">
            <a:lnSpc>
              <a:spcPct val="90000"/>
            </a:lnSpc>
            <a:spcBef>
              <a:spcPct val="0"/>
            </a:spcBef>
            <a:spcAft>
              <a:spcPct val="35000"/>
            </a:spcAft>
            <a:buNone/>
          </a:pPr>
          <a:r>
            <a:rPr lang="en-US" sz="1000" b="1" kern="1200"/>
            <a:t>Professionalisering</a:t>
          </a:r>
          <a:r>
            <a:rPr lang="en-US" sz="1000" kern="1200"/>
            <a:t>:</a:t>
          </a:r>
        </a:p>
        <a:p>
          <a:pPr marL="0" lvl="0" indent="0" algn="ctr" defTabSz="444500">
            <a:lnSpc>
              <a:spcPct val="90000"/>
            </a:lnSpc>
            <a:spcBef>
              <a:spcPct val="0"/>
            </a:spcBef>
            <a:spcAft>
              <a:spcPct val="35000"/>
            </a:spcAft>
            <a:buNone/>
          </a:pPr>
          <a:r>
            <a:rPr lang="nl-NL" sz="1000" kern="1200"/>
            <a:t>▪ Actieve (technische) scholing van medewerkers</a:t>
          </a:r>
        </a:p>
        <a:p>
          <a:pPr marL="0" lvl="0" indent="0" algn="ctr" defTabSz="444500">
            <a:lnSpc>
              <a:spcPct val="90000"/>
            </a:lnSpc>
            <a:spcBef>
              <a:spcPct val="0"/>
            </a:spcBef>
            <a:spcAft>
              <a:spcPct val="35000"/>
            </a:spcAft>
            <a:buNone/>
          </a:pPr>
          <a:r>
            <a:rPr lang="nl-NL" sz="1000" kern="1200"/>
            <a:t>▪ Weinig aandacht voor evaluaties en externe deskundigheid </a:t>
          </a:r>
        </a:p>
        <a:p>
          <a:pPr marL="0" lvl="0" indent="0" algn="ctr" defTabSz="444500">
            <a:lnSpc>
              <a:spcPct val="90000"/>
            </a:lnSpc>
            <a:spcBef>
              <a:spcPct val="0"/>
            </a:spcBef>
            <a:spcAft>
              <a:spcPct val="35000"/>
            </a:spcAft>
            <a:buNone/>
          </a:pPr>
          <a:r>
            <a:rPr lang="nl-NL" sz="1000" kern="1200"/>
            <a:t>▪ Geen gebruik van inkoopmodellen en het inkoopproces </a:t>
          </a:r>
        </a:p>
        <a:p>
          <a:pPr marL="0" lvl="0" indent="0" algn="ctr" defTabSz="444500">
            <a:lnSpc>
              <a:spcPct val="90000"/>
            </a:lnSpc>
            <a:spcBef>
              <a:spcPct val="0"/>
            </a:spcBef>
            <a:spcAft>
              <a:spcPct val="35000"/>
            </a:spcAft>
            <a:buNone/>
          </a:pPr>
          <a:endParaRPr lang="en-US" sz="1200" kern="1200"/>
        </a:p>
      </dsp:txBody>
      <dsp:txXfrm>
        <a:off x="89954" y="3280722"/>
        <a:ext cx="3168540" cy="977054"/>
      </dsp:txXfrm>
    </dsp:sp>
    <dsp:sp modelId="{376A60A0-1B21-43D9-980C-5A3FC4634FA1}">
      <dsp:nvSpPr>
        <dsp:cNvPr id="0" name=""/>
        <dsp:cNvSpPr/>
      </dsp:nvSpPr>
      <dsp:spPr>
        <a:xfrm rot="12491532">
          <a:off x="2726962" y="2422355"/>
          <a:ext cx="609705" cy="0"/>
        </a:xfrm>
        <a:custGeom>
          <a:avLst/>
          <a:gdLst/>
          <a:ahLst/>
          <a:cxnLst/>
          <a:rect l="0" t="0" r="0" b="0"/>
          <a:pathLst>
            <a:path>
              <a:moveTo>
                <a:pt x="0" y="0"/>
              </a:moveTo>
              <a:lnTo>
                <a:pt x="609705" y="0"/>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01D2F5E-D8E2-4A75-B5BB-B9E2FED06D69}">
      <dsp:nvSpPr>
        <dsp:cNvPr id="0" name=""/>
        <dsp:cNvSpPr/>
      </dsp:nvSpPr>
      <dsp:spPr>
        <a:xfrm>
          <a:off x="67196" y="1110970"/>
          <a:ext cx="3214029" cy="1167362"/>
        </a:xfrm>
        <a:prstGeom prst="round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5400" tIns="25400" rIns="25400" bIns="25400" numCol="1" spcCol="1270" anchor="ctr" anchorCtr="0">
          <a:noAutofit/>
        </a:bodyPr>
        <a:lstStyle/>
        <a:p>
          <a:pPr marL="0" lvl="0" indent="0" algn="ctr" defTabSz="444500">
            <a:lnSpc>
              <a:spcPct val="90000"/>
            </a:lnSpc>
            <a:spcBef>
              <a:spcPct val="0"/>
            </a:spcBef>
            <a:spcAft>
              <a:spcPct val="35000"/>
            </a:spcAft>
            <a:buNone/>
          </a:pPr>
          <a:endParaRPr lang="en-US" sz="1000" b="1" kern="1200"/>
        </a:p>
        <a:p>
          <a:pPr marL="0" lvl="0" indent="0" algn="ctr" defTabSz="444500">
            <a:lnSpc>
              <a:spcPct val="90000"/>
            </a:lnSpc>
            <a:spcBef>
              <a:spcPct val="0"/>
            </a:spcBef>
            <a:spcAft>
              <a:spcPct val="35000"/>
            </a:spcAft>
            <a:buNone/>
          </a:pPr>
          <a:r>
            <a:rPr lang="en-US" sz="1000" b="1" kern="1200"/>
            <a:t>Institutionele</a:t>
          </a:r>
          <a:r>
            <a:rPr lang="en-US" sz="1000" kern="1200"/>
            <a:t> </a:t>
          </a:r>
          <a:r>
            <a:rPr lang="en-US" sz="1000" b="1" kern="1200"/>
            <a:t>setting</a:t>
          </a:r>
          <a:r>
            <a:rPr lang="en-US" sz="1000" kern="1200"/>
            <a:t>: </a:t>
          </a:r>
        </a:p>
        <a:p>
          <a:pPr marL="0" lvl="0" indent="0" algn="ctr" defTabSz="444500">
            <a:lnSpc>
              <a:spcPct val="90000"/>
            </a:lnSpc>
            <a:spcBef>
              <a:spcPct val="0"/>
            </a:spcBef>
            <a:spcAft>
              <a:spcPct val="35000"/>
            </a:spcAft>
            <a:buNone/>
          </a:pPr>
          <a:r>
            <a:rPr lang="nl-NL" sz="1000" kern="1200"/>
            <a:t>▪ Institutionele setting heeft geen invloed op werkwijze van de inkopers</a:t>
          </a:r>
        </a:p>
        <a:p>
          <a:pPr marL="0" lvl="0" indent="0" algn="ctr" defTabSz="444500">
            <a:lnSpc>
              <a:spcPct val="90000"/>
            </a:lnSpc>
            <a:spcBef>
              <a:spcPct val="0"/>
            </a:spcBef>
            <a:spcAft>
              <a:spcPct val="35000"/>
            </a:spcAft>
            <a:buNone/>
          </a:pPr>
          <a:r>
            <a:rPr lang="nl-NL" sz="1000" kern="1200"/>
            <a:t>▪ Voldoen aan de Aanbestedingswet</a:t>
          </a:r>
        </a:p>
        <a:p>
          <a:pPr marL="0" lvl="0" indent="0" algn="ctr" defTabSz="444500">
            <a:lnSpc>
              <a:spcPct val="90000"/>
            </a:lnSpc>
            <a:spcBef>
              <a:spcPct val="0"/>
            </a:spcBef>
            <a:spcAft>
              <a:spcPct val="35000"/>
            </a:spcAft>
            <a:buNone/>
          </a:pPr>
          <a:r>
            <a:rPr lang="nl-NL" sz="1000" kern="1200"/>
            <a:t>▪ Continuïteit onderwijs als belangrijkste drijfveer </a:t>
          </a:r>
        </a:p>
        <a:p>
          <a:pPr marL="0" lvl="0" indent="0" algn="ctr" defTabSz="444500">
            <a:lnSpc>
              <a:spcPct val="90000"/>
            </a:lnSpc>
            <a:spcBef>
              <a:spcPct val="0"/>
            </a:spcBef>
            <a:spcAft>
              <a:spcPct val="35000"/>
            </a:spcAft>
            <a:buNone/>
          </a:pPr>
          <a:r>
            <a:rPr lang="nl-NL" sz="1000" kern="1200"/>
            <a:t>▪ Geen sprake van veelheid aan verdeelde loyaliteiten </a:t>
          </a:r>
        </a:p>
        <a:p>
          <a:pPr marL="0" lvl="0" indent="0" algn="ctr" defTabSz="444500">
            <a:lnSpc>
              <a:spcPct val="90000"/>
            </a:lnSpc>
            <a:spcBef>
              <a:spcPct val="0"/>
            </a:spcBef>
            <a:spcAft>
              <a:spcPct val="35000"/>
            </a:spcAft>
            <a:buNone/>
          </a:pPr>
          <a:endParaRPr lang="en-US" sz="1050" kern="1200"/>
        </a:p>
      </dsp:txBody>
      <dsp:txXfrm>
        <a:off x="124182" y="1167956"/>
        <a:ext cx="3100057" cy="1053390"/>
      </dsp:txXfrm>
    </dsp:sp>
  </dsp:spTree>
</dsp:drawing>
</file>

<file path=word/diagrams/layout1.xml><?xml version="1.0" encoding="utf-8"?>
<dgm:layoutDef xmlns:dgm="http://schemas.openxmlformats.org/drawingml/2006/diagram" xmlns:a="http://schemas.openxmlformats.org/drawingml/2006/main" uniqueId="urn:microsoft.com/office/officeart/2005/8/layout/chevron1">
  <dgm:title val=""/>
  <dgm:desc val=""/>
  <dgm:catLst>
    <dgm:cat type="process" pri="9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des" func="maxDepth" op="gte" val="2">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1.5"/>
          <dgm:constr type="h" for="des" forName="desTx" refType="primFontSz" refFor="des" refForName="parTx" fact="0.5"/>
          <dgm:constr type="w" for="ch" forName="space" op="equ" val="-6"/>
        </dgm:constrLst>
        <dgm:ruleLst>
          <dgm:rule type="w" for="ch" forName="composite" val="0" fact="NaN" max="NaN"/>
          <dgm:rule type="primFontSz" for="des" forName="parTx" val="5" fact="NaN" max="NaN"/>
        </dgm:ruleLst>
        <dgm:forEach name="Name6" axis="ch" ptType="node">
          <dgm:layoutNode name="composite">
            <dgm:alg type="composite"/>
            <dgm:shape xmlns:r="http://schemas.openxmlformats.org/officeDocument/2006/relationships" r:blip="">
              <dgm:adjLst/>
            </dgm:shape>
            <dgm:presOf/>
            <dgm:choose name="Name7">
              <dgm:if name="Name8" func="var" arg="dir" op="equ" val="norm">
                <dgm:constrLst>
                  <dgm:constr type="l" for="ch" forName="parTx"/>
                  <dgm:constr type="w" for="ch" forName="parTx" refType="w"/>
                  <dgm:constr type="t" for="ch" forName="parTx"/>
                  <dgm:constr type="l" for="ch" forName="desTx"/>
                  <dgm:constr type="w" for="ch" forName="desTx" refType="w" refFor="ch" refForName="parTx" fact="0.8"/>
                  <dgm:constr type="t" for="ch" forName="desTx" refType="h" refFor="ch" refForName="parTx" fact="1.125"/>
                </dgm:constrLst>
              </dgm:if>
              <dgm:else name="Name9">
                <dgm:constrLst>
                  <dgm:constr type="l" for="ch" forName="parTx"/>
                  <dgm:constr type="w" for="ch" forName="parTx" refType="w"/>
                  <dgm:constr type="t" for="ch" forName="parTx"/>
                  <dgm:constr type="l" for="ch" forName="desTx" refType="w" fact="0.2"/>
                  <dgm:constr type="w" for="ch" forName="desTx" refType="w" refFor="ch" refForName="parTx" fact="0.8"/>
                  <dgm:constr type="t" for="ch" forName="desTx" refType="h" refFor="ch" refForName="parTx" fact="1.125"/>
                </dgm:constrLst>
              </dgm:else>
            </dgm:choose>
            <dgm:ruleLst>
              <dgm:rule type="h" val="INF" fact="NaN" max="NaN"/>
            </dgm:ruleLst>
            <dgm:layoutNode name="parTx">
              <dgm:varLst>
                <dgm:chMax val="0"/>
                <dgm:chPref val="0"/>
                <dgm:bulletEnabled val="1"/>
              </dgm:varLst>
              <dgm:alg type="tx"/>
              <dgm:choose name="Name10">
                <dgm:if name="Name11" func="var" arg="dir" op="equ" val="norm">
                  <dgm:shape xmlns:r="http://schemas.openxmlformats.org/officeDocument/2006/relationships" type="chevron" r:blip="">
                    <dgm:adjLst/>
                  </dgm:shape>
                </dgm:if>
                <dgm:else name="Name12">
                  <dgm:shape xmlns:r="http://schemas.openxmlformats.org/officeDocument/2006/relationships" rot="180" type="chevron" r:blip="">
                    <dgm:adjLst/>
                  </dgm:shape>
                </dgm:else>
              </dgm:choose>
              <dgm:presOf axis="self" ptType="node"/>
              <dgm:choose name="Name13">
                <dgm:if name="Name14" func="var" arg="dir" op="equ" val="norm">
                  <dgm:constrLst>
                    <dgm:constr type="h" refType="w" op="lte" fact="0.4"/>
                    <dgm:constr type="h"/>
                    <dgm:constr type="tMarg" refType="primFontSz" fact="0.105"/>
                    <dgm:constr type="bMarg" refType="primFontSz" fact="0.105"/>
                    <dgm:constr type="lMarg" refType="primFontSz" fact="0.315"/>
                    <dgm:constr type="rMarg" refType="primFontSz" fact="0.105"/>
                  </dgm:constrLst>
                </dgm:if>
                <dgm:else name="Name15">
                  <dgm:constrLst>
                    <dgm:constr type="h" refType="w" op="lte" fact="0.4"/>
                    <dgm:constr type="h"/>
                    <dgm:constr type="tMarg" refType="primFontSz" fact="0.105"/>
                    <dgm:constr type="bMarg" refType="primFontSz" fact="0.105"/>
                    <dgm:constr type="lMarg" refType="primFontSz" fact="0.105"/>
                    <dgm:constr type="rMarg" refType="primFontSz" fact="0.315"/>
                  </dgm:constrLst>
                </dgm:else>
              </dgm:choose>
              <dgm:ruleLst>
                <dgm:rule type="h" val="INF" fact="NaN" max="NaN"/>
              </dgm:ruleLst>
            </dgm:layoutNode>
            <dgm:layoutNode name="desTx" styleLbl="revTx">
              <dgm:varLst>
                <dgm:bulletEnabled val="1"/>
              </dgm:varLst>
              <dgm:alg type="tx">
                <dgm:param type="stBulletLvl" val="1"/>
              </dgm:alg>
              <dgm:choose name="Name16">
                <dgm:if name="Name17" axis="ch" ptType="node" func="cnt" op="gte" val="1">
                  <dgm:shape xmlns:r="http://schemas.openxmlformats.org/officeDocument/2006/relationships" type="rect" r:blip="">
                    <dgm:adjLst/>
                  </dgm:shape>
                </dgm:if>
                <dgm:else name="Name18">
                  <dgm:shape xmlns:r="http://schemas.openxmlformats.org/officeDocument/2006/relationships" type="rect" r:blip="" hideGeom="1">
                    <dgm:adjLst/>
                  </dgm:shape>
                </dgm:else>
              </dgm:choose>
              <dgm:presOf axis="des" ptType="node"/>
              <dgm:constrLst>
                <dgm:constr type="secFontSz" val="65"/>
                <dgm:constr type="primFontSz" refType="secFontSz"/>
                <dgm:constr type="h"/>
                <dgm:constr type="tMarg"/>
                <dgm:constr type="bMarg"/>
                <dgm:constr type="rMarg"/>
                <dgm:constr type="lMarg"/>
              </dgm:constrLst>
              <dgm:ruleLst>
                <dgm:rule type="h" val="INF" fact="NaN" max="NaN"/>
              </dgm:ruleLst>
            </dgm:layoutNode>
          </dgm:layoutNode>
          <dgm:forEach name="Name19" axis="followSib" ptType="sibTrans" cnt="1">
            <dgm:layoutNode name="space">
              <dgm:alg type="sp"/>
              <dgm:shape xmlns:r="http://schemas.openxmlformats.org/officeDocument/2006/relationships" r:blip="">
                <dgm:adjLst/>
              </dgm:shape>
              <dgm:presOf/>
              <dgm:constrLst/>
              <dgm:ruleLst/>
            </dgm:layoutNode>
          </dgm:forEach>
        </dgm:forEach>
      </dgm:if>
      <dgm:else name="Name20">
        <dgm:constrLst>
          <dgm:constr type="w" for="ch" forName="parTxOnly" refType="w"/>
          <dgm:constr type="h" for="des" forName="parTxOnly" op="equ"/>
          <dgm:constr type="primFontSz" for="des" forName="parTxOnly" op="equ" val="65"/>
          <dgm:constr type="w" for="ch" forName="parTxOnlySpace" refType="w" refFor="ch" refForName="parTxOnly" fact="-0.1"/>
        </dgm:constrLst>
        <dgm:ruleLst/>
        <dgm:forEach name="Name21" axis="ch" ptType="node">
          <dgm:layoutNode name="parTxOnly">
            <dgm:varLst>
              <dgm:chMax val="0"/>
              <dgm:chPref val="0"/>
              <dgm:bulletEnabled val="1"/>
            </dgm:varLst>
            <dgm:alg type="tx"/>
            <dgm:choose name="Name22">
              <dgm:if name="Name23" func="var" arg="dir" op="equ" val="norm">
                <dgm:shape xmlns:r="http://schemas.openxmlformats.org/officeDocument/2006/relationships" type="chevron" r:blip="">
                  <dgm:adjLst/>
                </dgm:shape>
              </dgm:if>
              <dgm:else name="Name24">
                <dgm:shape xmlns:r="http://schemas.openxmlformats.org/officeDocument/2006/relationships" rot="180" type="chevron" r:blip="">
                  <dgm:adjLst/>
                </dgm:shape>
              </dgm:else>
            </dgm:choose>
            <dgm:presOf axis="self" ptType="node"/>
            <dgm:choose name="Name25">
              <dgm:if name="Name26" func="var" arg="dir" op="equ" val="norm">
                <dgm:constrLst>
                  <dgm:constr type="h" refType="w" op="equ" fact="0.4"/>
                  <dgm:constr type="tMarg" refType="primFontSz" fact="0.105"/>
                  <dgm:constr type="bMarg" refType="primFontSz" fact="0.105"/>
                  <dgm:constr type="lMarg" refType="primFontSz" fact="0.315"/>
                  <dgm:constr type="rMarg" refType="primFontSz" fact="0.105"/>
                </dgm:constrLst>
              </dgm:if>
              <dgm:else name="Name27">
                <dgm:constrLst>
                  <dgm:constr type="h" refType="w" op="equ" fact="0.4"/>
                  <dgm:constr type="tMarg" refType="primFontSz" fact="0.105"/>
                  <dgm:constr type="bMarg" refType="primFontSz" fact="0.105"/>
                  <dgm:constr type="lMarg" refType="primFontSz" fact="0.105"/>
                  <dgm:constr type="rMarg" refType="primFontSz" fact="0.315"/>
                </dgm:constrLst>
              </dgm:else>
            </dgm:choose>
            <dgm:ruleLst>
              <dgm:rule type="primFontSz" val="5" fact="NaN" max="NaN"/>
            </dgm:ruleLst>
          </dgm:layoutNode>
          <dgm:forEach name="Name28" axis="followSib" ptType="sibTrans" cnt="1">
            <dgm:layoutNode name="parTxOnlySpace">
              <dgm:alg type="sp"/>
              <dgm:shape xmlns:r="http://schemas.openxmlformats.org/officeDocument/2006/relationships" r:blip="">
                <dgm:adjLst/>
              </dgm:shape>
              <dgm:presOf/>
              <dgm:constrLst/>
              <dgm:ruleLst/>
            </dgm:layoutNode>
          </dgm:forEach>
        </dgm:forEach>
      </dgm:else>
    </dgm:choose>
  </dgm:layoutNode>
</dgm:layoutDef>
</file>

<file path=word/diagrams/layout2.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F284DD-19B1-49F0-BC91-A88456B89F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656</TotalTime>
  <Pages>80</Pages>
  <Words>43288</Words>
  <Characters>238085</Characters>
  <Application>Microsoft Office Word</Application>
  <DocSecurity>0</DocSecurity>
  <Lines>1984</Lines>
  <Paragraphs>561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ASML</Company>
  <LinksUpToDate>false</LinksUpToDate>
  <CharactersWithSpaces>280812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Hamid Nasiri</dc:creator>
  <cp:lastModifiedBy>Hamid Nasiri</cp:lastModifiedBy>
  <cp:revision>138</cp:revision>
  <cp:lastPrinted>2018-06-24T23:11:00Z</cp:lastPrinted>
  <dcterms:created xsi:type="dcterms:W3CDTF">2018-06-18T20:44:00Z</dcterms:created>
  <dcterms:modified xsi:type="dcterms:W3CDTF">2018-06-24T23:12:00Z</dcterms:modified>
</cp:coreProperties>
</file>