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126F" w:rsidRPr="009D1068" w:rsidRDefault="0061126F" w:rsidP="0061126F">
      <w:pPr>
        <w:spacing w:line="240" w:lineRule="auto"/>
        <w:jc w:val="center"/>
        <w:rPr>
          <w:b/>
          <w:lang w:val="en-GB"/>
        </w:rPr>
      </w:pPr>
    </w:p>
    <w:p w:rsidR="0061126F" w:rsidRPr="009D1068" w:rsidRDefault="001E19BB" w:rsidP="0061126F">
      <w:pPr>
        <w:spacing w:line="240" w:lineRule="auto"/>
        <w:jc w:val="center"/>
        <w:rPr>
          <w:b/>
          <w:lang w:val="en-GB"/>
        </w:rPr>
      </w:pPr>
      <w:r w:rsidRPr="001E19BB">
        <w:rPr>
          <w:noProof/>
          <w:szCs w:val="24"/>
        </w:rPr>
        <w:pict>
          <v:shapetype id="_x0000_t32" coordsize="21600,21600" o:spt="32" o:oned="t" path="m,l21600,21600e" filled="f">
            <v:path arrowok="t" fillok="f" o:connecttype="none"/>
            <o:lock v:ext="edit" shapetype="t"/>
          </v:shapetype>
          <v:shape id="AutoShape 8" o:spid="_x0000_s1026" type="#_x0000_t32" style="position:absolute;left:0;text-align:left;margin-left:14pt;margin-top:4.35pt;width:448.75pt;height:0;z-index:25166438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" strokecolor="#1f497d [3215]"/>
        </w:pict>
      </w:r>
    </w:p>
    <w:p w:rsidR="0061126F" w:rsidRPr="009D1068" w:rsidRDefault="0061126F" w:rsidP="0061126F">
      <w:pPr>
        <w:spacing w:line="240" w:lineRule="auto"/>
        <w:jc w:val="center"/>
        <w:rPr>
          <w:b/>
          <w:lang w:val="en-GB"/>
        </w:rPr>
      </w:pPr>
    </w:p>
    <w:p w:rsidR="0061126F" w:rsidRPr="009D1068" w:rsidRDefault="0061126F" w:rsidP="0061126F">
      <w:pPr>
        <w:spacing w:line="240" w:lineRule="auto"/>
        <w:jc w:val="center"/>
        <w:rPr>
          <w:b/>
          <w:lang w:val="en-GB"/>
        </w:rPr>
      </w:pPr>
    </w:p>
    <w:p w:rsidR="0061126F" w:rsidRPr="009D1068" w:rsidRDefault="00D91870" w:rsidP="0061126F">
      <w:pPr>
        <w:spacing w:line="240" w:lineRule="auto"/>
        <w:jc w:val="center"/>
        <w:rPr>
          <w:b/>
          <w:lang w:val="en-GB"/>
        </w:rPr>
      </w:pPr>
      <w:r w:rsidRPr="00D91870">
        <w:rPr>
          <w:b/>
          <w:lang w:val="en-GB"/>
        </w:rPr>
        <w:t>Higher Education in the 21</w:t>
      </w:r>
      <w:r w:rsidRPr="00D91870">
        <w:rPr>
          <w:b/>
          <w:vertAlign w:val="superscript"/>
          <w:lang w:val="en-GB"/>
        </w:rPr>
        <w:t>st</w:t>
      </w:r>
      <w:r w:rsidRPr="00D91870">
        <w:rPr>
          <w:b/>
          <w:lang w:val="en-GB"/>
        </w:rPr>
        <w:t xml:space="preserve"> Century: An Evaluation of the Developments in the Field of Higher Educ</w:t>
      </w:r>
      <w:r w:rsidRPr="00D91870">
        <w:rPr>
          <w:b/>
          <w:lang w:val="en-GB"/>
        </w:rPr>
        <w:t>a</w:t>
      </w:r>
      <w:r w:rsidRPr="00D91870">
        <w:rPr>
          <w:b/>
          <w:lang w:val="en-GB"/>
        </w:rPr>
        <w:t>tion in the United Kingdom and in the Netherlands</w:t>
      </w:r>
    </w:p>
    <w:p w:rsidR="0061126F" w:rsidRPr="009D1068" w:rsidRDefault="0061126F" w:rsidP="0061126F">
      <w:pPr>
        <w:spacing w:line="240" w:lineRule="auto"/>
        <w:jc w:val="center"/>
        <w:rPr>
          <w:lang w:val="en-GB"/>
        </w:rPr>
      </w:pPr>
    </w:p>
    <w:p w:rsidR="0061126F" w:rsidRPr="009D1068" w:rsidRDefault="001E19BB" w:rsidP="0061126F">
      <w:pPr>
        <w:spacing w:line="240" w:lineRule="auto"/>
        <w:jc w:val="center"/>
        <w:rPr>
          <w:lang w:val="en-GB"/>
        </w:rPr>
      </w:pPr>
      <w:r w:rsidRPr="001E19BB">
        <w:rPr>
          <w:noProof/>
          <w:szCs w:val="24"/>
        </w:rPr>
        <w:pict>
          <v:shape id="_x0000_s1034" type="#_x0000_t32" style="position:absolute;left:0;text-align:left;margin-left:14pt;margin-top:21.85pt;width:448.75pt;height:0;z-index:251666432;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" strokecolor="#1f497d [3215]"/>
        </w:pict>
      </w:r>
    </w:p>
    <w:p w:rsidR="0061126F" w:rsidRPr="009D1068" w:rsidRDefault="0061126F" w:rsidP="0061126F">
      <w:pPr>
        <w:spacing w:line="240" w:lineRule="auto"/>
        <w:rPr>
          <w:lang w:val="en-GB"/>
        </w:rPr>
      </w:pPr>
    </w:p>
    <w:p w:rsidR="00126449" w:rsidRPr="009D1068" w:rsidRDefault="00126449" w:rsidP="0061126F">
      <w:pPr>
        <w:spacing w:line="240" w:lineRule="auto"/>
        <w:jc w:val="center"/>
        <w:rPr>
          <w:lang w:val="en-GB"/>
        </w:rPr>
      </w:pPr>
    </w:p>
    <w:p w:rsidR="00126449" w:rsidRPr="009D1068" w:rsidRDefault="00126449" w:rsidP="0061126F">
      <w:pPr>
        <w:spacing w:line="240" w:lineRule="auto"/>
        <w:jc w:val="center"/>
        <w:rPr>
          <w:lang w:val="en-GB"/>
        </w:rPr>
      </w:pPr>
    </w:p>
    <w:p w:rsidR="0061126F" w:rsidRPr="009D1068" w:rsidRDefault="00D91870" w:rsidP="0061126F">
      <w:pPr>
        <w:spacing w:line="240" w:lineRule="auto"/>
        <w:jc w:val="center"/>
        <w:rPr>
          <w:sz w:val="16"/>
          <w:lang w:val="en-GB"/>
        </w:rPr>
      </w:pPr>
      <w:r w:rsidRPr="00D91870">
        <w:rPr>
          <w:lang w:val="en-GB"/>
        </w:rPr>
        <w:t>By Marcel van Helvoort</w:t>
      </w:r>
      <w:r w:rsidRPr="00D91870">
        <w:rPr>
          <w:lang w:val="en-GB"/>
        </w:rPr>
        <w:br/>
      </w:r>
      <w:r w:rsidRPr="00D91870">
        <w:rPr>
          <w:sz w:val="16"/>
          <w:lang w:val="en-GB"/>
        </w:rPr>
        <w:t>3045366</w:t>
      </w:r>
    </w:p>
    <w:p w:rsidR="0061126F" w:rsidRPr="009D1068" w:rsidRDefault="00D91870" w:rsidP="0061126F">
      <w:pPr>
        <w:spacing w:line="240" w:lineRule="auto"/>
        <w:jc w:val="center"/>
        <w:rPr>
          <w:lang w:val="en-GB"/>
        </w:rPr>
      </w:pPr>
      <w:r w:rsidRPr="00D91870">
        <w:rPr>
          <w:lang w:val="en-GB"/>
        </w:rPr>
        <w:t>Master Thesis Political Science: International Relations</w:t>
      </w:r>
    </w:p>
    <w:p w:rsidR="0061126F" w:rsidRPr="009D1068" w:rsidRDefault="0061126F" w:rsidP="0061126F">
      <w:pPr>
        <w:spacing w:line="240" w:lineRule="auto"/>
        <w:jc w:val="center"/>
        <w:rPr>
          <w:lang w:val="en-GB"/>
        </w:rPr>
      </w:pPr>
    </w:p>
    <w:p w:rsidR="0061126F" w:rsidRPr="009D1068" w:rsidRDefault="0061126F" w:rsidP="0061126F">
      <w:pPr>
        <w:spacing w:line="240" w:lineRule="auto"/>
        <w:jc w:val="center"/>
        <w:rPr>
          <w:lang w:val="en-GB"/>
        </w:rPr>
      </w:pPr>
    </w:p>
    <w:p w:rsidR="0061126F" w:rsidRPr="009D1068" w:rsidRDefault="0061126F" w:rsidP="0061126F">
      <w:pPr>
        <w:spacing w:line="240" w:lineRule="auto"/>
        <w:jc w:val="center"/>
        <w:rPr>
          <w:lang w:val="en-GB"/>
        </w:rPr>
      </w:pPr>
    </w:p>
    <w:p w:rsidR="0061126F" w:rsidRPr="009D1068" w:rsidRDefault="0061126F" w:rsidP="0061126F">
      <w:pPr>
        <w:spacing w:line="240" w:lineRule="auto"/>
        <w:jc w:val="center"/>
        <w:rPr>
          <w:lang w:val="en-GB"/>
        </w:rPr>
      </w:pPr>
    </w:p>
    <w:p w:rsidR="0061126F" w:rsidRPr="009D1068" w:rsidRDefault="0061126F" w:rsidP="0061126F">
      <w:pPr>
        <w:spacing w:line="240" w:lineRule="auto"/>
        <w:jc w:val="center"/>
        <w:rPr>
          <w:lang w:val="en-GB"/>
        </w:rPr>
      </w:pPr>
    </w:p>
    <w:p w:rsidR="0061126F" w:rsidRPr="009D1068" w:rsidRDefault="0061126F" w:rsidP="0061126F">
      <w:pPr>
        <w:spacing w:line="240" w:lineRule="auto"/>
        <w:jc w:val="center"/>
        <w:rPr>
          <w:lang w:val="en-GB"/>
        </w:rPr>
      </w:pPr>
    </w:p>
    <w:p w:rsidR="0061126F" w:rsidRPr="009D1068" w:rsidRDefault="00D91870" w:rsidP="0061126F">
      <w:pPr>
        <w:spacing w:line="240" w:lineRule="auto"/>
        <w:jc w:val="center"/>
        <w:rPr>
          <w:lang w:val="en-GB"/>
        </w:rPr>
      </w:pPr>
      <w:r w:rsidRPr="00D91870">
        <w:rPr>
          <w:lang w:val="en-GB"/>
        </w:rPr>
        <w:t>Radboud University Nijmegen</w:t>
      </w:r>
    </w:p>
    <w:p w:rsidR="0061126F" w:rsidRPr="009D1068" w:rsidRDefault="00D91870" w:rsidP="0061126F">
      <w:pPr>
        <w:spacing w:line="240" w:lineRule="auto"/>
        <w:jc w:val="center"/>
        <w:rPr>
          <w:lang w:val="en-GB"/>
        </w:rPr>
      </w:pPr>
      <w:r w:rsidRPr="00D91870">
        <w:rPr>
          <w:lang w:val="en-GB"/>
        </w:rPr>
        <w:br/>
        <w:t>Supervisor:</w:t>
      </w:r>
      <w:r w:rsidRPr="00D91870">
        <w:rPr>
          <w:lang w:val="en-GB"/>
        </w:rPr>
        <w:br/>
        <w:t>Dr. Angela Wigger</w:t>
      </w:r>
    </w:p>
    <w:p w:rsidR="0061126F" w:rsidRPr="009D1068" w:rsidRDefault="00D91870" w:rsidP="0061126F">
      <w:pPr>
        <w:spacing w:line="240" w:lineRule="auto"/>
        <w:jc w:val="center"/>
        <w:rPr>
          <w:lang w:val="en-GB"/>
        </w:rPr>
      </w:pPr>
      <w:r w:rsidRPr="00D91870">
        <w:rPr>
          <w:lang w:val="en-GB"/>
        </w:rPr>
        <w:t>2012-2014</w:t>
      </w:r>
    </w:p>
    <w:p w:rsidR="0061126F" w:rsidRPr="009D1068" w:rsidRDefault="0061126F" w:rsidP="0061126F">
      <w:pPr>
        <w:spacing w:line="240" w:lineRule="auto"/>
        <w:jc w:val="center"/>
        <w:rPr>
          <w:lang w:val="en-GB"/>
        </w:rPr>
      </w:pPr>
    </w:p>
    <w:p w:rsidR="0061126F" w:rsidRPr="009D1068" w:rsidRDefault="001E19BB" w:rsidP="0061126F">
      <w:pPr>
        <w:spacing w:line="240" w:lineRule="auto"/>
        <w:jc w:val="center"/>
        <w:rPr>
          <w:lang w:val="en-GB"/>
        </w:rPr>
      </w:pPr>
      <w:r>
        <w:rPr>
          <w:noProof/>
        </w:rPr>
        <w:pict>
          <v:shape id="AutoShape 9" o:spid="_x0000_s1033" type="#_x0000_t32" style="position:absolute;left:0;text-align:left;margin-left:7.85pt;margin-top:2pt;width:448.75pt;height:0;z-index:25166540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" strokecolor="#1f497d [3215]"/>
        </w:pict>
      </w:r>
    </w:p>
    <w:p w:rsidR="0061126F" w:rsidRPr="009D1068" w:rsidRDefault="0061126F" w:rsidP="0061126F">
      <w:pPr>
        <w:spacing w:line="240" w:lineRule="auto"/>
        <w:jc w:val="center"/>
        <w:rPr>
          <w:lang w:val="en-GB"/>
        </w:rPr>
      </w:pPr>
    </w:p>
    <w:p w:rsidR="002C442E" w:rsidRPr="009D1068" w:rsidRDefault="00D91870" w:rsidP="00E539CF">
      <w:pPr>
        <w:spacing w:line="240" w:lineRule="auto"/>
        <w:jc w:val="center"/>
        <w:rPr>
          <w:sz w:val="18"/>
          <w:szCs w:val="18"/>
          <w:lang w:val="en-GB"/>
        </w:rPr>
      </w:pPr>
      <w:r w:rsidRPr="00D91870">
        <w:rPr>
          <w:sz w:val="18"/>
          <w:szCs w:val="18"/>
          <w:lang w:val="en-GB"/>
        </w:rPr>
        <w:t>Word count: 29.</w:t>
      </w:r>
      <w:r w:rsidR="005B4A97">
        <w:rPr>
          <w:sz w:val="18"/>
          <w:szCs w:val="18"/>
          <w:lang w:val="en-GB"/>
        </w:rPr>
        <w:t>638</w:t>
      </w:r>
    </w:p>
    <w:p w:rsidR="0061126F" w:rsidRPr="009D1068" w:rsidRDefault="0061126F" w:rsidP="0061126F">
      <w:pPr>
        <w:spacing w:line="240" w:lineRule="auto"/>
        <w:rPr>
          <w:b/>
          <w:sz w:val="18"/>
          <w:szCs w:val="18"/>
          <w:lang w:val="en-GB"/>
        </w:rPr>
      </w:pPr>
    </w:p>
    <w:p w:rsidR="0061126F" w:rsidRPr="009D1068" w:rsidRDefault="00D91870" w:rsidP="0061126F">
      <w:pPr>
        <w:spacing w:line="240" w:lineRule="auto"/>
        <w:jc w:val="center"/>
        <w:rPr>
          <w:b/>
          <w:i/>
          <w:lang w:val="en-GB"/>
        </w:rPr>
      </w:pPr>
      <w:r w:rsidRPr="00D91870">
        <w:rPr>
          <w:b/>
          <w:lang w:val="en-GB"/>
        </w:rPr>
        <w:lastRenderedPageBreak/>
        <w:t>Abstract</w:t>
      </w:r>
    </w:p>
    <w:p w:rsidR="00126449" w:rsidRPr="009D1068" w:rsidRDefault="00D91870" w:rsidP="00126449">
      <w:pPr>
        <w:jc w:val="both"/>
        <w:rPr>
          <w:sz w:val="20"/>
          <w:lang w:val="en-GB"/>
        </w:rPr>
      </w:pPr>
      <w:r w:rsidRPr="00D91870">
        <w:rPr>
          <w:sz w:val="20"/>
          <w:lang w:val="en-GB"/>
        </w:rPr>
        <w:t>Higher education in the United Kingdom, the Netherlands, and arguably the rest of Europe, has gone and is going through several major changes in the last three decades. Nowadays, universities in Europe are focusing more on internationalization on the one hand, and adding economic value to their respective national economies on the other. This thesis seeks to explain why the Dutch higher education organization is changing at a slower pace than the British higher education organization. It does so by looking at the developments in the area of higher education in Europe, from the Bologna Process to the Europe 2020 Strategy. Two theories are tested: social constructivism and the norm lifecycle framework developed by Finnemore and Sikkink on the one hand, and the varieties of cap</w:t>
      </w:r>
      <w:r w:rsidRPr="00D91870">
        <w:rPr>
          <w:sz w:val="20"/>
          <w:lang w:val="en-GB"/>
        </w:rPr>
        <w:t>i</w:t>
      </w:r>
      <w:r w:rsidRPr="00D91870">
        <w:rPr>
          <w:sz w:val="20"/>
          <w:lang w:val="en-GB"/>
        </w:rPr>
        <w:t>talism approach of Peter Hall and David Soskice on the other hand. This thesis will argue that the norm lifecycle framework is better able to explain why the higher education system in the Netherlands is changing at a slower pace than the higher education system in the United Kingdom. The results of the analysis show that the internaliz</w:t>
      </w:r>
      <w:r w:rsidRPr="00D91870">
        <w:rPr>
          <w:sz w:val="20"/>
          <w:lang w:val="en-GB"/>
        </w:rPr>
        <w:t>a</w:t>
      </w:r>
      <w:r w:rsidRPr="00D91870">
        <w:rPr>
          <w:sz w:val="20"/>
          <w:lang w:val="en-GB"/>
        </w:rPr>
        <w:t>tion process has not yet been completed in the Netherlands because the international norm faced a new battle in the domestic arena. The varieties of capitalism approach, as a more heuristic device, is able to explain the nature of the Dutch and British higher education systems, but is unable to explain why the systems are changing and why the Dutch higher education system is slowly converging towards the British system. The varieties of capitalism-approach, on the other hand, cannot easily incorporate the implications of globalization. The norm lifecycle-theory does not have this problem, because it is better able to explain (global) changes.</w:t>
      </w:r>
    </w:p>
    <w:p w:rsidR="00126449" w:rsidRPr="009D1068" w:rsidRDefault="00126449" w:rsidP="00126449">
      <w:pPr>
        <w:jc w:val="both"/>
        <w:rPr>
          <w:lang w:val="en-GB"/>
        </w:rPr>
      </w:pPr>
    </w:p>
    <w:p w:rsidR="00126449" w:rsidRPr="009D1068" w:rsidRDefault="00126449" w:rsidP="00126449">
      <w:pPr>
        <w:jc w:val="both"/>
        <w:rPr>
          <w:lang w:val="en-GB"/>
        </w:rPr>
      </w:pPr>
    </w:p>
    <w:p w:rsidR="00126449" w:rsidRPr="009D1068" w:rsidRDefault="00126449" w:rsidP="00126449">
      <w:pPr>
        <w:jc w:val="both"/>
        <w:rPr>
          <w:lang w:val="en-GB"/>
        </w:rPr>
      </w:pPr>
    </w:p>
    <w:p w:rsidR="00126449" w:rsidRPr="009D1068" w:rsidRDefault="00126449" w:rsidP="00126449">
      <w:pPr>
        <w:jc w:val="both"/>
        <w:rPr>
          <w:lang w:val="en-GB"/>
        </w:rPr>
      </w:pPr>
    </w:p>
    <w:p w:rsidR="00126449" w:rsidRPr="009D1068" w:rsidRDefault="00126449" w:rsidP="00126449">
      <w:pPr>
        <w:jc w:val="both"/>
        <w:rPr>
          <w:lang w:val="en-GB"/>
        </w:rPr>
      </w:pPr>
    </w:p>
    <w:p w:rsidR="00126449" w:rsidRPr="009D1068" w:rsidRDefault="00126449" w:rsidP="00126449">
      <w:pPr>
        <w:jc w:val="both"/>
        <w:rPr>
          <w:lang w:val="en-GB"/>
        </w:rPr>
      </w:pPr>
    </w:p>
    <w:p w:rsidR="00126449" w:rsidRPr="009D1068" w:rsidRDefault="00126449" w:rsidP="00126449">
      <w:pPr>
        <w:jc w:val="both"/>
        <w:rPr>
          <w:lang w:val="en-GB"/>
        </w:rPr>
      </w:pPr>
    </w:p>
    <w:p w:rsidR="00126449" w:rsidRPr="009D1068" w:rsidRDefault="00126449" w:rsidP="00126449">
      <w:pPr>
        <w:jc w:val="both"/>
        <w:rPr>
          <w:lang w:val="en-GB"/>
        </w:rPr>
      </w:pPr>
    </w:p>
    <w:p w:rsidR="00126449" w:rsidRPr="009D1068" w:rsidRDefault="00126449" w:rsidP="00126449">
      <w:pPr>
        <w:jc w:val="both"/>
        <w:rPr>
          <w:lang w:val="en-GB"/>
        </w:rPr>
      </w:pPr>
    </w:p>
    <w:p w:rsidR="00126449" w:rsidRPr="009D1068" w:rsidRDefault="00126449" w:rsidP="00126449">
      <w:pPr>
        <w:jc w:val="both"/>
        <w:rPr>
          <w:lang w:val="en-GB"/>
        </w:rPr>
      </w:pPr>
    </w:p>
    <w:p w:rsidR="00126449" w:rsidRPr="009D1068" w:rsidRDefault="00126449" w:rsidP="00126449">
      <w:pPr>
        <w:jc w:val="both"/>
        <w:rPr>
          <w:lang w:val="en-GB"/>
        </w:rPr>
      </w:pPr>
    </w:p>
    <w:p w:rsidR="00126449" w:rsidRPr="009D1068" w:rsidRDefault="00126449" w:rsidP="00126449">
      <w:pPr>
        <w:jc w:val="both"/>
        <w:rPr>
          <w:lang w:val="en-GB"/>
        </w:rPr>
      </w:pPr>
    </w:p>
    <w:p w:rsidR="00126449" w:rsidRPr="009D1068" w:rsidRDefault="00D91870" w:rsidP="00126449">
      <w:pPr>
        <w:spacing w:line="240" w:lineRule="auto"/>
        <w:jc w:val="center"/>
        <w:rPr>
          <w:b/>
          <w:lang w:val="en-GB"/>
        </w:rPr>
      </w:pPr>
      <w:r w:rsidRPr="00D91870">
        <w:rPr>
          <w:b/>
          <w:lang w:val="en-GB"/>
        </w:rPr>
        <w:t>Keywords</w:t>
      </w:r>
    </w:p>
    <w:p w:rsidR="00126449" w:rsidRPr="009D1068" w:rsidRDefault="00C841B9" w:rsidP="00126449">
      <w:pPr>
        <w:spacing w:line="240" w:lineRule="auto"/>
        <w:jc w:val="center"/>
        <w:rPr>
          <w:i/>
          <w:lang w:val="en-GB"/>
        </w:rPr>
      </w:pPr>
      <w:r w:rsidRPr="00C841B9">
        <w:rPr>
          <w:rFonts w:cs="Times-Roman"/>
          <w:i/>
          <w:lang w:val="en-GB"/>
        </w:rPr>
        <w:t>C</w:t>
      </w:r>
      <w:r w:rsidR="00D91870" w:rsidRPr="00C841B9">
        <w:rPr>
          <w:rFonts w:cs="Times-Roman"/>
          <w:i/>
          <w:lang w:val="en-GB"/>
        </w:rPr>
        <w:t>ommodification</w:t>
      </w:r>
      <w:r w:rsidR="00D91870" w:rsidRPr="00D91870">
        <w:rPr>
          <w:rFonts w:cs="Times-Roman"/>
          <w:lang w:val="en-GB"/>
        </w:rPr>
        <w:t xml:space="preserve"> </w:t>
      </w:r>
      <w:r w:rsidR="00505B73">
        <w:rPr>
          <w:i/>
          <w:lang w:val="en-GB"/>
        </w:rPr>
        <w:t>of knowledge- Globalization- H</w:t>
      </w:r>
      <w:r w:rsidR="00D91870" w:rsidRPr="00D91870">
        <w:rPr>
          <w:i/>
          <w:lang w:val="en-GB"/>
        </w:rPr>
        <w:t xml:space="preserve">igher </w:t>
      </w:r>
      <w:r w:rsidR="00505B73">
        <w:rPr>
          <w:i/>
          <w:lang w:val="en-GB"/>
        </w:rPr>
        <w:t>E</w:t>
      </w:r>
      <w:r w:rsidR="00D91870" w:rsidRPr="00D91870">
        <w:rPr>
          <w:i/>
          <w:lang w:val="en-GB"/>
        </w:rPr>
        <w:t>ducation - Internationalization - Social Constru</w:t>
      </w:r>
      <w:r w:rsidR="00D91870" w:rsidRPr="00D91870">
        <w:rPr>
          <w:i/>
          <w:lang w:val="en-GB"/>
        </w:rPr>
        <w:t>c</w:t>
      </w:r>
      <w:r w:rsidR="00D91870" w:rsidRPr="00D91870">
        <w:rPr>
          <w:i/>
          <w:lang w:val="en-GB"/>
        </w:rPr>
        <w:t>tivism - Norm lifecycle</w:t>
      </w:r>
      <w:r w:rsidR="00505B73">
        <w:rPr>
          <w:i/>
          <w:lang w:val="en-GB"/>
        </w:rPr>
        <w:t xml:space="preserve"> </w:t>
      </w:r>
      <w:r w:rsidR="00505B73" w:rsidRPr="00D91870">
        <w:rPr>
          <w:i/>
          <w:lang w:val="en-GB"/>
        </w:rPr>
        <w:t>-</w:t>
      </w:r>
      <w:r w:rsidR="00D91870" w:rsidRPr="00D91870">
        <w:rPr>
          <w:i/>
          <w:lang w:val="en-GB"/>
        </w:rPr>
        <w:t xml:space="preserve"> Varieties of Capitalism  </w:t>
      </w:r>
    </w:p>
    <w:sdt>
      <w:sdtPr>
        <w:rPr>
          <w:rFonts w:asciiTheme="minorHAnsi" w:eastAsiaTheme="minorEastAsia" w:hAnsiTheme="minorHAnsi" w:cstheme="minorBidi"/>
          <w:b w:val="0"/>
          <w:bCs w:val="0"/>
          <w:color w:val="auto"/>
          <w:sz w:val="22"/>
          <w:szCs w:val="22"/>
          <w:lang w:val="en-GB"/>
        </w:rPr>
        <w:id w:val="60867006"/>
        <w:docPartObj>
          <w:docPartGallery w:val="Table of Contents"/>
          <w:docPartUnique/>
        </w:docPartObj>
      </w:sdtPr>
      <w:sdtContent>
        <w:p w:rsidR="00126449" w:rsidRPr="009D1068" w:rsidRDefault="00126449">
          <w:pPr>
            <w:pStyle w:val="TOCHeading"/>
            <w:rPr>
              <w:rStyle w:val="Heading1Char"/>
              <w:b/>
              <w:color w:val="auto"/>
              <w:lang w:val="en-GB"/>
            </w:rPr>
          </w:pPr>
          <w:r w:rsidRPr="009D1068">
            <w:rPr>
              <w:rStyle w:val="Heading1Char"/>
              <w:rFonts w:asciiTheme="minorHAnsi" w:hAnsiTheme="minorHAnsi"/>
              <w:b/>
              <w:color w:val="auto"/>
              <w:lang w:val="en-GB"/>
            </w:rPr>
            <w:t>Table of Contents</w:t>
          </w:r>
        </w:p>
        <w:p w:rsidR="00126449" w:rsidRPr="009D1068" w:rsidRDefault="00126449" w:rsidP="00126449">
          <w:pPr>
            <w:rPr>
              <w:lang w:val="en-GB"/>
            </w:rPr>
          </w:pPr>
        </w:p>
        <w:p w:rsidR="00B17154" w:rsidRPr="009D1068" w:rsidRDefault="001E19BB" w:rsidP="00B17154">
          <w:pPr>
            <w:pStyle w:val="TOC1"/>
            <w:rPr>
              <w:b w:val="0"/>
              <w:szCs w:val="20"/>
            </w:rPr>
          </w:pPr>
          <w:r w:rsidRPr="001E19BB">
            <w:rPr>
              <w:szCs w:val="20"/>
            </w:rPr>
            <w:fldChar w:fldCharType="begin"/>
          </w:r>
          <w:r w:rsidR="00D91870" w:rsidRPr="00D91870">
            <w:rPr>
              <w:szCs w:val="20"/>
            </w:rPr>
            <w:instrText xml:space="preserve"> TOC \o "1-3" \h \z \u </w:instrText>
          </w:r>
          <w:r w:rsidRPr="001E19BB">
            <w:rPr>
              <w:szCs w:val="20"/>
            </w:rPr>
            <w:fldChar w:fldCharType="separate"/>
          </w:r>
          <w:hyperlink w:anchor="_Toc396045586" w:history="1">
            <w:r w:rsidR="00D91870">
              <w:rPr>
                <w:rStyle w:val="Hyperlink"/>
                <w:szCs w:val="20"/>
              </w:rPr>
              <w:t>1.</w:t>
            </w:r>
            <w:r w:rsidR="00D91870" w:rsidRPr="00D91870">
              <w:rPr>
                <w:b w:val="0"/>
                <w:szCs w:val="20"/>
              </w:rPr>
              <w:tab/>
            </w:r>
            <w:r w:rsidR="00D91870">
              <w:rPr>
                <w:rStyle w:val="Hyperlink"/>
                <w:szCs w:val="20"/>
              </w:rPr>
              <w:t>Introduction</w:t>
            </w:r>
            <w:r w:rsidR="00D91870" w:rsidRPr="00D91870">
              <w:rPr>
                <w:webHidden/>
                <w:szCs w:val="20"/>
              </w:rPr>
              <w:tab/>
            </w:r>
            <w:r w:rsidRPr="00D91870">
              <w:rPr>
                <w:webHidden/>
                <w:szCs w:val="20"/>
              </w:rPr>
              <w:fldChar w:fldCharType="begin"/>
            </w:r>
            <w:r w:rsidR="00D91870" w:rsidRPr="00D91870">
              <w:rPr>
                <w:webHidden/>
                <w:szCs w:val="20"/>
              </w:rPr>
              <w:instrText xml:space="preserve"> PAGEREF _Toc396045586 \h </w:instrText>
            </w:r>
            <w:r w:rsidRPr="00D91870">
              <w:rPr>
                <w:webHidden/>
                <w:szCs w:val="20"/>
              </w:rPr>
            </w:r>
            <w:r w:rsidRPr="00D91870">
              <w:rPr>
                <w:webHidden/>
                <w:szCs w:val="20"/>
              </w:rPr>
              <w:fldChar w:fldCharType="separate"/>
            </w:r>
            <w:r w:rsidR="00505B73">
              <w:rPr>
                <w:webHidden/>
                <w:szCs w:val="20"/>
              </w:rPr>
              <w:t>4</w:t>
            </w:r>
            <w:r w:rsidRPr="00D91870">
              <w:rPr>
                <w:webHidden/>
                <w:szCs w:val="20"/>
              </w:rPr>
              <w:fldChar w:fldCharType="end"/>
            </w:r>
          </w:hyperlink>
        </w:p>
        <w:p w:rsidR="00C841B9" w:rsidRDefault="00C841B9" w:rsidP="00B17154">
          <w:pPr>
            <w:pStyle w:val="TOC1"/>
          </w:pPr>
        </w:p>
        <w:p w:rsidR="00B17154" w:rsidRPr="009D1068" w:rsidRDefault="001E19BB" w:rsidP="00B17154">
          <w:pPr>
            <w:pStyle w:val="TOC1"/>
            <w:rPr>
              <w:b w:val="0"/>
              <w:szCs w:val="20"/>
            </w:rPr>
          </w:pPr>
          <w:hyperlink w:anchor="_Toc396045587" w:history="1">
            <w:r w:rsidR="00D91870">
              <w:rPr>
                <w:rStyle w:val="Hyperlink"/>
                <w:szCs w:val="20"/>
              </w:rPr>
              <w:t>2.</w:t>
            </w:r>
            <w:r w:rsidR="00D91870" w:rsidRPr="00D91870">
              <w:rPr>
                <w:b w:val="0"/>
                <w:szCs w:val="20"/>
              </w:rPr>
              <w:tab/>
            </w:r>
            <w:r w:rsidR="00D91870">
              <w:rPr>
                <w:rStyle w:val="Hyperlink"/>
                <w:szCs w:val="20"/>
              </w:rPr>
              <w:t>Theoretical Framework</w:t>
            </w:r>
            <w:r w:rsidR="00D91870" w:rsidRPr="00D91870">
              <w:rPr>
                <w:webHidden/>
                <w:szCs w:val="20"/>
              </w:rPr>
              <w:tab/>
            </w:r>
            <w:r w:rsidRPr="00D91870">
              <w:rPr>
                <w:webHidden/>
                <w:szCs w:val="20"/>
              </w:rPr>
              <w:fldChar w:fldCharType="begin"/>
            </w:r>
            <w:r w:rsidR="00D91870" w:rsidRPr="00D91870">
              <w:rPr>
                <w:webHidden/>
                <w:szCs w:val="20"/>
              </w:rPr>
              <w:instrText xml:space="preserve"> PAGEREF _Toc396045587 \h </w:instrText>
            </w:r>
            <w:r w:rsidRPr="00D91870">
              <w:rPr>
                <w:webHidden/>
                <w:szCs w:val="20"/>
              </w:rPr>
            </w:r>
            <w:r w:rsidRPr="00D91870">
              <w:rPr>
                <w:webHidden/>
                <w:szCs w:val="20"/>
              </w:rPr>
              <w:fldChar w:fldCharType="separate"/>
            </w:r>
            <w:r w:rsidR="00505B73">
              <w:rPr>
                <w:webHidden/>
                <w:szCs w:val="20"/>
              </w:rPr>
              <w:t>10</w:t>
            </w:r>
            <w:r w:rsidRPr="00D91870">
              <w:rPr>
                <w:webHidden/>
                <w:szCs w:val="20"/>
              </w:rPr>
              <w:fldChar w:fldCharType="end"/>
            </w:r>
          </w:hyperlink>
        </w:p>
        <w:p w:rsidR="00B17154" w:rsidRPr="009D1068" w:rsidRDefault="001E19BB" w:rsidP="00B17154">
          <w:pPr>
            <w:pStyle w:val="TOC2"/>
            <w:tabs>
              <w:tab w:val="left" w:pos="880"/>
              <w:tab w:val="right" w:leader="dot" w:pos="9396"/>
            </w:tabs>
            <w:spacing w:line="240" w:lineRule="auto"/>
            <w:rPr>
              <w:noProof/>
              <w:sz w:val="20"/>
              <w:szCs w:val="20"/>
              <w:lang w:val="en-GB"/>
            </w:rPr>
          </w:pPr>
          <w:hyperlink w:anchor="_Toc396045588" w:history="1">
            <w:r w:rsidR="00D91870" w:rsidRPr="00D91870">
              <w:rPr>
                <w:rStyle w:val="Hyperlink"/>
                <w:noProof/>
                <w:sz w:val="20"/>
                <w:szCs w:val="20"/>
                <w:lang w:val="en-GB"/>
              </w:rPr>
              <w:t>2.1.</w:t>
            </w:r>
            <w:r w:rsidR="00D91870" w:rsidRPr="00D91870">
              <w:rPr>
                <w:noProof/>
                <w:sz w:val="20"/>
                <w:szCs w:val="20"/>
                <w:lang w:val="en-GB"/>
              </w:rPr>
              <w:tab/>
            </w:r>
            <w:r w:rsidR="00D91870" w:rsidRPr="00D91870">
              <w:rPr>
                <w:rStyle w:val="Hyperlink"/>
                <w:noProof/>
                <w:sz w:val="20"/>
                <w:szCs w:val="20"/>
                <w:lang w:val="en-GB"/>
              </w:rPr>
              <w:t>Social Constructivism</w:t>
            </w:r>
            <w:r w:rsidR="00D91870" w:rsidRPr="00D91870">
              <w:rPr>
                <w:noProof/>
                <w:webHidden/>
                <w:sz w:val="20"/>
                <w:szCs w:val="20"/>
                <w:lang w:val="en-GB"/>
              </w:rPr>
              <w:tab/>
            </w:r>
            <w:r w:rsidRPr="00D91870">
              <w:rPr>
                <w:noProof/>
                <w:webHidden/>
                <w:sz w:val="20"/>
                <w:szCs w:val="20"/>
                <w:lang w:val="en-GB"/>
              </w:rPr>
              <w:fldChar w:fldCharType="begin"/>
            </w:r>
            <w:r w:rsidR="00D91870" w:rsidRPr="00D91870">
              <w:rPr>
                <w:noProof/>
                <w:webHidden/>
                <w:sz w:val="20"/>
                <w:szCs w:val="20"/>
                <w:lang w:val="en-GB"/>
              </w:rPr>
              <w:instrText xml:space="preserve"> PAGEREF _Toc396045588 \h </w:instrText>
            </w:r>
            <w:r w:rsidRPr="00D91870">
              <w:rPr>
                <w:noProof/>
                <w:webHidden/>
                <w:sz w:val="20"/>
                <w:szCs w:val="20"/>
                <w:lang w:val="en-GB"/>
              </w:rPr>
            </w:r>
            <w:r w:rsidRPr="00D91870">
              <w:rPr>
                <w:noProof/>
                <w:webHidden/>
                <w:sz w:val="20"/>
                <w:szCs w:val="20"/>
                <w:lang w:val="en-GB"/>
              </w:rPr>
              <w:fldChar w:fldCharType="separate"/>
            </w:r>
            <w:r w:rsidR="00505B73">
              <w:rPr>
                <w:noProof/>
                <w:webHidden/>
                <w:sz w:val="20"/>
                <w:szCs w:val="20"/>
                <w:lang w:val="en-GB"/>
              </w:rPr>
              <w:t>10</w:t>
            </w:r>
            <w:r w:rsidRPr="00D91870">
              <w:rPr>
                <w:noProof/>
                <w:webHidden/>
                <w:sz w:val="20"/>
                <w:szCs w:val="20"/>
                <w:lang w:val="en-GB"/>
              </w:rPr>
              <w:fldChar w:fldCharType="end"/>
            </w:r>
          </w:hyperlink>
        </w:p>
        <w:p w:rsidR="00B17154" w:rsidRPr="009D1068" w:rsidRDefault="001E19BB" w:rsidP="00B17154">
          <w:pPr>
            <w:pStyle w:val="TOC3"/>
            <w:tabs>
              <w:tab w:val="left" w:pos="1320"/>
              <w:tab w:val="right" w:leader="dot" w:pos="9396"/>
            </w:tabs>
            <w:spacing w:line="240" w:lineRule="auto"/>
            <w:rPr>
              <w:noProof/>
              <w:sz w:val="20"/>
              <w:szCs w:val="20"/>
              <w:lang w:val="en-GB"/>
            </w:rPr>
          </w:pPr>
          <w:hyperlink w:anchor="_Toc396045589" w:history="1">
            <w:r w:rsidR="00D91870" w:rsidRPr="00D91870">
              <w:rPr>
                <w:rStyle w:val="Hyperlink"/>
                <w:noProof/>
                <w:sz w:val="20"/>
                <w:szCs w:val="20"/>
                <w:lang w:val="en-GB"/>
              </w:rPr>
              <w:t>2.1.1.</w:t>
            </w:r>
            <w:r w:rsidR="00D91870" w:rsidRPr="00D91870">
              <w:rPr>
                <w:noProof/>
                <w:sz w:val="20"/>
                <w:szCs w:val="20"/>
                <w:lang w:val="en-GB"/>
              </w:rPr>
              <w:tab/>
            </w:r>
            <w:r w:rsidR="00D91870" w:rsidRPr="00D91870">
              <w:rPr>
                <w:rStyle w:val="Hyperlink"/>
                <w:noProof/>
                <w:sz w:val="20"/>
                <w:szCs w:val="20"/>
                <w:lang w:val="en-GB"/>
              </w:rPr>
              <w:t>Core features of Constructivism</w:t>
            </w:r>
            <w:r w:rsidR="00D91870" w:rsidRPr="00D91870">
              <w:rPr>
                <w:noProof/>
                <w:webHidden/>
                <w:sz w:val="20"/>
                <w:szCs w:val="20"/>
                <w:lang w:val="en-GB"/>
              </w:rPr>
              <w:tab/>
            </w:r>
            <w:r w:rsidRPr="00D91870">
              <w:rPr>
                <w:noProof/>
                <w:webHidden/>
                <w:sz w:val="20"/>
                <w:szCs w:val="20"/>
                <w:lang w:val="en-GB"/>
              </w:rPr>
              <w:fldChar w:fldCharType="begin"/>
            </w:r>
            <w:r w:rsidR="00D91870" w:rsidRPr="00D91870">
              <w:rPr>
                <w:noProof/>
                <w:webHidden/>
                <w:sz w:val="20"/>
                <w:szCs w:val="20"/>
                <w:lang w:val="en-GB"/>
              </w:rPr>
              <w:instrText xml:space="preserve"> PAGEREF _Toc396045589 \h </w:instrText>
            </w:r>
            <w:r w:rsidRPr="00D91870">
              <w:rPr>
                <w:noProof/>
                <w:webHidden/>
                <w:sz w:val="20"/>
                <w:szCs w:val="20"/>
                <w:lang w:val="en-GB"/>
              </w:rPr>
            </w:r>
            <w:r w:rsidRPr="00D91870">
              <w:rPr>
                <w:noProof/>
                <w:webHidden/>
                <w:sz w:val="20"/>
                <w:szCs w:val="20"/>
                <w:lang w:val="en-GB"/>
              </w:rPr>
              <w:fldChar w:fldCharType="separate"/>
            </w:r>
            <w:r w:rsidR="00505B73">
              <w:rPr>
                <w:noProof/>
                <w:webHidden/>
                <w:sz w:val="20"/>
                <w:szCs w:val="20"/>
                <w:lang w:val="en-GB"/>
              </w:rPr>
              <w:t>10</w:t>
            </w:r>
            <w:r w:rsidRPr="00D91870">
              <w:rPr>
                <w:noProof/>
                <w:webHidden/>
                <w:sz w:val="20"/>
                <w:szCs w:val="20"/>
                <w:lang w:val="en-GB"/>
              </w:rPr>
              <w:fldChar w:fldCharType="end"/>
            </w:r>
          </w:hyperlink>
        </w:p>
        <w:p w:rsidR="00B17154" w:rsidRPr="009D1068" w:rsidRDefault="001E19BB" w:rsidP="00B17154">
          <w:pPr>
            <w:pStyle w:val="TOC3"/>
            <w:tabs>
              <w:tab w:val="left" w:pos="1320"/>
              <w:tab w:val="right" w:leader="dot" w:pos="9396"/>
            </w:tabs>
            <w:spacing w:line="240" w:lineRule="auto"/>
            <w:rPr>
              <w:noProof/>
              <w:sz w:val="20"/>
              <w:szCs w:val="20"/>
              <w:lang w:val="en-GB"/>
            </w:rPr>
          </w:pPr>
          <w:hyperlink w:anchor="_Toc396045590" w:history="1">
            <w:r w:rsidR="00D91870" w:rsidRPr="00D91870">
              <w:rPr>
                <w:rStyle w:val="Hyperlink"/>
                <w:noProof/>
                <w:sz w:val="20"/>
                <w:szCs w:val="20"/>
                <w:lang w:val="en-GB"/>
              </w:rPr>
              <w:t>2.1.2.</w:t>
            </w:r>
            <w:r w:rsidR="00D91870" w:rsidRPr="00D91870">
              <w:rPr>
                <w:noProof/>
                <w:sz w:val="20"/>
                <w:szCs w:val="20"/>
                <w:lang w:val="en-GB"/>
              </w:rPr>
              <w:tab/>
            </w:r>
            <w:r w:rsidR="00D91870" w:rsidRPr="00D91870">
              <w:rPr>
                <w:rStyle w:val="Hyperlink"/>
                <w:noProof/>
                <w:sz w:val="20"/>
                <w:szCs w:val="20"/>
                <w:lang w:val="en-GB"/>
              </w:rPr>
              <w:t>Defining norms</w:t>
            </w:r>
            <w:r w:rsidR="00D91870" w:rsidRPr="00D91870">
              <w:rPr>
                <w:noProof/>
                <w:webHidden/>
                <w:sz w:val="20"/>
                <w:szCs w:val="20"/>
                <w:lang w:val="en-GB"/>
              </w:rPr>
              <w:tab/>
            </w:r>
            <w:r w:rsidRPr="00D91870">
              <w:rPr>
                <w:noProof/>
                <w:webHidden/>
                <w:sz w:val="20"/>
                <w:szCs w:val="20"/>
                <w:lang w:val="en-GB"/>
              </w:rPr>
              <w:fldChar w:fldCharType="begin"/>
            </w:r>
            <w:r w:rsidR="00D91870" w:rsidRPr="00D91870">
              <w:rPr>
                <w:noProof/>
                <w:webHidden/>
                <w:sz w:val="20"/>
                <w:szCs w:val="20"/>
                <w:lang w:val="en-GB"/>
              </w:rPr>
              <w:instrText xml:space="preserve"> PAGEREF _Toc396045590 \h </w:instrText>
            </w:r>
            <w:r w:rsidRPr="00D91870">
              <w:rPr>
                <w:noProof/>
                <w:webHidden/>
                <w:sz w:val="20"/>
                <w:szCs w:val="20"/>
                <w:lang w:val="en-GB"/>
              </w:rPr>
            </w:r>
            <w:r w:rsidRPr="00D91870">
              <w:rPr>
                <w:noProof/>
                <w:webHidden/>
                <w:sz w:val="20"/>
                <w:szCs w:val="20"/>
                <w:lang w:val="en-GB"/>
              </w:rPr>
              <w:fldChar w:fldCharType="separate"/>
            </w:r>
            <w:r w:rsidR="00505B73">
              <w:rPr>
                <w:noProof/>
                <w:webHidden/>
                <w:sz w:val="20"/>
                <w:szCs w:val="20"/>
                <w:lang w:val="en-GB"/>
              </w:rPr>
              <w:t>11</w:t>
            </w:r>
            <w:r w:rsidRPr="00D91870">
              <w:rPr>
                <w:noProof/>
                <w:webHidden/>
                <w:sz w:val="20"/>
                <w:szCs w:val="20"/>
                <w:lang w:val="en-GB"/>
              </w:rPr>
              <w:fldChar w:fldCharType="end"/>
            </w:r>
          </w:hyperlink>
        </w:p>
        <w:p w:rsidR="00B17154" w:rsidRPr="009D1068" w:rsidRDefault="001E19BB" w:rsidP="00B17154">
          <w:pPr>
            <w:pStyle w:val="TOC3"/>
            <w:tabs>
              <w:tab w:val="left" w:pos="1320"/>
              <w:tab w:val="right" w:leader="dot" w:pos="9396"/>
            </w:tabs>
            <w:spacing w:line="240" w:lineRule="auto"/>
            <w:rPr>
              <w:noProof/>
              <w:sz w:val="20"/>
              <w:szCs w:val="20"/>
              <w:lang w:val="en-GB"/>
            </w:rPr>
          </w:pPr>
          <w:hyperlink w:anchor="_Toc396045591" w:history="1">
            <w:r w:rsidR="00D91870" w:rsidRPr="00D91870">
              <w:rPr>
                <w:rStyle w:val="Hyperlink"/>
                <w:noProof/>
                <w:sz w:val="20"/>
                <w:szCs w:val="20"/>
                <w:lang w:val="en-GB"/>
              </w:rPr>
              <w:t>2.1.3.</w:t>
            </w:r>
            <w:r w:rsidR="00D91870" w:rsidRPr="00D91870">
              <w:rPr>
                <w:noProof/>
                <w:sz w:val="20"/>
                <w:szCs w:val="20"/>
                <w:lang w:val="en-GB"/>
              </w:rPr>
              <w:tab/>
            </w:r>
            <w:r w:rsidR="00D91870" w:rsidRPr="00D91870">
              <w:rPr>
                <w:rStyle w:val="Hyperlink"/>
                <w:noProof/>
                <w:sz w:val="20"/>
                <w:szCs w:val="20"/>
                <w:lang w:val="en-GB"/>
              </w:rPr>
              <w:t>International norms connected to domestic norms</w:t>
            </w:r>
            <w:r w:rsidR="00D91870" w:rsidRPr="00D91870">
              <w:rPr>
                <w:noProof/>
                <w:webHidden/>
                <w:sz w:val="20"/>
                <w:szCs w:val="20"/>
                <w:lang w:val="en-GB"/>
              </w:rPr>
              <w:tab/>
            </w:r>
            <w:r w:rsidRPr="00D91870">
              <w:rPr>
                <w:noProof/>
                <w:webHidden/>
                <w:sz w:val="20"/>
                <w:szCs w:val="20"/>
                <w:lang w:val="en-GB"/>
              </w:rPr>
              <w:fldChar w:fldCharType="begin"/>
            </w:r>
            <w:r w:rsidR="00D91870" w:rsidRPr="00D91870">
              <w:rPr>
                <w:noProof/>
                <w:webHidden/>
                <w:sz w:val="20"/>
                <w:szCs w:val="20"/>
                <w:lang w:val="en-GB"/>
              </w:rPr>
              <w:instrText xml:space="preserve"> PAGEREF _Toc396045591 \h </w:instrText>
            </w:r>
            <w:r w:rsidRPr="00D91870">
              <w:rPr>
                <w:noProof/>
                <w:webHidden/>
                <w:sz w:val="20"/>
                <w:szCs w:val="20"/>
                <w:lang w:val="en-GB"/>
              </w:rPr>
            </w:r>
            <w:r w:rsidRPr="00D91870">
              <w:rPr>
                <w:noProof/>
                <w:webHidden/>
                <w:sz w:val="20"/>
                <w:szCs w:val="20"/>
                <w:lang w:val="en-GB"/>
              </w:rPr>
              <w:fldChar w:fldCharType="separate"/>
            </w:r>
            <w:r w:rsidR="00505B73">
              <w:rPr>
                <w:noProof/>
                <w:webHidden/>
                <w:sz w:val="20"/>
                <w:szCs w:val="20"/>
                <w:lang w:val="en-GB"/>
              </w:rPr>
              <w:t>12</w:t>
            </w:r>
            <w:r w:rsidRPr="00D91870">
              <w:rPr>
                <w:noProof/>
                <w:webHidden/>
                <w:sz w:val="20"/>
                <w:szCs w:val="20"/>
                <w:lang w:val="en-GB"/>
              </w:rPr>
              <w:fldChar w:fldCharType="end"/>
            </w:r>
          </w:hyperlink>
        </w:p>
        <w:p w:rsidR="00B17154" w:rsidRPr="009D1068" w:rsidRDefault="001E19BB" w:rsidP="00B17154">
          <w:pPr>
            <w:pStyle w:val="TOC3"/>
            <w:tabs>
              <w:tab w:val="left" w:pos="1320"/>
              <w:tab w:val="right" w:leader="dot" w:pos="9396"/>
            </w:tabs>
            <w:spacing w:line="240" w:lineRule="auto"/>
            <w:rPr>
              <w:noProof/>
              <w:sz w:val="20"/>
              <w:szCs w:val="20"/>
              <w:lang w:val="en-GB"/>
            </w:rPr>
          </w:pPr>
          <w:hyperlink w:anchor="_Toc396045592" w:history="1">
            <w:r w:rsidR="00D91870" w:rsidRPr="00D91870">
              <w:rPr>
                <w:rStyle w:val="Hyperlink"/>
                <w:noProof/>
                <w:sz w:val="20"/>
                <w:szCs w:val="20"/>
                <w:lang w:val="en-GB"/>
              </w:rPr>
              <w:t>2.1.4.</w:t>
            </w:r>
            <w:r w:rsidR="00D91870" w:rsidRPr="00D91870">
              <w:rPr>
                <w:noProof/>
                <w:sz w:val="20"/>
                <w:szCs w:val="20"/>
                <w:lang w:val="en-GB"/>
              </w:rPr>
              <w:tab/>
            </w:r>
            <w:r w:rsidR="00D91870" w:rsidRPr="00D91870">
              <w:rPr>
                <w:rStyle w:val="Hyperlink"/>
                <w:noProof/>
                <w:sz w:val="20"/>
                <w:szCs w:val="20"/>
                <w:lang w:val="en-GB"/>
              </w:rPr>
              <w:t>Norm lifecycle</w:t>
            </w:r>
            <w:r w:rsidR="00D91870" w:rsidRPr="00D91870">
              <w:rPr>
                <w:noProof/>
                <w:webHidden/>
                <w:sz w:val="20"/>
                <w:szCs w:val="20"/>
                <w:lang w:val="en-GB"/>
              </w:rPr>
              <w:tab/>
            </w:r>
            <w:r w:rsidRPr="00D91870">
              <w:rPr>
                <w:noProof/>
                <w:webHidden/>
                <w:sz w:val="20"/>
                <w:szCs w:val="20"/>
                <w:lang w:val="en-GB"/>
              </w:rPr>
              <w:fldChar w:fldCharType="begin"/>
            </w:r>
            <w:r w:rsidR="00D91870" w:rsidRPr="00D91870">
              <w:rPr>
                <w:noProof/>
                <w:webHidden/>
                <w:sz w:val="20"/>
                <w:szCs w:val="20"/>
                <w:lang w:val="en-GB"/>
              </w:rPr>
              <w:instrText xml:space="preserve"> PAGEREF _Toc396045592 \h </w:instrText>
            </w:r>
            <w:r w:rsidRPr="00D91870">
              <w:rPr>
                <w:noProof/>
                <w:webHidden/>
                <w:sz w:val="20"/>
                <w:szCs w:val="20"/>
                <w:lang w:val="en-GB"/>
              </w:rPr>
            </w:r>
            <w:r w:rsidRPr="00D91870">
              <w:rPr>
                <w:noProof/>
                <w:webHidden/>
                <w:sz w:val="20"/>
                <w:szCs w:val="20"/>
                <w:lang w:val="en-GB"/>
              </w:rPr>
              <w:fldChar w:fldCharType="separate"/>
            </w:r>
            <w:r w:rsidR="00505B73">
              <w:rPr>
                <w:noProof/>
                <w:webHidden/>
                <w:sz w:val="20"/>
                <w:szCs w:val="20"/>
                <w:lang w:val="en-GB"/>
              </w:rPr>
              <w:t>13</w:t>
            </w:r>
            <w:r w:rsidRPr="00D91870">
              <w:rPr>
                <w:noProof/>
                <w:webHidden/>
                <w:sz w:val="20"/>
                <w:szCs w:val="20"/>
                <w:lang w:val="en-GB"/>
              </w:rPr>
              <w:fldChar w:fldCharType="end"/>
            </w:r>
          </w:hyperlink>
        </w:p>
        <w:p w:rsidR="00B17154" w:rsidRPr="009D1068" w:rsidRDefault="00D91870" w:rsidP="00B17154">
          <w:pPr>
            <w:pStyle w:val="TOC3"/>
            <w:tabs>
              <w:tab w:val="right" w:leader="dot" w:pos="9396"/>
            </w:tabs>
            <w:spacing w:line="240" w:lineRule="auto"/>
            <w:rPr>
              <w:noProof/>
              <w:sz w:val="20"/>
              <w:szCs w:val="20"/>
              <w:lang w:val="en-GB"/>
            </w:rPr>
          </w:pPr>
          <w:r w:rsidRPr="00D91870">
            <w:rPr>
              <w:noProof/>
              <w:lang w:val="en-GB"/>
            </w:rPr>
            <w:t xml:space="preserve">                         </w:t>
          </w:r>
          <w:hyperlink w:anchor="_Toc396045593" w:history="1">
            <w:r w:rsidRPr="00D91870">
              <w:rPr>
                <w:rStyle w:val="Hyperlink"/>
                <w:noProof/>
                <w:sz w:val="20"/>
                <w:szCs w:val="20"/>
                <w:lang w:val="en-GB"/>
              </w:rPr>
              <w:t>Norm emergence</w:t>
            </w:r>
            <w:r w:rsidRPr="00D91870">
              <w:rPr>
                <w:noProof/>
                <w:webHidden/>
                <w:sz w:val="20"/>
                <w:szCs w:val="20"/>
                <w:lang w:val="en-GB"/>
              </w:rPr>
              <w:tab/>
            </w:r>
            <w:r w:rsidR="001E19BB" w:rsidRPr="00D91870">
              <w:rPr>
                <w:noProof/>
                <w:webHidden/>
                <w:sz w:val="20"/>
                <w:szCs w:val="20"/>
                <w:lang w:val="en-GB"/>
              </w:rPr>
              <w:fldChar w:fldCharType="begin"/>
            </w:r>
            <w:r w:rsidRPr="00D91870">
              <w:rPr>
                <w:noProof/>
                <w:webHidden/>
                <w:sz w:val="20"/>
                <w:szCs w:val="20"/>
                <w:lang w:val="en-GB"/>
              </w:rPr>
              <w:instrText xml:space="preserve"> PAGEREF _Toc396045593 \h </w:instrText>
            </w:r>
            <w:r w:rsidR="001E19BB" w:rsidRPr="00D91870">
              <w:rPr>
                <w:noProof/>
                <w:webHidden/>
                <w:sz w:val="20"/>
                <w:szCs w:val="20"/>
                <w:lang w:val="en-GB"/>
              </w:rPr>
            </w:r>
            <w:r w:rsidR="001E19BB" w:rsidRPr="00D91870">
              <w:rPr>
                <w:noProof/>
                <w:webHidden/>
                <w:sz w:val="20"/>
                <w:szCs w:val="20"/>
                <w:lang w:val="en-GB"/>
              </w:rPr>
              <w:fldChar w:fldCharType="separate"/>
            </w:r>
            <w:r w:rsidR="00505B73">
              <w:rPr>
                <w:noProof/>
                <w:webHidden/>
                <w:sz w:val="20"/>
                <w:szCs w:val="20"/>
                <w:lang w:val="en-GB"/>
              </w:rPr>
              <w:t>14</w:t>
            </w:r>
            <w:r w:rsidR="001E19BB" w:rsidRPr="00D91870">
              <w:rPr>
                <w:noProof/>
                <w:webHidden/>
                <w:sz w:val="20"/>
                <w:szCs w:val="20"/>
                <w:lang w:val="en-GB"/>
              </w:rPr>
              <w:fldChar w:fldCharType="end"/>
            </w:r>
          </w:hyperlink>
        </w:p>
        <w:p w:rsidR="00B17154" w:rsidRPr="009D1068" w:rsidRDefault="00D91870" w:rsidP="00B17154">
          <w:pPr>
            <w:pStyle w:val="TOC3"/>
            <w:tabs>
              <w:tab w:val="right" w:leader="dot" w:pos="9396"/>
            </w:tabs>
            <w:spacing w:line="240" w:lineRule="auto"/>
            <w:rPr>
              <w:noProof/>
              <w:sz w:val="20"/>
              <w:szCs w:val="20"/>
              <w:lang w:val="en-GB"/>
            </w:rPr>
          </w:pPr>
          <w:r w:rsidRPr="00D91870">
            <w:rPr>
              <w:noProof/>
              <w:lang w:val="en-GB"/>
            </w:rPr>
            <w:t xml:space="preserve">                         </w:t>
          </w:r>
          <w:hyperlink w:anchor="_Toc396045594" w:history="1">
            <w:r w:rsidRPr="00D91870">
              <w:rPr>
                <w:rStyle w:val="Hyperlink"/>
                <w:noProof/>
                <w:sz w:val="20"/>
                <w:szCs w:val="20"/>
                <w:lang w:val="en-GB"/>
              </w:rPr>
              <w:t>Norm cascade</w:t>
            </w:r>
            <w:r w:rsidRPr="00D91870">
              <w:rPr>
                <w:noProof/>
                <w:webHidden/>
                <w:sz w:val="20"/>
                <w:szCs w:val="20"/>
                <w:lang w:val="en-GB"/>
              </w:rPr>
              <w:tab/>
            </w:r>
            <w:r w:rsidR="001E19BB" w:rsidRPr="00D91870">
              <w:rPr>
                <w:noProof/>
                <w:webHidden/>
                <w:sz w:val="20"/>
                <w:szCs w:val="20"/>
                <w:lang w:val="en-GB"/>
              </w:rPr>
              <w:fldChar w:fldCharType="begin"/>
            </w:r>
            <w:r w:rsidRPr="00D91870">
              <w:rPr>
                <w:noProof/>
                <w:webHidden/>
                <w:sz w:val="20"/>
                <w:szCs w:val="20"/>
                <w:lang w:val="en-GB"/>
              </w:rPr>
              <w:instrText xml:space="preserve"> PAGEREF _Toc396045594 \h </w:instrText>
            </w:r>
            <w:r w:rsidR="001E19BB" w:rsidRPr="00D91870">
              <w:rPr>
                <w:noProof/>
                <w:webHidden/>
                <w:sz w:val="20"/>
                <w:szCs w:val="20"/>
                <w:lang w:val="en-GB"/>
              </w:rPr>
            </w:r>
            <w:r w:rsidR="001E19BB" w:rsidRPr="00D91870">
              <w:rPr>
                <w:noProof/>
                <w:webHidden/>
                <w:sz w:val="20"/>
                <w:szCs w:val="20"/>
                <w:lang w:val="en-GB"/>
              </w:rPr>
              <w:fldChar w:fldCharType="separate"/>
            </w:r>
            <w:r w:rsidR="00505B73">
              <w:rPr>
                <w:noProof/>
                <w:webHidden/>
                <w:sz w:val="20"/>
                <w:szCs w:val="20"/>
                <w:lang w:val="en-GB"/>
              </w:rPr>
              <w:t>16</w:t>
            </w:r>
            <w:r w:rsidR="001E19BB" w:rsidRPr="00D91870">
              <w:rPr>
                <w:noProof/>
                <w:webHidden/>
                <w:sz w:val="20"/>
                <w:szCs w:val="20"/>
                <w:lang w:val="en-GB"/>
              </w:rPr>
              <w:fldChar w:fldCharType="end"/>
            </w:r>
          </w:hyperlink>
        </w:p>
        <w:p w:rsidR="00B17154" w:rsidRPr="009D1068" w:rsidRDefault="00D91870" w:rsidP="00B17154">
          <w:pPr>
            <w:pStyle w:val="TOC3"/>
            <w:tabs>
              <w:tab w:val="right" w:leader="dot" w:pos="9396"/>
            </w:tabs>
            <w:spacing w:line="240" w:lineRule="auto"/>
            <w:rPr>
              <w:noProof/>
              <w:sz w:val="20"/>
              <w:szCs w:val="20"/>
              <w:lang w:val="en-GB"/>
            </w:rPr>
          </w:pPr>
          <w:r w:rsidRPr="00D91870">
            <w:rPr>
              <w:noProof/>
              <w:lang w:val="en-GB"/>
            </w:rPr>
            <w:t xml:space="preserve">                         </w:t>
          </w:r>
          <w:hyperlink w:anchor="_Toc396045595" w:history="1">
            <w:r w:rsidRPr="00D91870">
              <w:rPr>
                <w:rStyle w:val="Hyperlink"/>
                <w:noProof/>
                <w:sz w:val="20"/>
                <w:szCs w:val="20"/>
                <w:lang w:val="en-GB"/>
              </w:rPr>
              <w:t>Norm internalization</w:t>
            </w:r>
            <w:r w:rsidRPr="00D91870">
              <w:rPr>
                <w:noProof/>
                <w:webHidden/>
                <w:sz w:val="20"/>
                <w:szCs w:val="20"/>
                <w:lang w:val="en-GB"/>
              </w:rPr>
              <w:tab/>
            </w:r>
            <w:r w:rsidR="001E19BB" w:rsidRPr="00D91870">
              <w:rPr>
                <w:noProof/>
                <w:webHidden/>
                <w:sz w:val="20"/>
                <w:szCs w:val="20"/>
                <w:lang w:val="en-GB"/>
              </w:rPr>
              <w:fldChar w:fldCharType="begin"/>
            </w:r>
            <w:r w:rsidRPr="00D91870">
              <w:rPr>
                <w:noProof/>
                <w:webHidden/>
                <w:sz w:val="20"/>
                <w:szCs w:val="20"/>
                <w:lang w:val="en-GB"/>
              </w:rPr>
              <w:instrText xml:space="preserve"> PAGEREF _Toc396045595 \h </w:instrText>
            </w:r>
            <w:r w:rsidR="001E19BB" w:rsidRPr="00D91870">
              <w:rPr>
                <w:noProof/>
                <w:webHidden/>
                <w:sz w:val="20"/>
                <w:szCs w:val="20"/>
                <w:lang w:val="en-GB"/>
              </w:rPr>
            </w:r>
            <w:r w:rsidR="001E19BB" w:rsidRPr="00D91870">
              <w:rPr>
                <w:noProof/>
                <w:webHidden/>
                <w:sz w:val="20"/>
                <w:szCs w:val="20"/>
                <w:lang w:val="en-GB"/>
              </w:rPr>
              <w:fldChar w:fldCharType="separate"/>
            </w:r>
            <w:r w:rsidR="00505B73">
              <w:rPr>
                <w:noProof/>
                <w:webHidden/>
                <w:sz w:val="20"/>
                <w:szCs w:val="20"/>
                <w:lang w:val="en-GB"/>
              </w:rPr>
              <w:t>17</w:t>
            </w:r>
            <w:r w:rsidR="001E19BB" w:rsidRPr="00D91870">
              <w:rPr>
                <w:noProof/>
                <w:webHidden/>
                <w:sz w:val="20"/>
                <w:szCs w:val="20"/>
                <w:lang w:val="en-GB"/>
              </w:rPr>
              <w:fldChar w:fldCharType="end"/>
            </w:r>
          </w:hyperlink>
        </w:p>
        <w:p w:rsidR="00B17154" w:rsidRPr="009D1068" w:rsidRDefault="001E19BB" w:rsidP="00B17154">
          <w:pPr>
            <w:pStyle w:val="TOC3"/>
            <w:tabs>
              <w:tab w:val="left" w:pos="1320"/>
              <w:tab w:val="right" w:leader="dot" w:pos="9396"/>
            </w:tabs>
            <w:spacing w:line="240" w:lineRule="auto"/>
            <w:rPr>
              <w:noProof/>
              <w:sz w:val="20"/>
              <w:szCs w:val="20"/>
              <w:lang w:val="en-GB"/>
            </w:rPr>
          </w:pPr>
          <w:hyperlink w:anchor="_Toc396045596" w:history="1">
            <w:r w:rsidR="00D91870" w:rsidRPr="00D91870">
              <w:rPr>
                <w:rStyle w:val="Hyperlink"/>
                <w:noProof/>
                <w:sz w:val="20"/>
                <w:szCs w:val="20"/>
                <w:lang w:val="en-GB"/>
              </w:rPr>
              <w:t>2.1.5.</w:t>
            </w:r>
            <w:r w:rsidR="00D91870" w:rsidRPr="00D91870">
              <w:rPr>
                <w:noProof/>
                <w:sz w:val="20"/>
                <w:szCs w:val="20"/>
                <w:lang w:val="en-GB"/>
              </w:rPr>
              <w:tab/>
            </w:r>
            <w:r w:rsidR="00D91870" w:rsidRPr="00D91870">
              <w:rPr>
                <w:rStyle w:val="Hyperlink"/>
                <w:noProof/>
                <w:sz w:val="20"/>
                <w:szCs w:val="20"/>
                <w:lang w:val="en-GB"/>
              </w:rPr>
              <w:t>Critique on the norm life cycle in respect to the adoption of norms</w:t>
            </w:r>
            <w:r w:rsidR="00D91870" w:rsidRPr="00D91870">
              <w:rPr>
                <w:noProof/>
                <w:webHidden/>
                <w:sz w:val="20"/>
                <w:szCs w:val="20"/>
                <w:lang w:val="en-GB"/>
              </w:rPr>
              <w:tab/>
            </w:r>
            <w:r w:rsidRPr="00D91870">
              <w:rPr>
                <w:noProof/>
                <w:webHidden/>
                <w:sz w:val="20"/>
                <w:szCs w:val="20"/>
                <w:lang w:val="en-GB"/>
              </w:rPr>
              <w:fldChar w:fldCharType="begin"/>
            </w:r>
            <w:r w:rsidR="00D91870" w:rsidRPr="00D91870">
              <w:rPr>
                <w:noProof/>
                <w:webHidden/>
                <w:sz w:val="20"/>
                <w:szCs w:val="20"/>
                <w:lang w:val="en-GB"/>
              </w:rPr>
              <w:instrText xml:space="preserve"> PAGEREF _Toc396045596 \h </w:instrText>
            </w:r>
            <w:r w:rsidRPr="00D91870">
              <w:rPr>
                <w:noProof/>
                <w:webHidden/>
                <w:sz w:val="20"/>
                <w:szCs w:val="20"/>
                <w:lang w:val="en-GB"/>
              </w:rPr>
            </w:r>
            <w:r w:rsidRPr="00D91870">
              <w:rPr>
                <w:noProof/>
                <w:webHidden/>
                <w:sz w:val="20"/>
                <w:szCs w:val="20"/>
                <w:lang w:val="en-GB"/>
              </w:rPr>
              <w:fldChar w:fldCharType="separate"/>
            </w:r>
            <w:r w:rsidR="00505B73">
              <w:rPr>
                <w:noProof/>
                <w:webHidden/>
                <w:sz w:val="20"/>
                <w:szCs w:val="20"/>
                <w:lang w:val="en-GB"/>
              </w:rPr>
              <w:t>18</w:t>
            </w:r>
            <w:r w:rsidRPr="00D91870">
              <w:rPr>
                <w:noProof/>
                <w:webHidden/>
                <w:sz w:val="20"/>
                <w:szCs w:val="20"/>
                <w:lang w:val="en-GB"/>
              </w:rPr>
              <w:fldChar w:fldCharType="end"/>
            </w:r>
          </w:hyperlink>
        </w:p>
        <w:p w:rsidR="00B17154" w:rsidRPr="009D1068" w:rsidRDefault="001E19BB" w:rsidP="00B17154">
          <w:pPr>
            <w:pStyle w:val="TOC2"/>
            <w:tabs>
              <w:tab w:val="left" w:pos="880"/>
              <w:tab w:val="right" w:leader="dot" w:pos="9396"/>
            </w:tabs>
            <w:spacing w:line="240" w:lineRule="auto"/>
            <w:rPr>
              <w:noProof/>
              <w:sz w:val="20"/>
              <w:szCs w:val="20"/>
              <w:lang w:val="en-GB"/>
            </w:rPr>
          </w:pPr>
          <w:hyperlink w:anchor="_Toc396045597" w:history="1">
            <w:r w:rsidR="00D91870" w:rsidRPr="00D91870">
              <w:rPr>
                <w:rStyle w:val="Hyperlink"/>
                <w:noProof/>
                <w:sz w:val="20"/>
                <w:szCs w:val="20"/>
                <w:lang w:val="en-GB"/>
              </w:rPr>
              <w:t>2.2.</w:t>
            </w:r>
            <w:r w:rsidR="00D91870" w:rsidRPr="00D91870">
              <w:rPr>
                <w:noProof/>
                <w:sz w:val="20"/>
                <w:szCs w:val="20"/>
                <w:lang w:val="en-GB"/>
              </w:rPr>
              <w:tab/>
            </w:r>
            <w:r w:rsidR="00D91870" w:rsidRPr="00D91870">
              <w:rPr>
                <w:rStyle w:val="Hyperlink"/>
                <w:noProof/>
                <w:sz w:val="20"/>
                <w:szCs w:val="20"/>
                <w:lang w:val="en-GB"/>
              </w:rPr>
              <w:t>Varieties of Capitalism</w:t>
            </w:r>
            <w:r w:rsidR="00D91870" w:rsidRPr="00D91870">
              <w:rPr>
                <w:noProof/>
                <w:webHidden/>
                <w:sz w:val="20"/>
                <w:szCs w:val="20"/>
                <w:lang w:val="en-GB"/>
              </w:rPr>
              <w:tab/>
            </w:r>
            <w:r w:rsidRPr="00D91870">
              <w:rPr>
                <w:noProof/>
                <w:webHidden/>
                <w:sz w:val="20"/>
                <w:szCs w:val="20"/>
                <w:lang w:val="en-GB"/>
              </w:rPr>
              <w:fldChar w:fldCharType="begin"/>
            </w:r>
            <w:r w:rsidR="00D91870" w:rsidRPr="00D91870">
              <w:rPr>
                <w:noProof/>
                <w:webHidden/>
                <w:sz w:val="20"/>
                <w:szCs w:val="20"/>
                <w:lang w:val="en-GB"/>
              </w:rPr>
              <w:instrText xml:space="preserve"> PAGEREF _Toc396045597 \h </w:instrText>
            </w:r>
            <w:r w:rsidRPr="00D91870">
              <w:rPr>
                <w:noProof/>
                <w:webHidden/>
                <w:sz w:val="20"/>
                <w:szCs w:val="20"/>
                <w:lang w:val="en-GB"/>
              </w:rPr>
            </w:r>
            <w:r w:rsidRPr="00D91870">
              <w:rPr>
                <w:noProof/>
                <w:webHidden/>
                <w:sz w:val="20"/>
                <w:szCs w:val="20"/>
                <w:lang w:val="en-GB"/>
              </w:rPr>
              <w:fldChar w:fldCharType="separate"/>
            </w:r>
            <w:r w:rsidR="00505B73">
              <w:rPr>
                <w:noProof/>
                <w:webHidden/>
                <w:sz w:val="20"/>
                <w:szCs w:val="20"/>
                <w:lang w:val="en-GB"/>
              </w:rPr>
              <w:t>19</w:t>
            </w:r>
            <w:r w:rsidRPr="00D91870">
              <w:rPr>
                <w:noProof/>
                <w:webHidden/>
                <w:sz w:val="20"/>
                <w:szCs w:val="20"/>
                <w:lang w:val="en-GB"/>
              </w:rPr>
              <w:fldChar w:fldCharType="end"/>
            </w:r>
          </w:hyperlink>
        </w:p>
        <w:p w:rsidR="00B17154" w:rsidRPr="009D1068" w:rsidRDefault="001E19BB" w:rsidP="00B17154">
          <w:pPr>
            <w:pStyle w:val="TOC3"/>
            <w:tabs>
              <w:tab w:val="left" w:pos="1320"/>
              <w:tab w:val="right" w:leader="dot" w:pos="9396"/>
            </w:tabs>
            <w:spacing w:line="240" w:lineRule="auto"/>
            <w:rPr>
              <w:noProof/>
              <w:sz w:val="20"/>
              <w:szCs w:val="20"/>
              <w:lang w:val="en-GB"/>
            </w:rPr>
          </w:pPr>
          <w:hyperlink w:anchor="_Toc396045598" w:history="1">
            <w:r w:rsidR="00D91870" w:rsidRPr="00D91870">
              <w:rPr>
                <w:rStyle w:val="Hyperlink"/>
                <w:noProof/>
                <w:sz w:val="20"/>
                <w:szCs w:val="20"/>
                <w:lang w:val="en-GB"/>
              </w:rPr>
              <w:t>2.2.1.</w:t>
            </w:r>
            <w:r w:rsidR="00D91870" w:rsidRPr="00D91870">
              <w:rPr>
                <w:noProof/>
                <w:sz w:val="20"/>
                <w:szCs w:val="20"/>
                <w:lang w:val="en-GB"/>
              </w:rPr>
              <w:tab/>
            </w:r>
            <w:r w:rsidR="00D91870" w:rsidRPr="00D91870">
              <w:rPr>
                <w:rStyle w:val="Hyperlink"/>
                <w:noProof/>
                <w:sz w:val="20"/>
                <w:szCs w:val="20"/>
                <w:lang w:val="en-GB"/>
              </w:rPr>
              <w:t>Coordinated Market Economy (CME) and Liberal Market Economy (LME)</w:t>
            </w:r>
            <w:r w:rsidR="00D91870" w:rsidRPr="00D91870">
              <w:rPr>
                <w:noProof/>
                <w:webHidden/>
                <w:sz w:val="20"/>
                <w:szCs w:val="20"/>
                <w:lang w:val="en-GB"/>
              </w:rPr>
              <w:tab/>
            </w:r>
            <w:r w:rsidRPr="00D91870">
              <w:rPr>
                <w:noProof/>
                <w:webHidden/>
                <w:sz w:val="20"/>
                <w:szCs w:val="20"/>
                <w:lang w:val="en-GB"/>
              </w:rPr>
              <w:fldChar w:fldCharType="begin"/>
            </w:r>
            <w:r w:rsidR="00D91870" w:rsidRPr="00D91870">
              <w:rPr>
                <w:noProof/>
                <w:webHidden/>
                <w:sz w:val="20"/>
                <w:szCs w:val="20"/>
                <w:lang w:val="en-GB"/>
              </w:rPr>
              <w:instrText xml:space="preserve"> PAGEREF _Toc396045598 \h </w:instrText>
            </w:r>
            <w:r w:rsidRPr="00D91870">
              <w:rPr>
                <w:noProof/>
                <w:webHidden/>
                <w:sz w:val="20"/>
                <w:szCs w:val="20"/>
                <w:lang w:val="en-GB"/>
              </w:rPr>
            </w:r>
            <w:r w:rsidRPr="00D91870">
              <w:rPr>
                <w:noProof/>
                <w:webHidden/>
                <w:sz w:val="20"/>
                <w:szCs w:val="20"/>
                <w:lang w:val="en-GB"/>
              </w:rPr>
              <w:fldChar w:fldCharType="separate"/>
            </w:r>
            <w:r w:rsidR="00505B73">
              <w:rPr>
                <w:noProof/>
                <w:webHidden/>
                <w:sz w:val="20"/>
                <w:szCs w:val="20"/>
                <w:lang w:val="en-GB"/>
              </w:rPr>
              <w:t>20</w:t>
            </w:r>
            <w:r w:rsidRPr="00D91870">
              <w:rPr>
                <w:noProof/>
                <w:webHidden/>
                <w:sz w:val="20"/>
                <w:szCs w:val="20"/>
                <w:lang w:val="en-GB"/>
              </w:rPr>
              <w:fldChar w:fldCharType="end"/>
            </w:r>
          </w:hyperlink>
        </w:p>
        <w:p w:rsidR="00B17154" w:rsidRPr="009D1068" w:rsidRDefault="001E19BB" w:rsidP="009A3D6C">
          <w:pPr>
            <w:pStyle w:val="TOC3"/>
            <w:tabs>
              <w:tab w:val="left" w:pos="1320"/>
              <w:tab w:val="right" w:leader="dot" w:pos="9396"/>
            </w:tabs>
            <w:spacing w:line="240" w:lineRule="auto"/>
            <w:ind w:left="1320" w:hanging="880"/>
            <w:rPr>
              <w:noProof/>
              <w:sz w:val="20"/>
              <w:szCs w:val="20"/>
              <w:lang w:val="en-GB"/>
            </w:rPr>
          </w:pPr>
          <w:hyperlink w:anchor="_Toc396045599" w:history="1">
            <w:r w:rsidR="00D91870" w:rsidRPr="00D91870">
              <w:rPr>
                <w:rStyle w:val="Hyperlink"/>
                <w:noProof/>
                <w:sz w:val="20"/>
                <w:szCs w:val="20"/>
                <w:lang w:val="en-GB"/>
              </w:rPr>
              <w:t>2.2.2.</w:t>
            </w:r>
            <w:r w:rsidR="00D91870" w:rsidRPr="00D91870">
              <w:rPr>
                <w:noProof/>
                <w:sz w:val="20"/>
                <w:szCs w:val="20"/>
                <w:lang w:val="en-GB"/>
              </w:rPr>
              <w:tab/>
            </w:r>
            <w:r w:rsidR="00D91870" w:rsidRPr="00D91870">
              <w:rPr>
                <w:rStyle w:val="Hyperlink"/>
                <w:noProof/>
                <w:sz w:val="20"/>
                <w:szCs w:val="20"/>
                <w:lang w:val="en-GB"/>
              </w:rPr>
              <w:t>Varieties of Capitalism: differences in cross-national skill profiles and protection institutions        (welfare production regimes)</w:t>
            </w:r>
            <w:r w:rsidR="00D91870" w:rsidRPr="00D91870">
              <w:rPr>
                <w:noProof/>
                <w:webHidden/>
                <w:sz w:val="20"/>
                <w:szCs w:val="20"/>
                <w:lang w:val="en-GB"/>
              </w:rPr>
              <w:tab/>
            </w:r>
            <w:r w:rsidRPr="00D91870">
              <w:rPr>
                <w:noProof/>
                <w:webHidden/>
                <w:sz w:val="20"/>
                <w:szCs w:val="20"/>
                <w:lang w:val="en-GB"/>
              </w:rPr>
              <w:fldChar w:fldCharType="begin"/>
            </w:r>
            <w:r w:rsidR="00D91870" w:rsidRPr="00D91870">
              <w:rPr>
                <w:noProof/>
                <w:webHidden/>
                <w:sz w:val="20"/>
                <w:szCs w:val="20"/>
                <w:lang w:val="en-GB"/>
              </w:rPr>
              <w:instrText xml:space="preserve"> PAGEREF _Toc396045599 \h </w:instrText>
            </w:r>
            <w:r w:rsidRPr="00D91870">
              <w:rPr>
                <w:noProof/>
                <w:webHidden/>
                <w:sz w:val="20"/>
                <w:szCs w:val="20"/>
                <w:lang w:val="en-GB"/>
              </w:rPr>
            </w:r>
            <w:r w:rsidRPr="00D91870">
              <w:rPr>
                <w:noProof/>
                <w:webHidden/>
                <w:sz w:val="20"/>
                <w:szCs w:val="20"/>
                <w:lang w:val="en-GB"/>
              </w:rPr>
              <w:fldChar w:fldCharType="separate"/>
            </w:r>
            <w:r w:rsidR="00505B73">
              <w:rPr>
                <w:noProof/>
                <w:webHidden/>
                <w:sz w:val="20"/>
                <w:szCs w:val="20"/>
                <w:lang w:val="en-GB"/>
              </w:rPr>
              <w:t>23</w:t>
            </w:r>
            <w:r w:rsidRPr="00D91870">
              <w:rPr>
                <w:noProof/>
                <w:webHidden/>
                <w:sz w:val="20"/>
                <w:szCs w:val="20"/>
                <w:lang w:val="en-GB"/>
              </w:rPr>
              <w:fldChar w:fldCharType="end"/>
            </w:r>
          </w:hyperlink>
        </w:p>
        <w:p w:rsidR="00B17154" w:rsidRPr="009D1068" w:rsidRDefault="001E19BB" w:rsidP="00B17154">
          <w:pPr>
            <w:pStyle w:val="TOC3"/>
            <w:tabs>
              <w:tab w:val="left" w:pos="1320"/>
              <w:tab w:val="right" w:leader="dot" w:pos="9396"/>
            </w:tabs>
            <w:spacing w:line="240" w:lineRule="auto"/>
            <w:rPr>
              <w:noProof/>
              <w:sz w:val="20"/>
              <w:szCs w:val="20"/>
              <w:lang w:val="en-GB"/>
            </w:rPr>
          </w:pPr>
          <w:hyperlink w:anchor="_Toc396045600" w:history="1">
            <w:r w:rsidR="00D91870" w:rsidRPr="00D91870">
              <w:rPr>
                <w:rStyle w:val="Hyperlink"/>
                <w:noProof/>
                <w:sz w:val="20"/>
                <w:szCs w:val="20"/>
                <w:lang w:val="en-GB"/>
              </w:rPr>
              <w:t>2.2.3.</w:t>
            </w:r>
            <w:r w:rsidR="00D91870" w:rsidRPr="00D91870">
              <w:rPr>
                <w:noProof/>
                <w:sz w:val="20"/>
                <w:szCs w:val="20"/>
                <w:lang w:val="en-GB"/>
              </w:rPr>
              <w:tab/>
            </w:r>
            <w:r w:rsidR="00D91870" w:rsidRPr="00D91870">
              <w:rPr>
                <w:rStyle w:val="Hyperlink"/>
                <w:noProof/>
                <w:sz w:val="20"/>
                <w:szCs w:val="20"/>
                <w:lang w:val="en-GB"/>
              </w:rPr>
              <w:t>Varieties of Capitalism and globalization</w:t>
            </w:r>
            <w:r w:rsidR="00D91870" w:rsidRPr="00D91870">
              <w:rPr>
                <w:noProof/>
                <w:webHidden/>
                <w:sz w:val="20"/>
                <w:szCs w:val="20"/>
                <w:lang w:val="en-GB"/>
              </w:rPr>
              <w:tab/>
            </w:r>
            <w:r w:rsidRPr="00D91870">
              <w:rPr>
                <w:noProof/>
                <w:webHidden/>
                <w:sz w:val="20"/>
                <w:szCs w:val="20"/>
                <w:lang w:val="en-GB"/>
              </w:rPr>
              <w:fldChar w:fldCharType="begin"/>
            </w:r>
            <w:r w:rsidR="00D91870" w:rsidRPr="00D91870">
              <w:rPr>
                <w:noProof/>
                <w:webHidden/>
                <w:sz w:val="20"/>
                <w:szCs w:val="20"/>
                <w:lang w:val="en-GB"/>
              </w:rPr>
              <w:instrText xml:space="preserve"> PAGEREF _Toc396045600 \h </w:instrText>
            </w:r>
            <w:r w:rsidRPr="00D91870">
              <w:rPr>
                <w:noProof/>
                <w:webHidden/>
                <w:sz w:val="20"/>
                <w:szCs w:val="20"/>
                <w:lang w:val="en-GB"/>
              </w:rPr>
            </w:r>
            <w:r w:rsidRPr="00D91870">
              <w:rPr>
                <w:noProof/>
                <w:webHidden/>
                <w:sz w:val="20"/>
                <w:szCs w:val="20"/>
                <w:lang w:val="en-GB"/>
              </w:rPr>
              <w:fldChar w:fldCharType="separate"/>
            </w:r>
            <w:r w:rsidR="00505B73">
              <w:rPr>
                <w:noProof/>
                <w:webHidden/>
                <w:sz w:val="20"/>
                <w:szCs w:val="20"/>
                <w:lang w:val="en-GB"/>
              </w:rPr>
              <w:t>27</w:t>
            </w:r>
            <w:r w:rsidRPr="00D91870">
              <w:rPr>
                <w:noProof/>
                <w:webHidden/>
                <w:sz w:val="20"/>
                <w:szCs w:val="20"/>
                <w:lang w:val="en-GB"/>
              </w:rPr>
              <w:fldChar w:fldCharType="end"/>
            </w:r>
          </w:hyperlink>
        </w:p>
        <w:p w:rsidR="00B17154" w:rsidRPr="009D1068" w:rsidRDefault="001E19BB" w:rsidP="00B17154">
          <w:pPr>
            <w:pStyle w:val="TOC3"/>
            <w:tabs>
              <w:tab w:val="left" w:pos="1320"/>
              <w:tab w:val="right" w:leader="dot" w:pos="9396"/>
            </w:tabs>
            <w:spacing w:line="240" w:lineRule="auto"/>
            <w:rPr>
              <w:noProof/>
              <w:sz w:val="20"/>
              <w:szCs w:val="20"/>
              <w:lang w:val="en-GB"/>
            </w:rPr>
          </w:pPr>
          <w:hyperlink w:anchor="_Toc396045601" w:history="1">
            <w:r w:rsidR="00D91870" w:rsidRPr="00D91870">
              <w:rPr>
                <w:rStyle w:val="Hyperlink"/>
                <w:noProof/>
                <w:sz w:val="20"/>
                <w:szCs w:val="20"/>
                <w:lang w:val="en-GB"/>
              </w:rPr>
              <w:t>2.2.4.</w:t>
            </w:r>
            <w:r w:rsidR="00D91870" w:rsidRPr="00D91870">
              <w:rPr>
                <w:noProof/>
                <w:sz w:val="20"/>
                <w:szCs w:val="20"/>
                <w:lang w:val="en-GB"/>
              </w:rPr>
              <w:tab/>
            </w:r>
            <w:r w:rsidR="00D91870" w:rsidRPr="00D91870">
              <w:rPr>
                <w:rStyle w:val="Hyperlink"/>
                <w:noProof/>
                <w:sz w:val="20"/>
                <w:szCs w:val="20"/>
                <w:lang w:val="en-GB"/>
              </w:rPr>
              <w:t>Criticisms on the Varieties of Capitalism approach (in respect to skill formation)</w:t>
            </w:r>
            <w:r w:rsidR="00D91870" w:rsidRPr="00D91870">
              <w:rPr>
                <w:noProof/>
                <w:webHidden/>
                <w:sz w:val="20"/>
                <w:szCs w:val="20"/>
                <w:lang w:val="en-GB"/>
              </w:rPr>
              <w:tab/>
            </w:r>
            <w:r w:rsidRPr="00D91870">
              <w:rPr>
                <w:noProof/>
                <w:webHidden/>
                <w:sz w:val="20"/>
                <w:szCs w:val="20"/>
                <w:lang w:val="en-GB"/>
              </w:rPr>
              <w:fldChar w:fldCharType="begin"/>
            </w:r>
            <w:r w:rsidR="00D91870" w:rsidRPr="00D91870">
              <w:rPr>
                <w:noProof/>
                <w:webHidden/>
                <w:sz w:val="20"/>
                <w:szCs w:val="20"/>
                <w:lang w:val="en-GB"/>
              </w:rPr>
              <w:instrText xml:space="preserve"> PAGEREF _Toc396045601 \h </w:instrText>
            </w:r>
            <w:r w:rsidRPr="00D91870">
              <w:rPr>
                <w:noProof/>
                <w:webHidden/>
                <w:sz w:val="20"/>
                <w:szCs w:val="20"/>
                <w:lang w:val="en-GB"/>
              </w:rPr>
            </w:r>
            <w:r w:rsidRPr="00D91870">
              <w:rPr>
                <w:noProof/>
                <w:webHidden/>
                <w:sz w:val="20"/>
                <w:szCs w:val="20"/>
                <w:lang w:val="en-GB"/>
              </w:rPr>
              <w:fldChar w:fldCharType="separate"/>
            </w:r>
            <w:r w:rsidR="00505B73">
              <w:rPr>
                <w:noProof/>
                <w:webHidden/>
                <w:sz w:val="20"/>
                <w:szCs w:val="20"/>
                <w:lang w:val="en-GB"/>
              </w:rPr>
              <w:t>29</w:t>
            </w:r>
            <w:r w:rsidRPr="00D91870">
              <w:rPr>
                <w:noProof/>
                <w:webHidden/>
                <w:sz w:val="20"/>
                <w:szCs w:val="20"/>
                <w:lang w:val="en-GB"/>
              </w:rPr>
              <w:fldChar w:fldCharType="end"/>
            </w:r>
          </w:hyperlink>
        </w:p>
        <w:p w:rsidR="00C841B9" w:rsidRDefault="00C841B9" w:rsidP="00B17154">
          <w:pPr>
            <w:pStyle w:val="TOC1"/>
          </w:pPr>
        </w:p>
        <w:p w:rsidR="00B17154" w:rsidRPr="009D1068" w:rsidRDefault="001E19BB" w:rsidP="00B17154">
          <w:pPr>
            <w:pStyle w:val="TOC1"/>
            <w:rPr>
              <w:b w:val="0"/>
              <w:szCs w:val="20"/>
            </w:rPr>
          </w:pPr>
          <w:hyperlink w:anchor="_Toc396045602" w:history="1">
            <w:r w:rsidR="00D91870">
              <w:rPr>
                <w:rStyle w:val="Hyperlink"/>
                <w:szCs w:val="20"/>
              </w:rPr>
              <w:t>3.</w:t>
            </w:r>
            <w:r w:rsidR="00D91870" w:rsidRPr="00D91870">
              <w:rPr>
                <w:b w:val="0"/>
                <w:szCs w:val="20"/>
              </w:rPr>
              <w:tab/>
            </w:r>
            <w:r w:rsidR="00D91870">
              <w:rPr>
                <w:rStyle w:val="Hyperlink"/>
                <w:szCs w:val="20"/>
              </w:rPr>
              <w:t>Operationalization and Methodology</w:t>
            </w:r>
            <w:r w:rsidR="00D91870" w:rsidRPr="00D91870">
              <w:rPr>
                <w:webHidden/>
                <w:szCs w:val="20"/>
              </w:rPr>
              <w:tab/>
            </w:r>
            <w:r w:rsidRPr="00D91870">
              <w:rPr>
                <w:webHidden/>
                <w:szCs w:val="20"/>
              </w:rPr>
              <w:fldChar w:fldCharType="begin"/>
            </w:r>
            <w:r w:rsidR="00D91870" w:rsidRPr="00D91870">
              <w:rPr>
                <w:webHidden/>
                <w:szCs w:val="20"/>
              </w:rPr>
              <w:instrText xml:space="preserve"> PAGEREF _Toc396045602 \h </w:instrText>
            </w:r>
            <w:r w:rsidRPr="00D91870">
              <w:rPr>
                <w:webHidden/>
                <w:szCs w:val="20"/>
              </w:rPr>
            </w:r>
            <w:r w:rsidRPr="00D91870">
              <w:rPr>
                <w:webHidden/>
                <w:szCs w:val="20"/>
              </w:rPr>
              <w:fldChar w:fldCharType="separate"/>
            </w:r>
            <w:r w:rsidR="00505B73">
              <w:rPr>
                <w:webHidden/>
                <w:szCs w:val="20"/>
              </w:rPr>
              <w:t>32</w:t>
            </w:r>
            <w:r w:rsidRPr="00D91870">
              <w:rPr>
                <w:webHidden/>
                <w:szCs w:val="20"/>
              </w:rPr>
              <w:fldChar w:fldCharType="end"/>
            </w:r>
          </w:hyperlink>
        </w:p>
        <w:p w:rsidR="00C841B9" w:rsidRDefault="00C841B9" w:rsidP="00B17154">
          <w:pPr>
            <w:pStyle w:val="TOC1"/>
          </w:pPr>
        </w:p>
        <w:p w:rsidR="00B17154" w:rsidRPr="009D1068" w:rsidRDefault="001E19BB" w:rsidP="00B17154">
          <w:pPr>
            <w:pStyle w:val="TOC1"/>
            <w:rPr>
              <w:b w:val="0"/>
              <w:szCs w:val="20"/>
            </w:rPr>
          </w:pPr>
          <w:hyperlink w:anchor="_Toc396045603" w:history="1">
            <w:r w:rsidR="00D91870">
              <w:rPr>
                <w:rStyle w:val="Hyperlink"/>
                <w:szCs w:val="20"/>
              </w:rPr>
              <w:t>4.</w:t>
            </w:r>
            <w:r w:rsidR="00D91870" w:rsidRPr="00D91870">
              <w:rPr>
                <w:b w:val="0"/>
                <w:szCs w:val="20"/>
              </w:rPr>
              <w:tab/>
            </w:r>
            <w:r w:rsidR="00D91870">
              <w:rPr>
                <w:rStyle w:val="Hyperlink"/>
                <w:szCs w:val="20"/>
              </w:rPr>
              <w:t>Explaining the change of pace: The Dutch universities compared to the British universities</w:t>
            </w:r>
            <w:r w:rsidR="00D91870" w:rsidRPr="00D91870">
              <w:rPr>
                <w:webHidden/>
                <w:szCs w:val="20"/>
              </w:rPr>
              <w:tab/>
            </w:r>
            <w:r w:rsidRPr="00D91870">
              <w:rPr>
                <w:webHidden/>
                <w:szCs w:val="20"/>
              </w:rPr>
              <w:fldChar w:fldCharType="begin"/>
            </w:r>
            <w:r w:rsidR="00D91870" w:rsidRPr="00D91870">
              <w:rPr>
                <w:webHidden/>
                <w:szCs w:val="20"/>
              </w:rPr>
              <w:instrText xml:space="preserve"> PAGEREF _Toc396045603 \h </w:instrText>
            </w:r>
            <w:r w:rsidRPr="00D91870">
              <w:rPr>
                <w:webHidden/>
                <w:szCs w:val="20"/>
              </w:rPr>
            </w:r>
            <w:r w:rsidRPr="00D91870">
              <w:rPr>
                <w:webHidden/>
                <w:szCs w:val="20"/>
              </w:rPr>
              <w:fldChar w:fldCharType="separate"/>
            </w:r>
            <w:r w:rsidR="00505B73">
              <w:rPr>
                <w:webHidden/>
                <w:szCs w:val="20"/>
              </w:rPr>
              <w:t>36</w:t>
            </w:r>
            <w:r w:rsidRPr="00D91870">
              <w:rPr>
                <w:webHidden/>
                <w:szCs w:val="20"/>
              </w:rPr>
              <w:fldChar w:fldCharType="end"/>
            </w:r>
          </w:hyperlink>
        </w:p>
        <w:p w:rsidR="00B17154" w:rsidRPr="009D1068" w:rsidRDefault="001E19BB" w:rsidP="00B17154">
          <w:pPr>
            <w:pStyle w:val="TOC2"/>
            <w:tabs>
              <w:tab w:val="left" w:pos="880"/>
              <w:tab w:val="right" w:leader="dot" w:pos="9396"/>
            </w:tabs>
            <w:spacing w:line="240" w:lineRule="auto"/>
            <w:rPr>
              <w:noProof/>
              <w:sz w:val="20"/>
              <w:szCs w:val="20"/>
              <w:lang w:val="en-GB"/>
            </w:rPr>
          </w:pPr>
          <w:hyperlink w:anchor="_Toc396045604" w:history="1">
            <w:r w:rsidR="00D91870" w:rsidRPr="00D91870">
              <w:rPr>
                <w:rStyle w:val="Hyperlink"/>
                <w:noProof/>
                <w:sz w:val="20"/>
                <w:szCs w:val="20"/>
                <w:lang w:val="en-GB"/>
              </w:rPr>
              <w:t>4.1.</w:t>
            </w:r>
            <w:r w:rsidR="00D91870" w:rsidRPr="00D91870">
              <w:rPr>
                <w:noProof/>
                <w:sz w:val="20"/>
                <w:szCs w:val="20"/>
                <w:lang w:val="en-GB"/>
              </w:rPr>
              <w:tab/>
            </w:r>
            <w:r w:rsidR="00D91870" w:rsidRPr="00D91870">
              <w:rPr>
                <w:rStyle w:val="Hyperlink"/>
                <w:noProof/>
                <w:sz w:val="20"/>
                <w:szCs w:val="20"/>
                <w:lang w:val="en-GB"/>
              </w:rPr>
              <w:t>The Bologna Process, the Lisbon Strategy and The E</w:t>
            </w:r>
            <w:r w:rsidR="0034379D">
              <w:rPr>
                <w:rStyle w:val="Hyperlink"/>
                <w:noProof/>
                <w:sz w:val="20"/>
                <w:szCs w:val="20"/>
                <w:lang w:val="en-GB"/>
              </w:rPr>
              <w:t>urope</w:t>
            </w:r>
            <w:r w:rsidR="00D91870" w:rsidRPr="00D91870">
              <w:rPr>
                <w:rStyle w:val="Hyperlink"/>
                <w:noProof/>
                <w:sz w:val="20"/>
                <w:szCs w:val="20"/>
                <w:lang w:val="en-GB"/>
              </w:rPr>
              <w:t xml:space="preserve"> 2020 - an overview</w:t>
            </w:r>
            <w:r w:rsidR="00D91870" w:rsidRPr="00D91870">
              <w:rPr>
                <w:noProof/>
                <w:webHidden/>
                <w:sz w:val="20"/>
                <w:szCs w:val="20"/>
                <w:lang w:val="en-GB"/>
              </w:rPr>
              <w:tab/>
            </w:r>
            <w:r w:rsidRPr="00D91870">
              <w:rPr>
                <w:noProof/>
                <w:webHidden/>
                <w:sz w:val="20"/>
                <w:szCs w:val="20"/>
                <w:lang w:val="en-GB"/>
              </w:rPr>
              <w:fldChar w:fldCharType="begin"/>
            </w:r>
            <w:r w:rsidR="00D91870" w:rsidRPr="00D91870">
              <w:rPr>
                <w:noProof/>
                <w:webHidden/>
                <w:sz w:val="20"/>
                <w:szCs w:val="20"/>
                <w:lang w:val="en-GB"/>
              </w:rPr>
              <w:instrText xml:space="preserve"> PAGEREF _Toc396045604 \h </w:instrText>
            </w:r>
            <w:r w:rsidRPr="00D91870">
              <w:rPr>
                <w:noProof/>
                <w:webHidden/>
                <w:sz w:val="20"/>
                <w:szCs w:val="20"/>
                <w:lang w:val="en-GB"/>
              </w:rPr>
            </w:r>
            <w:r w:rsidRPr="00D91870">
              <w:rPr>
                <w:noProof/>
                <w:webHidden/>
                <w:sz w:val="20"/>
                <w:szCs w:val="20"/>
                <w:lang w:val="en-GB"/>
              </w:rPr>
              <w:fldChar w:fldCharType="separate"/>
            </w:r>
            <w:r w:rsidR="00505B73">
              <w:rPr>
                <w:noProof/>
                <w:webHidden/>
                <w:sz w:val="20"/>
                <w:szCs w:val="20"/>
                <w:lang w:val="en-GB"/>
              </w:rPr>
              <w:t>36</w:t>
            </w:r>
            <w:r w:rsidRPr="00D91870">
              <w:rPr>
                <w:noProof/>
                <w:webHidden/>
                <w:sz w:val="20"/>
                <w:szCs w:val="20"/>
                <w:lang w:val="en-GB"/>
              </w:rPr>
              <w:fldChar w:fldCharType="end"/>
            </w:r>
          </w:hyperlink>
        </w:p>
        <w:p w:rsidR="00B17154" w:rsidRPr="009D1068" w:rsidRDefault="001E19BB" w:rsidP="00B17154">
          <w:pPr>
            <w:pStyle w:val="TOC2"/>
            <w:tabs>
              <w:tab w:val="left" w:pos="880"/>
              <w:tab w:val="right" w:leader="dot" w:pos="9396"/>
            </w:tabs>
            <w:spacing w:line="240" w:lineRule="auto"/>
            <w:rPr>
              <w:noProof/>
              <w:sz w:val="20"/>
              <w:szCs w:val="20"/>
              <w:lang w:val="en-GB"/>
            </w:rPr>
          </w:pPr>
          <w:hyperlink w:anchor="_Toc396045605" w:history="1">
            <w:r w:rsidR="00D91870" w:rsidRPr="00D91870">
              <w:rPr>
                <w:rStyle w:val="Hyperlink"/>
                <w:noProof/>
                <w:sz w:val="20"/>
                <w:szCs w:val="20"/>
                <w:lang w:val="en-GB"/>
              </w:rPr>
              <w:t>4.2.</w:t>
            </w:r>
            <w:r w:rsidR="00D91870" w:rsidRPr="00D91870">
              <w:rPr>
                <w:noProof/>
                <w:sz w:val="20"/>
                <w:szCs w:val="20"/>
                <w:lang w:val="en-GB"/>
              </w:rPr>
              <w:tab/>
            </w:r>
            <w:r w:rsidR="00D91870" w:rsidRPr="00D91870">
              <w:rPr>
                <w:rStyle w:val="Hyperlink"/>
                <w:noProof/>
                <w:sz w:val="20"/>
                <w:szCs w:val="20"/>
                <w:lang w:val="en-GB"/>
              </w:rPr>
              <w:t>The norm lifecycle of the new of higher education norm</w:t>
            </w:r>
            <w:r w:rsidR="00D91870" w:rsidRPr="00D91870">
              <w:rPr>
                <w:noProof/>
                <w:webHidden/>
                <w:sz w:val="20"/>
                <w:szCs w:val="20"/>
                <w:lang w:val="en-GB"/>
              </w:rPr>
              <w:tab/>
            </w:r>
            <w:r w:rsidRPr="00D91870">
              <w:rPr>
                <w:noProof/>
                <w:webHidden/>
                <w:sz w:val="20"/>
                <w:szCs w:val="20"/>
                <w:lang w:val="en-GB"/>
              </w:rPr>
              <w:fldChar w:fldCharType="begin"/>
            </w:r>
            <w:r w:rsidR="00D91870" w:rsidRPr="00D91870">
              <w:rPr>
                <w:noProof/>
                <w:webHidden/>
                <w:sz w:val="20"/>
                <w:szCs w:val="20"/>
                <w:lang w:val="en-GB"/>
              </w:rPr>
              <w:instrText xml:space="preserve"> PAGEREF _Toc396045605 \h </w:instrText>
            </w:r>
            <w:r w:rsidRPr="00D91870">
              <w:rPr>
                <w:noProof/>
                <w:webHidden/>
                <w:sz w:val="20"/>
                <w:szCs w:val="20"/>
                <w:lang w:val="en-GB"/>
              </w:rPr>
            </w:r>
            <w:r w:rsidRPr="00D91870">
              <w:rPr>
                <w:noProof/>
                <w:webHidden/>
                <w:sz w:val="20"/>
                <w:szCs w:val="20"/>
                <w:lang w:val="en-GB"/>
              </w:rPr>
              <w:fldChar w:fldCharType="separate"/>
            </w:r>
            <w:r w:rsidR="00505B73">
              <w:rPr>
                <w:noProof/>
                <w:webHidden/>
                <w:sz w:val="20"/>
                <w:szCs w:val="20"/>
                <w:lang w:val="en-GB"/>
              </w:rPr>
              <w:t>39</w:t>
            </w:r>
            <w:r w:rsidRPr="00D91870">
              <w:rPr>
                <w:noProof/>
                <w:webHidden/>
                <w:sz w:val="20"/>
                <w:szCs w:val="20"/>
                <w:lang w:val="en-GB"/>
              </w:rPr>
              <w:fldChar w:fldCharType="end"/>
            </w:r>
          </w:hyperlink>
        </w:p>
        <w:p w:rsidR="00B17154" w:rsidRPr="009D1068" w:rsidRDefault="001E19BB" w:rsidP="00B17154">
          <w:pPr>
            <w:pStyle w:val="TOC3"/>
            <w:tabs>
              <w:tab w:val="left" w:pos="1320"/>
              <w:tab w:val="right" w:leader="dot" w:pos="9396"/>
            </w:tabs>
            <w:spacing w:line="240" w:lineRule="auto"/>
            <w:rPr>
              <w:noProof/>
              <w:sz w:val="20"/>
              <w:szCs w:val="20"/>
              <w:lang w:val="en-GB"/>
            </w:rPr>
          </w:pPr>
          <w:hyperlink w:anchor="_Toc396045606" w:history="1">
            <w:r w:rsidR="00D91870" w:rsidRPr="00D91870">
              <w:rPr>
                <w:rStyle w:val="Hyperlink"/>
                <w:noProof/>
                <w:sz w:val="20"/>
                <w:szCs w:val="20"/>
                <w:lang w:val="en-GB"/>
              </w:rPr>
              <w:t>4.2.1.</w:t>
            </w:r>
            <w:r w:rsidR="00D91870" w:rsidRPr="00D91870">
              <w:rPr>
                <w:noProof/>
                <w:sz w:val="20"/>
                <w:szCs w:val="20"/>
                <w:lang w:val="en-GB"/>
              </w:rPr>
              <w:tab/>
            </w:r>
            <w:r w:rsidR="00D91870" w:rsidRPr="00D91870">
              <w:rPr>
                <w:rStyle w:val="Hyperlink"/>
                <w:noProof/>
                <w:sz w:val="20"/>
                <w:szCs w:val="20"/>
                <w:lang w:val="en-GB"/>
              </w:rPr>
              <w:t>The European Round Table of Industrialists and the European Commission</w:t>
            </w:r>
            <w:r w:rsidR="00D91870" w:rsidRPr="00D91870">
              <w:rPr>
                <w:noProof/>
                <w:webHidden/>
                <w:sz w:val="20"/>
                <w:szCs w:val="20"/>
                <w:lang w:val="en-GB"/>
              </w:rPr>
              <w:tab/>
            </w:r>
            <w:r w:rsidRPr="00D91870">
              <w:rPr>
                <w:noProof/>
                <w:webHidden/>
                <w:sz w:val="20"/>
                <w:szCs w:val="20"/>
                <w:lang w:val="en-GB"/>
              </w:rPr>
              <w:fldChar w:fldCharType="begin"/>
            </w:r>
            <w:r w:rsidR="00D91870" w:rsidRPr="00D91870">
              <w:rPr>
                <w:noProof/>
                <w:webHidden/>
                <w:sz w:val="20"/>
                <w:szCs w:val="20"/>
                <w:lang w:val="en-GB"/>
              </w:rPr>
              <w:instrText xml:space="preserve"> PAGEREF _Toc396045606 \h </w:instrText>
            </w:r>
            <w:r w:rsidRPr="00D91870">
              <w:rPr>
                <w:noProof/>
                <w:webHidden/>
                <w:sz w:val="20"/>
                <w:szCs w:val="20"/>
                <w:lang w:val="en-GB"/>
              </w:rPr>
            </w:r>
            <w:r w:rsidRPr="00D91870">
              <w:rPr>
                <w:noProof/>
                <w:webHidden/>
                <w:sz w:val="20"/>
                <w:szCs w:val="20"/>
                <w:lang w:val="en-GB"/>
              </w:rPr>
              <w:fldChar w:fldCharType="separate"/>
            </w:r>
            <w:r w:rsidR="00505B73">
              <w:rPr>
                <w:noProof/>
                <w:webHidden/>
                <w:sz w:val="20"/>
                <w:szCs w:val="20"/>
                <w:lang w:val="en-GB"/>
              </w:rPr>
              <w:t>39</w:t>
            </w:r>
            <w:r w:rsidRPr="00D91870">
              <w:rPr>
                <w:noProof/>
                <w:webHidden/>
                <w:sz w:val="20"/>
                <w:szCs w:val="20"/>
                <w:lang w:val="en-GB"/>
              </w:rPr>
              <w:fldChar w:fldCharType="end"/>
            </w:r>
          </w:hyperlink>
        </w:p>
        <w:p w:rsidR="00B17154" w:rsidRPr="009D1068" w:rsidRDefault="001E19BB" w:rsidP="00B17154">
          <w:pPr>
            <w:pStyle w:val="TOC2"/>
            <w:tabs>
              <w:tab w:val="left" w:pos="880"/>
              <w:tab w:val="right" w:leader="dot" w:pos="9396"/>
            </w:tabs>
            <w:spacing w:line="240" w:lineRule="auto"/>
            <w:rPr>
              <w:noProof/>
              <w:sz w:val="20"/>
              <w:szCs w:val="20"/>
              <w:lang w:val="en-GB"/>
            </w:rPr>
          </w:pPr>
          <w:hyperlink w:anchor="_Toc396045607" w:history="1">
            <w:r w:rsidR="00D91870" w:rsidRPr="00D91870">
              <w:rPr>
                <w:rStyle w:val="Hyperlink"/>
                <w:noProof/>
                <w:sz w:val="20"/>
                <w:szCs w:val="20"/>
                <w:lang w:val="en-GB"/>
              </w:rPr>
              <w:t>4.3.</w:t>
            </w:r>
            <w:r w:rsidR="00D91870" w:rsidRPr="00D91870">
              <w:rPr>
                <w:noProof/>
                <w:sz w:val="20"/>
                <w:szCs w:val="20"/>
                <w:lang w:val="en-GB"/>
              </w:rPr>
              <w:tab/>
            </w:r>
            <w:r w:rsidR="00D91870" w:rsidRPr="00D91870">
              <w:rPr>
                <w:rStyle w:val="Hyperlink"/>
                <w:noProof/>
                <w:sz w:val="20"/>
                <w:szCs w:val="20"/>
                <w:lang w:val="en-GB"/>
              </w:rPr>
              <w:t>Empirical analysis of the changes in higher education in the Netherlands and In the United Kingdom</w:t>
            </w:r>
            <w:r w:rsidR="00D91870" w:rsidRPr="00D91870">
              <w:rPr>
                <w:noProof/>
                <w:webHidden/>
                <w:sz w:val="20"/>
                <w:szCs w:val="20"/>
                <w:lang w:val="en-GB"/>
              </w:rPr>
              <w:tab/>
            </w:r>
            <w:r w:rsidRPr="00D91870">
              <w:rPr>
                <w:noProof/>
                <w:webHidden/>
                <w:sz w:val="20"/>
                <w:szCs w:val="20"/>
                <w:lang w:val="en-GB"/>
              </w:rPr>
              <w:fldChar w:fldCharType="begin"/>
            </w:r>
            <w:r w:rsidR="00D91870" w:rsidRPr="00D91870">
              <w:rPr>
                <w:noProof/>
                <w:webHidden/>
                <w:sz w:val="20"/>
                <w:szCs w:val="20"/>
                <w:lang w:val="en-GB"/>
              </w:rPr>
              <w:instrText xml:space="preserve"> PAGEREF _Toc396045607 \h </w:instrText>
            </w:r>
            <w:r w:rsidRPr="00D91870">
              <w:rPr>
                <w:noProof/>
                <w:webHidden/>
                <w:sz w:val="20"/>
                <w:szCs w:val="20"/>
                <w:lang w:val="en-GB"/>
              </w:rPr>
            </w:r>
            <w:r w:rsidRPr="00D91870">
              <w:rPr>
                <w:noProof/>
                <w:webHidden/>
                <w:sz w:val="20"/>
                <w:szCs w:val="20"/>
                <w:lang w:val="en-GB"/>
              </w:rPr>
              <w:fldChar w:fldCharType="separate"/>
            </w:r>
            <w:r w:rsidR="00505B73">
              <w:rPr>
                <w:noProof/>
                <w:webHidden/>
                <w:sz w:val="20"/>
                <w:szCs w:val="20"/>
                <w:lang w:val="en-GB"/>
              </w:rPr>
              <w:t>44</w:t>
            </w:r>
            <w:r w:rsidRPr="00D91870">
              <w:rPr>
                <w:noProof/>
                <w:webHidden/>
                <w:sz w:val="20"/>
                <w:szCs w:val="20"/>
                <w:lang w:val="en-GB"/>
              </w:rPr>
              <w:fldChar w:fldCharType="end"/>
            </w:r>
          </w:hyperlink>
        </w:p>
        <w:p w:rsidR="00B17154" w:rsidRPr="009D1068" w:rsidRDefault="001E19BB" w:rsidP="00B17154">
          <w:pPr>
            <w:pStyle w:val="TOC3"/>
            <w:tabs>
              <w:tab w:val="left" w:pos="1320"/>
              <w:tab w:val="right" w:leader="dot" w:pos="9396"/>
            </w:tabs>
            <w:spacing w:line="240" w:lineRule="auto"/>
            <w:rPr>
              <w:noProof/>
              <w:sz w:val="20"/>
              <w:szCs w:val="20"/>
              <w:lang w:val="en-GB"/>
            </w:rPr>
          </w:pPr>
          <w:hyperlink w:anchor="_Toc396045608" w:history="1">
            <w:r w:rsidR="00D91870" w:rsidRPr="00D91870">
              <w:rPr>
                <w:rStyle w:val="Hyperlink"/>
                <w:noProof/>
                <w:sz w:val="20"/>
                <w:szCs w:val="20"/>
                <w:lang w:val="en-GB"/>
              </w:rPr>
              <w:t>4.3.1.</w:t>
            </w:r>
            <w:r w:rsidR="00D91870" w:rsidRPr="00D91870">
              <w:rPr>
                <w:noProof/>
                <w:sz w:val="20"/>
                <w:szCs w:val="20"/>
                <w:lang w:val="en-GB"/>
              </w:rPr>
              <w:tab/>
            </w:r>
            <w:r w:rsidR="00D91870" w:rsidRPr="00D91870">
              <w:rPr>
                <w:rStyle w:val="Hyperlink"/>
                <w:noProof/>
                <w:sz w:val="20"/>
                <w:szCs w:val="20"/>
                <w:lang w:val="en-GB"/>
              </w:rPr>
              <w:t>The Netherlands</w:t>
            </w:r>
            <w:r w:rsidR="00D91870" w:rsidRPr="00D91870">
              <w:rPr>
                <w:noProof/>
                <w:webHidden/>
                <w:sz w:val="20"/>
                <w:szCs w:val="20"/>
                <w:lang w:val="en-GB"/>
              </w:rPr>
              <w:tab/>
            </w:r>
            <w:r w:rsidRPr="00D91870">
              <w:rPr>
                <w:noProof/>
                <w:webHidden/>
                <w:sz w:val="20"/>
                <w:szCs w:val="20"/>
                <w:lang w:val="en-GB"/>
              </w:rPr>
              <w:fldChar w:fldCharType="begin"/>
            </w:r>
            <w:r w:rsidR="00D91870" w:rsidRPr="00D91870">
              <w:rPr>
                <w:noProof/>
                <w:webHidden/>
                <w:sz w:val="20"/>
                <w:szCs w:val="20"/>
                <w:lang w:val="en-GB"/>
              </w:rPr>
              <w:instrText xml:space="preserve"> PAGEREF _Toc396045608 \h </w:instrText>
            </w:r>
            <w:r w:rsidRPr="00D91870">
              <w:rPr>
                <w:noProof/>
                <w:webHidden/>
                <w:sz w:val="20"/>
                <w:szCs w:val="20"/>
                <w:lang w:val="en-GB"/>
              </w:rPr>
            </w:r>
            <w:r w:rsidRPr="00D91870">
              <w:rPr>
                <w:noProof/>
                <w:webHidden/>
                <w:sz w:val="20"/>
                <w:szCs w:val="20"/>
                <w:lang w:val="en-GB"/>
              </w:rPr>
              <w:fldChar w:fldCharType="separate"/>
            </w:r>
            <w:r w:rsidR="00505B73">
              <w:rPr>
                <w:noProof/>
                <w:webHidden/>
                <w:sz w:val="20"/>
                <w:szCs w:val="20"/>
                <w:lang w:val="en-GB"/>
              </w:rPr>
              <w:t>44</w:t>
            </w:r>
            <w:r w:rsidRPr="00D91870">
              <w:rPr>
                <w:noProof/>
                <w:webHidden/>
                <w:sz w:val="20"/>
                <w:szCs w:val="20"/>
                <w:lang w:val="en-GB"/>
              </w:rPr>
              <w:fldChar w:fldCharType="end"/>
            </w:r>
          </w:hyperlink>
        </w:p>
        <w:p w:rsidR="00B17154" w:rsidRPr="009D1068" w:rsidRDefault="001E19BB" w:rsidP="00B17154">
          <w:pPr>
            <w:pStyle w:val="TOC3"/>
            <w:tabs>
              <w:tab w:val="left" w:pos="1320"/>
              <w:tab w:val="right" w:leader="dot" w:pos="9396"/>
            </w:tabs>
            <w:spacing w:line="240" w:lineRule="auto"/>
            <w:rPr>
              <w:noProof/>
              <w:sz w:val="20"/>
              <w:szCs w:val="20"/>
              <w:lang w:val="en-GB"/>
            </w:rPr>
          </w:pPr>
          <w:hyperlink w:anchor="_Toc396045609" w:history="1">
            <w:r w:rsidR="00D91870" w:rsidRPr="00D91870">
              <w:rPr>
                <w:rStyle w:val="Hyperlink"/>
                <w:noProof/>
                <w:sz w:val="20"/>
                <w:szCs w:val="20"/>
                <w:lang w:val="en-GB"/>
              </w:rPr>
              <w:t>4.3.2.</w:t>
            </w:r>
            <w:r w:rsidR="00D91870" w:rsidRPr="00D91870">
              <w:rPr>
                <w:noProof/>
                <w:sz w:val="20"/>
                <w:szCs w:val="20"/>
                <w:lang w:val="en-GB"/>
              </w:rPr>
              <w:tab/>
            </w:r>
            <w:r w:rsidR="00D91870" w:rsidRPr="00D91870">
              <w:rPr>
                <w:rStyle w:val="Hyperlink"/>
                <w:noProof/>
                <w:sz w:val="20"/>
                <w:szCs w:val="20"/>
                <w:lang w:val="en-GB"/>
              </w:rPr>
              <w:t>The United Kingdom</w:t>
            </w:r>
            <w:r w:rsidR="00D91870" w:rsidRPr="00D91870">
              <w:rPr>
                <w:noProof/>
                <w:webHidden/>
                <w:sz w:val="20"/>
                <w:szCs w:val="20"/>
                <w:lang w:val="en-GB"/>
              </w:rPr>
              <w:tab/>
            </w:r>
            <w:r w:rsidRPr="00D91870">
              <w:rPr>
                <w:noProof/>
                <w:webHidden/>
                <w:sz w:val="20"/>
                <w:szCs w:val="20"/>
                <w:lang w:val="en-GB"/>
              </w:rPr>
              <w:fldChar w:fldCharType="begin"/>
            </w:r>
            <w:r w:rsidR="00D91870" w:rsidRPr="00D91870">
              <w:rPr>
                <w:noProof/>
                <w:webHidden/>
                <w:sz w:val="20"/>
                <w:szCs w:val="20"/>
                <w:lang w:val="en-GB"/>
              </w:rPr>
              <w:instrText xml:space="preserve"> PAGEREF _Toc396045609 \h </w:instrText>
            </w:r>
            <w:r w:rsidRPr="00D91870">
              <w:rPr>
                <w:noProof/>
                <w:webHidden/>
                <w:sz w:val="20"/>
                <w:szCs w:val="20"/>
                <w:lang w:val="en-GB"/>
              </w:rPr>
            </w:r>
            <w:r w:rsidRPr="00D91870">
              <w:rPr>
                <w:noProof/>
                <w:webHidden/>
                <w:sz w:val="20"/>
                <w:szCs w:val="20"/>
                <w:lang w:val="en-GB"/>
              </w:rPr>
              <w:fldChar w:fldCharType="separate"/>
            </w:r>
            <w:r w:rsidR="00505B73">
              <w:rPr>
                <w:noProof/>
                <w:webHidden/>
                <w:sz w:val="20"/>
                <w:szCs w:val="20"/>
                <w:lang w:val="en-GB"/>
              </w:rPr>
              <w:t>46</w:t>
            </w:r>
            <w:r w:rsidRPr="00D91870">
              <w:rPr>
                <w:noProof/>
                <w:webHidden/>
                <w:sz w:val="20"/>
                <w:szCs w:val="20"/>
                <w:lang w:val="en-GB"/>
              </w:rPr>
              <w:fldChar w:fldCharType="end"/>
            </w:r>
          </w:hyperlink>
        </w:p>
        <w:p w:rsidR="00B17154" w:rsidRPr="009D1068" w:rsidRDefault="00D91870" w:rsidP="009A3D6C">
          <w:pPr>
            <w:pStyle w:val="TOC3"/>
            <w:tabs>
              <w:tab w:val="left" w:pos="1320"/>
              <w:tab w:val="right" w:leader="dot" w:pos="9396"/>
            </w:tabs>
            <w:spacing w:line="240" w:lineRule="auto"/>
            <w:ind w:left="0"/>
            <w:rPr>
              <w:noProof/>
              <w:sz w:val="20"/>
              <w:szCs w:val="20"/>
              <w:lang w:val="en-GB"/>
            </w:rPr>
          </w:pPr>
          <w:r w:rsidRPr="00D91870">
            <w:rPr>
              <w:noProof/>
              <w:lang w:val="en-GB"/>
            </w:rPr>
            <w:t xml:space="preserve">    </w:t>
          </w:r>
          <w:hyperlink w:anchor="_Toc396045610" w:history="1">
            <w:r w:rsidRPr="00D91870">
              <w:rPr>
                <w:rStyle w:val="Hyperlink"/>
                <w:noProof/>
                <w:sz w:val="20"/>
                <w:szCs w:val="20"/>
                <w:lang w:val="en-GB"/>
              </w:rPr>
              <w:t>4.4.</w:t>
            </w:r>
            <w:r w:rsidRPr="00D91870">
              <w:rPr>
                <w:noProof/>
                <w:sz w:val="20"/>
                <w:szCs w:val="20"/>
                <w:lang w:val="en-GB"/>
              </w:rPr>
              <w:t xml:space="preserve">         </w:t>
            </w:r>
            <w:r w:rsidRPr="00D91870">
              <w:rPr>
                <w:rStyle w:val="Hyperlink"/>
                <w:noProof/>
                <w:sz w:val="20"/>
                <w:szCs w:val="20"/>
                <w:lang w:val="en-GB"/>
              </w:rPr>
              <w:t>Explaining the differences with the varieties of capitalism approach</w:t>
            </w:r>
            <w:r w:rsidRPr="00D91870">
              <w:rPr>
                <w:noProof/>
                <w:webHidden/>
                <w:sz w:val="20"/>
                <w:szCs w:val="20"/>
                <w:lang w:val="en-GB"/>
              </w:rPr>
              <w:tab/>
            </w:r>
            <w:r w:rsidR="001E19BB" w:rsidRPr="00D91870">
              <w:rPr>
                <w:noProof/>
                <w:webHidden/>
                <w:sz w:val="20"/>
                <w:szCs w:val="20"/>
                <w:lang w:val="en-GB"/>
              </w:rPr>
              <w:fldChar w:fldCharType="begin"/>
            </w:r>
            <w:r w:rsidRPr="00D91870">
              <w:rPr>
                <w:noProof/>
                <w:webHidden/>
                <w:sz w:val="20"/>
                <w:szCs w:val="20"/>
                <w:lang w:val="en-GB"/>
              </w:rPr>
              <w:instrText xml:space="preserve"> PAGEREF _Toc396045610 \h </w:instrText>
            </w:r>
            <w:r w:rsidR="001E19BB" w:rsidRPr="00D91870">
              <w:rPr>
                <w:noProof/>
                <w:webHidden/>
                <w:sz w:val="20"/>
                <w:szCs w:val="20"/>
                <w:lang w:val="en-GB"/>
              </w:rPr>
            </w:r>
            <w:r w:rsidR="001E19BB" w:rsidRPr="00D91870">
              <w:rPr>
                <w:noProof/>
                <w:webHidden/>
                <w:sz w:val="20"/>
                <w:szCs w:val="20"/>
                <w:lang w:val="en-GB"/>
              </w:rPr>
              <w:fldChar w:fldCharType="separate"/>
            </w:r>
            <w:r w:rsidR="00505B73">
              <w:rPr>
                <w:noProof/>
                <w:webHidden/>
                <w:sz w:val="20"/>
                <w:szCs w:val="20"/>
                <w:lang w:val="en-GB"/>
              </w:rPr>
              <w:t>48</w:t>
            </w:r>
            <w:r w:rsidR="001E19BB" w:rsidRPr="00D91870">
              <w:rPr>
                <w:noProof/>
                <w:webHidden/>
                <w:sz w:val="20"/>
                <w:szCs w:val="20"/>
                <w:lang w:val="en-GB"/>
              </w:rPr>
              <w:fldChar w:fldCharType="end"/>
            </w:r>
          </w:hyperlink>
        </w:p>
        <w:p w:rsidR="00B17154" w:rsidRPr="009D1068" w:rsidRDefault="001E19BB" w:rsidP="00B17154">
          <w:pPr>
            <w:pStyle w:val="TOC2"/>
            <w:tabs>
              <w:tab w:val="left" w:pos="880"/>
              <w:tab w:val="right" w:leader="dot" w:pos="9396"/>
            </w:tabs>
            <w:spacing w:line="240" w:lineRule="auto"/>
            <w:rPr>
              <w:noProof/>
              <w:sz w:val="20"/>
              <w:szCs w:val="20"/>
              <w:lang w:val="en-GB"/>
            </w:rPr>
          </w:pPr>
          <w:hyperlink w:anchor="_Toc396045611" w:history="1">
            <w:r w:rsidR="00D91870" w:rsidRPr="00D91870">
              <w:rPr>
                <w:rStyle w:val="Hyperlink"/>
                <w:noProof/>
                <w:sz w:val="20"/>
                <w:szCs w:val="20"/>
                <w:lang w:val="en-GB"/>
              </w:rPr>
              <w:t>4.5.</w:t>
            </w:r>
            <w:r w:rsidR="00D91870" w:rsidRPr="00D91870">
              <w:rPr>
                <w:noProof/>
                <w:sz w:val="20"/>
                <w:szCs w:val="20"/>
                <w:lang w:val="en-GB"/>
              </w:rPr>
              <w:tab/>
            </w:r>
            <w:r w:rsidR="00D91870" w:rsidRPr="00D91870">
              <w:rPr>
                <w:rStyle w:val="Hyperlink"/>
                <w:noProof/>
                <w:sz w:val="20"/>
                <w:szCs w:val="20"/>
                <w:lang w:val="en-GB"/>
              </w:rPr>
              <w:t>Explaining the differences with the norm lifecycle</w:t>
            </w:r>
            <w:r w:rsidR="00D91870" w:rsidRPr="00D91870">
              <w:rPr>
                <w:noProof/>
                <w:webHidden/>
                <w:sz w:val="20"/>
                <w:szCs w:val="20"/>
                <w:lang w:val="en-GB"/>
              </w:rPr>
              <w:tab/>
            </w:r>
            <w:r w:rsidRPr="00D91870">
              <w:rPr>
                <w:noProof/>
                <w:webHidden/>
                <w:sz w:val="20"/>
                <w:szCs w:val="20"/>
                <w:lang w:val="en-GB"/>
              </w:rPr>
              <w:fldChar w:fldCharType="begin"/>
            </w:r>
            <w:r w:rsidR="00D91870" w:rsidRPr="00D91870">
              <w:rPr>
                <w:noProof/>
                <w:webHidden/>
                <w:sz w:val="20"/>
                <w:szCs w:val="20"/>
                <w:lang w:val="en-GB"/>
              </w:rPr>
              <w:instrText xml:space="preserve"> PAGEREF _Toc396045611 \h </w:instrText>
            </w:r>
            <w:r w:rsidRPr="00D91870">
              <w:rPr>
                <w:noProof/>
                <w:webHidden/>
                <w:sz w:val="20"/>
                <w:szCs w:val="20"/>
                <w:lang w:val="en-GB"/>
              </w:rPr>
            </w:r>
            <w:r w:rsidRPr="00D91870">
              <w:rPr>
                <w:noProof/>
                <w:webHidden/>
                <w:sz w:val="20"/>
                <w:szCs w:val="20"/>
                <w:lang w:val="en-GB"/>
              </w:rPr>
              <w:fldChar w:fldCharType="separate"/>
            </w:r>
            <w:r w:rsidR="00505B73">
              <w:rPr>
                <w:noProof/>
                <w:webHidden/>
                <w:sz w:val="20"/>
                <w:szCs w:val="20"/>
                <w:lang w:val="en-GB"/>
              </w:rPr>
              <w:t>50</w:t>
            </w:r>
            <w:r w:rsidRPr="00D91870">
              <w:rPr>
                <w:noProof/>
                <w:webHidden/>
                <w:sz w:val="20"/>
                <w:szCs w:val="20"/>
                <w:lang w:val="en-GB"/>
              </w:rPr>
              <w:fldChar w:fldCharType="end"/>
            </w:r>
          </w:hyperlink>
        </w:p>
        <w:p w:rsidR="00C841B9" w:rsidRDefault="00C841B9" w:rsidP="00B17154">
          <w:pPr>
            <w:pStyle w:val="TOC1"/>
          </w:pPr>
        </w:p>
        <w:p w:rsidR="00B17154" w:rsidRPr="009D1068" w:rsidRDefault="001E19BB" w:rsidP="00B17154">
          <w:pPr>
            <w:pStyle w:val="TOC1"/>
            <w:rPr>
              <w:b w:val="0"/>
              <w:szCs w:val="20"/>
            </w:rPr>
          </w:pPr>
          <w:hyperlink w:anchor="_Toc396045612" w:history="1">
            <w:r w:rsidR="00D91870">
              <w:rPr>
                <w:rStyle w:val="Hyperlink"/>
                <w:szCs w:val="20"/>
              </w:rPr>
              <w:t>5.</w:t>
            </w:r>
            <w:r w:rsidR="00D91870" w:rsidRPr="00D91870">
              <w:rPr>
                <w:b w:val="0"/>
                <w:szCs w:val="20"/>
              </w:rPr>
              <w:tab/>
            </w:r>
            <w:r w:rsidR="00D91870">
              <w:rPr>
                <w:rStyle w:val="Hyperlink"/>
                <w:szCs w:val="20"/>
              </w:rPr>
              <w:t>Conclusion</w:t>
            </w:r>
            <w:r w:rsidR="00D91870" w:rsidRPr="00D91870">
              <w:rPr>
                <w:webHidden/>
                <w:szCs w:val="20"/>
              </w:rPr>
              <w:tab/>
            </w:r>
            <w:r w:rsidRPr="00D91870">
              <w:rPr>
                <w:webHidden/>
                <w:szCs w:val="20"/>
              </w:rPr>
              <w:fldChar w:fldCharType="begin"/>
            </w:r>
            <w:r w:rsidR="00D91870" w:rsidRPr="00D91870">
              <w:rPr>
                <w:webHidden/>
                <w:szCs w:val="20"/>
              </w:rPr>
              <w:instrText xml:space="preserve"> PAGEREF _Toc396045612 \h </w:instrText>
            </w:r>
            <w:r w:rsidRPr="00D91870">
              <w:rPr>
                <w:webHidden/>
                <w:szCs w:val="20"/>
              </w:rPr>
            </w:r>
            <w:r w:rsidRPr="00D91870">
              <w:rPr>
                <w:webHidden/>
                <w:szCs w:val="20"/>
              </w:rPr>
              <w:fldChar w:fldCharType="separate"/>
            </w:r>
            <w:r w:rsidR="00505B73">
              <w:rPr>
                <w:webHidden/>
                <w:szCs w:val="20"/>
              </w:rPr>
              <w:t>54</w:t>
            </w:r>
            <w:r w:rsidRPr="00D91870">
              <w:rPr>
                <w:webHidden/>
                <w:szCs w:val="20"/>
              </w:rPr>
              <w:fldChar w:fldCharType="end"/>
            </w:r>
          </w:hyperlink>
        </w:p>
        <w:p w:rsidR="00C841B9" w:rsidRDefault="00C841B9" w:rsidP="00B17154">
          <w:pPr>
            <w:pStyle w:val="TOC1"/>
          </w:pPr>
        </w:p>
        <w:p w:rsidR="00B17154" w:rsidRPr="009D1068" w:rsidRDefault="001E19BB" w:rsidP="00B17154">
          <w:pPr>
            <w:pStyle w:val="TOC1"/>
            <w:rPr>
              <w:b w:val="0"/>
              <w:szCs w:val="20"/>
            </w:rPr>
          </w:pPr>
          <w:hyperlink w:anchor="_Toc396045613" w:history="1">
            <w:r w:rsidR="00D91870">
              <w:rPr>
                <w:rStyle w:val="Hyperlink"/>
                <w:szCs w:val="20"/>
              </w:rPr>
              <w:t>References</w:t>
            </w:r>
            <w:r w:rsidR="00D91870" w:rsidRPr="00D91870">
              <w:rPr>
                <w:webHidden/>
                <w:szCs w:val="20"/>
              </w:rPr>
              <w:tab/>
            </w:r>
            <w:r w:rsidRPr="00D91870">
              <w:rPr>
                <w:webHidden/>
                <w:szCs w:val="20"/>
              </w:rPr>
              <w:fldChar w:fldCharType="begin"/>
            </w:r>
            <w:r w:rsidR="00D91870" w:rsidRPr="00D91870">
              <w:rPr>
                <w:webHidden/>
                <w:szCs w:val="20"/>
              </w:rPr>
              <w:instrText xml:space="preserve"> PAGEREF _Toc396045613 \h </w:instrText>
            </w:r>
            <w:r w:rsidRPr="00D91870">
              <w:rPr>
                <w:webHidden/>
                <w:szCs w:val="20"/>
              </w:rPr>
            </w:r>
            <w:r w:rsidRPr="00D91870">
              <w:rPr>
                <w:webHidden/>
                <w:szCs w:val="20"/>
              </w:rPr>
              <w:fldChar w:fldCharType="separate"/>
            </w:r>
            <w:r w:rsidR="00505B73">
              <w:rPr>
                <w:webHidden/>
                <w:szCs w:val="20"/>
              </w:rPr>
              <w:t>58</w:t>
            </w:r>
            <w:r w:rsidRPr="00D91870">
              <w:rPr>
                <w:webHidden/>
                <w:szCs w:val="20"/>
              </w:rPr>
              <w:fldChar w:fldCharType="end"/>
            </w:r>
          </w:hyperlink>
        </w:p>
        <w:p w:rsidR="00126449" w:rsidRPr="009D1068" w:rsidRDefault="001E19BB" w:rsidP="00B17154">
          <w:pPr>
            <w:spacing w:line="240" w:lineRule="auto"/>
            <w:rPr>
              <w:lang w:val="en-GB"/>
            </w:rPr>
          </w:pPr>
          <w:r w:rsidRPr="00D91870">
            <w:rPr>
              <w:sz w:val="20"/>
              <w:szCs w:val="20"/>
              <w:lang w:val="en-GB"/>
            </w:rPr>
            <w:fldChar w:fldCharType="end"/>
          </w:r>
        </w:p>
      </w:sdtContent>
    </w:sdt>
    <w:p w:rsidR="003F5477" w:rsidRPr="009D1068" w:rsidRDefault="003F5477" w:rsidP="00524959">
      <w:pPr>
        <w:pStyle w:val="Heading1"/>
        <w:numPr>
          <w:ilvl w:val="0"/>
          <w:numId w:val="3"/>
        </w:numPr>
        <w:rPr>
          <w:lang w:val="en-GB"/>
        </w:rPr>
      </w:pPr>
      <w:bookmarkStart w:id="0" w:name="_Toc391510164"/>
      <w:bookmarkStart w:id="1" w:name="_Toc396045586"/>
      <w:r w:rsidRPr="009D1068">
        <w:rPr>
          <w:lang w:val="en-GB"/>
        </w:rPr>
        <w:lastRenderedPageBreak/>
        <w:t>Introduction</w:t>
      </w:r>
      <w:bookmarkEnd w:id="0"/>
      <w:bookmarkEnd w:id="1"/>
    </w:p>
    <w:p w:rsidR="00126449" w:rsidRPr="009D1068" w:rsidRDefault="00126449" w:rsidP="00126449">
      <w:pPr>
        <w:rPr>
          <w:lang w:val="en-GB"/>
        </w:rPr>
      </w:pPr>
    </w:p>
    <w:p w:rsidR="00F93625" w:rsidRPr="009D1068" w:rsidRDefault="00F93625" w:rsidP="00137801">
      <w:pPr>
        <w:pStyle w:val="NoSpacing"/>
        <w:ind w:left="993" w:right="759" w:firstLine="0"/>
        <w:rPr>
          <w:i/>
          <w:lang w:val="en-GB"/>
        </w:rPr>
      </w:pPr>
      <w:r w:rsidRPr="009D1068">
        <w:rPr>
          <w:i/>
          <w:lang w:val="en-GB"/>
        </w:rPr>
        <w:t>‘In our globalized world, it is important to be able to empathize with someone of an entire di</w:t>
      </w:r>
      <w:r w:rsidRPr="009D1068">
        <w:rPr>
          <w:i/>
          <w:lang w:val="en-GB"/>
        </w:rPr>
        <w:t>f</w:t>
      </w:r>
      <w:r w:rsidRPr="009D1068">
        <w:rPr>
          <w:i/>
          <w:lang w:val="en-GB"/>
        </w:rPr>
        <w:t>ferent culture. International experience is of tremendous importance. An estim</w:t>
      </w:r>
      <w:r w:rsidR="00D91870" w:rsidRPr="00D91870">
        <w:rPr>
          <w:i/>
          <w:lang w:val="en-GB"/>
        </w:rPr>
        <w:t xml:space="preserve">ate 46.000 Dutch students is studying abroad in 2012. This number is a big increase compared to the year before, but far, far too low compared to the supposed number.’ </w:t>
      </w:r>
    </w:p>
    <w:p w:rsidR="00F93625" w:rsidRPr="009D1068" w:rsidRDefault="00D91870" w:rsidP="00126449">
      <w:pPr>
        <w:pStyle w:val="NoSpacing"/>
        <w:ind w:firstLine="0"/>
        <w:jc w:val="right"/>
        <w:rPr>
          <w:lang w:val="en-GB"/>
        </w:rPr>
      </w:pPr>
      <w:r w:rsidRPr="00D91870">
        <w:rPr>
          <w:lang w:val="en-GB"/>
        </w:rPr>
        <w:t>- Jet Bussemakers (2013), Dutch Minister for Education, Culture and Science</w:t>
      </w:r>
    </w:p>
    <w:p w:rsidR="00F93625" w:rsidRPr="009D1068" w:rsidRDefault="00F93625" w:rsidP="00F93625">
      <w:pPr>
        <w:pStyle w:val="NoSpacing"/>
        <w:ind w:firstLine="0"/>
        <w:rPr>
          <w:lang w:val="en-GB"/>
        </w:rPr>
      </w:pPr>
    </w:p>
    <w:p w:rsidR="00F93625" w:rsidRPr="009D1068" w:rsidRDefault="00D91870" w:rsidP="00137801">
      <w:pPr>
        <w:pStyle w:val="NoSpacing"/>
        <w:ind w:left="993" w:right="759" w:firstLine="0"/>
        <w:rPr>
          <w:i/>
          <w:lang w:val="en-GB"/>
        </w:rPr>
      </w:pPr>
      <w:r w:rsidRPr="00D91870">
        <w:rPr>
          <w:i/>
          <w:lang w:val="en-GB"/>
        </w:rPr>
        <w:t xml:space="preserve">‘There is no doubt that globalization and the arrival of the knowledge economy have intensified the competitive pressures on higher education institutions. Learning has become big business.’ </w:t>
      </w:r>
    </w:p>
    <w:p w:rsidR="00D0662E" w:rsidRPr="009D1068" w:rsidRDefault="00D91870" w:rsidP="00126449">
      <w:pPr>
        <w:pStyle w:val="NoSpacing"/>
        <w:jc w:val="right"/>
        <w:rPr>
          <w:lang w:val="en-GB"/>
        </w:rPr>
      </w:pPr>
      <w:r w:rsidRPr="00D91870">
        <w:rPr>
          <w:lang w:val="en-GB"/>
        </w:rPr>
        <w:t>- David Blunkett (2001), British Minister for Education and Employment (in Graf, 2008)</w:t>
      </w:r>
    </w:p>
    <w:p w:rsidR="002A4720" w:rsidRPr="009D1068" w:rsidRDefault="002A4720" w:rsidP="00D0662E">
      <w:pPr>
        <w:pStyle w:val="NoSpacing"/>
        <w:rPr>
          <w:lang w:val="en-GB"/>
        </w:rPr>
      </w:pPr>
    </w:p>
    <w:p w:rsidR="009D2CE1" w:rsidRPr="009D1068" w:rsidRDefault="002A4720" w:rsidP="00797BB5">
      <w:pPr>
        <w:pStyle w:val="NoSpacing"/>
        <w:ind w:firstLine="0"/>
        <w:rPr>
          <w:lang w:val="en-GB"/>
        </w:rPr>
      </w:pPr>
      <w:r w:rsidRPr="009D1068">
        <w:rPr>
          <w:lang w:val="en-GB"/>
        </w:rPr>
        <w:t>T</w:t>
      </w:r>
      <w:r w:rsidR="00797BB5" w:rsidRPr="009D1068">
        <w:rPr>
          <w:lang w:val="en-GB"/>
        </w:rPr>
        <w:t xml:space="preserve">he quotes above are </w:t>
      </w:r>
      <w:r w:rsidR="001D21DA" w:rsidRPr="00725272">
        <w:rPr>
          <w:lang w:val="en-GB"/>
        </w:rPr>
        <w:t xml:space="preserve">excerpts </w:t>
      </w:r>
      <w:r w:rsidR="005B4A97">
        <w:rPr>
          <w:lang w:val="en-GB"/>
        </w:rPr>
        <w:t>from speeches given by M</w:t>
      </w:r>
      <w:r w:rsidR="00083564">
        <w:rPr>
          <w:lang w:val="en-GB"/>
        </w:rPr>
        <w:t>inisters of E</w:t>
      </w:r>
      <w:r w:rsidR="00D91870" w:rsidRPr="00D91870">
        <w:rPr>
          <w:lang w:val="en-GB"/>
        </w:rPr>
        <w:t>ducation in respectively the Netherlands and the United Kingdom. They illustrate the changes in the field of higher education, a field that was once almost excl</w:t>
      </w:r>
      <w:r w:rsidR="00D91870" w:rsidRPr="00D91870">
        <w:rPr>
          <w:lang w:val="en-GB"/>
        </w:rPr>
        <w:t>u</w:t>
      </w:r>
      <w:r w:rsidR="00D91870" w:rsidRPr="00D91870">
        <w:rPr>
          <w:lang w:val="en-GB"/>
        </w:rPr>
        <w:t>sively the terrain of the nation-state that autonomously directed higher education policies (Kaupinnen, 2013). Ho</w:t>
      </w:r>
      <w:r w:rsidR="00D91870" w:rsidRPr="00D91870">
        <w:rPr>
          <w:lang w:val="en-GB"/>
        </w:rPr>
        <w:t>w</w:t>
      </w:r>
      <w:r w:rsidR="00D91870" w:rsidRPr="00D91870">
        <w:rPr>
          <w:lang w:val="en-GB"/>
        </w:rPr>
        <w:t>ever, since the 1990, the world has witnessed several enormous changes in the domain of higher education. The rapid pace at which the European higher education systems are currently changing is unprecedented. The reasons for this accelerated change of higher educational systems can be found in three important developments within the European Union: The Bologna Process, the Lisbon Strategy and the Modernis</w:t>
      </w:r>
      <w:r w:rsidR="008F6D6D">
        <w:rPr>
          <w:lang w:val="en-GB"/>
        </w:rPr>
        <w:t>ation agenda, and the Europe</w:t>
      </w:r>
      <w:r w:rsidR="00D91870" w:rsidRPr="00D91870">
        <w:rPr>
          <w:lang w:val="en-GB"/>
        </w:rPr>
        <w:t xml:space="preserve"> 2020 Strategy. </w:t>
      </w:r>
    </w:p>
    <w:p w:rsidR="009D2CE1" w:rsidRPr="009D1068" w:rsidRDefault="00D91870" w:rsidP="00920A42">
      <w:pPr>
        <w:pStyle w:val="NoSpacing"/>
        <w:rPr>
          <w:lang w:val="en-GB"/>
        </w:rPr>
      </w:pPr>
      <w:r w:rsidRPr="00D91870">
        <w:rPr>
          <w:lang w:val="en-GB"/>
        </w:rPr>
        <w:t>The Bologna Process of 1999 resulted in the harmonization of education cultures and led to the general accept</w:t>
      </w:r>
      <w:r w:rsidRPr="00D91870">
        <w:rPr>
          <w:lang w:val="en-GB"/>
        </w:rPr>
        <w:t>a</w:t>
      </w:r>
      <w:r w:rsidRPr="00D91870">
        <w:rPr>
          <w:lang w:val="en-GB"/>
        </w:rPr>
        <w:t>tion of the Bachelor, Master and Post Doctorate structure. The objective of this declaration was to make the educ</w:t>
      </w:r>
      <w:r w:rsidRPr="00D91870">
        <w:rPr>
          <w:lang w:val="en-GB"/>
        </w:rPr>
        <w:t>a</w:t>
      </w:r>
      <w:r w:rsidRPr="00D91870">
        <w:rPr>
          <w:lang w:val="en-GB"/>
        </w:rPr>
        <w:t xml:space="preserve">tion programmes in Europe more uniform and harmonious. This in turn would make national higher education more attractive for foreign students by making it easier for students to go abroad to study at universities in other </w:t>
      </w:r>
      <w:r w:rsidR="003D5612">
        <w:rPr>
          <w:lang w:val="en-GB"/>
        </w:rPr>
        <w:t>states</w:t>
      </w:r>
      <w:r w:rsidRPr="00D91870">
        <w:rPr>
          <w:lang w:val="en-GB"/>
        </w:rPr>
        <w:t xml:space="preserve">. </w:t>
      </w:r>
    </w:p>
    <w:p w:rsidR="00920A42" w:rsidRPr="009D1068" w:rsidRDefault="00D91870" w:rsidP="00920A42">
      <w:pPr>
        <w:pStyle w:val="NoSpacing"/>
        <w:rPr>
          <w:lang w:val="en-GB"/>
        </w:rPr>
      </w:pPr>
      <w:r w:rsidRPr="00D91870">
        <w:rPr>
          <w:lang w:val="en-GB"/>
        </w:rPr>
        <w:t xml:space="preserve">The Lisbon Strategy of 2000 facilitated the reform of Europe’s very fragmented educational systems into a more integrated, knowledge-based economy. Within this Lisbon Strategy, the Modernisation Agenda was adopted in 2007. This agenda highlighted for instance that the main pillars of the Lisbon Strategy are the modernization of higher education institutes (such as universities), education, research done by universities and innovation. </w:t>
      </w:r>
    </w:p>
    <w:p w:rsidR="00797BB5" w:rsidRPr="009D1068" w:rsidRDefault="00D91870" w:rsidP="00920A42">
      <w:pPr>
        <w:pStyle w:val="NoSpacing"/>
        <w:rPr>
          <w:lang w:val="en-GB"/>
        </w:rPr>
      </w:pPr>
      <w:r w:rsidRPr="00D91870">
        <w:rPr>
          <w:lang w:val="en-GB"/>
        </w:rPr>
        <w:t>The Lisbon Strategy was followed by the E</w:t>
      </w:r>
      <w:r w:rsidR="008F6D6D">
        <w:rPr>
          <w:lang w:val="en-GB"/>
        </w:rPr>
        <w:t>urope</w:t>
      </w:r>
      <w:r w:rsidRPr="00D91870">
        <w:rPr>
          <w:lang w:val="en-GB"/>
        </w:rPr>
        <w:t xml:space="preserve"> 2020 Strategy. The goal of the E</w:t>
      </w:r>
      <w:r w:rsidR="008F6D6D">
        <w:rPr>
          <w:lang w:val="en-GB"/>
        </w:rPr>
        <w:t>urope</w:t>
      </w:r>
      <w:r w:rsidRPr="00D91870">
        <w:rPr>
          <w:lang w:val="en-GB"/>
        </w:rPr>
        <w:t xml:space="preserve"> 2020 Strategy was also aimed at creating a (more) diverse and dynamic knowledge based economy, with research and development, inn</w:t>
      </w:r>
      <w:r w:rsidRPr="00D91870">
        <w:rPr>
          <w:lang w:val="en-GB"/>
        </w:rPr>
        <w:t>o</w:t>
      </w:r>
      <w:r w:rsidRPr="00D91870">
        <w:rPr>
          <w:lang w:val="en-GB"/>
        </w:rPr>
        <w:t>vation and a highly educated population as the cornerstone.</w:t>
      </w:r>
    </w:p>
    <w:p w:rsidR="00920A42" w:rsidRPr="009D1068" w:rsidRDefault="00920A42" w:rsidP="00920A42">
      <w:pPr>
        <w:pStyle w:val="NoSpacing"/>
        <w:rPr>
          <w:lang w:val="en-GB"/>
        </w:rPr>
      </w:pPr>
    </w:p>
    <w:p w:rsidR="00797BB5" w:rsidRPr="009D1068" w:rsidRDefault="00D91870" w:rsidP="00797BB5">
      <w:pPr>
        <w:pStyle w:val="NoSpacing"/>
        <w:rPr>
          <w:lang w:val="en-GB"/>
        </w:rPr>
      </w:pPr>
      <w:r w:rsidRPr="00D91870">
        <w:rPr>
          <w:lang w:val="en-GB"/>
        </w:rPr>
        <w:t>The above implies that the higher education systems in the European countries are, or have been, very diverse. This implication seems sound: with over 17 million students and over 4.000 institutions (Jongbloed, 2008) throug</w:t>
      </w:r>
      <w:r w:rsidRPr="00D91870">
        <w:rPr>
          <w:lang w:val="en-GB"/>
        </w:rPr>
        <w:t>h</w:t>
      </w:r>
      <w:r w:rsidRPr="00D91870">
        <w:rPr>
          <w:lang w:val="en-GB"/>
        </w:rPr>
        <w:t xml:space="preserve">out Europe, diversity is inevitable and generally considered one of its biggest strengths. However, as Jongbloed (ibid.) </w:t>
      </w:r>
      <w:r w:rsidRPr="00D91870">
        <w:rPr>
          <w:lang w:val="en-GB"/>
        </w:rPr>
        <w:lastRenderedPageBreak/>
        <w:t xml:space="preserve">argues, a joint path </w:t>
      </w:r>
      <w:r w:rsidR="00797BB5" w:rsidRPr="00725272">
        <w:rPr>
          <w:lang w:val="en-GB"/>
        </w:rPr>
        <w:t>l</w:t>
      </w:r>
      <w:r w:rsidRPr="00D91870">
        <w:rPr>
          <w:lang w:val="en-GB"/>
        </w:rPr>
        <w:t xml:space="preserve">eads to more transparency, quality, efficiency, excellence and growth is a necessity when the aim is to make Europe the educational and economical leader of the world.  </w:t>
      </w:r>
    </w:p>
    <w:p w:rsidR="00CB1BB4" w:rsidRPr="009D1068" w:rsidRDefault="00D91870" w:rsidP="00CB1BB4">
      <w:pPr>
        <w:pStyle w:val="NoSpacing"/>
        <w:rPr>
          <w:lang w:val="en-GB"/>
        </w:rPr>
      </w:pPr>
      <w:r w:rsidRPr="00D91870">
        <w:rPr>
          <w:lang w:val="en-GB"/>
        </w:rPr>
        <w:t>Higher education, or vocational training in general, has always been primarily a national affair. The European Union was not much involved in shaping or restructuring the domestic education organization. This has significantly changed since the late 1980s- early 1990s and concepts like internationalization are no longer a marginal issue for higher education institutes. Because of new means of communication and decreasing transport costs of not only capital and goods, but also humans, the world has become relatively smaller. This is often called globalization</w:t>
      </w:r>
      <w:r w:rsidR="00F65BE9">
        <w:rPr>
          <w:lang w:val="en-GB"/>
        </w:rPr>
        <w:t>;</w:t>
      </w:r>
      <w:r w:rsidRPr="00D91870">
        <w:rPr>
          <w:lang w:val="en-GB"/>
        </w:rPr>
        <w:t xml:space="preserve"> the process of internationalization of national economies and subsequently the increase of the mobility of e.g. people, goods, servic</w:t>
      </w:r>
      <w:r w:rsidR="00083564">
        <w:rPr>
          <w:lang w:val="en-GB"/>
        </w:rPr>
        <w:t>es and labour. As such, globaliz</w:t>
      </w:r>
      <w:r w:rsidRPr="00D91870">
        <w:rPr>
          <w:lang w:val="en-GB"/>
        </w:rPr>
        <w:t xml:space="preserve">ation is an undeniable </w:t>
      </w:r>
      <w:r w:rsidR="00F65BE9">
        <w:rPr>
          <w:lang w:val="en-GB"/>
        </w:rPr>
        <w:t>‘</w:t>
      </w:r>
      <w:r w:rsidRPr="00D91870">
        <w:rPr>
          <w:lang w:val="en-GB"/>
        </w:rPr>
        <w:t>force</w:t>
      </w:r>
      <w:r w:rsidR="00F65BE9">
        <w:rPr>
          <w:lang w:val="en-GB"/>
        </w:rPr>
        <w:t>’</w:t>
      </w:r>
      <w:r w:rsidRPr="00D91870">
        <w:rPr>
          <w:lang w:val="en-GB"/>
        </w:rPr>
        <w:t xml:space="preserve"> driving changes in hitherto stable, inwardly focused domains such as education. </w:t>
      </w:r>
    </w:p>
    <w:p w:rsidR="001771E2" w:rsidRPr="009D1068" w:rsidRDefault="00D91870" w:rsidP="00CB1BB4">
      <w:pPr>
        <w:pStyle w:val="NoSpacing"/>
        <w:rPr>
          <w:lang w:val="en-GB"/>
        </w:rPr>
      </w:pPr>
      <w:r w:rsidRPr="00D91870">
        <w:rPr>
          <w:lang w:val="en-GB"/>
        </w:rPr>
        <w:t>The first sign of increasingly internationally orientated universities was the adoption of the Erasmus programme. This programme, introduced before the Bologna Process, facilitated the exchange of students between universities. Internationalization of higher education has, for a long time, been measured solely by looking at numbers of international students studying, for a semester or more, at a foreign university. This has changed in the last two decades. National higher education structures are increasingly interconnected and working together (Van der Wende, 2007: 277). However, universities also appear to be more competitive. Universities have started to play a much larger role in the national economy and have taken up a third mission, as argued by Viale &amp; Etzkowitz (2010). Besides teaching students and doing fundamental research, universities have become more and more involved in adding economic value to their respective national economies</w:t>
      </w:r>
      <w:r w:rsidR="00F65BE9">
        <w:rPr>
          <w:lang w:val="en-GB"/>
        </w:rPr>
        <w:t>.</w:t>
      </w:r>
      <w:r w:rsidR="00797BB5" w:rsidRPr="009D1068">
        <w:rPr>
          <w:rStyle w:val="FootnoteReference"/>
          <w:lang w:val="en-GB"/>
        </w:rPr>
        <w:footnoteReference w:id="1"/>
      </w:r>
      <w:r w:rsidR="00797BB5" w:rsidRPr="009D1068">
        <w:rPr>
          <w:lang w:val="en-GB"/>
        </w:rPr>
        <w:t xml:space="preserve"> A rather clear example of the adoption of this third mission by universities is the increased cooperation with the industries. Europe’s smartest region</w:t>
      </w:r>
      <w:r w:rsidR="00E17E37" w:rsidRPr="00725272">
        <w:rPr>
          <w:lang w:val="en-GB"/>
        </w:rPr>
        <w:t>,</w:t>
      </w:r>
      <w:r w:rsidRPr="00D91870">
        <w:rPr>
          <w:lang w:val="en-GB"/>
        </w:rPr>
        <w:t xml:space="preserve"> according to the Intelligent Community Forum, is the region of Eindhoven. The region of Eindhoven won this title because of the well-functioning </w:t>
      </w:r>
      <w:r w:rsidRPr="00D91870">
        <w:rPr>
          <w:i/>
          <w:lang w:val="en-GB"/>
        </w:rPr>
        <w:t>Triple Helix</w:t>
      </w:r>
      <w:r w:rsidRPr="00D91870">
        <w:rPr>
          <w:lang w:val="en-GB"/>
        </w:rPr>
        <w:t xml:space="preserve"> </w:t>
      </w:r>
      <w:r w:rsidR="00797BB5" w:rsidRPr="009D1068">
        <w:rPr>
          <w:lang w:val="en-GB"/>
        </w:rPr>
        <w:t>that can be distinguished in this area. A triple helix between the Uni</w:t>
      </w:r>
      <w:r w:rsidR="003C0584" w:rsidRPr="009D1068">
        <w:rPr>
          <w:lang w:val="en-GB"/>
        </w:rPr>
        <w:t>versity of Technology Eindhoven,</w:t>
      </w:r>
      <w:r w:rsidR="00797BB5" w:rsidRPr="00725272">
        <w:rPr>
          <w:lang w:val="en-GB"/>
        </w:rPr>
        <w:t xml:space="preserve"> industries such as ASML and P</w:t>
      </w:r>
      <w:r w:rsidRPr="00D91870">
        <w:rPr>
          <w:lang w:val="en-GB"/>
        </w:rPr>
        <w:t xml:space="preserve">hilips and numerous other (smaller) high-tech companies; and the government. The government has a facilitating role and is, with targeted subsidies, funding the university. This goes at the cost of funds for, for instance, the humanities (ibid.) at other, broader universities, implicitly giving the University of Technology a privileged position. The developments in the Eindhoven region are a prime example for the changing ways in which the Dutch government approaches universities. </w:t>
      </w:r>
    </w:p>
    <w:p w:rsidR="0049405C" w:rsidRPr="009D1068" w:rsidRDefault="00D91870" w:rsidP="00CB1BB4">
      <w:pPr>
        <w:pStyle w:val="NoSpacing"/>
        <w:rPr>
          <w:lang w:val="en-GB"/>
        </w:rPr>
      </w:pPr>
      <w:r w:rsidRPr="00D91870">
        <w:rPr>
          <w:lang w:val="en-GB"/>
        </w:rPr>
        <w:t>In the UK, these developments occurred much earlier. Universities in the UK are for instance much more based on mutual competitio</w:t>
      </w:r>
      <w:r w:rsidR="00083564">
        <w:rPr>
          <w:lang w:val="en-GB"/>
        </w:rPr>
        <w:t>n and focused on internationaliz</w:t>
      </w:r>
      <w:r w:rsidRPr="00D91870">
        <w:rPr>
          <w:lang w:val="en-GB"/>
        </w:rPr>
        <w:t xml:space="preserve">ation compared to Dutch universities. Prestigious institutions such as the London School of Economics, Oxford and Cambridge are a few examples of high-tier universities in the UK, attracting numerous students from all over the world. Take the Cambridge Phenomenon, another Triple Helix, which started around the 1970s, in the region of the Cambridge University and consists of almost 1.400 companies that are all (directly or indirectly) cooperating with the university and the fundamental research which is conducted there. The ‘Cambridge Phenomenon’ is an example of the fact that the British higher education system is way ‘ahead’ of the Dutch higher education system. The UK has also witnessed several changes in the last decades. It was, just like the Netherlands, a signatory of the Bologna Process, the Lisbon Strategy and the </w:t>
      </w:r>
      <w:r w:rsidR="008F6D6D">
        <w:rPr>
          <w:lang w:val="en-GB"/>
        </w:rPr>
        <w:t>Europe</w:t>
      </w:r>
      <w:r w:rsidRPr="00D91870">
        <w:rPr>
          <w:lang w:val="en-GB"/>
        </w:rPr>
        <w:t xml:space="preserve"> 2020 growth strategy. However, in the last decades tuition fees have gone up significantly</w:t>
      </w:r>
      <w:r w:rsidR="00797BB5" w:rsidRPr="009D1068">
        <w:rPr>
          <w:lang w:val="en-GB"/>
        </w:rPr>
        <w:t xml:space="preserve">, making studying, and doing a Masters in particular, </w:t>
      </w:r>
      <w:r w:rsidR="00076742" w:rsidRPr="009D1068">
        <w:rPr>
          <w:lang w:val="en-GB"/>
        </w:rPr>
        <w:t xml:space="preserve">less and less accessible </w:t>
      </w:r>
      <w:r w:rsidRPr="00D91870">
        <w:rPr>
          <w:lang w:val="en-GB"/>
        </w:rPr>
        <w:t>simply due to the costs. The increase in the value of tuition fees is generally seen as a result of the changes in higher education, as a result of the processes and strategies describe above. The universities found themselves forced to obtain funding elsewhere, as opposed to relying primarily on the government (Maassen, 2006; Robertson, 2006; Van der Wende, 2007; Zumeta, 2010)</w:t>
      </w:r>
      <w:r w:rsidR="00C20613">
        <w:rPr>
          <w:lang w:val="en-GB"/>
        </w:rPr>
        <w:t>.</w:t>
      </w:r>
      <w:r w:rsidR="00797BB5" w:rsidRPr="009D1068">
        <w:rPr>
          <w:rStyle w:val="FootnoteReference"/>
          <w:lang w:val="en-GB"/>
        </w:rPr>
        <w:footnoteReference w:id="2"/>
      </w:r>
      <w:r w:rsidR="00797BB5" w:rsidRPr="009D1068">
        <w:rPr>
          <w:lang w:val="en-GB"/>
        </w:rPr>
        <w:t xml:space="preserve"> These recent developments have led to several massive demonstrations and student riots in the UK. </w:t>
      </w:r>
      <w:r w:rsidR="00723F19" w:rsidRPr="00725272">
        <w:rPr>
          <w:lang w:val="en-GB"/>
        </w:rPr>
        <w:t xml:space="preserve">For example, </w:t>
      </w:r>
      <w:r w:rsidRPr="00D91870">
        <w:rPr>
          <w:lang w:val="en-GB"/>
        </w:rPr>
        <w:t>the infamous 2010 London riots, dominated the international news cycles for days. These demonstrations were aimed at planned cuts in post-compulsory education and the significant increase in the maximum allowed amount of tuition fees. The same demonstrations (though much less violent) have been witnessed in the Netherlands. The Dutch government imposed ‘penalties’ (a significant increase of tuition fees)</w:t>
      </w:r>
      <w:r w:rsidR="00797BB5" w:rsidRPr="009D1068">
        <w:rPr>
          <w:lang w:val="en-GB"/>
        </w:rPr>
        <w:t xml:space="preserve"> on students that studied more than a year longer than the total length of their Bachelors or Masters.</w:t>
      </w:r>
      <w:r w:rsidR="00723F19" w:rsidRPr="009D1068">
        <w:rPr>
          <w:rStyle w:val="FootnoteReference"/>
          <w:lang w:val="en-GB"/>
        </w:rPr>
        <w:footnoteReference w:id="3"/>
      </w:r>
      <w:r w:rsidR="00797BB5" w:rsidRPr="009D1068">
        <w:rPr>
          <w:lang w:val="en-GB"/>
        </w:rPr>
        <w:t xml:space="preserve"> More recently the </w:t>
      </w:r>
      <w:r w:rsidR="00797BB5" w:rsidRPr="009D1068">
        <w:rPr>
          <w:i/>
          <w:lang w:val="en-GB"/>
        </w:rPr>
        <w:t>basisbeurs</w:t>
      </w:r>
      <w:r w:rsidR="00797BB5" w:rsidRPr="00725272">
        <w:rPr>
          <w:lang w:val="en-GB"/>
        </w:rPr>
        <w:t xml:space="preserve"> (basic grant), a </w:t>
      </w:r>
      <w:r w:rsidRPr="00D91870">
        <w:rPr>
          <w:lang w:val="en-GB"/>
        </w:rPr>
        <w:t xml:space="preserve">government loan to students that will be converted into a gift if, and only if the student graduates within a set number of years, has been subject of discussion. The Dutch government plans on converting the </w:t>
      </w:r>
      <w:r w:rsidRPr="00D91870">
        <w:rPr>
          <w:i/>
          <w:lang w:val="en-GB"/>
        </w:rPr>
        <w:t>basisbeurs</w:t>
      </w:r>
      <w:r w:rsidRPr="00D91870">
        <w:rPr>
          <w:lang w:val="en-GB"/>
        </w:rPr>
        <w:t xml:space="preserve"> into loan system, creating a much higher threshold for a student to start a (new) study.</w:t>
      </w:r>
    </w:p>
    <w:p w:rsidR="00797BB5" w:rsidRDefault="00D91870" w:rsidP="00797BB5">
      <w:pPr>
        <w:pStyle w:val="NoSpacing"/>
        <w:rPr>
          <w:lang w:val="en-GB"/>
        </w:rPr>
      </w:pPr>
      <w:r w:rsidRPr="00D91870">
        <w:rPr>
          <w:lang w:val="en-GB"/>
        </w:rPr>
        <w:t>In addition to the rise of tuition fees, developments such as the increased focus on entrepreneurial activity of students (Rae, 2010), or the increased eagerness of obtaining patents by universities (van Looy et al., 2011) are also results of the changing higher education systems in Europe, and in the UK and the Netherlands in particular. Lorenz (2006: 10-27) argues that the Dutch higher education policies after the Bologna Process have several distinctive characteristics. Examples include the radical economization of higher education, the preference of policy makers to change the higher education institutions from public to private institutions, and the political preference of enlargement of the higher education institutions that it hitherto did not have. These characteristics resemble the way the United Kingdom’s education system has changed the last decades. It can also be argued that the Bologna Process has accepted and copied the United Kingdom’s (or more generally, the Anglo-Saxon) structure for higher education because of, according to Lorenz (ibid.), its exceptional success. British universities are seen as among the best in the world. However, since the adoption of the European strategies and initiatives by the British government, the changes in the higher education system of the UK appear to be accelerating. Year by year the government is giving universities more autonomy and less money, forcing them to seek funding at the private sector, exploit patents</w:t>
      </w:r>
      <w:r w:rsidR="00785D04" w:rsidRPr="009D1068">
        <w:rPr>
          <w:rStyle w:val="FootnoteReference"/>
          <w:lang w:val="en-GB"/>
        </w:rPr>
        <w:footnoteReference w:id="4"/>
      </w:r>
      <w:r w:rsidR="00785D04" w:rsidRPr="009D1068">
        <w:rPr>
          <w:lang w:val="en-GB"/>
        </w:rPr>
        <w:t xml:space="preserve"> and increase </w:t>
      </w:r>
      <w:r w:rsidR="00785D04" w:rsidRPr="00725272">
        <w:rPr>
          <w:lang w:val="en-GB"/>
        </w:rPr>
        <w:t>tuition fees.</w:t>
      </w:r>
    </w:p>
    <w:p w:rsidR="00797BB5" w:rsidRPr="00083564" w:rsidRDefault="00797BB5" w:rsidP="00083564">
      <w:pPr>
        <w:pStyle w:val="NoSpacing"/>
        <w:rPr>
          <w:lang w:val="en-GB"/>
        </w:rPr>
      </w:pPr>
      <w:r w:rsidRPr="009D1068">
        <w:rPr>
          <w:lang w:val="en-GB"/>
        </w:rPr>
        <w:t xml:space="preserve">What is intriguing about </w:t>
      </w:r>
      <w:r w:rsidR="007C1ED3" w:rsidRPr="00725272">
        <w:rPr>
          <w:lang w:val="en-GB"/>
        </w:rPr>
        <w:t>the higher education</w:t>
      </w:r>
      <w:r w:rsidR="00D91870" w:rsidRPr="00D91870">
        <w:rPr>
          <w:lang w:val="en-GB"/>
        </w:rPr>
        <w:t xml:space="preserve"> developments of both the Netherlands and the United Kingdom is that they are comparable. </w:t>
      </w:r>
      <w:r w:rsidR="00083564">
        <w:rPr>
          <w:lang w:val="en-GB"/>
        </w:rPr>
        <w:t>the higher education organiz</w:t>
      </w:r>
      <w:r w:rsidR="00504FD6" w:rsidRPr="00504FD6">
        <w:rPr>
          <w:lang w:val="en-GB"/>
        </w:rPr>
        <w:t>ation of the Netherlands is diverging along the very same lines as the restructuring of t</w:t>
      </w:r>
      <w:r w:rsidR="00083564">
        <w:rPr>
          <w:lang w:val="en-GB"/>
        </w:rPr>
        <w:t>he UK’s higher education organiz</w:t>
      </w:r>
      <w:r w:rsidR="00504FD6" w:rsidRPr="00504FD6">
        <w:rPr>
          <w:lang w:val="en-GB"/>
        </w:rPr>
        <w:t>ation. It is, however, changing at a much slower pace. To put it in a more popular way, both states are on the same track, however, the UK is several stations ahead. This leads to the central question of this thesis:</w:t>
      </w:r>
    </w:p>
    <w:p w:rsidR="00797BB5" w:rsidRPr="009D1068" w:rsidRDefault="00797BB5" w:rsidP="00797BB5">
      <w:pPr>
        <w:pStyle w:val="NoSpacing"/>
        <w:rPr>
          <w:lang w:val="en-GB"/>
        </w:rPr>
      </w:pPr>
    </w:p>
    <w:p w:rsidR="00797BB5" w:rsidRPr="009D1068" w:rsidRDefault="00D91870" w:rsidP="00797BB5">
      <w:pPr>
        <w:pStyle w:val="NoSpacing"/>
        <w:ind w:left="567" w:right="617" w:firstLine="0"/>
        <w:rPr>
          <w:i/>
          <w:lang w:val="en-GB"/>
        </w:rPr>
      </w:pPr>
      <w:r w:rsidRPr="00D91870">
        <w:rPr>
          <w:i/>
          <w:lang w:val="en-GB"/>
        </w:rPr>
        <w:t>What can explain the variance in pace in which the Dutch higher education system is changing towards more internationalization and adding more value to the economy compared to the faster pace in which the British higher education system is changing?</w:t>
      </w:r>
    </w:p>
    <w:p w:rsidR="00797BB5" w:rsidRPr="009D1068" w:rsidRDefault="00797BB5" w:rsidP="00797BB5">
      <w:pPr>
        <w:pStyle w:val="NoSpacing"/>
        <w:rPr>
          <w:lang w:val="en-GB"/>
        </w:rPr>
      </w:pPr>
    </w:p>
    <w:p w:rsidR="00797BB5" w:rsidRPr="009D1068" w:rsidRDefault="00D91870" w:rsidP="00797BB5">
      <w:pPr>
        <w:pStyle w:val="NoSpacing"/>
        <w:rPr>
          <w:lang w:val="en-GB"/>
        </w:rPr>
      </w:pPr>
      <w:r w:rsidRPr="00D91870">
        <w:rPr>
          <w:lang w:val="en-GB"/>
        </w:rPr>
        <w:t>This thesis will try to answer this question by analysing the developments in higher education in the United Kingdom and in the Netherlands. The thesis employs a most similar systems design.</w:t>
      </w:r>
      <w:r w:rsidR="00A05E17" w:rsidRPr="009D1068">
        <w:rPr>
          <w:lang w:val="en-GB"/>
        </w:rPr>
        <w:t xml:space="preserve"> </w:t>
      </w:r>
      <w:r w:rsidR="00797BB5" w:rsidRPr="009D1068">
        <w:rPr>
          <w:lang w:val="en-GB"/>
        </w:rPr>
        <w:t>Both states are facing the same challenges in respect to internationalization and globalization, and are both highly c</w:t>
      </w:r>
      <w:r w:rsidR="00797BB5" w:rsidRPr="00725272">
        <w:rPr>
          <w:lang w:val="en-GB"/>
        </w:rPr>
        <w:t xml:space="preserve">ompetitive capitalist economies that have both signed various agreements and declarations at </w:t>
      </w:r>
      <w:r w:rsidRPr="00D91870">
        <w:rPr>
          <w:lang w:val="en-GB"/>
        </w:rPr>
        <w:t xml:space="preserve">a European level, committing them to the same objectives. Furthermore, both have higher education institutions that combine teaching and research and that are both competitive on the highest level. There are, however, some institutional differences between these states and it is these differences that might be able to help understand the variance.   </w:t>
      </w:r>
    </w:p>
    <w:p w:rsidR="008048B9" w:rsidRDefault="00D91870" w:rsidP="00797BB5">
      <w:pPr>
        <w:pStyle w:val="NoSpacing"/>
        <w:rPr>
          <w:lang w:val="en-GB"/>
        </w:rPr>
      </w:pPr>
      <w:r w:rsidRPr="00D91870">
        <w:rPr>
          <w:lang w:val="en-GB"/>
        </w:rPr>
        <w:t>Two theories will be used to try and explain the variance between t</w:t>
      </w:r>
      <w:r w:rsidR="00083564">
        <w:rPr>
          <w:lang w:val="en-GB"/>
        </w:rPr>
        <w:t>he Dutch and the British organiz</w:t>
      </w:r>
      <w:r w:rsidRPr="00D91870">
        <w:rPr>
          <w:lang w:val="en-GB"/>
        </w:rPr>
        <w:t>ation model. The first is the international relations theory of social constructivism, the second is the varieties of capitalism-approach. Social constructivism is a systemic international relations theory that is able to explain dynamic changes, whereas the varieties of capitalism approach is a more static, heuristic approach often used to explain why states and markets behave in a given way and why they are often resistant to (radical) change</w:t>
      </w:r>
      <w:r w:rsidR="00797BB5" w:rsidRPr="009D1068">
        <w:rPr>
          <w:lang w:val="en-GB"/>
        </w:rPr>
        <w:t>. The varieties of capitalism</w:t>
      </w:r>
      <w:r w:rsidRPr="00D91870">
        <w:rPr>
          <w:lang w:val="en-GB"/>
        </w:rPr>
        <w:t xml:space="preserve">-approach has gained traction after the publication of Hall and Soskice volume published in 2001. This approach is now the most dominant theory in the field of comparative political economy. It has, however, several weaknesses, such as the fact that it is not able to properly explain the rapidly emerging global market for higher education . The literature on varieties of capitalism, in particular on skill formation, paid less attention to higher education than to vocational training (Crouch et al., 2005). This is problematic for two reasons. For one thing, the amount of highly-educated workers is much higher now than it was fifteen to twenty years ago. </w:t>
      </w:r>
      <w:r w:rsidR="00C35533" w:rsidRPr="009D1068">
        <w:rPr>
          <w:lang w:val="en-GB"/>
        </w:rPr>
        <w:t>Secondly</w:t>
      </w:r>
      <w:r w:rsidRPr="00D91870">
        <w:rPr>
          <w:lang w:val="en-GB"/>
        </w:rPr>
        <w:t xml:space="preserve">, internationalization influences the institutional organization of higher education which has implications for a state’s economy on the whole due to the so called </w:t>
      </w:r>
      <w:r w:rsidRPr="00D91870">
        <w:rPr>
          <w:i/>
          <w:lang w:val="en-GB"/>
        </w:rPr>
        <w:t xml:space="preserve">institutional complementarities. </w:t>
      </w:r>
      <w:r w:rsidRPr="00D91870">
        <w:rPr>
          <w:lang w:val="en-GB"/>
        </w:rPr>
        <w:t xml:space="preserve"> </w:t>
      </w:r>
    </w:p>
    <w:p w:rsidR="00797BB5" w:rsidRPr="009D1068" w:rsidRDefault="00797BB5" w:rsidP="00797BB5">
      <w:pPr>
        <w:pStyle w:val="NoSpacing"/>
        <w:rPr>
          <w:lang w:val="en-GB"/>
        </w:rPr>
      </w:pPr>
      <w:r w:rsidRPr="009D1068">
        <w:rPr>
          <w:lang w:val="en-GB"/>
        </w:rPr>
        <w:t>Changes in higher education may come at a price, as argued for instance by Dearden et al. (2011). General enrolments drop significantly when tuition fees</w:t>
      </w:r>
      <w:r w:rsidR="00CB22E7" w:rsidRPr="00725272">
        <w:rPr>
          <w:lang w:val="en-GB"/>
        </w:rPr>
        <w:t xml:space="preserve"> are raised and therefore</w:t>
      </w:r>
      <w:r w:rsidR="00D91870" w:rsidRPr="00D91870">
        <w:rPr>
          <w:lang w:val="en-GB"/>
        </w:rPr>
        <w:t xml:space="preserve"> it is of vital importance that it is understood how these changes affect the national economies and what the implications of these changes are for the for instance competitiveness of an economy. On a more scientific level, it is important to understand the mechanism behind these changes. Multinational corporations have been working to persuade governmental organizations, or can it be argued that advanced capitalist economies such as the United Kingdom and the Netherlands are shaped in such a way that all institutions complement each other making a convergence toward a single ‘best practice’ unlikely. </w:t>
      </w:r>
    </w:p>
    <w:p w:rsidR="00797BB5" w:rsidRPr="009D1068" w:rsidRDefault="00D91870" w:rsidP="00D23449">
      <w:pPr>
        <w:pStyle w:val="NoSpacing"/>
        <w:rPr>
          <w:lang w:val="en-GB"/>
        </w:rPr>
      </w:pPr>
      <w:r w:rsidRPr="00D91870">
        <w:rPr>
          <w:lang w:val="en-GB"/>
        </w:rPr>
        <w:t>This thesis will try to answer the research question by juxtaposing the social constructivist approach on the one hand and the varieties of capitalism approach on the other, and test which of these approaches has the most explanatory value. As will be discussed in the next chapter, both theories have different explanatory variables and have both different expectations about the outcomes of the developments in higher education policy. The social constructivist approach and norm lifecycle framework used here, deals with the adoption of an international norm (from its creation to its implementation in the domestic arena). This norm lifecycle might be able to explain why the pace in which the Dutch higher education system is changing is rather slow compared to the British pace, because norms about higher education may be interpreted, or even framed differently by different people and institutions. Social constructivism is able to cope with rather abstract notions of ideas and identities, and for instance the impact of individuals. The varieties of capitalist approach on the other hand, is able to explain why the United Kingdom is moving as fast as it does on changing their higher education system. It is however unlikely it can also explain why the Netherlands is moving in that direction as well. The varieties of capitalism approach argues that there are, in general, two types of economies: a coordinated market economy, which is (in a nutshell) focused on long term, strategic considerations, and the liberal market economy, which focuses on short term gains. All institutions, such as higher education but also for instance employment protection, benefit from the economic organization staying the way it is. These so-called institutional complementarities would not allow the higher education organization to change in this sort of way because of the way it is interconnected with other realms of the economy. Therefore, if the Dutch higher education system is changing slowly towards the British system, then this would pose a problem for the, in this field, rather dominant varieties of capitalism approach. If the Dutch higher education system is changing in line with the coordinated market economy, then the varieties of capitalism approach will prove to be very effective in explaining such changes. The framework of the norm lifecycle would, in that case, have to be adjusted for , apparently, international EU-norms (stemming from the EU level) are not internalizing in the same manner in different domestic arena’s.</w:t>
      </w:r>
    </w:p>
    <w:p w:rsidR="00797BB5" w:rsidRPr="009D1068" w:rsidRDefault="00505B73" w:rsidP="00797BB5">
      <w:pPr>
        <w:pStyle w:val="NoSpacing"/>
        <w:ind w:firstLine="0"/>
        <w:rPr>
          <w:lang w:val="en-GB"/>
        </w:rPr>
      </w:pPr>
      <w:r>
        <w:rPr>
          <w:lang w:val="en-GB"/>
        </w:rPr>
        <w:t xml:space="preserve">     </w:t>
      </w:r>
      <w:r w:rsidR="00D91870" w:rsidRPr="00D91870">
        <w:rPr>
          <w:lang w:val="en-GB"/>
        </w:rPr>
        <w:t>This thesis will be structured as follows: the second chapter, the theoretical framework, will delve deeper into the social constructivist theory. The norm lifecycle, as formulated by Martha Finnemore and Kathryn Sikkink will function as the cornerstone of the approach in this thesis. The implications of international norms on domestic norms will be discussed, after which a number of critiques will be outlined. The next paragraph will consist of a more general elaboration on the varieties of capitalism approach. It is vital to understand the framework of the varieties of capitalism approach before delving deeper into the part of skill formation that is central in this thesis. A lot has been written about skill formation but this thesis will remain closely to the work published in 2001 by Peter A. Hall and David Soskice on this very topic. Critiques of this approach, and of the skill formation part in particular, will be discussed in the next paragraph. This paragraph will also entail the discussion of the fact that varieties of capitalism has problems dealing with globalization. Throughout this chapter, several expectations are formulated that will be instrumental for answering the research question. Chapter three will elaborate on the methods used and the operationalization of the several variables relevant in this thesis. Further, the method of the analysis will be discussed and what kind of primary and secondary sources will be used in order to be able to answer the research question. The fourth chapter consists of the analysis of the cases. In this chapter, it is tested whether the theory of social constructivism, and the framework of the norm lifecycle in particular, or the varieties of capitalism is better able to explain why in the last two decades, there has been a change in the organi</w:t>
      </w:r>
      <w:r w:rsidR="00083564">
        <w:rPr>
          <w:lang w:val="en-GB"/>
        </w:rPr>
        <w:t>z</w:t>
      </w:r>
      <w:r w:rsidR="00D91870" w:rsidRPr="00D91870">
        <w:rPr>
          <w:lang w:val="en-GB"/>
        </w:rPr>
        <w:t>ation of higher education and why the Netherlands is changing in a slower pace than the UK when it comes to interna</w:t>
      </w:r>
      <w:r w:rsidR="00083564">
        <w:rPr>
          <w:lang w:val="en-GB"/>
        </w:rPr>
        <w:t>tionaliz</w:t>
      </w:r>
      <w:r w:rsidR="00D91870" w:rsidRPr="00D91870">
        <w:rPr>
          <w:lang w:val="en-GB"/>
        </w:rPr>
        <w:t xml:space="preserve">ation of higher education and the increasing focus on adding value to the domestic economy by higher education institutes. </w:t>
      </w:r>
      <w:r w:rsidR="00797BB5" w:rsidRPr="009D1068">
        <w:rPr>
          <w:lang w:val="en-GB"/>
        </w:rPr>
        <w:t>Both theories will be alternately discussed in order to find out which is better able to explain the changes and therefore, better able to answer the research question. This will lead to an eventual conclusion in chapter five and brief discussion on the expectations formulated in chapter tw</w:t>
      </w:r>
      <w:r w:rsidR="009C71E3" w:rsidRPr="00725272">
        <w:rPr>
          <w:lang w:val="en-GB"/>
        </w:rPr>
        <w:t>o</w:t>
      </w:r>
      <w:r w:rsidR="00D91870" w:rsidRPr="00D91870">
        <w:rPr>
          <w:lang w:val="en-GB"/>
        </w:rPr>
        <w:t>. The remainder of chapter five will elaborate and will critically discuss the results and outcomes of this thesis.</w:t>
      </w:r>
    </w:p>
    <w:p w:rsidR="00797BB5" w:rsidRPr="009D1068" w:rsidRDefault="00D91870">
      <w:pPr>
        <w:rPr>
          <w:lang w:val="en-GB"/>
        </w:rPr>
      </w:pPr>
      <w:r w:rsidRPr="00D91870">
        <w:rPr>
          <w:lang w:val="en-GB"/>
        </w:rPr>
        <w:br w:type="page"/>
      </w:r>
    </w:p>
    <w:p w:rsidR="00524959" w:rsidRPr="009D1068" w:rsidRDefault="00D91870" w:rsidP="00AD6BB0">
      <w:pPr>
        <w:pStyle w:val="Heading1"/>
        <w:numPr>
          <w:ilvl w:val="0"/>
          <w:numId w:val="3"/>
        </w:numPr>
        <w:rPr>
          <w:lang w:val="en-GB"/>
        </w:rPr>
      </w:pPr>
      <w:bookmarkStart w:id="2" w:name="_Toc391510165"/>
      <w:bookmarkStart w:id="3" w:name="_Toc396045587"/>
      <w:r w:rsidRPr="00D91870">
        <w:rPr>
          <w:lang w:val="en-GB"/>
        </w:rPr>
        <w:t>Theoretical Framework</w:t>
      </w:r>
      <w:bookmarkEnd w:id="2"/>
      <w:bookmarkEnd w:id="3"/>
    </w:p>
    <w:p w:rsidR="00797BB5" w:rsidRPr="009D1068" w:rsidRDefault="00FB4E90" w:rsidP="00183C82">
      <w:pPr>
        <w:pStyle w:val="NoSpacing"/>
        <w:ind w:firstLine="0"/>
        <w:rPr>
          <w:lang w:val="en-GB"/>
        </w:rPr>
      </w:pPr>
      <w:r w:rsidRPr="009D1068">
        <w:rPr>
          <w:lang w:val="en-GB"/>
        </w:rPr>
        <w:t>I</w:t>
      </w:r>
      <w:r w:rsidR="00D91870" w:rsidRPr="00D91870">
        <w:rPr>
          <w:lang w:val="en-GB"/>
        </w:rPr>
        <w:t xml:space="preserve">n the following chapter, the two different theoretical approaches will be discussed extensively. First, the general features of the approach will be discussed. Second, how the theory can be used to explain the variance in pace in which the Dutch higher education system is changing in comparison to the British higher education system. Also the criticisms of both approaches will be thoroughly discussed. Furthermore, in this chapter, several expectations will be formulated. These expectations will be discussed in the empirical chapter (chapter four) and in the conclusion. </w:t>
      </w:r>
    </w:p>
    <w:p w:rsidR="00797BB5" w:rsidRPr="009D1068" w:rsidRDefault="00797BB5" w:rsidP="00797BB5">
      <w:pPr>
        <w:rPr>
          <w:lang w:val="en-GB"/>
        </w:rPr>
      </w:pPr>
    </w:p>
    <w:p w:rsidR="00797BB5" w:rsidRPr="009D1068" w:rsidRDefault="00797BB5" w:rsidP="00797BB5">
      <w:pPr>
        <w:pStyle w:val="Heading2"/>
        <w:numPr>
          <w:ilvl w:val="1"/>
          <w:numId w:val="3"/>
        </w:numPr>
        <w:rPr>
          <w:lang w:val="en-GB"/>
        </w:rPr>
      </w:pPr>
      <w:bookmarkStart w:id="4" w:name="_Toc391510166"/>
      <w:bookmarkStart w:id="5" w:name="_Toc396045588"/>
      <w:r w:rsidRPr="009D1068">
        <w:rPr>
          <w:lang w:val="en-GB"/>
        </w:rPr>
        <w:t>Social</w:t>
      </w:r>
      <w:r w:rsidR="00D91870" w:rsidRPr="00D91870">
        <w:rPr>
          <w:lang w:val="en-GB"/>
        </w:rPr>
        <w:t xml:space="preserve"> Constructivism</w:t>
      </w:r>
      <w:bookmarkEnd w:id="4"/>
      <w:bookmarkEnd w:id="5"/>
    </w:p>
    <w:p w:rsidR="008C66F4" w:rsidRPr="009D1068" w:rsidRDefault="00D91870" w:rsidP="008C66F4">
      <w:pPr>
        <w:pStyle w:val="Heading3"/>
        <w:numPr>
          <w:ilvl w:val="2"/>
          <w:numId w:val="3"/>
        </w:numPr>
        <w:rPr>
          <w:lang w:val="en-GB"/>
        </w:rPr>
      </w:pPr>
      <w:bookmarkStart w:id="6" w:name="_Toc391510167"/>
      <w:bookmarkStart w:id="7" w:name="_Toc396045589"/>
      <w:r w:rsidRPr="00D91870">
        <w:rPr>
          <w:lang w:val="en-GB"/>
        </w:rPr>
        <w:t>Core features of Constructivism</w:t>
      </w:r>
      <w:bookmarkEnd w:id="6"/>
      <w:bookmarkEnd w:id="7"/>
    </w:p>
    <w:p w:rsidR="008048B9" w:rsidRDefault="00D91870" w:rsidP="008048B9">
      <w:pPr>
        <w:pStyle w:val="NoSpacing"/>
        <w:ind w:firstLine="0"/>
        <w:rPr>
          <w:lang w:val="en-GB"/>
        </w:rPr>
      </w:pPr>
      <w:r w:rsidRPr="00D91870">
        <w:rPr>
          <w:lang w:val="en-GB"/>
        </w:rPr>
        <w:t>The theory of social constructivism can help to explain why the higher education systems of the Netherlands and the United Kingdom are changing, and why they are changing at different paces. In order to understand the implications of social constructivism, it is important to first discuss the core features of the theory and what (international) norms are, before delving into the norm lifecycle framework.</w:t>
      </w:r>
    </w:p>
    <w:p w:rsidR="00797BB5" w:rsidRPr="009D1068" w:rsidRDefault="00D91870" w:rsidP="008048B9">
      <w:pPr>
        <w:pStyle w:val="NoSpacing"/>
        <w:rPr>
          <w:lang w:val="en-GB"/>
        </w:rPr>
      </w:pPr>
      <w:r w:rsidRPr="00D91870">
        <w:rPr>
          <w:lang w:val="en-GB"/>
        </w:rPr>
        <w:t xml:space="preserve">Social constructivism is considered to be the third mainstream International Relations theory and, in contrast to the neo-utilitarian theories such as neo-liberalism and neo-realism, that focus almost exclusively on the importance of power and material interest, argues that ‘the building blocks of international reality’ are shared ideas, shared understandings and knowledge; in fact, constructivist scholars even argue that material interest are only valued within the social context in which they are embedded (Payne, 2001:37). </w:t>
      </w:r>
    </w:p>
    <w:p w:rsidR="00797BB5" w:rsidRPr="009D1068" w:rsidRDefault="00D91870" w:rsidP="00797BB5">
      <w:pPr>
        <w:pStyle w:val="NoSpacing"/>
        <w:rPr>
          <w:lang w:val="en-GB"/>
        </w:rPr>
      </w:pPr>
      <w:r w:rsidRPr="00D91870">
        <w:rPr>
          <w:lang w:val="en-GB"/>
        </w:rPr>
        <w:t xml:space="preserve">Constructivist scholars focus on the roles of norms, ideas, culture and for instance speech-acts. They stress the role of ‘intersubjective’ ideas and understandings on social life that are collectively held (Finnemore &amp; Sikkink, 2001: 393). Finnemore and Sikkink (ibid.) argue that constructivism, being an approach towards social analysis, asserts as follows: (1) the interaction between humans is not shaped by material factors, but primarily by ideational factors, (2) the ideational factors that are seen as most important are widely shared intersubjective ideas and beliefs and, (3) it are these beliefs that shape the identity but also the interests of the purposive actors. </w:t>
      </w:r>
    </w:p>
    <w:p w:rsidR="00797BB5" w:rsidRPr="009D1068" w:rsidRDefault="00D91870" w:rsidP="00797BB5">
      <w:pPr>
        <w:pStyle w:val="NoSpacing"/>
        <w:rPr>
          <w:lang w:val="en-GB"/>
        </w:rPr>
      </w:pPr>
      <w:r w:rsidRPr="00D91870">
        <w:rPr>
          <w:lang w:val="en-GB"/>
        </w:rPr>
        <w:t xml:space="preserve">Searle (1995), states that constructivism focuses on so called ‘social facts’ (for example rights, norms, money and sovereignty). These are social constructs that do not have a material reality. They exist because people collectively believe they exist. The major concern of the constructivist approach is analyzing how these ‘social facts’ change over time and in what manner they influence politics. </w:t>
      </w:r>
    </w:p>
    <w:p w:rsidR="00797BB5" w:rsidRPr="009D1068" w:rsidRDefault="00D91870" w:rsidP="00797BB5">
      <w:pPr>
        <w:pStyle w:val="NoSpacing"/>
        <w:rPr>
          <w:lang w:val="en-GB"/>
        </w:rPr>
      </w:pPr>
      <w:r w:rsidRPr="00D91870">
        <w:rPr>
          <w:lang w:val="en-GB"/>
        </w:rPr>
        <w:t xml:space="preserve">What is important to understand about constructivism is that it, contrary to the other International relations theories, does not aim at producing predictions about certain political outcomes. Walt (1998: 38) states about this that constructivism does not predict political outcomes because one can never predict the content of future ideas. This is best summarized by Finnemore and Sikkink (2001: 393), who argue that constructivism is a different kind of theory in comparison to for instance liberalism, realism and Marxism and that it operates on a different level of abstraction. It is not a substantive political theory, but a social theory that is able to make claims about social change and the nature of social life. It does not, however, make claims about the nature of agents that are at work in social life or about the content of certain social structures. Constructivism therefore does not produce specific predictions on for instance political outcomes. Constructivism also differs from the utilitarian theories in respect of how they view the other </w:t>
      </w:r>
      <w:r w:rsidR="00D45D66" w:rsidRPr="009D1068">
        <w:rPr>
          <w:lang w:val="en-GB"/>
        </w:rPr>
        <w:t>international re</w:t>
      </w:r>
      <w:r w:rsidRPr="00D91870">
        <w:rPr>
          <w:lang w:val="en-GB"/>
        </w:rPr>
        <w:t xml:space="preserve">lations theories. Constructivist scholars are not in a constant battle with the other theories but rather focus on the issues instead of on competition. Constructivism aims at generalization. Finnemore and Sikkink (2001: 396) even go as far as comparing constructivists to political science comparativists. </w:t>
      </w:r>
    </w:p>
    <w:p w:rsidR="00797BB5" w:rsidRPr="009D1068" w:rsidRDefault="00D91870" w:rsidP="00797BB5">
      <w:pPr>
        <w:pStyle w:val="NoSpacing"/>
        <w:rPr>
          <w:lang w:val="en-GB"/>
        </w:rPr>
      </w:pPr>
      <w:r w:rsidRPr="00D91870">
        <w:rPr>
          <w:lang w:val="en-GB"/>
        </w:rPr>
        <w:t xml:space="preserve">Martha Finnemore and Kathryn Sikkink are two central authors in the literature on social constructivism. Their groundbreaking article </w:t>
      </w:r>
      <w:r w:rsidRPr="00D91870">
        <w:rPr>
          <w:i/>
          <w:lang w:val="en-GB"/>
        </w:rPr>
        <w:t>Norm Dynamics and Political Change</w:t>
      </w:r>
      <w:r w:rsidRPr="00D91870">
        <w:rPr>
          <w:lang w:val="en-GB"/>
        </w:rPr>
        <w:t xml:space="preserve">, published in the renowned journal </w:t>
      </w:r>
      <w:r w:rsidRPr="00D91870">
        <w:rPr>
          <w:i/>
          <w:lang w:val="en-GB"/>
        </w:rPr>
        <w:t>International Organizations</w:t>
      </w:r>
      <w:r w:rsidRPr="00D91870">
        <w:rPr>
          <w:lang w:val="en-GB"/>
        </w:rPr>
        <w:t xml:space="preserve">, shaped the debate about the impact and the dynamics of norms in the field of international relations. </w:t>
      </w:r>
      <w:r w:rsidR="00797BB5" w:rsidRPr="009D1068">
        <w:rPr>
          <w:lang w:val="en-GB"/>
        </w:rPr>
        <w:t xml:space="preserve">Norms do not play </w:t>
      </w:r>
      <w:r w:rsidRPr="00D91870">
        <w:rPr>
          <w:lang w:val="en-GB"/>
        </w:rPr>
        <w:t>a role in the utilitarian theories and therefore Finnemore and Sikkink (1998: 915) argue that ‘norm research opens up conversations with theoretical traditions that IR scholars have ignored in recent decades’. Before elaborating on their theory and framework, it seems important to argue why this is relevant for answering the research question. The relevance lies in the fact that international norms affect national decision-making. And these norms do not necessarily lie in the best interest of the most powerful states (Finnemore and Sikkink, 2001). Norms formulated by for instance an international organization such as the EU, can have significant implications on domestic policies of EU member states. The way higher education is changing in Europe at the moment, and more specifically in the United Kingdom and the Netherlands, might be traced back to a norm that has been formulated on a whole different level. The European Union, with the Bologna process and for instance the Lisbon strategy, might have been able to formulate a norm about higher education that, once adopted by the member state, had gigantic implications for the way their particular higher education systems are organized. It is therefore important to discuss, before elaborating on the actual norm lifecycle, what a norm actually is and how international norms are connected to domestic norms.</w:t>
      </w:r>
    </w:p>
    <w:p w:rsidR="00797BB5" w:rsidRPr="009D1068" w:rsidRDefault="00D91870" w:rsidP="00797BB5">
      <w:pPr>
        <w:pStyle w:val="NoSpacing"/>
        <w:rPr>
          <w:lang w:val="en-GB"/>
        </w:rPr>
      </w:pPr>
      <w:r w:rsidRPr="00D91870">
        <w:rPr>
          <w:lang w:val="en-GB"/>
        </w:rPr>
        <w:t xml:space="preserve">Because the role of ideas and individuals is much less prominent for the topic at hand, this paper will only focus on the literature about norms in relation to social constructivism. </w:t>
      </w:r>
    </w:p>
    <w:p w:rsidR="00797BB5" w:rsidRPr="009D1068" w:rsidRDefault="00D91870" w:rsidP="00797BB5">
      <w:pPr>
        <w:pStyle w:val="Heading3"/>
        <w:numPr>
          <w:ilvl w:val="2"/>
          <w:numId w:val="3"/>
        </w:numPr>
        <w:rPr>
          <w:lang w:val="en-GB"/>
        </w:rPr>
      </w:pPr>
      <w:bookmarkStart w:id="8" w:name="_Toc391510168"/>
      <w:bookmarkStart w:id="9" w:name="_Toc396045590"/>
      <w:r w:rsidRPr="00D91870">
        <w:rPr>
          <w:lang w:val="en-GB"/>
        </w:rPr>
        <w:t>Defining norms</w:t>
      </w:r>
      <w:bookmarkEnd w:id="8"/>
      <w:bookmarkEnd w:id="9"/>
    </w:p>
    <w:p w:rsidR="00797BB5" w:rsidRPr="009D1068" w:rsidRDefault="00797BB5" w:rsidP="00797BB5">
      <w:pPr>
        <w:pStyle w:val="NoSpacing"/>
        <w:ind w:firstLine="0"/>
        <w:rPr>
          <w:lang w:val="en-GB"/>
        </w:rPr>
      </w:pPr>
      <w:r w:rsidRPr="009D1068">
        <w:rPr>
          <w:lang w:val="en-GB"/>
        </w:rPr>
        <w:t>In order to understand the emergence of a norm, the cascade of</w:t>
      </w:r>
      <w:r w:rsidR="00D91870" w:rsidRPr="00D91870">
        <w:rPr>
          <w:lang w:val="en-GB"/>
        </w:rPr>
        <w:t xml:space="preserve"> this norm and its internalization, it is important to define what a norm is. A norm, as defined by Finnemore and Sikkink (1998: 891) is an appropriate or standard </w:t>
      </w:r>
      <w:r w:rsidR="005B4A97">
        <w:rPr>
          <w:lang w:val="en-GB"/>
        </w:rPr>
        <w:t>behaviour</w:t>
      </w:r>
      <w:r w:rsidR="00D91870" w:rsidRPr="00D91870">
        <w:rPr>
          <w:lang w:val="en-GB"/>
        </w:rPr>
        <w:t xml:space="preserve"> for actors that have a given identity. Norms are not to be confused with institutions. This happens quite often, but institutions can be seen as a collection of norms. An example is slavery, or democracy. These are institutions that are a mix of rules and practices that have constantly varied over time. A good example of a norm is for instance the norm to not use landmines (Price, 1991). This norm gained traction when NGOs were able to give it a platform (the norm emerged). Then states adopted this norm (cascade) and, at the extreme of the cascade of a norm, the norm has become a habit; the norm has been internalized. </w:t>
      </w:r>
    </w:p>
    <w:p w:rsidR="00797BB5" w:rsidRPr="009D1068" w:rsidRDefault="00D91870" w:rsidP="00797BB5">
      <w:pPr>
        <w:pStyle w:val="NoSpacing"/>
        <w:rPr>
          <w:lang w:val="en-GB"/>
        </w:rPr>
      </w:pPr>
      <w:r w:rsidRPr="00D91870">
        <w:rPr>
          <w:lang w:val="en-GB"/>
        </w:rPr>
        <w:t xml:space="preserve">Finnemore and Sikkink (2001: 891), as do other scholars, recognize two types of norms: regulative norms and constitutive norms. Constitutive norms are norms that create new interests, new categories of action or new actors. Regulative norms constrain and order </w:t>
      </w:r>
      <w:r w:rsidR="005B4A97">
        <w:rPr>
          <w:lang w:val="en-GB"/>
        </w:rPr>
        <w:t>behaviour</w:t>
      </w:r>
      <w:r w:rsidRPr="00D91870">
        <w:rPr>
          <w:lang w:val="en-GB"/>
        </w:rPr>
        <w:t xml:space="preserve">: these are the norms that give incentives to actors or policymakers to act in a certain way. Norms are different from rules because norms involve a certain standard of proper or appropriate </w:t>
      </w:r>
      <w:r w:rsidR="005B4A97">
        <w:rPr>
          <w:lang w:val="en-GB"/>
        </w:rPr>
        <w:t>behaviour</w:t>
      </w:r>
      <w:r w:rsidRPr="00D91870">
        <w:rPr>
          <w:lang w:val="en-GB"/>
        </w:rPr>
        <w:t xml:space="preserve">. As Finnemore and Sikkink (2001: 890) argue, when assessing norms, the evaluative and intersubjective dimensions are inescapable because often, one can only recognize appropriate </w:t>
      </w:r>
      <w:r w:rsidR="005B4A97">
        <w:rPr>
          <w:lang w:val="en-GB"/>
        </w:rPr>
        <w:t>behaviour</w:t>
      </w:r>
      <w:r w:rsidRPr="00D91870">
        <w:rPr>
          <w:lang w:val="en-GB"/>
        </w:rPr>
        <w:t xml:space="preserve"> when one refers to judgments coming from society or from a community. If an actor acts in a way that is not in line with a norm, this </w:t>
      </w:r>
      <w:r w:rsidR="005B4A97">
        <w:rPr>
          <w:lang w:val="en-GB"/>
        </w:rPr>
        <w:t>behaviour</w:t>
      </w:r>
      <w:r w:rsidRPr="00D91870">
        <w:rPr>
          <w:lang w:val="en-GB"/>
        </w:rPr>
        <w:t xml:space="preserve"> will generate a certain disproval which could be an incentive for the actor to change his </w:t>
      </w:r>
      <w:r w:rsidR="005B4A97">
        <w:rPr>
          <w:lang w:val="en-GB"/>
        </w:rPr>
        <w:t>behaviour</w:t>
      </w:r>
      <w:r w:rsidRPr="00D91870">
        <w:rPr>
          <w:lang w:val="en-GB"/>
        </w:rPr>
        <w:t xml:space="preserve">; or even better, a disincentive to act against the norm from the beginning. </w:t>
      </w:r>
    </w:p>
    <w:p w:rsidR="00797BB5" w:rsidRPr="009D1068" w:rsidRDefault="00D91870" w:rsidP="00797BB5">
      <w:pPr>
        <w:pStyle w:val="NoSpacing"/>
        <w:rPr>
          <w:lang w:val="en-GB"/>
        </w:rPr>
      </w:pPr>
      <w:r w:rsidRPr="00D91870">
        <w:rPr>
          <w:lang w:val="en-GB"/>
        </w:rPr>
        <w:t xml:space="preserve">But how can a norm be recognized? There are no bad norms: even slaveholders thought they were behaving appropriately (and were treated as such) and therefore, it is not the case that one can look at appropriate </w:t>
      </w:r>
      <w:r w:rsidR="005B4A97">
        <w:rPr>
          <w:lang w:val="en-GB"/>
        </w:rPr>
        <w:t>behaviour</w:t>
      </w:r>
      <w:r w:rsidRPr="00D91870">
        <w:rPr>
          <w:lang w:val="en-GB"/>
        </w:rPr>
        <w:t xml:space="preserve"> of a state, or an institution to single out the norm it lives by. Norms can, according to Finnemore and Sikkink, only be found with indirect evidence of norms. As Price (1998) found out, a norm can be very powerful and even compel states to act against their own interests. This conclusion posed a threat for the more rational theories that argue that states only act in their own best interest. For instance, the United States insisted on keeping landmines at the border of South and North Korea and has been heavily criticized for not signing the treaty on the ban of landmines. Consequently, the United States had to go through considerable lengths when trying to explain and justify why it was legitimate to feel compelled to not remove the landmines. And it is this, as Finnemore and Sikkink (1998: 892) argue, the ‘extensive trail of communications between actors’ that can be studied in order to identify a norm. In the case at hand, the changes that can be seen in higher education in on the one hand the UK and on the other hand the Netherlands, can also be based on, or initiated by the adoption of a norm. For instance, the norm of international cooperation between universities and the deviation from the model were universities were mostly occupied with teaching and doing scientific research.</w:t>
      </w:r>
    </w:p>
    <w:p w:rsidR="00797BB5" w:rsidRPr="009D1068" w:rsidRDefault="00D91870" w:rsidP="00797BB5">
      <w:pPr>
        <w:pStyle w:val="Heading3"/>
        <w:numPr>
          <w:ilvl w:val="2"/>
          <w:numId w:val="3"/>
        </w:numPr>
        <w:rPr>
          <w:lang w:val="en-GB"/>
        </w:rPr>
      </w:pPr>
      <w:bookmarkStart w:id="10" w:name="_Toc391510169"/>
      <w:bookmarkStart w:id="11" w:name="_Toc396045591"/>
      <w:r w:rsidRPr="00D91870">
        <w:rPr>
          <w:lang w:val="en-GB"/>
        </w:rPr>
        <w:t>International norms connected to domestic norms</w:t>
      </w:r>
      <w:bookmarkEnd w:id="10"/>
      <w:bookmarkEnd w:id="11"/>
    </w:p>
    <w:p w:rsidR="00797BB5" w:rsidRPr="009D1068" w:rsidRDefault="00D91870" w:rsidP="00797BB5">
      <w:pPr>
        <w:pStyle w:val="NoSpacing"/>
        <w:ind w:firstLine="0"/>
        <w:rPr>
          <w:lang w:val="en-GB"/>
        </w:rPr>
      </w:pPr>
      <w:r w:rsidRPr="00D91870">
        <w:rPr>
          <w:lang w:val="en-GB"/>
        </w:rPr>
        <w:t xml:space="preserve">Before elaborating on the norm lifecycle and the three stages identified by Finnemore and Sikkink on how a norm evolves and the phases it goes through before becoming internalized, it is important to understand how international norms are connected to domestic norms and vice versa. First of all, many international norms originated from domestic norms that, over time, were adopted by more and more states before becoming an international norm. One can think about for instance the norm of women suffrage (Dubois, 1994), but also norms about warfare (Legro, 1997), or for instance human rights norms (Risse, 1999). Finnemore and Sikkink (1998) argue that even when there appears to be an international norm trumping a domestic norm, often a domestic norm entrepreneur can be distinguished. This domestic norm entrepreneur uses the international norm to enforce his domestic position. This gave rise to the idea of a two-level game of norms, a game between the international arena and the domestic arena where advocates of a norm could argue that they were tied to internationally internalized norms, or the other way around. The early stages of the lifecycle of a norm can be influenced by domestic actors. Once the norm is cascading (see paragraph 2.1.4) domestic actors can hardly influence it anymore (Finnemore and Sikkink, 1998: 893). </w:t>
      </w:r>
    </w:p>
    <w:p w:rsidR="000829AB" w:rsidRPr="009D1068" w:rsidRDefault="00D91870" w:rsidP="00FB23FC">
      <w:pPr>
        <w:pStyle w:val="NoSpacing"/>
        <w:rPr>
          <w:lang w:val="en-GB"/>
        </w:rPr>
      </w:pPr>
      <w:r w:rsidRPr="00D91870">
        <w:rPr>
          <w:lang w:val="en-GB"/>
        </w:rPr>
        <w:t>International norms may also influence national norms. Cortell and Davis (1996: 471) state about this that domestic actors can appropriate international rules and norms to further their goals in the domestic arena. An international norm can therefore influence a state’s policies . They do, however, argue that there are two factors that influence the adoption of the norm. These are the domestic legitimacy or salience of the norm on the one hand, and on the other the domestic, structural context. Nevertheless, states do react differently to the same international norms according to Checkel (1998). Checkel (ibid.) also argued that the mechanisms by which international norms are internalized by states can differ as well. Van Kersbergen and Verbeek (2007: 234) argue that international norms are not always easy to live with for domestic actors. On the contrary even: the adoption of an international norm may be the start of a fierce battle about its precise meaning and how to interpreted this. This can lead to reformulations and changes to such international norms. They continue by stating that the international norms that are expected to affect the power relations, for instance the relations between the member states on the one hand and the European Commission on the other, are more prone to ignite fierce debate (ibid.). The authors give the example of subsidiary within the European Union. This issue ignited fierce debates within the member states and with European Commission because it would- in theory- fundamentally change the power relations between them. This will be more elaborately discussed in chapter 2.2.4. that discusses the critiques on the norm lifecycle because the considerations of van Kersbergen and Verbeek can be very valuable in answering the research question. Higher education, as stated before, has always been a primarily domestic affair with little interference from the EU-level. When this started to change (the adoption of the Bologna process for instance), it would be understandable for national policymakers not to just except these new ‘imposed’ EU policies. It is understandable that these changes will meet protests and will be reframed or otherwise interpreted in a way that is more in line with the domestic policy makers’ preference.</w:t>
      </w:r>
    </w:p>
    <w:p w:rsidR="00FB23FC" w:rsidRPr="009D1068" w:rsidRDefault="00D91870" w:rsidP="00FB23FC">
      <w:pPr>
        <w:pStyle w:val="NoSpacing"/>
        <w:rPr>
          <w:lang w:val="en-GB"/>
        </w:rPr>
      </w:pPr>
      <w:r w:rsidRPr="00D91870">
        <w:rPr>
          <w:lang w:val="en-GB"/>
        </w:rPr>
        <w:t xml:space="preserve">The framework of the norm lifecycle, that will be discussed below, is able to shed light on the development of an international norm and the adoption of such a norm in the domestic arena. </w:t>
      </w:r>
    </w:p>
    <w:p w:rsidR="00797BB5" w:rsidRPr="009D1068" w:rsidRDefault="00D91870" w:rsidP="00797BB5">
      <w:pPr>
        <w:pStyle w:val="Heading3"/>
        <w:numPr>
          <w:ilvl w:val="2"/>
          <w:numId w:val="3"/>
        </w:numPr>
        <w:rPr>
          <w:lang w:val="en-GB"/>
        </w:rPr>
      </w:pPr>
      <w:bookmarkStart w:id="12" w:name="_Toc391510170"/>
      <w:bookmarkStart w:id="13" w:name="_Toc396045592"/>
      <w:r w:rsidRPr="00D91870">
        <w:rPr>
          <w:lang w:val="en-GB"/>
        </w:rPr>
        <w:t>Norm lifecycle</w:t>
      </w:r>
      <w:bookmarkEnd w:id="12"/>
      <w:bookmarkEnd w:id="13"/>
    </w:p>
    <w:p w:rsidR="00875C76" w:rsidRPr="009D1068" w:rsidRDefault="00797BB5" w:rsidP="00797BB5">
      <w:pPr>
        <w:pStyle w:val="NoSpacing"/>
        <w:ind w:firstLine="0"/>
        <w:rPr>
          <w:lang w:val="en-GB"/>
        </w:rPr>
      </w:pPr>
      <w:r w:rsidRPr="009D1068">
        <w:rPr>
          <w:lang w:val="en-GB"/>
        </w:rPr>
        <w:t xml:space="preserve">In their famous article </w:t>
      </w:r>
      <w:r w:rsidR="00D91870" w:rsidRPr="00D91870">
        <w:rPr>
          <w:i/>
          <w:lang w:val="en-GB"/>
        </w:rPr>
        <w:t xml:space="preserve">Norm Dynamics and Political Change, </w:t>
      </w:r>
      <w:r w:rsidR="00D91870" w:rsidRPr="00D91870">
        <w:rPr>
          <w:lang w:val="en-GB"/>
        </w:rPr>
        <w:t>Martha Finnemore and Kathryn Sikkink (1998) came forward with the norm lifecycle. The norm lifecycle covers the entire lifespan of a norm. From the emergence of the norm, its cascade, to its internalization (consider figure 1). The following section will outline their framework. For every stage of the norm lifecycle, an expectation will be formulated. The norm lifecycle is relevant for this thesis, for it can be used to explain the development of the evident norm of more internationalization of higher education and the increased focus on adding economic value to a state’s economy by higher education institutes. The Dutch and the British higher education systems are going through a time of significant change, but appear to be changing in a different manner. The Dutch system is changing slower but appears to be changing towards the British model. The norm lifecycle can shed a light on how and why this is happening.</w:t>
      </w:r>
    </w:p>
    <w:p w:rsidR="00797BB5" w:rsidRPr="009D1068" w:rsidRDefault="00D91870" w:rsidP="00875C76">
      <w:pPr>
        <w:pStyle w:val="NoSpacing"/>
        <w:rPr>
          <w:lang w:val="en-GB"/>
        </w:rPr>
      </w:pPr>
      <w:r w:rsidRPr="00D91870">
        <w:rPr>
          <w:lang w:val="en-GB"/>
        </w:rPr>
        <w:t xml:space="preserve">The first two stages, the norm emergence stage and the norm cascade stage, are (relatively) the same for the Netherlands and the United Kingdom for these stages, in the case of higher education, take place primarily on the European level. The norm internalization stage takes place on the domestic level and therefore, differences are to be expected there. </w:t>
      </w:r>
    </w:p>
    <w:p w:rsidR="00797BB5" w:rsidRPr="009D1068" w:rsidRDefault="00797BB5" w:rsidP="00797BB5">
      <w:pPr>
        <w:pStyle w:val="NoSpacing"/>
        <w:rPr>
          <w:lang w:val="en-GB"/>
        </w:rPr>
      </w:pPr>
    </w:p>
    <w:p w:rsidR="00797BB5" w:rsidRPr="009D1068" w:rsidRDefault="00D91870" w:rsidP="00797BB5">
      <w:pPr>
        <w:pStyle w:val="NoSpacing"/>
        <w:rPr>
          <w:lang w:val="en-GB"/>
        </w:rPr>
      </w:pPr>
      <w:r w:rsidRPr="00D91870">
        <w:rPr>
          <w:b/>
          <w:lang w:val="en-GB"/>
        </w:rPr>
        <w:t xml:space="preserve">Figure 1. </w:t>
      </w:r>
      <w:r w:rsidRPr="00D91870">
        <w:rPr>
          <w:i/>
          <w:lang w:val="en-GB"/>
        </w:rPr>
        <w:t xml:space="preserve">The Norm Lifecycle </w:t>
      </w:r>
      <w:r w:rsidRPr="00D91870">
        <w:rPr>
          <w:lang w:val="en-GB"/>
        </w:rPr>
        <w:t>(Finnemore and Sikkink, 1998: 896)</w:t>
      </w:r>
    </w:p>
    <w:p w:rsidR="00797BB5" w:rsidRPr="009D1068" w:rsidRDefault="00797BB5" w:rsidP="00797BB5">
      <w:pPr>
        <w:pStyle w:val="NoSpacing"/>
        <w:rPr>
          <w:lang w:val="en-GB"/>
        </w:rPr>
      </w:pPr>
    </w:p>
    <w:p w:rsidR="00797BB5" w:rsidRPr="009D1068" w:rsidRDefault="001E19BB" w:rsidP="00797BB5">
      <w:pPr>
        <w:pStyle w:val="NoSpacing"/>
        <w:rPr>
          <w:i/>
          <w:lang w:val="en-GB"/>
        </w:rPr>
      </w:pPr>
      <w:r>
        <w:rPr>
          <w:i/>
          <w:noProof/>
          <w:lang w:val="nl-NL"/>
        </w:rPr>
        <w:pict>
          <v:shape id="AutoShape 12" o:spid="_x0000_s1032" type="#_x0000_t32" style="position:absolute;left:0;text-align:left;margin-left:413.7pt;margin-top:12.85pt;width:0;height:12.3pt;z-index:251673600;visibility:visible;mso-wrap-style:square;mso-width-percent:0;mso-height-percent:0;mso-wrap-distance-left:3.17483mm;mso-wrap-distance-top:0;mso-wrap-distance-right:3.17483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" strokecolor="#1f497d [3215]" strokeweight="1.25pt"/>
        </w:pict>
      </w:r>
      <w:r>
        <w:rPr>
          <w:i/>
          <w:noProof/>
          <w:lang w:val="nl-NL"/>
        </w:rPr>
        <w:pict>
          <v:shape id="AutoShape 11" o:spid="_x0000_s1031" type="#_x0000_t32" style="position:absolute;left:0;text-align:left;margin-left:285.75pt;margin-top:12.85pt;width:0;height:12.3pt;z-index:251672576;visibility:visible;mso-wrap-style:square;mso-width-percent:0;mso-height-percent:0;mso-wrap-distance-left:3.17483mm;mso-wrap-distance-top:0;mso-wrap-distance-right:3.17483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" strokecolor="#1f497d [3215]" strokeweight="1.25pt"/>
        </w:pict>
      </w:r>
      <w:r>
        <w:rPr>
          <w:i/>
          <w:noProof/>
          <w:lang w:val="nl-NL"/>
        </w:rPr>
        <w:pict>
          <v:shape id="AutoShape 10" o:spid="_x0000_s1030" type="#_x0000_t32" style="position:absolute;left:0;text-align:left;margin-left:114.65pt;margin-top:12.55pt;width:0;height:12.3pt;z-index:251671552;visibility:visible;mso-wrap-style:square;mso-width-percent:0;mso-height-percent:0;mso-wrap-distance-left:3.17483mm;mso-wrap-distance-top:0;mso-wrap-distance-right:3.17483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" strokecolor="#1f497d [3215]" strokeweight="1.25pt"/>
        </w:pict>
      </w:r>
      <w:r>
        <w:rPr>
          <w:i/>
          <w:noProof/>
          <w:lang w:val="nl-NL"/>
        </w:rPr>
        <w:pict>
          <v:shape id="_x0000_s1029" type="#_x0000_t32" style="position:absolute;left:0;text-align:left;margin-left:-7.95pt;margin-top:12.85pt;width:0;height:12.3pt;z-index:251670528;visibility:visible;mso-wrap-style:square;mso-width-percent:0;mso-height-percent:0;mso-wrap-distance-left:3.17483mm;mso-wrap-distance-top:0;mso-wrap-distance-right:3.17483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" strokecolor="#1f497d [3215]" strokeweight="1.25pt"/>
        </w:pict>
      </w:r>
      <w:r w:rsidR="00797BB5" w:rsidRPr="009D1068">
        <w:rPr>
          <w:i/>
          <w:lang w:val="en-GB"/>
        </w:rPr>
        <w:t>Norm Emergence</w:t>
      </w:r>
      <w:r w:rsidR="00797BB5" w:rsidRPr="009D1068">
        <w:rPr>
          <w:i/>
          <w:lang w:val="en-GB"/>
        </w:rPr>
        <w:tab/>
      </w:r>
      <w:r w:rsidR="00797BB5" w:rsidRPr="009D1068">
        <w:rPr>
          <w:i/>
          <w:lang w:val="en-GB"/>
        </w:rPr>
        <w:tab/>
        <w:t xml:space="preserve">        Norm Cascade</w:t>
      </w:r>
      <w:r w:rsidR="00797BB5" w:rsidRPr="009D1068">
        <w:rPr>
          <w:i/>
          <w:lang w:val="en-GB"/>
        </w:rPr>
        <w:tab/>
      </w:r>
      <w:r w:rsidR="00797BB5" w:rsidRPr="009D1068">
        <w:rPr>
          <w:i/>
          <w:lang w:val="en-GB"/>
        </w:rPr>
        <w:tab/>
      </w:r>
      <w:r w:rsidR="00D91870" w:rsidRPr="00D91870">
        <w:rPr>
          <w:i/>
          <w:lang w:val="en-GB"/>
        </w:rPr>
        <w:t xml:space="preserve">      Norm Internalization</w:t>
      </w:r>
    </w:p>
    <w:p w:rsidR="00797BB5" w:rsidRPr="009D1068" w:rsidRDefault="001E19BB" w:rsidP="00797BB5">
      <w:pPr>
        <w:pStyle w:val="NoSpacing"/>
        <w:rPr>
          <w:i/>
          <w:lang w:val="en-GB"/>
        </w:rPr>
      </w:pPr>
      <w:r>
        <w:rPr>
          <w:i/>
          <w:noProof/>
          <w:lang w:val="nl-NL"/>
        </w:rPr>
        <w:pict>
          <v:shape id="_x0000_s1028" type="#_x0000_t32" style="position:absolute;left:0;text-align:left;margin-left:-7.95pt;margin-top:6.85pt;width:421.65pt;height:0;z-index:25166950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" strokecolor="#1f497d [3215]" strokeweight="1.5pt"/>
        </w:pict>
      </w:r>
    </w:p>
    <w:p w:rsidR="00797BB5" w:rsidRPr="009D1068" w:rsidRDefault="00D91870" w:rsidP="00797BB5">
      <w:pPr>
        <w:pStyle w:val="NoSpacing"/>
        <w:rPr>
          <w:i/>
          <w:lang w:val="en-GB"/>
        </w:rPr>
      </w:pPr>
      <w:r w:rsidRPr="00D91870">
        <w:rPr>
          <w:i/>
          <w:lang w:val="en-GB"/>
        </w:rPr>
        <w:t xml:space="preserve">          Stage 1       </w:t>
      </w:r>
      <w:r w:rsidRPr="00D91870">
        <w:rPr>
          <w:i/>
          <w:sz w:val="18"/>
          <w:lang w:val="en-GB"/>
        </w:rPr>
        <w:t>Tipping point</w:t>
      </w:r>
      <w:r w:rsidRPr="00D91870">
        <w:rPr>
          <w:i/>
          <w:lang w:val="en-GB"/>
        </w:rPr>
        <w:tab/>
        <w:t xml:space="preserve">              Stage 2</w:t>
      </w:r>
      <w:r w:rsidRPr="00D91870">
        <w:rPr>
          <w:i/>
          <w:lang w:val="en-GB"/>
        </w:rPr>
        <w:tab/>
      </w:r>
      <w:r w:rsidRPr="00D91870">
        <w:rPr>
          <w:i/>
          <w:lang w:val="en-GB"/>
        </w:rPr>
        <w:tab/>
      </w:r>
      <w:r w:rsidRPr="00D91870">
        <w:rPr>
          <w:i/>
          <w:lang w:val="en-GB"/>
        </w:rPr>
        <w:tab/>
        <w:t xml:space="preserve">                Stage 3</w:t>
      </w:r>
    </w:p>
    <w:p w:rsidR="00797BB5" w:rsidRPr="009D1068" w:rsidRDefault="00797BB5" w:rsidP="00797BB5">
      <w:pPr>
        <w:pStyle w:val="NoSpacing"/>
        <w:rPr>
          <w:lang w:val="en-GB"/>
        </w:rPr>
      </w:pPr>
    </w:p>
    <w:p w:rsidR="00797BB5" w:rsidRPr="009D1068" w:rsidRDefault="00D91870" w:rsidP="00797BB5">
      <w:pPr>
        <w:pStyle w:val="Heading3"/>
        <w:rPr>
          <w:lang w:val="en-GB"/>
        </w:rPr>
      </w:pPr>
      <w:bookmarkStart w:id="14" w:name="_Toc389425340"/>
      <w:bookmarkStart w:id="15" w:name="_Toc389431523"/>
      <w:bookmarkStart w:id="16" w:name="_Toc391323363"/>
      <w:bookmarkStart w:id="17" w:name="_Toc391510171"/>
      <w:bookmarkStart w:id="18" w:name="_Toc391511439"/>
      <w:bookmarkStart w:id="19" w:name="_Toc396045593"/>
      <w:r w:rsidRPr="00D91870">
        <w:rPr>
          <w:lang w:val="en-GB"/>
        </w:rPr>
        <w:t>Norm emergence</w:t>
      </w:r>
      <w:bookmarkEnd w:id="14"/>
      <w:bookmarkEnd w:id="15"/>
      <w:bookmarkEnd w:id="16"/>
      <w:bookmarkEnd w:id="17"/>
      <w:bookmarkEnd w:id="18"/>
      <w:bookmarkEnd w:id="19"/>
    </w:p>
    <w:p w:rsidR="00797BB5" w:rsidRPr="009D1068" w:rsidRDefault="00D91870" w:rsidP="00797BB5">
      <w:pPr>
        <w:pStyle w:val="NoSpacing"/>
        <w:ind w:firstLine="0"/>
        <w:rPr>
          <w:lang w:val="en-GB"/>
        </w:rPr>
      </w:pPr>
      <w:r w:rsidRPr="00D91870">
        <w:rPr>
          <w:lang w:val="en-GB"/>
        </w:rPr>
        <w:t xml:space="preserve">Norms do not come out of nowhere. They are not suddenly ‘there’. There always has to be someone, or some organization, that formulates the norm. A norm is actively built. </w:t>
      </w:r>
      <w:r w:rsidR="00797BB5" w:rsidRPr="009D1068">
        <w:rPr>
          <w:lang w:val="en-GB"/>
        </w:rPr>
        <w:t>To illustrate the emergence of a norm, co</w:t>
      </w:r>
      <w:r w:rsidRPr="00D91870">
        <w:rPr>
          <w:lang w:val="en-GB"/>
        </w:rPr>
        <w:t xml:space="preserve">nsider the organization ‘the International Campaign to Ban Landmines’ (ICBL) and Jody Williams, its coordinator. This agency was a Non-Governmental Organization (NGO) that was able to formulate a norm. In the literature, this is called the </w:t>
      </w:r>
      <w:r w:rsidRPr="00D91870">
        <w:rPr>
          <w:i/>
          <w:lang w:val="en-GB"/>
        </w:rPr>
        <w:t xml:space="preserve">norm entrepreneur </w:t>
      </w:r>
      <w:r w:rsidRPr="00D91870">
        <w:rPr>
          <w:lang w:val="en-GB"/>
        </w:rPr>
        <w:t xml:space="preserve">and they form a critical part of norm lifecycle for they call attention to issues or even create them. This is a hard task for these norms never enter a vacuum but always find ‘themselves’ fighting an uphill battle against the already existing norms (Finnemore and Sikkink, 1998: 897). In the case of the landmines, Jody Williams and her team faced tremendous opposition in numerous forms. From the functionality of the anti-personnel (AP) landmines to the fact that states did not want to give up the right if other states would not do the same (Price, 1998). These new norms are challenging the existing ‘logic of appropriateness’: the consideration that human </w:t>
      </w:r>
      <w:r w:rsidR="005B4A97">
        <w:rPr>
          <w:lang w:val="en-GB"/>
        </w:rPr>
        <w:t>behaviour</w:t>
      </w:r>
      <w:r w:rsidRPr="00D91870">
        <w:rPr>
          <w:lang w:val="en-GB"/>
        </w:rPr>
        <w:t xml:space="preserve"> is influenced, or more directly prescribed, by rules and norms that arise for- and regulate the social environment (Zotti, 2010). The norm entrepreneurs therefore might need to be ‘inappropriate’ in order to get their norm out in the open. This begs the question: what could motivate a norm entrepreneur? What motivates the norm entrepreneur to fight an uphill battle against the current logic of appropriateness? Consider Table 1. In this table, one can see the three stages of the norm life cycle. On the left, one can see the actor (in the case of the norm emergence: a norm entrepreneur), the motive and the dominant mechanism. The motive of a norm entrepreneur is often ideational or even altruistic. Usually, the norm entrepreneur does not get much in return except maybe personal glory (in the case of the landmines, Jody Williams eventually received the Nobel Peace Prize). Before continuing with the dominant mechanism in this stage, it is important to give more attention to how a norm entrepreneur is able to articulate the message. All norm entrepreneurs in the international arena need some sort of an organizational platform to articulate their message (Finnemore and Sikkink, 1998: 899). These platforms are often constructed for the sole purpose of articulating the norm and can often be, or become part of the larger advocacy networks; networks of NGO’s fighting for the same cause. In the case of the landmines, the ICBL was able to join the Red Cross as a member of a rapidly growing group of individuals and NGO’s that became actively involved in the banning of AP land mines. The platform that eventually helped raising the issue in the international arena was the fact that members of the ICBL were able to become part of official delegations of states to meetings and conferences and were able to get permission to speak, distribute information and submit proposals at these gatherings (Price, 1998).</w:t>
      </w:r>
    </w:p>
    <w:p w:rsidR="00797BB5" w:rsidRPr="009D1068" w:rsidRDefault="00D91870" w:rsidP="00797BB5">
      <w:pPr>
        <w:pStyle w:val="NoSpacing"/>
        <w:rPr>
          <w:lang w:val="en-GB"/>
        </w:rPr>
      </w:pPr>
      <w:r w:rsidRPr="00D91870">
        <w:rPr>
          <w:lang w:val="en-GB"/>
        </w:rPr>
        <w:t xml:space="preserve">But whatever their platform, norm entrepreneurs and the NGO’s cannot get their norm to the (implicit) second stage of the norm life cycle if they cannot lock the support of certain state actors that make the socialization of the norm part of their own, international agenda (Finnemore and Sikkink, 1998). In the case of the landmines, it was Canada that put the issue on the agenda. Belgium gave the issue legitimacy by banning the land mines. It is acts from states that could break the initial position of a state, like the United Kingdom’s when the country argued that it did not want to take part in having people in the street dictating security policy (McGrath, in Price, 1998: 625). Of course, the issue of the changing approach towards higher education, and the norm that has ushered this in, cannot be compared to norms in the domain of warfare, but the lifecycle of the norm is comparable. </w:t>
      </w:r>
    </w:p>
    <w:p w:rsidR="00797BB5" w:rsidRPr="009D1068" w:rsidRDefault="00797BB5" w:rsidP="00797BB5">
      <w:pPr>
        <w:pStyle w:val="NoSpacing"/>
        <w:rPr>
          <w:lang w:val="en-GB"/>
        </w:rPr>
      </w:pPr>
    </w:p>
    <w:p w:rsidR="00797BB5" w:rsidRPr="009D1068" w:rsidRDefault="00D91870" w:rsidP="00797BB5">
      <w:pPr>
        <w:pStyle w:val="NoSpacing"/>
        <w:rPr>
          <w:i/>
          <w:lang w:val="en-GB"/>
        </w:rPr>
      </w:pPr>
      <w:r w:rsidRPr="00D91870">
        <w:rPr>
          <w:b/>
          <w:lang w:val="en-GB"/>
        </w:rPr>
        <w:t xml:space="preserve">Table 1. </w:t>
      </w:r>
      <w:r w:rsidRPr="00D91870">
        <w:rPr>
          <w:i/>
          <w:lang w:val="en-GB"/>
        </w:rPr>
        <w:t xml:space="preserve">Norm life cycle </w:t>
      </w:r>
    </w:p>
    <w:tbl>
      <w:tblPr>
        <w:tblStyle w:val="Lichtearcering-accent11"/>
        <w:tblW w:w="0" w:type="auto"/>
        <w:tblLook w:val="04A0"/>
      </w:tblPr>
      <w:tblGrid>
        <w:gridCol w:w="2303"/>
        <w:gridCol w:w="2303"/>
        <w:gridCol w:w="2303"/>
        <w:gridCol w:w="2303"/>
      </w:tblGrid>
      <w:tr w:rsidR="00797BB5" w:rsidRPr="009D1068" w:rsidTr="008A60A0">
        <w:trPr>
          <w:cnfStyle w:val="100000000000"/>
        </w:trPr>
        <w:tc>
          <w:tcPr>
            <w:cnfStyle w:val="001000000000"/>
            <w:tcW w:w="2303" w:type="dxa"/>
            <w:tcBorders>
              <w:top w:val="nil"/>
              <w:right w:val="single" w:sz="4" w:space="0" w:color="4F81BD" w:themeColor="accent1"/>
            </w:tcBorders>
          </w:tcPr>
          <w:p w:rsidR="00797BB5" w:rsidRPr="009D1068" w:rsidRDefault="00797BB5" w:rsidP="008A60A0">
            <w:pPr>
              <w:pStyle w:val="NoSpacing"/>
              <w:jc w:val="left"/>
              <w:rPr>
                <w:color w:val="auto"/>
                <w:sz w:val="18"/>
                <w:szCs w:val="18"/>
                <w:lang w:val="en-GB"/>
              </w:rPr>
            </w:pPr>
          </w:p>
        </w:tc>
        <w:tc>
          <w:tcPr>
            <w:tcW w:w="2303" w:type="dxa"/>
            <w:tcBorders>
              <w:top w:val="nil"/>
              <w:left w:val="single" w:sz="4" w:space="0" w:color="4F81BD" w:themeColor="accent1"/>
              <w:right w:val="single" w:sz="4" w:space="0" w:color="4F81BD" w:themeColor="accent1"/>
            </w:tcBorders>
          </w:tcPr>
          <w:p w:rsidR="00797BB5" w:rsidRPr="009D1068" w:rsidRDefault="00D91870" w:rsidP="008A60A0">
            <w:pPr>
              <w:pStyle w:val="NoSpacing"/>
              <w:jc w:val="center"/>
              <w:cnfStyle w:val="100000000000"/>
              <w:rPr>
                <w:i/>
                <w:color w:val="auto"/>
                <w:sz w:val="18"/>
                <w:szCs w:val="18"/>
                <w:lang w:val="en-GB"/>
              </w:rPr>
            </w:pPr>
            <w:r w:rsidRPr="00D91870">
              <w:rPr>
                <w:i/>
                <w:sz w:val="18"/>
                <w:szCs w:val="18"/>
                <w:lang w:val="en-GB"/>
              </w:rPr>
              <w:t>Stage 1</w:t>
            </w:r>
          </w:p>
          <w:p w:rsidR="00797BB5" w:rsidRPr="009D1068" w:rsidRDefault="00D91870" w:rsidP="008A60A0">
            <w:pPr>
              <w:pStyle w:val="NoSpacing"/>
              <w:jc w:val="center"/>
              <w:cnfStyle w:val="100000000000"/>
              <w:rPr>
                <w:i/>
                <w:color w:val="auto"/>
                <w:sz w:val="18"/>
                <w:szCs w:val="18"/>
                <w:lang w:val="en-GB"/>
              </w:rPr>
            </w:pPr>
            <w:r w:rsidRPr="00D91870">
              <w:rPr>
                <w:i/>
                <w:sz w:val="18"/>
                <w:szCs w:val="18"/>
                <w:lang w:val="en-GB"/>
              </w:rPr>
              <w:t>Norm Emergence</w:t>
            </w:r>
          </w:p>
        </w:tc>
        <w:tc>
          <w:tcPr>
            <w:tcW w:w="2303" w:type="dxa"/>
            <w:tcBorders>
              <w:top w:val="nil"/>
              <w:left w:val="single" w:sz="4" w:space="0" w:color="4F81BD" w:themeColor="accent1"/>
              <w:right w:val="single" w:sz="4" w:space="0" w:color="4F81BD" w:themeColor="accent1"/>
            </w:tcBorders>
          </w:tcPr>
          <w:p w:rsidR="00797BB5" w:rsidRPr="009D1068" w:rsidRDefault="00D91870" w:rsidP="008A60A0">
            <w:pPr>
              <w:pStyle w:val="NoSpacing"/>
              <w:jc w:val="center"/>
              <w:cnfStyle w:val="100000000000"/>
              <w:rPr>
                <w:i/>
                <w:color w:val="auto"/>
                <w:sz w:val="18"/>
                <w:szCs w:val="18"/>
                <w:lang w:val="en-GB"/>
              </w:rPr>
            </w:pPr>
            <w:r w:rsidRPr="00D91870">
              <w:rPr>
                <w:i/>
                <w:sz w:val="18"/>
                <w:szCs w:val="18"/>
                <w:lang w:val="en-GB"/>
              </w:rPr>
              <w:t>Stage 2</w:t>
            </w:r>
          </w:p>
          <w:p w:rsidR="00797BB5" w:rsidRPr="009D1068" w:rsidRDefault="00D91870" w:rsidP="008A60A0">
            <w:pPr>
              <w:pStyle w:val="NoSpacing"/>
              <w:jc w:val="center"/>
              <w:cnfStyle w:val="100000000000"/>
              <w:rPr>
                <w:i/>
                <w:color w:val="auto"/>
                <w:sz w:val="18"/>
                <w:szCs w:val="18"/>
                <w:lang w:val="en-GB"/>
              </w:rPr>
            </w:pPr>
            <w:r w:rsidRPr="00D91870">
              <w:rPr>
                <w:i/>
                <w:sz w:val="18"/>
                <w:szCs w:val="18"/>
                <w:lang w:val="en-GB"/>
              </w:rPr>
              <w:t>Norm Cascade</w:t>
            </w:r>
          </w:p>
        </w:tc>
        <w:tc>
          <w:tcPr>
            <w:tcW w:w="2303" w:type="dxa"/>
            <w:tcBorders>
              <w:top w:val="nil"/>
              <w:left w:val="single" w:sz="4" w:space="0" w:color="4F81BD" w:themeColor="accent1"/>
            </w:tcBorders>
          </w:tcPr>
          <w:p w:rsidR="00797BB5" w:rsidRPr="009D1068" w:rsidRDefault="00D91870" w:rsidP="008A60A0">
            <w:pPr>
              <w:pStyle w:val="NoSpacing"/>
              <w:jc w:val="center"/>
              <w:cnfStyle w:val="100000000000"/>
              <w:rPr>
                <w:i/>
                <w:color w:val="auto"/>
                <w:sz w:val="18"/>
                <w:szCs w:val="18"/>
                <w:lang w:val="en-GB"/>
              </w:rPr>
            </w:pPr>
            <w:r w:rsidRPr="00D91870">
              <w:rPr>
                <w:i/>
                <w:sz w:val="18"/>
                <w:szCs w:val="18"/>
                <w:lang w:val="en-GB"/>
              </w:rPr>
              <w:t>Stage 3</w:t>
            </w:r>
          </w:p>
          <w:p w:rsidR="00797BB5" w:rsidRPr="009D1068" w:rsidRDefault="00D91870" w:rsidP="008A60A0">
            <w:pPr>
              <w:pStyle w:val="NoSpacing"/>
              <w:jc w:val="center"/>
              <w:cnfStyle w:val="100000000000"/>
              <w:rPr>
                <w:i/>
                <w:color w:val="auto"/>
                <w:sz w:val="18"/>
                <w:szCs w:val="18"/>
                <w:lang w:val="en-GB"/>
              </w:rPr>
            </w:pPr>
            <w:r w:rsidRPr="00D91870">
              <w:rPr>
                <w:i/>
                <w:sz w:val="18"/>
                <w:szCs w:val="18"/>
                <w:lang w:val="en-GB"/>
              </w:rPr>
              <w:t>Internalization</w:t>
            </w:r>
          </w:p>
        </w:tc>
      </w:tr>
      <w:tr w:rsidR="00797BB5" w:rsidRPr="009D1068" w:rsidTr="008A60A0">
        <w:trPr>
          <w:cnfStyle w:val="000000100000"/>
        </w:trPr>
        <w:tc>
          <w:tcPr>
            <w:cnfStyle w:val="001000000000"/>
            <w:tcW w:w="2303" w:type="dxa"/>
            <w:tcBorders>
              <w:bottom w:val="single" w:sz="4" w:space="0" w:color="4F81BD" w:themeColor="accent1"/>
              <w:right w:val="single" w:sz="4" w:space="0" w:color="4F81BD" w:themeColor="accent1"/>
            </w:tcBorders>
          </w:tcPr>
          <w:p w:rsidR="00797BB5" w:rsidRPr="009D1068" w:rsidRDefault="00797BB5" w:rsidP="008A60A0">
            <w:pPr>
              <w:pStyle w:val="NoSpacing"/>
              <w:jc w:val="center"/>
              <w:rPr>
                <w:i/>
                <w:color w:val="auto"/>
                <w:sz w:val="18"/>
                <w:szCs w:val="18"/>
                <w:lang w:val="en-GB"/>
              </w:rPr>
            </w:pPr>
            <w:r w:rsidRPr="009D1068">
              <w:rPr>
                <w:i/>
                <w:color w:val="auto"/>
                <w:sz w:val="18"/>
                <w:szCs w:val="18"/>
                <w:lang w:val="en-GB"/>
              </w:rPr>
              <w:t>Actors</w:t>
            </w:r>
          </w:p>
        </w:tc>
        <w:tc>
          <w:tcPr>
            <w:tcW w:w="2303" w:type="dxa"/>
            <w:tcBorders>
              <w:left w:val="single" w:sz="4" w:space="0" w:color="4F81BD" w:themeColor="accent1"/>
              <w:bottom w:val="single" w:sz="4" w:space="0" w:color="4F81BD" w:themeColor="accent1"/>
              <w:right w:val="single" w:sz="4" w:space="0" w:color="4F81BD" w:themeColor="accent1"/>
            </w:tcBorders>
          </w:tcPr>
          <w:p w:rsidR="00797BB5" w:rsidRPr="009D1068" w:rsidRDefault="00D91870" w:rsidP="008A60A0">
            <w:pPr>
              <w:pStyle w:val="NoSpacing"/>
              <w:ind w:firstLine="0"/>
              <w:jc w:val="left"/>
              <w:cnfStyle w:val="000000100000"/>
              <w:rPr>
                <w:color w:val="auto"/>
                <w:sz w:val="18"/>
                <w:szCs w:val="18"/>
                <w:lang w:val="en-GB"/>
              </w:rPr>
            </w:pPr>
            <w:r w:rsidRPr="00D91870">
              <w:rPr>
                <w:sz w:val="18"/>
                <w:szCs w:val="18"/>
                <w:lang w:val="en-GB"/>
              </w:rPr>
              <w:t>Norm entrepreneurs with organizational platforms</w:t>
            </w:r>
          </w:p>
        </w:tc>
        <w:tc>
          <w:tcPr>
            <w:tcW w:w="2303" w:type="dxa"/>
            <w:tcBorders>
              <w:left w:val="single" w:sz="4" w:space="0" w:color="4F81BD" w:themeColor="accent1"/>
              <w:bottom w:val="single" w:sz="4" w:space="0" w:color="4F81BD" w:themeColor="accent1"/>
              <w:right w:val="single" w:sz="4" w:space="0" w:color="4F81BD" w:themeColor="accent1"/>
            </w:tcBorders>
          </w:tcPr>
          <w:p w:rsidR="00797BB5" w:rsidRPr="009D1068" w:rsidRDefault="00D91870" w:rsidP="008A60A0">
            <w:pPr>
              <w:pStyle w:val="NoSpacing"/>
              <w:ind w:firstLine="0"/>
              <w:jc w:val="left"/>
              <w:cnfStyle w:val="000000100000"/>
              <w:rPr>
                <w:color w:val="auto"/>
                <w:sz w:val="18"/>
                <w:szCs w:val="18"/>
                <w:lang w:val="en-GB"/>
              </w:rPr>
            </w:pPr>
            <w:r w:rsidRPr="00D91870">
              <w:rPr>
                <w:sz w:val="18"/>
                <w:szCs w:val="18"/>
                <w:lang w:val="en-GB"/>
              </w:rPr>
              <w:t>States, international organizations, networks</w:t>
            </w:r>
          </w:p>
        </w:tc>
        <w:tc>
          <w:tcPr>
            <w:tcW w:w="2303" w:type="dxa"/>
            <w:tcBorders>
              <w:left w:val="single" w:sz="4" w:space="0" w:color="4F81BD" w:themeColor="accent1"/>
              <w:bottom w:val="single" w:sz="4" w:space="0" w:color="4F81BD" w:themeColor="accent1"/>
            </w:tcBorders>
          </w:tcPr>
          <w:p w:rsidR="00797BB5" w:rsidRPr="009D1068" w:rsidRDefault="00D91870" w:rsidP="008A60A0">
            <w:pPr>
              <w:pStyle w:val="NoSpacing"/>
              <w:ind w:firstLine="0"/>
              <w:jc w:val="left"/>
              <w:cnfStyle w:val="000000100000"/>
              <w:rPr>
                <w:color w:val="auto"/>
                <w:sz w:val="18"/>
                <w:szCs w:val="18"/>
                <w:lang w:val="en-GB"/>
              </w:rPr>
            </w:pPr>
            <w:r w:rsidRPr="00D91870">
              <w:rPr>
                <w:sz w:val="18"/>
                <w:szCs w:val="18"/>
                <w:lang w:val="en-GB"/>
              </w:rPr>
              <w:t>Law, professions, bureaucracy</w:t>
            </w:r>
          </w:p>
        </w:tc>
      </w:tr>
      <w:tr w:rsidR="00797BB5" w:rsidRPr="009D1068" w:rsidTr="008A60A0">
        <w:tc>
          <w:tcPr>
            <w:cnfStyle w:val="001000000000"/>
            <w:tcW w:w="2303" w:type="dxa"/>
            <w:tcBorders>
              <w:top w:val="single" w:sz="4" w:space="0" w:color="4F81BD" w:themeColor="accent1"/>
              <w:bottom w:val="single" w:sz="4" w:space="0" w:color="4F81BD" w:themeColor="accent1"/>
              <w:right w:val="single" w:sz="4" w:space="0" w:color="4F81BD" w:themeColor="accent1"/>
            </w:tcBorders>
          </w:tcPr>
          <w:p w:rsidR="00797BB5" w:rsidRPr="009D1068" w:rsidRDefault="00797BB5" w:rsidP="008A60A0">
            <w:pPr>
              <w:pStyle w:val="NoSpacing"/>
              <w:jc w:val="center"/>
              <w:rPr>
                <w:i/>
                <w:color w:val="auto"/>
                <w:sz w:val="18"/>
                <w:szCs w:val="18"/>
                <w:lang w:val="en-GB"/>
              </w:rPr>
            </w:pPr>
            <w:r w:rsidRPr="009D1068">
              <w:rPr>
                <w:i/>
                <w:color w:val="auto"/>
                <w:sz w:val="18"/>
                <w:szCs w:val="18"/>
                <w:lang w:val="en-GB"/>
              </w:rPr>
              <w:t>Motives</w:t>
            </w:r>
          </w:p>
        </w:tc>
        <w:tc>
          <w:tcPr>
            <w:tcW w:w="230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797BB5" w:rsidRPr="009D1068" w:rsidRDefault="00D91870" w:rsidP="008A60A0">
            <w:pPr>
              <w:pStyle w:val="NoSpacing"/>
              <w:ind w:firstLine="0"/>
              <w:jc w:val="left"/>
              <w:cnfStyle w:val="000000000000"/>
              <w:rPr>
                <w:color w:val="auto"/>
                <w:sz w:val="18"/>
                <w:szCs w:val="18"/>
                <w:lang w:val="en-GB"/>
              </w:rPr>
            </w:pPr>
            <w:r w:rsidRPr="00D91870">
              <w:rPr>
                <w:sz w:val="18"/>
                <w:szCs w:val="18"/>
                <w:lang w:val="en-GB"/>
              </w:rPr>
              <w:t>Altruism, empathy, ideation, commitment</w:t>
            </w:r>
          </w:p>
        </w:tc>
        <w:tc>
          <w:tcPr>
            <w:tcW w:w="230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797BB5" w:rsidRPr="009D1068" w:rsidRDefault="00D91870" w:rsidP="008A60A0">
            <w:pPr>
              <w:pStyle w:val="NoSpacing"/>
              <w:ind w:firstLine="0"/>
              <w:jc w:val="left"/>
              <w:cnfStyle w:val="000000000000"/>
              <w:rPr>
                <w:color w:val="auto"/>
                <w:sz w:val="18"/>
                <w:szCs w:val="18"/>
                <w:lang w:val="en-GB"/>
              </w:rPr>
            </w:pPr>
            <w:r w:rsidRPr="00D91870">
              <w:rPr>
                <w:sz w:val="18"/>
                <w:szCs w:val="18"/>
                <w:lang w:val="en-GB"/>
              </w:rPr>
              <w:t>Legitimacy, reputation, esteem</w:t>
            </w:r>
          </w:p>
        </w:tc>
        <w:tc>
          <w:tcPr>
            <w:tcW w:w="2303" w:type="dxa"/>
            <w:tcBorders>
              <w:top w:val="single" w:sz="4" w:space="0" w:color="4F81BD" w:themeColor="accent1"/>
              <w:left w:val="single" w:sz="4" w:space="0" w:color="4F81BD" w:themeColor="accent1"/>
              <w:bottom w:val="single" w:sz="4" w:space="0" w:color="4F81BD" w:themeColor="accent1"/>
            </w:tcBorders>
          </w:tcPr>
          <w:p w:rsidR="00797BB5" w:rsidRPr="009D1068" w:rsidRDefault="00D91870" w:rsidP="008A60A0">
            <w:pPr>
              <w:pStyle w:val="NoSpacing"/>
              <w:ind w:firstLine="0"/>
              <w:jc w:val="left"/>
              <w:cnfStyle w:val="000000000000"/>
              <w:rPr>
                <w:color w:val="auto"/>
                <w:sz w:val="18"/>
                <w:szCs w:val="18"/>
                <w:lang w:val="en-GB"/>
              </w:rPr>
            </w:pPr>
            <w:r w:rsidRPr="00D91870">
              <w:rPr>
                <w:sz w:val="18"/>
                <w:szCs w:val="18"/>
                <w:lang w:val="en-GB"/>
              </w:rPr>
              <w:t>Conformity</w:t>
            </w:r>
          </w:p>
        </w:tc>
      </w:tr>
      <w:tr w:rsidR="00797BB5" w:rsidRPr="009D1068" w:rsidTr="008A60A0">
        <w:trPr>
          <w:cnfStyle w:val="000000100000"/>
        </w:trPr>
        <w:tc>
          <w:tcPr>
            <w:cnfStyle w:val="001000000000"/>
            <w:tcW w:w="2303" w:type="dxa"/>
            <w:tcBorders>
              <w:top w:val="single" w:sz="4" w:space="0" w:color="4F81BD" w:themeColor="accent1"/>
              <w:bottom w:val="nil"/>
              <w:right w:val="single" w:sz="4" w:space="0" w:color="4F81BD" w:themeColor="accent1"/>
            </w:tcBorders>
          </w:tcPr>
          <w:p w:rsidR="00797BB5" w:rsidRPr="009D1068" w:rsidRDefault="00797BB5" w:rsidP="008A60A0">
            <w:pPr>
              <w:pStyle w:val="NoSpacing"/>
              <w:jc w:val="center"/>
              <w:rPr>
                <w:i/>
                <w:color w:val="auto"/>
                <w:sz w:val="18"/>
                <w:szCs w:val="18"/>
                <w:lang w:val="en-GB"/>
              </w:rPr>
            </w:pPr>
            <w:r w:rsidRPr="009D1068">
              <w:rPr>
                <w:i/>
                <w:color w:val="auto"/>
                <w:sz w:val="18"/>
                <w:szCs w:val="18"/>
                <w:lang w:val="en-GB"/>
              </w:rPr>
              <w:t>Dominant Mechanisms</w:t>
            </w:r>
          </w:p>
        </w:tc>
        <w:tc>
          <w:tcPr>
            <w:tcW w:w="2303" w:type="dxa"/>
            <w:tcBorders>
              <w:top w:val="single" w:sz="4" w:space="0" w:color="4F81BD" w:themeColor="accent1"/>
              <w:left w:val="single" w:sz="4" w:space="0" w:color="4F81BD" w:themeColor="accent1"/>
              <w:bottom w:val="nil"/>
              <w:right w:val="single" w:sz="4" w:space="0" w:color="4F81BD" w:themeColor="accent1"/>
            </w:tcBorders>
          </w:tcPr>
          <w:p w:rsidR="00797BB5" w:rsidRPr="009D1068" w:rsidRDefault="00D91870" w:rsidP="008A60A0">
            <w:pPr>
              <w:pStyle w:val="NoSpacing"/>
              <w:ind w:firstLine="0"/>
              <w:jc w:val="left"/>
              <w:cnfStyle w:val="000000100000"/>
              <w:rPr>
                <w:color w:val="auto"/>
                <w:sz w:val="18"/>
                <w:szCs w:val="18"/>
                <w:lang w:val="en-GB"/>
              </w:rPr>
            </w:pPr>
            <w:r w:rsidRPr="00D91870">
              <w:rPr>
                <w:sz w:val="18"/>
                <w:szCs w:val="18"/>
                <w:lang w:val="en-GB"/>
              </w:rPr>
              <w:t>Persuasion</w:t>
            </w:r>
          </w:p>
        </w:tc>
        <w:tc>
          <w:tcPr>
            <w:tcW w:w="2303" w:type="dxa"/>
            <w:tcBorders>
              <w:top w:val="single" w:sz="4" w:space="0" w:color="4F81BD" w:themeColor="accent1"/>
              <w:left w:val="single" w:sz="4" w:space="0" w:color="4F81BD" w:themeColor="accent1"/>
              <w:bottom w:val="nil"/>
              <w:right w:val="single" w:sz="4" w:space="0" w:color="4F81BD" w:themeColor="accent1"/>
            </w:tcBorders>
          </w:tcPr>
          <w:p w:rsidR="00797BB5" w:rsidRPr="009D1068" w:rsidRDefault="00D91870" w:rsidP="008A60A0">
            <w:pPr>
              <w:pStyle w:val="NoSpacing"/>
              <w:ind w:firstLine="0"/>
              <w:jc w:val="left"/>
              <w:cnfStyle w:val="000000100000"/>
              <w:rPr>
                <w:color w:val="auto"/>
                <w:sz w:val="18"/>
                <w:szCs w:val="18"/>
                <w:lang w:val="en-GB"/>
              </w:rPr>
            </w:pPr>
            <w:r w:rsidRPr="00D91870">
              <w:rPr>
                <w:sz w:val="18"/>
                <w:szCs w:val="18"/>
                <w:lang w:val="en-GB"/>
              </w:rPr>
              <w:t>Socialization, institutionalization, demonstration</w:t>
            </w:r>
          </w:p>
        </w:tc>
        <w:tc>
          <w:tcPr>
            <w:tcW w:w="2303" w:type="dxa"/>
            <w:tcBorders>
              <w:top w:val="single" w:sz="4" w:space="0" w:color="4F81BD" w:themeColor="accent1"/>
              <w:left w:val="single" w:sz="4" w:space="0" w:color="4F81BD" w:themeColor="accent1"/>
              <w:bottom w:val="nil"/>
            </w:tcBorders>
          </w:tcPr>
          <w:p w:rsidR="00797BB5" w:rsidRPr="009D1068" w:rsidRDefault="00D91870" w:rsidP="008A60A0">
            <w:pPr>
              <w:pStyle w:val="NoSpacing"/>
              <w:ind w:firstLine="0"/>
              <w:jc w:val="left"/>
              <w:cnfStyle w:val="000000100000"/>
              <w:rPr>
                <w:color w:val="auto"/>
                <w:sz w:val="18"/>
                <w:szCs w:val="18"/>
                <w:lang w:val="en-GB"/>
              </w:rPr>
            </w:pPr>
            <w:r w:rsidRPr="00D91870">
              <w:rPr>
                <w:sz w:val="18"/>
                <w:szCs w:val="18"/>
                <w:lang w:val="en-GB"/>
              </w:rPr>
              <w:t>Habit, institutionalization</w:t>
            </w:r>
          </w:p>
        </w:tc>
      </w:tr>
    </w:tbl>
    <w:p w:rsidR="00797BB5" w:rsidRPr="009D1068" w:rsidRDefault="00797BB5" w:rsidP="009A3D6C">
      <w:pPr>
        <w:pStyle w:val="NoSpacing"/>
        <w:jc w:val="right"/>
        <w:rPr>
          <w:lang w:val="en-GB"/>
        </w:rPr>
      </w:pPr>
      <w:r w:rsidRPr="009D1068">
        <w:rPr>
          <w:lang w:val="en-GB"/>
        </w:rPr>
        <w:t>Finn</w:t>
      </w:r>
      <w:r w:rsidR="00D91870" w:rsidRPr="00D91870">
        <w:rPr>
          <w:lang w:val="en-GB"/>
        </w:rPr>
        <w:t>emore and Sikkink, 1998: 898</w:t>
      </w:r>
    </w:p>
    <w:p w:rsidR="00797BB5" w:rsidRPr="009D1068" w:rsidRDefault="00797BB5" w:rsidP="00797BB5">
      <w:pPr>
        <w:pStyle w:val="NoSpacing"/>
        <w:rPr>
          <w:lang w:val="en-GB"/>
        </w:rPr>
      </w:pPr>
    </w:p>
    <w:p w:rsidR="00797BB5" w:rsidRPr="009D1068" w:rsidRDefault="00D91870" w:rsidP="00797BB5">
      <w:pPr>
        <w:pStyle w:val="NoSpacing"/>
        <w:rPr>
          <w:lang w:val="en-GB"/>
        </w:rPr>
      </w:pPr>
      <w:r w:rsidRPr="00D91870">
        <w:rPr>
          <w:lang w:val="en-GB"/>
        </w:rPr>
        <w:t>Consider table 1 again. The dominant mechanism in the norm emergence stage is persuasion. The norm entrepreneur needs to persuade actors (states) to adopt the norm and put it on the international agenda. At a certain moment, the norm reaches its ‘tipping’ point; the norm reaches a threshold after which it develops in a rather different way: states begin, after this point, to adopt the norm more rapidly and without domestic pressures (Finnemore and Sikkink, 1998: 902). The tipping point of the norm has quite often been discussed in the literature. One might argue, based on the literature, that this tipping rarely occurs before a third of all the states have adopted the norm (ibid.: 901). But which states adopt the norm is also a factor relevant for the tipping point of a norm. To continue with the example of the landmines: France and the UK both decided to adopt the norm to ban AP landmines. They did this in mid-1997. According to Price (1998) the norm cascaded at the end of that year. the UK and France can be seen as critical states. The one third ‘rule’ does not apply when there are no large states amongst them. Finnemore and Sikkink (1998) also argue that some states can be critical because they have a certain moral stature. The adoption of the norm by South Africa under Mandela is an example of this. Unanimity among states is, however, not essential. For instance, the United States did not support the ban (because of the landmines on the border between North- and South Korea). This did not stand in the way of a cascade of the norm.</w:t>
      </w:r>
    </w:p>
    <w:p w:rsidR="00797BB5" w:rsidRPr="009D1068" w:rsidRDefault="00D91870" w:rsidP="002669A3">
      <w:pPr>
        <w:pStyle w:val="NoSpacing"/>
        <w:rPr>
          <w:lang w:val="en-GB"/>
        </w:rPr>
      </w:pPr>
      <w:r w:rsidRPr="00D91870">
        <w:rPr>
          <w:lang w:val="en-GB"/>
        </w:rPr>
        <w:t>The change, as described in the first chapter of this thesis, which universities go through, is likely to be initiated by a norm that has gone through or is in th</w:t>
      </w:r>
      <w:r w:rsidR="008F6D6D">
        <w:rPr>
          <w:lang w:val="en-GB"/>
        </w:rPr>
        <w:t xml:space="preserve">e middle of the norm lifecycle </w:t>
      </w:r>
      <w:r w:rsidRPr="00D91870">
        <w:rPr>
          <w:lang w:val="en-GB"/>
        </w:rPr>
        <w:t>just like other international norms. The above leads to the expectation that, because higher education has always been primarily a domestic affair, the norm entrepreneur able to articulate a norm in this domain should be either a rather influential or powerful actor (like the European Union). After all, it has to be able to put a norm on the agenda on a level higher than the state level, otherwise it would not have been able to organize an organizational platform. Or more generally: the more institutions are rooted within the domestic domain of a state, the more influential the norm entrepreneur should have to be in order to give the articulated norm traction.</w:t>
      </w:r>
    </w:p>
    <w:p w:rsidR="00797BB5" w:rsidRPr="009D1068" w:rsidRDefault="00797BB5" w:rsidP="00797BB5">
      <w:pPr>
        <w:pStyle w:val="NoSpacing"/>
        <w:rPr>
          <w:i/>
          <w:lang w:val="en-GB"/>
        </w:rPr>
      </w:pPr>
    </w:p>
    <w:p w:rsidR="00797BB5" w:rsidRPr="009D1068" w:rsidRDefault="00D91870" w:rsidP="00797BB5">
      <w:pPr>
        <w:pStyle w:val="Heading3"/>
        <w:rPr>
          <w:lang w:val="en-GB"/>
        </w:rPr>
      </w:pPr>
      <w:bookmarkStart w:id="20" w:name="_Toc389425341"/>
      <w:bookmarkStart w:id="21" w:name="_Toc389431524"/>
      <w:bookmarkStart w:id="22" w:name="_Toc391323364"/>
      <w:bookmarkStart w:id="23" w:name="_Toc391510172"/>
      <w:bookmarkStart w:id="24" w:name="_Toc391511440"/>
      <w:bookmarkStart w:id="25" w:name="_Toc396045594"/>
      <w:r w:rsidRPr="00D91870">
        <w:rPr>
          <w:lang w:val="en-GB"/>
        </w:rPr>
        <w:t>Norm cascade</w:t>
      </w:r>
      <w:bookmarkEnd w:id="20"/>
      <w:bookmarkEnd w:id="21"/>
      <w:bookmarkEnd w:id="22"/>
      <w:bookmarkEnd w:id="23"/>
      <w:bookmarkEnd w:id="24"/>
      <w:bookmarkEnd w:id="25"/>
    </w:p>
    <w:p w:rsidR="00797BB5" w:rsidRPr="009D1068" w:rsidRDefault="00D91870" w:rsidP="00797BB5">
      <w:pPr>
        <w:pStyle w:val="NoSpacing"/>
        <w:ind w:firstLine="0"/>
        <w:rPr>
          <w:lang w:val="en-GB"/>
        </w:rPr>
      </w:pPr>
      <w:r w:rsidRPr="00D91870">
        <w:rPr>
          <w:lang w:val="en-GB"/>
        </w:rPr>
        <w:t>As one can see when considering table 1, the dominant actors in this stage are the individual states, International organizations and networks. The norm is not influenced primarily by domestic pressures. In this stage, the norm is driven by transnational and international influences. These influences can be quite strong, so strong even that norm breakers can become norm followers via mechanisms such as socialization, institutionalization and demonstration. Naming and shaming are weapons that are quite effective in this stage of the norm life cycle. In the case of the Landmines, the NGO’s equated the usage of landmines with using chemical weapons, and in doing so they were able to classify the states that did not adopt the norm not to use land mines as evil for using land mines comes close to (or is the same as) using chemical weapons (Price, 1998). Finnemore and Sikkink (1998) argue that states comply with the norms in this stage because their identity, as a member of the international society, compels them to do so (consider the cell in the middle of the table). Non-compliance can damage a state’s reputation and other states might view the non-compliant state as a rogue state</w:t>
      </w:r>
      <w:r w:rsidR="004434B4">
        <w:rPr>
          <w:lang w:val="en-GB"/>
        </w:rPr>
        <w:t>; a state that cannot be trusted</w:t>
      </w:r>
      <w:r w:rsidRPr="00D91870">
        <w:rPr>
          <w:lang w:val="en-GB"/>
        </w:rPr>
        <w:t>. In the case</w:t>
      </w:r>
      <w:r w:rsidR="004434B4">
        <w:rPr>
          <w:lang w:val="en-GB"/>
        </w:rPr>
        <w:t xml:space="preserve"> at hand</w:t>
      </w:r>
      <w:r w:rsidRPr="00D91870">
        <w:rPr>
          <w:lang w:val="en-GB"/>
        </w:rPr>
        <w:t>, it might</w:t>
      </w:r>
      <w:r w:rsidR="004434B4">
        <w:rPr>
          <w:lang w:val="en-GB"/>
        </w:rPr>
        <w:t xml:space="preserve"> </w:t>
      </w:r>
      <w:r w:rsidRPr="00D91870">
        <w:rPr>
          <w:lang w:val="en-GB"/>
        </w:rPr>
        <w:t>be unwise for states not to follow the norm for their higher education system might become disjointed form the other European higher education systems. In a later phase, after the establishment of the European Higher Education Area, states that did not comply with the norm could face considerable disadvantages when looking at for instance EU subsidies compared to states that did comply with the norm.</w:t>
      </w:r>
    </w:p>
    <w:p w:rsidR="00797BB5" w:rsidRPr="009D1068" w:rsidRDefault="00D91870" w:rsidP="00797BB5">
      <w:pPr>
        <w:pStyle w:val="NoSpacing"/>
        <w:rPr>
          <w:lang w:val="en-GB"/>
        </w:rPr>
      </w:pPr>
      <w:r w:rsidRPr="00D91870">
        <w:rPr>
          <w:lang w:val="en-GB"/>
        </w:rPr>
        <w:t xml:space="preserve">Further, domestic legitimacy is also a factor that has become relevant since citizens of a state are, </w:t>
      </w:r>
      <w:r w:rsidR="007E7BAB">
        <w:rPr>
          <w:lang w:val="en-GB"/>
        </w:rPr>
        <w:t xml:space="preserve">because of </w:t>
      </w:r>
      <w:r w:rsidRPr="00D91870">
        <w:rPr>
          <w:lang w:val="en-GB"/>
        </w:rPr>
        <w:t>the easy access to information</w:t>
      </w:r>
      <w:r w:rsidR="00797BB5" w:rsidRPr="009D1068">
        <w:rPr>
          <w:lang w:val="en-GB"/>
        </w:rPr>
        <w:t>, increa</w:t>
      </w:r>
      <w:r w:rsidRPr="00D91870">
        <w:rPr>
          <w:lang w:val="en-GB"/>
        </w:rPr>
        <w:t xml:space="preserve">singly judging their own government’s </w:t>
      </w:r>
      <w:r w:rsidR="005B4A97">
        <w:rPr>
          <w:lang w:val="en-GB"/>
        </w:rPr>
        <w:t>behaviour</w:t>
      </w:r>
      <w:r w:rsidRPr="00D91870">
        <w:rPr>
          <w:lang w:val="en-GB"/>
        </w:rPr>
        <w:t xml:space="preserve"> in the international arena. In the case of the landmines, not complying with the norm would have resulted in many demonstrations and domestic opposition. </w:t>
      </w:r>
    </w:p>
    <w:p w:rsidR="00797BB5" w:rsidRPr="009D1068" w:rsidRDefault="00D91870" w:rsidP="00797BB5">
      <w:pPr>
        <w:pStyle w:val="NoSpacing"/>
        <w:rPr>
          <w:lang w:val="en-GB"/>
        </w:rPr>
      </w:pPr>
      <w:r w:rsidRPr="00D91870">
        <w:rPr>
          <w:lang w:val="en-GB"/>
        </w:rPr>
        <w:t xml:space="preserve">What is also an important aspect of why a norm cascades, is the fact that a person takes pride in aspects that define his identity (Fearon 1997: 24). Finnemore and Sikkink (2001) made an analogy to the international arena in which states also take pride in the fact that they are for instance, liberal states, or states that see themselves as playing an important role in internationalization. This gains them self-esteem and therefore, they adopt particular norms simply because they fit with their identity. To go even further, the identity of a state might change if it would not adopt a norm in line with that identity. What also induces the cascade is the fact that the norm entrepreneurs sometimes direct their criticisms directly towards individual leaders. These leaders, in the face of elections, often feel compelled to issue statements in line with the norm (ibid.). This is, however, more relevant to norms concerning for instance warfare and human rights. However, higher education is also a topic that can have large ramifications for a political leader. If a leader of state does not adopt a certain norm, the usually very vocal community of students in favor or in opposition of the norm are often able to bring that leader in discredit. Also the private sector of a state can, in this case, become an important player. The economy of an advanced capitalist state benefits from having a highly educated population. If the leader of a state does not do anything within his power to comply with their wishes (with regard to education, in this case), he might find himself with a powerful </w:t>
      </w:r>
      <w:r w:rsidR="004434B4">
        <w:rPr>
          <w:lang w:val="en-GB"/>
        </w:rPr>
        <w:t>opposition</w:t>
      </w:r>
      <w:r w:rsidRPr="00D91870">
        <w:rPr>
          <w:lang w:val="en-GB"/>
        </w:rPr>
        <w:t xml:space="preserve">. </w:t>
      </w:r>
    </w:p>
    <w:p w:rsidR="00797BB5" w:rsidRPr="009D1068" w:rsidRDefault="00D91870" w:rsidP="00797BB5">
      <w:pPr>
        <w:pStyle w:val="NoSpacing"/>
        <w:rPr>
          <w:lang w:val="en-GB"/>
        </w:rPr>
      </w:pPr>
      <w:r w:rsidRPr="00D91870">
        <w:rPr>
          <w:lang w:val="en-GB"/>
        </w:rPr>
        <w:t>Further, Keck and Finnemore (1998) have argued that when a certain state does not comply with a new norm, this can result in a boomerang effect (the ‘boomerang model’). This model ‘proposes that in cases where state actors are not responsive to civil society demands, domestic groups are increasingly able to connect to transnational allies, who use the power of principled ideas and norms to lobby their own states or international organizations to put pressure on the recalcitrant state from the outside’ (Krook &amp; True, 2012: 107).</w:t>
      </w:r>
    </w:p>
    <w:p w:rsidR="00797BB5" w:rsidRPr="009D1068" w:rsidRDefault="00D91870" w:rsidP="00797BB5">
      <w:pPr>
        <w:pStyle w:val="NoSpacing"/>
        <w:rPr>
          <w:lang w:val="en-GB"/>
        </w:rPr>
      </w:pPr>
      <w:r w:rsidRPr="00D91870">
        <w:rPr>
          <w:lang w:val="en-GB"/>
        </w:rPr>
        <w:t>It can therefore be expected that the more the international norm of changing the higher education organizations in the Netherlands and in the UK is in line with what students and particularly the private sector want, the faster this norm will cascade and become salient. This expectation does not directly mean that the norm will also internalize quickly for other factors are relevant in that stage as will be shown below.</w:t>
      </w:r>
    </w:p>
    <w:p w:rsidR="00797BB5" w:rsidRPr="009D1068" w:rsidRDefault="00797BB5" w:rsidP="00797BB5">
      <w:pPr>
        <w:pStyle w:val="NoSpacing"/>
        <w:ind w:firstLine="0"/>
        <w:rPr>
          <w:i/>
          <w:lang w:val="en-GB"/>
        </w:rPr>
      </w:pPr>
    </w:p>
    <w:p w:rsidR="00797BB5" w:rsidRPr="009D1068" w:rsidRDefault="00D91870" w:rsidP="00797BB5">
      <w:pPr>
        <w:pStyle w:val="Heading3"/>
        <w:rPr>
          <w:lang w:val="en-GB"/>
        </w:rPr>
      </w:pPr>
      <w:bookmarkStart w:id="26" w:name="_Toc389425342"/>
      <w:bookmarkStart w:id="27" w:name="_Toc389431525"/>
      <w:bookmarkStart w:id="28" w:name="_Toc391323365"/>
      <w:bookmarkStart w:id="29" w:name="_Toc391510173"/>
      <w:bookmarkStart w:id="30" w:name="_Toc391511441"/>
      <w:bookmarkStart w:id="31" w:name="_Toc396045595"/>
      <w:r w:rsidRPr="00D91870">
        <w:rPr>
          <w:lang w:val="en-GB"/>
        </w:rPr>
        <w:t>Norm internalization</w:t>
      </w:r>
      <w:bookmarkEnd w:id="26"/>
      <w:bookmarkEnd w:id="27"/>
      <w:bookmarkEnd w:id="28"/>
      <w:bookmarkEnd w:id="29"/>
      <w:bookmarkEnd w:id="30"/>
      <w:bookmarkEnd w:id="31"/>
    </w:p>
    <w:p w:rsidR="00797BB5" w:rsidRPr="009D1068" w:rsidRDefault="00D91870" w:rsidP="00797BB5">
      <w:pPr>
        <w:pStyle w:val="NoSpacing"/>
        <w:ind w:firstLine="0"/>
        <w:rPr>
          <w:lang w:val="en-GB"/>
        </w:rPr>
      </w:pPr>
      <w:r w:rsidRPr="00D91870">
        <w:rPr>
          <w:lang w:val="en-GB"/>
        </w:rPr>
        <w:t xml:space="preserve">The norm internalization stage is the ultimate form of cascade. The norm is not questioned anymore and compliance with the norm is self-evident. The norm has become a </w:t>
      </w:r>
      <w:r w:rsidRPr="00D91870">
        <w:rPr>
          <w:i/>
          <w:lang w:val="en-GB"/>
        </w:rPr>
        <w:t>habit</w:t>
      </w:r>
      <w:r w:rsidRPr="00D91870">
        <w:rPr>
          <w:lang w:val="en-GB"/>
        </w:rPr>
        <w:t xml:space="preserve"> and has been entrenched throughout the institutions. The norm is taken for granted and conformity with this norm is almost automatic. The norm to ban landmines is now internalized: all but a few states, which are by and large considered rogue states, no longer use landmines (except of course for the United States on the border between the Korea’s). A better example in this case is the abolishment of slavery. Actors are not questioned when they behave according to an internalized norm and these actors do not discuss or consider to conform; it has become a habit that has been institutionalized. The main actors (as can be seen in table 1) are laws, professions and bureaucracies. For instance the norm for doctors to help the wounded, even if they are, in the case of a war, soldiers of the enemy. This norm has become a law. Finnemore and Sikkink (1998) also come forward with professional trainings that go even further than transferring knowledge: these trainings socializes people to value certain values more than others. They continue by arguing that also the bureaucracies of states and international organizations will start to use the norm when they shape certain policies. </w:t>
      </w:r>
    </w:p>
    <w:p w:rsidR="00797BB5" w:rsidRPr="009D1068" w:rsidRDefault="00D91870" w:rsidP="00797BB5">
      <w:pPr>
        <w:pStyle w:val="NoSpacing"/>
        <w:rPr>
          <w:lang w:val="en-GB"/>
        </w:rPr>
      </w:pPr>
      <w:r w:rsidRPr="00D91870">
        <w:rPr>
          <w:lang w:val="en-GB"/>
        </w:rPr>
        <w:tab/>
        <w:t>This above leads to the following expectations: The more an international norm deviates from the existing norm at the domestic level, the slower the norm will be internalized in the higher education organization. Furthermore, if there are institutional constraints, the norm is likely to internalize slower than if there were no (or little) institutional constraints.</w:t>
      </w:r>
    </w:p>
    <w:p w:rsidR="00797BB5" w:rsidRPr="009D1068" w:rsidRDefault="00797BB5" w:rsidP="00797BB5">
      <w:pPr>
        <w:pStyle w:val="NoSpacing"/>
        <w:ind w:firstLine="0"/>
        <w:rPr>
          <w:lang w:val="en-GB"/>
        </w:rPr>
      </w:pPr>
    </w:p>
    <w:p w:rsidR="00797BB5" w:rsidRPr="009D1068" w:rsidRDefault="00D91870" w:rsidP="00797BB5">
      <w:pPr>
        <w:pStyle w:val="Heading3"/>
        <w:numPr>
          <w:ilvl w:val="2"/>
          <w:numId w:val="3"/>
        </w:numPr>
        <w:rPr>
          <w:lang w:val="en-GB"/>
        </w:rPr>
      </w:pPr>
      <w:r w:rsidRPr="00D91870">
        <w:rPr>
          <w:lang w:val="en-GB"/>
        </w:rPr>
        <w:t xml:space="preserve"> </w:t>
      </w:r>
      <w:bookmarkStart w:id="32" w:name="_Toc391510175"/>
      <w:bookmarkStart w:id="33" w:name="_Toc396045596"/>
      <w:r w:rsidRPr="00D91870">
        <w:rPr>
          <w:lang w:val="en-GB"/>
        </w:rPr>
        <w:t>Critique on the norm life cycle in respect to the adoption of norms</w:t>
      </w:r>
      <w:bookmarkEnd w:id="32"/>
      <w:bookmarkEnd w:id="33"/>
    </w:p>
    <w:p w:rsidR="00797BB5" w:rsidRPr="009D1068" w:rsidRDefault="00D91870" w:rsidP="00797BB5">
      <w:pPr>
        <w:pStyle w:val="NoSpacing"/>
        <w:ind w:firstLine="0"/>
        <w:rPr>
          <w:lang w:val="en-GB"/>
        </w:rPr>
      </w:pPr>
      <w:r w:rsidRPr="00D91870">
        <w:rPr>
          <w:lang w:val="en-GB"/>
        </w:rPr>
        <w:t xml:space="preserve">According to Finnemore (1993), international organizations such as the European Union, can teach states new norms. As van Kersbergen and Verbeek (2007) point out, several problems may present themselves once a norm has been internalized. The fact of the matter is, the norm life cycle framework as depicted by Finnemore and Sikkink has faced some minor critiques but, in general, is seen as a framework that is helpful in explaining the emergence and the adoption of norms. However, as can be read in the introduction of this paper, certain norms are not adopted by every state in the same manner as the international organization had envisaged. Van Kersbergen and Verbeek (ibid.; 218) present several problems that arise after the internalization of the norm. They argue that after international norms have been adopted, they remain subject to new battles over their usefulness and meaning. These battles, as can be expected, occur in the classical governmental arrangements. They continue by arguing that it is difficult to reinforce the norm because there are few legal enforcement mechanisms. Furthermore, Van Kersbergen and Verbeek (ibid.), present with several problems about the implementation of an adopted, international norm. The first is that the current literature on norms and the role of norms in respect to international cooperation does not pay sufficient attention to the fact that certain norms can mean different things to different actors and that this has grave implications for the compliance with the norm because this can be a recurrence of differences in policy that already existed. Another identified problem is that in an extremely institutionalized environment such as the EU, compliance and adoption of norms depends on the strategic </w:t>
      </w:r>
      <w:r w:rsidR="005B4A97">
        <w:rPr>
          <w:lang w:val="en-GB"/>
        </w:rPr>
        <w:t>behaviour</w:t>
      </w:r>
      <w:r w:rsidRPr="00D91870">
        <w:rPr>
          <w:lang w:val="en-GB"/>
        </w:rPr>
        <w:t xml:space="preserve"> of states because the EU is ‘an inter-state system and a ‘domestic-like’ polity’ (ibid.: 219). Krook (2012: 104), comes forward with a similar argument. In her study on gender equality and the United Nations, she argues that a norm, in the internalization stage, must be regarded still as a work in progress and not as a finished product. International norms are not deliberately diffuse, but are diffuse because they are subject to (re)framing and reinterpretation by a diverse array of domestic actors. International norms fit into a variety of context and can therefore encompass different meanings. Sandholtz (2008) and Wiener (2004) came forward with similar arguments. In relation to the higher education norm, it can be argued that, because higher education policies have always been primarily the domain of the individual nation states, a vague and diffuse norm will cascade much easier for most states will adopt the norm at the EU level, knowing that they can make (subtle) changes when actually implementing the new international norm into their domestic higher education systems. This leads to the expectation that, in line with the argument of van Kersbergen and Verbeek</w:t>
      </w:r>
      <w:r w:rsidR="00C20613">
        <w:rPr>
          <w:lang w:val="en-GB"/>
        </w:rPr>
        <w:t>,</w:t>
      </w:r>
      <w:r w:rsidRPr="00D91870">
        <w:rPr>
          <w:rStyle w:val="FootnoteReference"/>
          <w:lang w:val="en-GB"/>
        </w:rPr>
        <w:footnoteReference w:id="5"/>
      </w:r>
      <w:r w:rsidRPr="00D91870">
        <w:rPr>
          <w:lang w:val="en-GB"/>
        </w:rPr>
        <w:t xml:space="preserve"> the (presumed) higher education norm that directs the higher education organization of states towards more internationalization and an increased focus on higher education institutes adding value to the state’s economy (and, indirectly, to the European economy on the whole) will internalize much faster in a state that has less institutional barriers compared to a state that has more barriers</w:t>
      </w:r>
      <w:r w:rsidR="00797BB5" w:rsidRPr="009D1068">
        <w:rPr>
          <w:lang w:val="en-GB"/>
        </w:rPr>
        <w:t>. A</w:t>
      </w:r>
      <w:r w:rsidRPr="00D91870">
        <w:rPr>
          <w:lang w:val="en-GB"/>
        </w:rPr>
        <w:t xml:space="preserve">n example could be for instance a more powerful opposition within the national parliament, or a much more open political opportunity structure. </w:t>
      </w:r>
    </w:p>
    <w:p w:rsidR="00797BB5" w:rsidRPr="009D1068" w:rsidRDefault="00D91870" w:rsidP="00797BB5">
      <w:pPr>
        <w:pStyle w:val="Heading2"/>
        <w:numPr>
          <w:ilvl w:val="1"/>
          <w:numId w:val="3"/>
        </w:numPr>
        <w:rPr>
          <w:lang w:val="en-GB"/>
        </w:rPr>
      </w:pPr>
      <w:bookmarkStart w:id="34" w:name="_Toc391510176"/>
      <w:bookmarkStart w:id="35" w:name="_Toc396045597"/>
      <w:r w:rsidRPr="00D91870">
        <w:rPr>
          <w:lang w:val="en-GB"/>
        </w:rPr>
        <w:t>Varieties of Capitalism</w:t>
      </w:r>
      <w:bookmarkEnd w:id="34"/>
      <w:bookmarkEnd w:id="35"/>
    </w:p>
    <w:p w:rsidR="00797BB5" w:rsidRPr="009D1068" w:rsidRDefault="00D91870" w:rsidP="00797BB5">
      <w:pPr>
        <w:pStyle w:val="NoSpacing"/>
        <w:ind w:firstLine="0"/>
        <w:rPr>
          <w:lang w:val="en-GB"/>
        </w:rPr>
      </w:pPr>
      <w:r w:rsidRPr="00D91870">
        <w:rPr>
          <w:lang w:val="en-GB"/>
        </w:rPr>
        <w:t>The literature in the discipline of global economy of advanced (liberal) capitalist democracies has been dominated by the more institutionalist-focused theories such as neo-mercantilism for a long time. These theories emphasize the institutional arrangements, which define the specific models of capitalism that we recognize nowadays (Thelen, 2012: 138). Today this dominance has changed and made place for the now widely used framework proposed by Peter A. Hall and David Soskice, who laid the groundwork for a new approach towards global economy (2001). In contrast to other liberal capitalist economy theories, this approach draws attention to the different types of characteristics of institutional arrangements. The approach cannot be seen as a primarily explanatory theory, but more as a heuristic device – a sort of mid-range descriptive device. Furthermore, the approach has a tendency towards a more static analysis and latent features of institutional functionalism (Peck and Theodor, 2007: 731).</w:t>
      </w:r>
    </w:p>
    <w:p w:rsidR="00797BB5" w:rsidRPr="009D1068" w:rsidRDefault="00D91870" w:rsidP="00797BB5">
      <w:pPr>
        <w:pStyle w:val="NoSpacing"/>
        <w:ind w:firstLine="0"/>
        <w:rPr>
          <w:lang w:val="en-GB"/>
        </w:rPr>
      </w:pPr>
      <w:r w:rsidRPr="00D91870">
        <w:rPr>
          <w:lang w:val="en-GB"/>
        </w:rPr>
        <w:t xml:space="preserve">     In a nutshell, the essence of Hall and Soskice’s theory is that they distinguish two sorts of economic institutional arrangements. On the one hand, they recognize the </w:t>
      </w:r>
      <w:r w:rsidRPr="00D91870">
        <w:rPr>
          <w:i/>
          <w:lang w:val="en-GB"/>
        </w:rPr>
        <w:t>coordinated market economy</w:t>
      </w:r>
      <w:r w:rsidRPr="00D91870">
        <w:rPr>
          <w:lang w:val="en-GB"/>
        </w:rPr>
        <w:t xml:space="preserve"> (CME), and on the other the </w:t>
      </w:r>
      <w:r w:rsidRPr="00D91870">
        <w:rPr>
          <w:i/>
          <w:lang w:val="en-GB"/>
        </w:rPr>
        <w:t>liberal market economy</w:t>
      </w:r>
      <w:r w:rsidRPr="00D91870">
        <w:rPr>
          <w:lang w:val="en-GB"/>
        </w:rPr>
        <w:t xml:space="preserve"> (LME). The distinction between these two models is the centre of their approach. Their framework provided an integrated and systemic view that was able to emphasize the links between all the defining institutions of a capitalist (liberal) political economy: financial arrangements between institutions, social policies, industrial relations institutions, corporate governance and, most relevant for this paper: higher education systems (Hall and Soskice, 2001: 4). These links are called the</w:t>
      </w:r>
      <w:r w:rsidRPr="00D91870">
        <w:rPr>
          <w:i/>
          <w:lang w:val="en-GB"/>
        </w:rPr>
        <w:t xml:space="preserve"> institutional complementarities</w:t>
      </w:r>
      <w:r w:rsidRPr="00D91870">
        <w:rPr>
          <w:lang w:val="en-GB"/>
        </w:rPr>
        <w:t>. This means, in short, that the setup of institutions in a particular type of capitalist economy (for instance</w:t>
      </w:r>
      <w:r w:rsidR="00C20613">
        <w:rPr>
          <w:lang w:val="en-GB"/>
        </w:rPr>
        <w:t xml:space="preserve"> a</w:t>
      </w:r>
      <w:r w:rsidRPr="00D91870">
        <w:rPr>
          <w:lang w:val="en-GB"/>
        </w:rPr>
        <w:t xml:space="preserve"> CME), develop institutions that are complementary in other spheres</w:t>
      </w:r>
      <w:r w:rsidR="00C20613">
        <w:rPr>
          <w:lang w:val="en-GB"/>
        </w:rPr>
        <w:t>.</w:t>
      </w:r>
      <w:r w:rsidRPr="00D91870">
        <w:rPr>
          <w:rStyle w:val="FootnoteReference"/>
          <w:lang w:val="en-GB"/>
        </w:rPr>
        <w:footnoteReference w:id="6"/>
      </w:r>
      <w:r w:rsidRPr="00D91870">
        <w:rPr>
          <w:lang w:val="en-GB"/>
        </w:rPr>
        <w:t xml:space="preserve"> </w:t>
      </w:r>
    </w:p>
    <w:p w:rsidR="00797BB5" w:rsidRPr="009D1068" w:rsidRDefault="00D91870" w:rsidP="00797BB5">
      <w:pPr>
        <w:pStyle w:val="NoSpacing"/>
        <w:rPr>
          <w:lang w:val="en-GB"/>
        </w:rPr>
      </w:pPr>
      <w:r w:rsidRPr="00D91870">
        <w:rPr>
          <w:lang w:val="en-GB"/>
        </w:rPr>
        <w:t>Hall and Soskice challenged the idea that in the contemporary, globalising world, the market pressures would inevitably drive towards a convergence towards a ‘most’ efficient, best model of capitalism, a world with immense technological process and competitive pressures put forward by long term trends such as globalization and the decline of for instance manufacturing in the capitalist societies, would inevitably drive towards a convergence; a convergence towards a ‘most’ efficient, best model of capitalism. Hall and Soskice (2001) argue that this is not the case. At the very heart of the varieties of capitalism framework lies the idea that the there will be no convergence in organization of capitalist economies. The two models, the CME and the LME, described by Hall and Soskice both represent different ways of organizing capitalist economies that both operate within a whole different logic. They are both even (equally) durable in the face of the new strains put forward by for instance globalization, internationalization and the growing interdependence between states.</w:t>
      </w:r>
    </w:p>
    <w:p w:rsidR="00797BB5" w:rsidRPr="009D1068" w:rsidRDefault="00D91870" w:rsidP="00797BB5">
      <w:pPr>
        <w:pStyle w:val="NoSpacing"/>
        <w:rPr>
          <w:lang w:val="en-GB"/>
        </w:rPr>
      </w:pPr>
      <w:r w:rsidRPr="00D91870">
        <w:rPr>
          <w:lang w:val="en-GB"/>
        </w:rPr>
        <w:t xml:space="preserve">The varieties of capitalism approach can be useful when explaining the difference between the different development trajectories that the higher education systems in the Netherlands and the UK go through </w:t>
      </w:r>
      <w:r w:rsidR="00797BB5" w:rsidRPr="009D1068">
        <w:rPr>
          <w:lang w:val="en-GB"/>
        </w:rPr>
        <w:t xml:space="preserve">because the approach has certain </w:t>
      </w:r>
      <w:r w:rsidRPr="00D91870">
        <w:rPr>
          <w:lang w:val="en-GB"/>
        </w:rPr>
        <w:t xml:space="preserve">expectations about this. Institutions in a particular logic are not expected to change radically because then these institutions would not be complementary with the other (economic) institutions. A rapidly changing skill formation regime (of which higher education institutes are a part) has implications for the other institutions of the economy. And if the skill formation regime is changing towards a different capitalist economy logic this poses a problem for the varieties of capitalism approach on the whole (though this is not the focus of this paper. This paper will try to find out which approach, the social constructivism approach or the varieties of capitalism approach, is better able to explain the different development trajectories of the Netherlands and the United Kingdom). </w:t>
      </w:r>
    </w:p>
    <w:p w:rsidR="00797BB5" w:rsidRPr="009D1068" w:rsidRDefault="00797BB5" w:rsidP="00797BB5">
      <w:pPr>
        <w:pStyle w:val="NoSpacing"/>
        <w:ind w:firstLine="0"/>
        <w:rPr>
          <w:lang w:val="en-GB"/>
        </w:rPr>
      </w:pPr>
    </w:p>
    <w:p w:rsidR="00797BB5" w:rsidRPr="009D1068" w:rsidRDefault="00D91870" w:rsidP="00797BB5">
      <w:pPr>
        <w:pStyle w:val="Heading3"/>
        <w:numPr>
          <w:ilvl w:val="2"/>
          <w:numId w:val="3"/>
        </w:numPr>
        <w:rPr>
          <w:lang w:val="en-GB"/>
        </w:rPr>
      </w:pPr>
      <w:bookmarkStart w:id="36" w:name="_Toc391510177"/>
      <w:bookmarkStart w:id="37" w:name="_Toc396045598"/>
      <w:r w:rsidRPr="00D91870">
        <w:rPr>
          <w:lang w:val="en-GB"/>
        </w:rPr>
        <w:t>Coordinated Market Economy (CME) and Liberal Market Economy (LME)</w:t>
      </w:r>
      <w:bookmarkEnd w:id="36"/>
      <w:bookmarkEnd w:id="37"/>
    </w:p>
    <w:p w:rsidR="00797BB5" w:rsidRPr="009D1068" w:rsidRDefault="00D91870" w:rsidP="00797BB5">
      <w:pPr>
        <w:pStyle w:val="NoSpacing"/>
        <w:ind w:firstLine="0"/>
        <w:rPr>
          <w:lang w:val="en-GB"/>
        </w:rPr>
      </w:pPr>
      <w:r w:rsidRPr="00D91870">
        <w:rPr>
          <w:lang w:val="en-GB"/>
        </w:rPr>
        <w:t>Before continuing with a brief outline of the two different organization types of capitalist economies, it is important to understand that Hall and Soskice regard firms as the crucial actor in a capitalist economy. It is thus a firm-centered political economy approach that regards companies; companies that seek profit,</w:t>
      </w:r>
      <w:r w:rsidRPr="00D91870">
        <w:rPr>
          <w:rStyle w:val="FootnoteReference"/>
          <w:lang w:val="en-GB"/>
        </w:rPr>
        <w:footnoteReference w:id="7"/>
      </w:r>
      <w:r w:rsidRPr="00D91870">
        <w:rPr>
          <w:lang w:val="en-GB"/>
        </w:rPr>
        <w:t xml:space="preserve"> as the key agent (Hall &amp; Soskice, 2001: 6). </w:t>
      </w:r>
    </w:p>
    <w:p w:rsidR="00797BB5" w:rsidRPr="009D1068" w:rsidRDefault="00D91870" w:rsidP="00797BB5">
      <w:pPr>
        <w:pStyle w:val="NoSpacing"/>
        <w:rPr>
          <w:lang w:val="en-GB"/>
        </w:rPr>
      </w:pPr>
      <w:r w:rsidRPr="00D91870">
        <w:rPr>
          <w:lang w:val="en-GB"/>
        </w:rPr>
        <w:t>The idea at the heart of the varieties of capitalism approach is that both the models, the coordinated market economy and the liberal market economy, operate using a different logic and that they both represent different types of organising of a capitalist economy. The logic of the organization of a state’s economy defines the nature of employee-worker relations, company-government relations, company- higher education relations, bank-industry linkages (Hall &amp; Soskice, 2001), in short, all actions within the state’s economy are defined by how that particular economy is organized and there is no convergence towards another, more efficient logic. Both models stand alone and are durable for, as Thelen (2012) argues, all key coordinating institutions within the state’s economy have a stake in the survival of the organization for they have adapted their strategies around it and rely on the success of the system.</w:t>
      </w:r>
      <w:r w:rsidRPr="00D91870">
        <w:rPr>
          <w:rStyle w:val="FootnoteReference"/>
          <w:lang w:val="en-GB"/>
        </w:rPr>
        <w:footnoteReference w:id="8"/>
      </w:r>
      <w:r w:rsidRPr="00D91870">
        <w:rPr>
          <w:lang w:val="en-GB"/>
        </w:rPr>
        <w:t xml:space="preserve"> The concept of </w:t>
      </w:r>
      <w:r w:rsidRPr="00D91870">
        <w:rPr>
          <w:i/>
          <w:lang w:val="en-GB"/>
        </w:rPr>
        <w:t xml:space="preserve">institutional complementarities </w:t>
      </w:r>
      <w:r w:rsidRPr="00D91870">
        <w:rPr>
          <w:lang w:val="en-GB"/>
        </w:rPr>
        <w:t xml:space="preserve">is important here. Institutional complementarities are the foundation of the differences between CMEs on the one hand and LMEs on the other. In order to understand the interaction effects of the various institutions in a capitalist economy, the varieties of capitalism approach analyses and identifies the natures of the different institutional complementarities (Graf, 2008: 11). Hall and Soskice (2001: 17) argue that the complementarities across the spheres of their respective political economies that are most important, are between </w:t>
      </w:r>
      <w:r w:rsidR="005B4A97">
        <w:rPr>
          <w:lang w:val="en-GB"/>
        </w:rPr>
        <w:t>labour</w:t>
      </w:r>
      <w:r w:rsidRPr="00D91870">
        <w:rPr>
          <w:lang w:val="en-GB"/>
        </w:rPr>
        <w:t xml:space="preserve"> relations and inter-firm relations on the one hand, and corporate government on the other hand and, between higher education training systems and </w:t>
      </w:r>
      <w:r w:rsidR="005B4A97">
        <w:rPr>
          <w:lang w:val="en-GB"/>
        </w:rPr>
        <w:t>labour</w:t>
      </w:r>
      <w:r w:rsidRPr="00D91870">
        <w:rPr>
          <w:lang w:val="en-GB"/>
        </w:rPr>
        <w:t xml:space="preserve"> relations.</w:t>
      </w:r>
      <w:r w:rsidR="00797BB5" w:rsidRPr="009D1068">
        <w:rPr>
          <w:lang w:val="en-GB"/>
        </w:rPr>
        <w:t xml:space="preserve"> This thesis will prim</w:t>
      </w:r>
      <w:r w:rsidRPr="00D91870">
        <w:rPr>
          <w:lang w:val="en-GB"/>
        </w:rPr>
        <w:t xml:space="preserve">arily focus on the last relation. Due to internationalization, this relation has become more and more under pressure, which has implications for the organization of universities. </w:t>
      </w:r>
    </w:p>
    <w:p w:rsidR="00797BB5" w:rsidRPr="009D1068" w:rsidRDefault="00D91870" w:rsidP="00797BB5">
      <w:pPr>
        <w:pStyle w:val="NoSpacing"/>
        <w:rPr>
          <w:lang w:val="en-GB"/>
        </w:rPr>
      </w:pPr>
      <w:r w:rsidRPr="00D91870">
        <w:rPr>
          <w:lang w:val="en-GB"/>
        </w:rPr>
        <w:t>In general, coordinated market economies are primarily found in continental Europe where the liberal market economies are primarily found in the Anglo Saxon economies such as the United Kingdom, the United States, Canada and Australia. There are some hybrid economies (such as Denmark, Japan and East-central European states</w:t>
      </w:r>
      <w:r w:rsidRPr="00D91870">
        <w:rPr>
          <w:rStyle w:val="FootnoteReference"/>
          <w:lang w:val="en-GB"/>
        </w:rPr>
        <w:footnoteReference w:id="9"/>
      </w:r>
      <w:r w:rsidRPr="00D91870">
        <w:rPr>
          <w:lang w:val="en-GB"/>
        </w:rPr>
        <w:t xml:space="preserve">). These two varieties of capitalism are sometimes also seen as the Rhineland model of capitalism and the Anglo-Saxon model of capitalism. Economies in continental Europe, such as the economy of Germany (exemplary for the coordinated market economy) represent the Rhineland model of capitalist economies. </w:t>
      </w:r>
    </w:p>
    <w:p w:rsidR="00797BB5" w:rsidRPr="009D1068" w:rsidRDefault="00D91870" w:rsidP="00797BB5">
      <w:pPr>
        <w:pStyle w:val="NoSpacing"/>
        <w:rPr>
          <w:lang w:val="en-GB"/>
        </w:rPr>
      </w:pPr>
      <w:r w:rsidRPr="00D91870">
        <w:rPr>
          <w:lang w:val="en-GB"/>
        </w:rPr>
        <w:t>In order to make matters more clear, consider table 2.1. In this table, the several institutions within the two different logics of capitalist economy are juxtaposed. As one can see, there are numerous fundamental differences in the organization of economies.</w:t>
      </w:r>
    </w:p>
    <w:p w:rsidR="0098469B" w:rsidRPr="009D1068" w:rsidRDefault="0098469B">
      <w:pPr>
        <w:rPr>
          <w:b/>
          <w:sz w:val="20"/>
          <w:szCs w:val="20"/>
          <w:lang w:val="en-GB"/>
        </w:rPr>
      </w:pPr>
      <w:r w:rsidRPr="009D1068">
        <w:rPr>
          <w:b/>
          <w:sz w:val="20"/>
          <w:szCs w:val="20"/>
          <w:lang w:val="en-GB"/>
        </w:rPr>
        <w:br w:type="page"/>
      </w:r>
    </w:p>
    <w:p w:rsidR="00797BB5" w:rsidRPr="009D1068" w:rsidRDefault="00D91870" w:rsidP="00797BB5">
      <w:pPr>
        <w:rPr>
          <w:b/>
          <w:sz w:val="20"/>
          <w:szCs w:val="20"/>
          <w:lang w:val="en-GB"/>
        </w:rPr>
      </w:pPr>
      <w:r w:rsidRPr="00D91870">
        <w:rPr>
          <w:b/>
          <w:sz w:val="20"/>
          <w:szCs w:val="20"/>
          <w:lang w:val="en-GB"/>
        </w:rPr>
        <w:t>Table 2.1.</w:t>
      </w:r>
    </w:p>
    <w:p w:rsidR="00797BB5" w:rsidRPr="009D1068" w:rsidRDefault="001E19BB" w:rsidP="00797BB5">
      <w:pPr>
        <w:pStyle w:val="NoSpacing"/>
        <w:ind w:firstLine="0"/>
        <w:jc w:val="center"/>
        <w:rPr>
          <w:b/>
          <w:szCs w:val="20"/>
          <w:lang w:val="en-GB"/>
        </w:rPr>
      </w:pPr>
      <w:r>
        <w:rPr>
          <w:b/>
          <w:noProof/>
          <w:szCs w:val="20"/>
          <w:lang w:val="nl-NL"/>
        </w:rPr>
        <w:pict>
          <v:shape id="AutoShape 2" o:spid="_x0000_s1027" type="#_x0000_t32" style="position:absolute;left:0;text-align:left;margin-left:-8.05pt;margin-top:13.5pt;width:465.2pt;height:0;z-index:25166848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" strokecolor="#4f81bd [3204]"/>
        </w:pict>
      </w:r>
      <w:r w:rsidR="00797BB5" w:rsidRPr="009D1068">
        <w:rPr>
          <w:b/>
          <w:szCs w:val="20"/>
          <w:lang w:val="en-GB"/>
        </w:rPr>
        <w:t>Two varieties of capitalism</w:t>
      </w:r>
    </w:p>
    <w:tbl>
      <w:tblPr>
        <w:tblStyle w:val="MediumList2-Accent1"/>
        <w:tblW w:w="0" w:type="auto"/>
        <w:tblLook w:val="04A0"/>
      </w:tblPr>
      <w:tblGrid>
        <w:gridCol w:w="3070"/>
        <w:gridCol w:w="3071"/>
        <w:gridCol w:w="3071"/>
      </w:tblGrid>
      <w:tr w:rsidR="00797BB5" w:rsidRPr="009D1068" w:rsidTr="008A60A0">
        <w:trPr>
          <w:cnfStyle w:val="100000000000"/>
        </w:trPr>
        <w:tc>
          <w:tcPr>
            <w:cnfStyle w:val="001000000100"/>
            <w:tcW w:w="3070" w:type="dxa"/>
            <w:tcBorders>
              <w:bottom w:val="single" w:sz="4" w:space="0" w:color="4F81BD" w:themeColor="accent1"/>
              <w:right w:val="single" w:sz="4" w:space="0" w:color="4F81BD" w:themeColor="accent1"/>
            </w:tcBorders>
          </w:tcPr>
          <w:p w:rsidR="00797BB5" w:rsidRPr="009D1068" w:rsidRDefault="00D91870" w:rsidP="008A60A0">
            <w:pPr>
              <w:pStyle w:val="NoSpacing"/>
              <w:ind w:firstLine="0"/>
              <w:jc w:val="center"/>
              <w:rPr>
                <w:b/>
                <w:i/>
                <w:sz w:val="16"/>
                <w:szCs w:val="16"/>
                <w:lang w:val="en-GB"/>
              </w:rPr>
            </w:pPr>
            <w:r w:rsidRPr="00D91870">
              <w:rPr>
                <w:b/>
                <w:i/>
                <w:sz w:val="16"/>
                <w:szCs w:val="16"/>
                <w:lang w:val="en-GB"/>
              </w:rPr>
              <w:t>Institutions</w:t>
            </w:r>
          </w:p>
        </w:tc>
        <w:tc>
          <w:tcPr>
            <w:tcW w:w="3071" w:type="dxa"/>
            <w:tcBorders>
              <w:left w:val="single" w:sz="4" w:space="0" w:color="4F81BD" w:themeColor="accent1"/>
              <w:bottom w:val="single" w:sz="4" w:space="0" w:color="4F81BD" w:themeColor="accent1"/>
              <w:right w:val="single" w:sz="4" w:space="0" w:color="4F81BD" w:themeColor="accent1"/>
            </w:tcBorders>
          </w:tcPr>
          <w:p w:rsidR="00797BB5" w:rsidRPr="009D1068" w:rsidRDefault="00D91870" w:rsidP="008A60A0">
            <w:pPr>
              <w:pStyle w:val="NoSpacing"/>
              <w:ind w:firstLine="0"/>
              <w:jc w:val="center"/>
              <w:cnfStyle w:val="100000000000"/>
              <w:rPr>
                <w:b/>
                <w:i/>
                <w:sz w:val="16"/>
                <w:szCs w:val="16"/>
                <w:lang w:val="en-GB"/>
              </w:rPr>
            </w:pPr>
            <w:r w:rsidRPr="00D91870">
              <w:rPr>
                <w:b/>
                <w:i/>
                <w:sz w:val="16"/>
                <w:szCs w:val="16"/>
                <w:lang w:val="en-GB"/>
              </w:rPr>
              <w:t>Liberal market economy (LME)</w:t>
            </w:r>
          </w:p>
        </w:tc>
        <w:tc>
          <w:tcPr>
            <w:tcW w:w="3071" w:type="dxa"/>
            <w:tcBorders>
              <w:left w:val="single" w:sz="4" w:space="0" w:color="4F81BD" w:themeColor="accent1"/>
              <w:bottom w:val="single" w:sz="4" w:space="0" w:color="4F81BD" w:themeColor="accent1"/>
            </w:tcBorders>
          </w:tcPr>
          <w:p w:rsidR="00797BB5" w:rsidRPr="009D1068" w:rsidRDefault="00D91870" w:rsidP="008A60A0">
            <w:pPr>
              <w:pStyle w:val="NoSpacing"/>
              <w:ind w:firstLine="0"/>
              <w:jc w:val="center"/>
              <w:cnfStyle w:val="100000000000"/>
              <w:rPr>
                <w:b/>
                <w:i/>
                <w:sz w:val="16"/>
                <w:szCs w:val="16"/>
                <w:lang w:val="en-GB"/>
              </w:rPr>
            </w:pPr>
            <w:r w:rsidRPr="00D91870">
              <w:rPr>
                <w:b/>
                <w:i/>
                <w:sz w:val="16"/>
                <w:szCs w:val="16"/>
                <w:lang w:val="en-GB"/>
              </w:rPr>
              <w:t>Coordinated market economy (CME)</w:t>
            </w:r>
          </w:p>
        </w:tc>
      </w:tr>
      <w:tr w:rsidR="00797BB5" w:rsidRPr="008048B9" w:rsidTr="008A60A0">
        <w:trPr>
          <w:cnfStyle w:val="000000100000"/>
        </w:trPr>
        <w:tc>
          <w:tcPr>
            <w:cnfStyle w:val="001000000000"/>
            <w:tcW w:w="3070" w:type="dxa"/>
            <w:tcBorders>
              <w:top w:val="single" w:sz="4" w:space="0" w:color="4F81BD" w:themeColor="accent1"/>
            </w:tcBorders>
          </w:tcPr>
          <w:p w:rsidR="00797BB5" w:rsidRPr="009D1068" w:rsidRDefault="00797BB5" w:rsidP="008A60A0">
            <w:pPr>
              <w:pStyle w:val="NoSpacing"/>
              <w:spacing w:line="240" w:lineRule="auto"/>
              <w:ind w:firstLine="0"/>
              <w:jc w:val="left"/>
              <w:rPr>
                <w:b/>
                <w:i/>
                <w:sz w:val="16"/>
                <w:szCs w:val="16"/>
                <w:lang w:val="en-GB"/>
              </w:rPr>
            </w:pPr>
            <w:r w:rsidRPr="009D1068">
              <w:rPr>
                <w:b/>
                <w:i/>
                <w:sz w:val="16"/>
                <w:szCs w:val="16"/>
                <w:lang w:val="en-GB"/>
              </w:rPr>
              <w:t>Distinctive coordination mechanism</w:t>
            </w:r>
          </w:p>
        </w:tc>
        <w:tc>
          <w:tcPr>
            <w:tcW w:w="3071" w:type="dxa"/>
            <w:tcBorders>
              <w:top w:val="single" w:sz="4" w:space="0" w:color="4F81BD" w:themeColor="accent1"/>
              <w:right w:val="single" w:sz="4" w:space="0" w:color="4F81BD" w:themeColor="accent1"/>
            </w:tcBorders>
          </w:tcPr>
          <w:p w:rsidR="00797BB5" w:rsidRPr="009D1068" w:rsidRDefault="00D91870" w:rsidP="008A60A0">
            <w:pPr>
              <w:pStyle w:val="NoSpacing"/>
              <w:spacing w:line="240" w:lineRule="auto"/>
              <w:ind w:firstLine="0"/>
              <w:jc w:val="left"/>
              <w:cnfStyle w:val="000000100000"/>
              <w:rPr>
                <w:i/>
                <w:sz w:val="16"/>
                <w:szCs w:val="16"/>
                <w:lang w:val="en-GB"/>
              </w:rPr>
            </w:pPr>
            <w:r w:rsidRPr="00D91870">
              <w:rPr>
                <w:i/>
                <w:sz w:val="16"/>
                <w:szCs w:val="16"/>
                <w:lang w:val="en-GB"/>
              </w:rPr>
              <w:t>Competitive markets and formal contracts</w:t>
            </w:r>
          </w:p>
        </w:tc>
        <w:tc>
          <w:tcPr>
            <w:tcW w:w="3071" w:type="dxa"/>
            <w:tcBorders>
              <w:top w:val="single" w:sz="4" w:space="0" w:color="4F81BD" w:themeColor="accent1"/>
              <w:left w:val="single" w:sz="4" w:space="0" w:color="4F81BD" w:themeColor="accent1"/>
              <w:right w:val="nil"/>
            </w:tcBorders>
          </w:tcPr>
          <w:p w:rsidR="00797BB5" w:rsidRPr="009D1068" w:rsidRDefault="00D91870" w:rsidP="008A60A0">
            <w:pPr>
              <w:pStyle w:val="NoSpacing"/>
              <w:spacing w:line="240" w:lineRule="auto"/>
              <w:ind w:firstLine="0"/>
              <w:jc w:val="left"/>
              <w:cnfStyle w:val="000000100000"/>
              <w:rPr>
                <w:i/>
                <w:sz w:val="16"/>
                <w:szCs w:val="16"/>
                <w:lang w:val="en-GB"/>
              </w:rPr>
            </w:pPr>
            <w:r w:rsidRPr="00D91870">
              <w:rPr>
                <w:i/>
                <w:sz w:val="16"/>
                <w:szCs w:val="16"/>
                <w:lang w:val="en-GB"/>
              </w:rPr>
              <w:t>Inter-firm networks and associations</w:t>
            </w:r>
          </w:p>
        </w:tc>
      </w:tr>
      <w:tr w:rsidR="00797BB5" w:rsidRPr="008048B9" w:rsidTr="008A60A0">
        <w:tc>
          <w:tcPr>
            <w:cnfStyle w:val="001000000000"/>
            <w:tcW w:w="3070" w:type="dxa"/>
          </w:tcPr>
          <w:p w:rsidR="00797BB5" w:rsidRPr="009D1068" w:rsidRDefault="00797BB5" w:rsidP="008A60A0">
            <w:pPr>
              <w:pStyle w:val="NoSpacing"/>
              <w:spacing w:line="240" w:lineRule="auto"/>
              <w:ind w:firstLine="0"/>
              <w:jc w:val="left"/>
              <w:rPr>
                <w:b/>
                <w:i/>
                <w:sz w:val="16"/>
                <w:szCs w:val="16"/>
                <w:lang w:val="en-GB"/>
              </w:rPr>
            </w:pPr>
            <w:r w:rsidRPr="009D1068">
              <w:rPr>
                <w:b/>
                <w:i/>
                <w:sz w:val="16"/>
                <w:szCs w:val="16"/>
                <w:lang w:val="en-GB"/>
              </w:rPr>
              <w:t>Primary means of raising investments</w:t>
            </w:r>
          </w:p>
        </w:tc>
        <w:tc>
          <w:tcPr>
            <w:tcW w:w="3071" w:type="dxa"/>
            <w:tcBorders>
              <w:right w:val="single" w:sz="4" w:space="0" w:color="4F81BD" w:themeColor="accent1"/>
            </w:tcBorders>
          </w:tcPr>
          <w:p w:rsidR="00797BB5" w:rsidRPr="009D1068" w:rsidRDefault="00D91870" w:rsidP="008A60A0">
            <w:pPr>
              <w:pStyle w:val="NoSpacing"/>
              <w:spacing w:line="240" w:lineRule="auto"/>
              <w:ind w:firstLine="0"/>
              <w:jc w:val="left"/>
              <w:cnfStyle w:val="000000000000"/>
              <w:rPr>
                <w:i/>
                <w:sz w:val="16"/>
                <w:szCs w:val="16"/>
                <w:lang w:val="en-GB"/>
              </w:rPr>
            </w:pPr>
            <w:r w:rsidRPr="00D91870">
              <w:rPr>
                <w:i/>
                <w:sz w:val="16"/>
                <w:szCs w:val="16"/>
                <w:lang w:val="en-GB"/>
              </w:rPr>
              <w:t>Domestic and international capital markets</w:t>
            </w:r>
          </w:p>
        </w:tc>
        <w:tc>
          <w:tcPr>
            <w:tcW w:w="3071" w:type="dxa"/>
            <w:tcBorders>
              <w:left w:val="single" w:sz="4" w:space="0" w:color="4F81BD" w:themeColor="accent1"/>
              <w:right w:val="nil"/>
            </w:tcBorders>
          </w:tcPr>
          <w:p w:rsidR="00797BB5" w:rsidRPr="009D1068" w:rsidRDefault="00D91870" w:rsidP="008A60A0">
            <w:pPr>
              <w:pStyle w:val="NoSpacing"/>
              <w:spacing w:line="240" w:lineRule="auto"/>
              <w:ind w:firstLine="0"/>
              <w:jc w:val="left"/>
              <w:cnfStyle w:val="000000000000"/>
              <w:rPr>
                <w:i/>
                <w:sz w:val="16"/>
                <w:szCs w:val="16"/>
                <w:lang w:val="en-GB"/>
              </w:rPr>
            </w:pPr>
            <w:r w:rsidRPr="00D91870">
              <w:rPr>
                <w:i/>
                <w:sz w:val="16"/>
                <w:szCs w:val="16"/>
                <w:lang w:val="en-GB"/>
              </w:rPr>
              <w:t xml:space="preserve">Domestic bank lending and internally generated funds </w:t>
            </w:r>
          </w:p>
        </w:tc>
      </w:tr>
      <w:tr w:rsidR="00797BB5" w:rsidRPr="009D1068" w:rsidTr="008A60A0">
        <w:trPr>
          <w:cnfStyle w:val="000000100000"/>
        </w:trPr>
        <w:tc>
          <w:tcPr>
            <w:cnfStyle w:val="001000000000"/>
            <w:tcW w:w="3070" w:type="dxa"/>
          </w:tcPr>
          <w:p w:rsidR="00797BB5" w:rsidRPr="009D1068" w:rsidRDefault="00797BB5" w:rsidP="008A60A0">
            <w:pPr>
              <w:pStyle w:val="NoSpacing"/>
              <w:spacing w:line="240" w:lineRule="auto"/>
              <w:ind w:firstLine="0"/>
              <w:jc w:val="left"/>
              <w:rPr>
                <w:b/>
                <w:i/>
                <w:sz w:val="16"/>
                <w:szCs w:val="16"/>
                <w:lang w:val="en-GB"/>
              </w:rPr>
            </w:pPr>
            <w:r w:rsidRPr="009D1068">
              <w:rPr>
                <w:b/>
                <w:i/>
                <w:sz w:val="16"/>
                <w:szCs w:val="16"/>
                <w:lang w:val="en-GB"/>
              </w:rPr>
              <w:t>Corporate governance</w:t>
            </w:r>
          </w:p>
        </w:tc>
        <w:tc>
          <w:tcPr>
            <w:tcW w:w="3071" w:type="dxa"/>
            <w:tcBorders>
              <w:right w:val="single" w:sz="4" w:space="0" w:color="4F81BD" w:themeColor="accent1"/>
            </w:tcBorders>
          </w:tcPr>
          <w:p w:rsidR="00797BB5" w:rsidRPr="009D1068" w:rsidRDefault="00D91870" w:rsidP="008A60A0">
            <w:pPr>
              <w:pStyle w:val="NoSpacing"/>
              <w:spacing w:line="240" w:lineRule="auto"/>
              <w:ind w:firstLine="0"/>
              <w:jc w:val="left"/>
              <w:cnfStyle w:val="000000100000"/>
              <w:rPr>
                <w:i/>
                <w:sz w:val="16"/>
                <w:szCs w:val="16"/>
                <w:lang w:val="en-GB"/>
              </w:rPr>
            </w:pPr>
            <w:r w:rsidRPr="00D91870">
              <w:rPr>
                <w:i/>
                <w:sz w:val="16"/>
                <w:szCs w:val="16"/>
                <w:lang w:val="en-GB"/>
              </w:rPr>
              <w:t>Outsider control/ dispersed shareholders</w:t>
            </w:r>
          </w:p>
        </w:tc>
        <w:tc>
          <w:tcPr>
            <w:tcW w:w="3071" w:type="dxa"/>
            <w:tcBorders>
              <w:left w:val="single" w:sz="4" w:space="0" w:color="4F81BD" w:themeColor="accent1"/>
              <w:right w:val="nil"/>
            </w:tcBorders>
          </w:tcPr>
          <w:p w:rsidR="00797BB5" w:rsidRPr="009D1068" w:rsidRDefault="00D91870" w:rsidP="008A60A0">
            <w:pPr>
              <w:pStyle w:val="NoSpacing"/>
              <w:spacing w:line="240" w:lineRule="auto"/>
              <w:ind w:firstLine="0"/>
              <w:jc w:val="left"/>
              <w:cnfStyle w:val="000000100000"/>
              <w:rPr>
                <w:i/>
                <w:sz w:val="16"/>
                <w:szCs w:val="16"/>
                <w:lang w:val="en-GB"/>
              </w:rPr>
            </w:pPr>
            <w:r w:rsidRPr="00D91870">
              <w:rPr>
                <w:i/>
                <w:sz w:val="16"/>
                <w:szCs w:val="16"/>
                <w:lang w:val="en-GB"/>
              </w:rPr>
              <w:t>Insider control/ concentrated shareholders</w:t>
            </w:r>
          </w:p>
        </w:tc>
      </w:tr>
      <w:tr w:rsidR="00797BB5" w:rsidRPr="008048B9" w:rsidTr="008A60A0">
        <w:tc>
          <w:tcPr>
            <w:cnfStyle w:val="001000000000"/>
            <w:tcW w:w="3070" w:type="dxa"/>
          </w:tcPr>
          <w:p w:rsidR="00797BB5" w:rsidRPr="009D1068" w:rsidRDefault="00797BB5" w:rsidP="008A60A0">
            <w:pPr>
              <w:pStyle w:val="NoSpacing"/>
              <w:spacing w:line="240" w:lineRule="auto"/>
              <w:ind w:firstLine="0"/>
              <w:jc w:val="left"/>
              <w:rPr>
                <w:b/>
                <w:i/>
                <w:sz w:val="16"/>
                <w:szCs w:val="16"/>
                <w:lang w:val="en-GB"/>
              </w:rPr>
            </w:pPr>
            <w:r w:rsidRPr="009D1068">
              <w:rPr>
                <w:b/>
                <w:i/>
                <w:sz w:val="16"/>
                <w:szCs w:val="16"/>
                <w:lang w:val="en-GB"/>
              </w:rPr>
              <w:t>Industrial relations</w:t>
            </w:r>
          </w:p>
        </w:tc>
        <w:tc>
          <w:tcPr>
            <w:tcW w:w="3071" w:type="dxa"/>
            <w:tcBorders>
              <w:right w:val="single" w:sz="4" w:space="0" w:color="4F81BD" w:themeColor="accent1"/>
            </w:tcBorders>
          </w:tcPr>
          <w:p w:rsidR="00797BB5" w:rsidRPr="009D1068" w:rsidRDefault="00D91870" w:rsidP="008A60A0">
            <w:pPr>
              <w:pStyle w:val="NoSpacing"/>
              <w:spacing w:line="240" w:lineRule="auto"/>
              <w:ind w:firstLine="0"/>
              <w:jc w:val="left"/>
              <w:cnfStyle w:val="000000000000"/>
              <w:rPr>
                <w:i/>
                <w:sz w:val="16"/>
                <w:szCs w:val="16"/>
                <w:lang w:val="en-GB"/>
              </w:rPr>
            </w:pPr>
            <w:r w:rsidRPr="00D91870">
              <w:rPr>
                <w:i/>
                <w:sz w:val="16"/>
                <w:szCs w:val="16"/>
                <w:lang w:val="en-GB"/>
              </w:rPr>
              <w:t>Pluralist, market based; few collective agreements</w:t>
            </w:r>
          </w:p>
        </w:tc>
        <w:tc>
          <w:tcPr>
            <w:tcW w:w="3071" w:type="dxa"/>
            <w:tcBorders>
              <w:left w:val="single" w:sz="4" w:space="0" w:color="4F81BD" w:themeColor="accent1"/>
              <w:right w:val="nil"/>
            </w:tcBorders>
          </w:tcPr>
          <w:p w:rsidR="00797BB5" w:rsidRPr="009D1068" w:rsidRDefault="00D91870" w:rsidP="008A60A0">
            <w:pPr>
              <w:pStyle w:val="NoSpacing"/>
              <w:spacing w:line="240" w:lineRule="auto"/>
              <w:ind w:firstLine="0"/>
              <w:jc w:val="left"/>
              <w:cnfStyle w:val="000000000000"/>
              <w:rPr>
                <w:i/>
                <w:sz w:val="16"/>
                <w:szCs w:val="16"/>
                <w:lang w:val="en-GB"/>
              </w:rPr>
            </w:pPr>
            <w:r w:rsidRPr="00D91870">
              <w:rPr>
                <w:i/>
                <w:sz w:val="16"/>
                <w:szCs w:val="16"/>
                <w:lang w:val="en-GB"/>
              </w:rPr>
              <w:t>Corporatist, consensual; sector wide-wide or even national agreements</w:t>
            </w:r>
          </w:p>
        </w:tc>
      </w:tr>
      <w:tr w:rsidR="00797BB5" w:rsidRPr="008048B9" w:rsidTr="008A60A0">
        <w:trPr>
          <w:cnfStyle w:val="000000100000"/>
        </w:trPr>
        <w:tc>
          <w:tcPr>
            <w:cnfStyle w:val="001000000000"/>
            <w:tcW w:w="3070" w:type="dxa"/>
          </w:tcPr>
          <w:p w:rsidR="00797BB5" w:rsidRPr="009D1068" w:rsidRDefault="00797BB5" w:rsidP="008A60A0">
            <w:pPr>
              <w:pStyle w:val="NoSpacing"/>
              <w:spacing w:line="240" w:lineRule="auto"/>
              <w:ind w:firstLine="0"/>
              <w:jc w:val="left"/>
              <w:rPr>
                <w:b/>
                <w:i/>
                <w:sz w:val="16"/>
                <w:szCs w:val="16"/>
                <w:lang w:val="en-GB"/>
              </w:rPr>
            </w:pPr>
            <w:r w:rsidRPr="009D1068">
              <w:rPr>
                <w:b/>
                <w:i/>
                <w:sz w:val="16"/>
                <w:szCs w:val="16"/>
                <w:lang w:val="en-GB"/>
              </w:rPr>
              <w:t>Education and training systems</w:t>
            </w:r>
          </w:p>
        </w:tc>
        <w:tc>
          <w:tcPr>
            <w:tcW w:w="3071" w:type="dxa"/>
            <w:tcBorders>
              <w:right w:val="single" w:sz="4" w:space="0" w:color="4F81BD" w:themeColor="accent1"/>
            </w:tcBorders>
          </w:tcPr>
          <w:p w:rsidR="00797BB5" w:rsidRPr="009D1068" w:rsidRDefault="00D91870" w:rsidP="008A60A0">
            <w:pPr>
              <w:pStyle w:val="NoSpacing"/>
              <w:spacing w:line="240" w:lineRule="auto"/>
              <w:ind w:firstLine="0"/>
              <w:jc w:val="left"/>
              <w:cnfStyle w:val="000000100000"/>
              <w:rPr>
                <w:i/>
                <w:sz w:val="16"/>
                <w:szCs w:val="16"/>
                <w:lang w:val="en-GB"/>
              </w:rPr>
            </w:pPr>
            <w:r w:rsidRPr="00D91870">
              <w:rPr>
                <w:i/>
                <w:sz w:val="16"/>
                <w:szCs w:val="16"/>
                <w:lang w:val="en-GB"/>
              </w:rPr>
              <w:t>General skill, high research and development expenditures</w:t>
            </w:r>
          </w:p>
        </w:tc>
        <w:tc>
          <w:tcPr>
            <w:tcW w:w="3071" w:type="dxa"/>
            <w:tcBorders>
              <w:left w:val="single" w:sz="4" w:space="0" w:color="4F81BD" w:themeColor="accent1"/>
              <w:right w:val="nil"/>
            </w:tcBorders>
          </w:tcPr>
          <w:p w:rsidR="00797BB5" w:rsidRPr="009D1068" w:rsidRDefault="00D91870" w:rsidP="008A60A0">
            <w:pPr>
              <w:pStyle w:val="NoSpacing"/>
              <w:spacing w:line="240" w:lineRule="auto"/>
              <w:ind w:firstLine="0"/>
              <w:jc w:val="left"/>
              <w:cnfStyle w:val="000000100000"/>
              <w:rPr>
                <w:i/>
                <w:sz w:val="16"/>
                <w:szCs w:val="16"/>
                <w:lang w:val="en-GB"/>
              </w:rPr>
            </w:pPr>
            <w:r w:rsidRPr="00D91870">
              <w:rPr>
                <w:i/>
                <w:sz w:val="16"/>
                <w:szCs w:val="16"/>
                <w:lang w:val="en-GB"/>
              </w:rPr>
              <w:t>Company- or industry- specific skills, vocational training</w:t>
            </w:r>
          </w:p>
        </w:tc>
      </w:tr>
      <w:tr w:rsidR="00797BB5" w:rsidRPr="008048B9" w:rsidTr="008A60A0">
        <w:tc>
          <w:tcPr>
            <w:cnfStyle w:val="001000000000"/>
            <w:tcW w:w="3070" w:type="dxa"/>
          </w:tcPr>
          <w:p w:rsidR="00797BB5" w:rsidRPr="009D1068" w:rsidRDefault="00797BB5" w:rsidP="008A60A0">
            <w:pPr>
              <w:pStyle w:val="NoSpacing"/>
              <w:spacing w:line="240" w:lineRule="auto"/>
              <w:ind w:firstLine="0"/>
              <w:jc w:val="left"/>
              <w:rPr>
                <w:b/>
                <w:i/>
                <w:sz w:val="16"/>
                <w:szCs w:val="16"/>
                <w:lang w:val="en-GB"/>
              </w:rPr>
            </w:pPr>
            <w:r w:rsidRPr="009D1068">
              <w:rPr>
                <w:b/>
                <w:i/>
                <w:sz w:val="16"/>
                <w:szCs w:val="16"/>
                <w:lang w:val="en-GB"/>
              </w:rPr>
              <w:t>Transfer of innovations</w:t>
            </w:r>
          </w:p>
        </w:tc>
        <w:tc>
          <w:tcPr>
            <w:tcW w:w="3071" w:type="dxa"/>
            <w:tcBorders>
              <w:right w:val="single" w:sz="4" w:space="0" w:color="4F81BD" w:themeColor="accent1"/>
            </w:tcBorders>
          </w:tcPr>
          <w:p w:rsidR="00797BB5" w:rsidRPr="009D1068" w:rsidRDefault="00D91870" w:rsidP="008A60A0">
            <w:pPr>
              <w:pStyle w:val="NoSpacing"/>
              <w:spacing w:line="240" w:lineRule="auto"/>
              <w:ind w:firstLine="0"/>
              <w:jc w:val="left"/>
              <w:cnfStyle w:val="000000000000"/>
              <w:rPr>
                <w:i/>
                <w:sz w:val="16"/>
                <w:szCs w:val="16"/>
                <w:lang w:val="en-GB"/>
              </w:rPr>
            </w:pPr>
            <w:r w:rsidRPr="00D91870">
              <w:rPr>
                <w:i/>
                <w:sz w:val="16"/>
                <w:szCs w:val="16"/>
                <w:lang w:val="en-GB"/>
              </w:rPr>
              <w:t>Based on markets and formal contracts</w:t>
            </w:r>
          </w:p>
        </w:tc>
        <w:tc>
          <w:tcPr>
            <w:tcW w:w="3071" w:type="dxa"/>
            <w:tcBorders>
              <w:left w:val="single" w:sz="4" w:space="0" w:color="4F81BD" w:themeColor="accent1"/>
              <w:right w:val="nil"/>
            </w:tcBorders>
          </w:tcPr>
          <w:p w:rsidR="00797BB5" w:rsidRPr="009D1068" w:rsidRDefault="00D91870" w:rsidP="008A60A0">
            <w:pPr>
              <w:pStyle w:val="NoSpacing"/>
              <w:spacing w:line="240" w:lineRule="auto"/>
              <w:ind w:firstLine="0"/>
              <w:jc w:val="left"/>
              <w:cnfStyle w:val="000000000000"/>
              <w:rPr>
                <w:i/>
                <w:sz w:val="16"/>
                <w:szCs w:val="16"/>
                <w:lang w:val="en-GB"/>
              </w:rPr>
            </w:pPr>
            <w:r w:rsidRPr="00D91870">
              <w:rPr>
                <w:i/>
                <w:sz w:val="16"/>
                <w:szCs w:val="16"/>
                <w:lang w:val="en-GB"/>
              </w:rPr>
              <w:t>Important role of joint ventures and business associations</w:t>
            </w:r>
          </w:p>
        </w:tc>
      </w:tr>
      <w:tr w:rsidR="00797BB5" w:rsidRPr="008048B9" w:rsidTr="008A60A0">
        <w:trPr>
          <w:cnfStyle w:val="000000100000"/>
        </w:trPr>
        <w:tc>
          <w:tcPr>
            <w:cnfStyle w:val="001000000000"/>
            <w:tcW w:w="3070" w:type="dxa"/>
            <w:tcBorders>
              <w:bottom w:val="single" w:sz="4" w:space="0" w:color="4F81BD" w:themeColor="accent1"/>
            </w:tcBorders>
          </w:tcPr>
          <w:p w:rsidR="00797BB5" w:rsidRPr="009D1068" w:rsidRDefault="00797BB5" w:rsidP="008A60A0">
            <w:pPr>
              <w:pStyle w:val="NoSpacing"/>
              <w:spacing w:line="240" w:lineRule="auto"/>
              <w:ind w:firstLine="0"/>
              <w:jc w:val="left"/>
              <w:rPr>
                <w:b/>
                <w:i/>
                <w:sz w:val="16"/>
                <w:szCs w:val="16"/>
                <w:lang w:val="en-GB"/>
              </w:rPr>
            </w:pPr>
            <w:r w:rsidRPr="009D1068">
              <w:rPr>
                <w:b/>
                <w:i/>
                <w:sz w:val="16"/>
                <w:szCs w:val="16"/>
                <w:lang w:val="en-GB"/>
              </w:rPr>
              <w:t>Comparative advantages</w:t>
            </w:r>
          </w:p>
        </w:tc>
        <w:tc>
          <w:tcPr>
            <w:tcW w:w="3071" w:type="dxa"/>
            <w:tcBorders>
              <w:bottom w:val="single" w:sz="4" w:space="0" w:color="4F81BD" w:themeColor="accent1"/>
              <w:right w:val="single" w:sz="4" w:space="0" w:color="4F81BD" w:themeColor="accent1"/>
            </w:tcBorders>
          </w:tcPr>
          <w:p w:rsidR="00797BB5" w:rsidRPr="009D1068" w:rsidRDefault="00D91870" w:rsidP="008A60A0">
            <w:pPr>
              <w:pStyle w:val="NoSpacing"/>
              <w:spacing w:line="240" w:lineRule="auto"/>
              <w:ind w:firstLine="0"/>
              <w:jc w:val="left"/>
              <w:cnfStyle w:val="000000100000"/>
              <w:rPr>
                <w:i/>
                <w:sz w:val="16"/>
                <w:szCs w:val="16"/>
                <w:lang w:val="en-GB"/>
              </w:rPr>
            </w:pPr>
            <w:r w:rsidRPr="00D91870">
              <w:rPr>
                <w:i/>
                <w:sz w:val="16"/>
                <w:szCs w:val="16"/>
                <w:lang w:val="en-GB"/>
              </w:rPr>
              <w:t>Radical innovation in technology and service sectors</w:t>
            </w:r>
          </w:p>
        </w:tc>
        <w:tc>
          <w:tcPr>
            <w:tcW w:w="3071" w:type="dxa"/>
            <w:tcBorders>
              <w:left w:val="single" w:sz="4" w:space="0" w:color="4F81BD" w:themeColor="accent1"/>
              <w:bottom w:val="single" w:sz="4" w:space="0" w:color="4F81BD" w:themeColor="accent1"/>
              <w:right w:val="nil"/>
            </w:tcBorders>
          </w:tcPr>
          <w:p w:rsidR="00797BB5" w:rsidRPr="009D1068" w:rsidRDefault="00D91870" w:rsidP="008A60A0">
            <w:pPr>
              <w:pStyle w:val="NoSpacing"/>
              <w:spacing w:line="240" w:lineRule="auto"/>
              <w:ind w:firstLine="0"/>
              <w:jc w:val="left"/>
              <w:cnfStyle w:val="000000100000"/>
              <w:rPr>
                <w:i/>
                <w:sz w:val="16"/>
                <w:szCs w:val="16"/>
                <w:lang w:val="en-GB"/>
              </w:rPr>
            </w:pPr>
            <w:r w:rsidRPr="00D91870">
              <w:rPr>
                <w:i/>
                <w:sz w:val="16"/>
                <w:szCs w:val="16"/>
                <w:lang w:val="en-GB"/>
              </w:rPr>
              <w:t>Incremental innovation of capital goods.</w:t>
            </w:r>
          </w:p>
        </w:tc>
      </w:tr>
    </w:tbl>
    <w:p w:rsidR="00797BB5" w:rsidRPr="009D1068" w:rsidRDefault="00797BB5" w:rsidP="00797BB5">
      <w:pPr>
        <w:pStyle w:val="NoSpacing"/>
        <w:jc w:val="right"/>
        <w:rPr>
          <w:sz w:val="18"/>
          <w:szCs w:val="18"/>
          <w:lang w:val="en-GB"/>
        </w:rPr>
      </w:pPr>
      <w:r w:rsidRPr="009D1068">
        <w:rPr>
          <w:sz w:val="18"/>
          <w:szCs w:val="18"/>
          <w:lang w:val="en-GB"/>
        </w:rPr>
        <w:t>Nolke and Vliegenthart (2009: 680)</w:t>
      </w:r>
    </w:p>
    <w:p w:rsidR="00797BB5" w:rsidRPr="009D1068" w:rsidRDefault="00797BB5" w:rsidP="00797BB5">
      <w:pPr>
        <w:pStyle w:val="NoSpacing"/>
        <w:jc w:val="left"/>
        <w:rPr>
          <w:lang w:val="en-GB"/>
        </w:rPr>
      </w:pPr>
    </w:p>
    <w:p w:rsidR="00797BB5" w:rsidRPr="009D1068" w:rsidRDefault="00D91870" w:rsidP="00797BB5">
      <w:pPr>
        <w:pStyle w:val="NoSpacing"/>
        <w:rPr>
          <w:lang w:val="en-GB"/>
        </w:rPr>
      </w:pPr>
      <w:r w:rsidRPr="00D91870">
        <w:rPr>
          <w:lang w:val="en-GB"/>
        </w:rPr>
        <w:t>It is important to note that, as Hall and Gingerich (2005) argue, both capitalist economy perspectives, are at the ends of a spectrum. On the one end there are the liberal market economies where the relations between firms and actors within the economy are primarily coordinated by competition. On the other end, the coordinated market economy end, firms engage in more strategic interaction with each other and the other relevant institutions (such as trading unions) within the state’s economy</w:t>
      </w:r>
      <w:r w:rsidR="00C20613">
        <w:rPr>
          <w:lang w:val="en-GB"/>
        </w:rPr>
        <w:t>.</w:t>
      </w:r>
      <w:r w:rsidRPr="00D91870">
        <w:rPr>
          <w:rStyle w:val="FootnoteReference"/>
          <w:lang w:val="en-GB"/>
        </w:rPr>
        <w:footnoteReference w:id="10"/>
      </w:r>
    </w:p>
    <w:p w:rsidR="00797BB5" w:rsidRPr="009D1068" w:rsidRDefault="00D91870" w:rsidP="00797BB5">
      <w:pPr>
        <w:pStyle w:val="NoSpacing"/>
        <w:rPr>
          <w:lang w:val="en-GB"/>
        </w:rPr>
      </w:pPr>
      <w:r w:rsidRPr="00D91870">
        <w:rPr>
          <w:lang w:val="en-GB"/>
        </w:rPr>
        <w:t>The above leads to the expectation that if a state has a coordinated market economy, then its higher education organization will not diverge towards a more liberal market economy type of higher education organization (or vice versa). CME higher educational systems focus more on teaching company and industry specific skills where an LME higher educational system is more focused on teaching more general skills and, is much more dependent on, and active in the private sector. Higher education in a CME is usually much less engaged with the private sector and is a lot less dependent on private donations and tuition fees.</w:t>
      </w:r>
    </w:p>
    <w:p w:rsidR="00797BB5" w:rsidRPr="009D1068" w:rsidRDefault="00797BB5" w:rsidP="00797BB5">
      <w:pPr>
        <w:pStyle w:val="NoSpacing"/>
        <w:rPr>
          <w:lang w:val="en-GB"/>
        </w:rPr>
      </w:pPr>
    </w:p>
    <w:p w:rsidR="00797BB5" w:rsidRPr="009D1068" w:rsidRDefault="00D91870" w:rsidP="00797BB5">
      <w:pPr>
        <w:pStyle w:val="Heading3"/>
        <w:numPr>
          <w:ilvl w:val="2"/>
          <w:numId w:val="3"/>
        </w:numPr>
        <w:rPr>
          <w:lang w:val="en-GB"/>
        </w:rPr>
      </w:pPr>
      <w:bookmarkStart w:id="38" w:name="_Toc391510178"/>
      <w:bookmarkStart w:id="39" w:name="_Toc396045599"/>
      <w:r w:rsidRPr="00D91870">
        <w:rPr>
          <w:lang w:val="en-GB"/>
        </w:rPr>
        <w:t>Varieties of Capitalism: differences in cross-national skill profiles and protection institutions (welfare production regimes)</w:t>
      </w:r>
      <w:bookmarkEnd w:id="38"/>
      <w:bookmarkEnd w:id="39"/>
    </w:p>
    <w:p w:rsidR="00797BB5" w:rsidRPr="009D1068" w:rsidRDefault="00D91870" w:rsidP="00797BB5">
      <w:pPr>
        <w:pStyle w:val="NoSpacing"/>
        <w:ind w:firstLine="0"/>
        <w:rPr>
          <w:lang w:val="en-GB"/>
        </w:rPr>
      </w:pPr>
      <w:r w:rsidRPr="00D91870">
        <w:rPr>
          <w:lang w:val="en-GB"/>
        </w:rPr>
        <w:t xml:space="preserve">In chapter four of Hall en Soskice volume about the varieties of capitalism, Estevez-Abe, Iversen and Soskice argue that the configuration of </w:t>
      </w:r>
      <w:r w:rsidR="005B4A97">
        <w:rPr>
          <w:lang w:val="en-GB"/>
        </w:rPr>
        <w:t>labour</w:t>
      </w:r>
      <w:r w:rsidRPr="00D91870">
        <w:rPr>
          <w:lang w:val="en-GB"/>
        </w:rPr>
        <w:t xml:space="preserve"> markets and particularly specific skills; skills that are taught by higher education institutes, that distinguish certain national economies, can explain several major aspects of a welfare state’s economy. It is, as Lauder et al. (2008: 19) argue, one of the most clear statements within the varieties of capitalism approach because one variable (skill formation) has implications for the </w:t>
      </w:r>
      <w:r w:rsidR="005B4A97">
        <w:rPr>
          <w:lang w:val="en-GB"/>
        </w:rPr>
        <w:t>labour</w:t>
      </w:r>
      <w:r w:rsidRPr="00D91870">
        <w:rPr>
          <w:lang w:val="en-GB"/>
        </w:rPr>
        <w:t xml:space="preserve"> market and the organization of welfare institutions in the national economy on the whole.</w:t>
      </w:r>
    </w:p>
    <w:p w:rsidR="008F6921" w:rsidRPr="009D1068" w:rsidRDefault="00D91870" w:rsidP="00517554">
      <w:pPr>
        <w:pStyle w:val="NoSpacing"/>
        <w:rPr>
          <w:lang w:val="en-GB"/>
        </w:rPr>
      </w:pPr>
      <w:r w:rsidRPr="00D91870">
        <w:rPr>
          <w:lang w:val="en-GB"/>
        </w:rPr>
        <w:t>This paragraph will show that different types of social protection (for instance from unemployment), are institutionally complementary to the various skill formation possibilities. Assessing the skill formation organization of a state is important for this shapes the other institutions of that state (and the other way around). The central problem of this thesis, the slower pace at which the higher education system; the system producing the ‘skills’ is changing in the Netherlands in respect to the British higher education system, could be answered making use of this perspective</w:t>
      </w:r>
      <w:r w:rsidR="00797BB5" w:rsidRPr="009D1068">
        <w:rPr>
          <w:lang w:val="en-GB"/>
        </w:rPr>
        <w:t xml:space="preserve">. </w:t>
      </w:r>
      <w:r w:rsidRPr="00D91870">
        <w:rPr>
          <w:lang w:val="en-GB"/>
        </w:rPr>
        <w:t xml:space="preserve">Furthermore, this paragraph will delve deeper into the varieties of capitalism approach and will give a more general background to how this approach coops with higher education and the relation of higher education to the </w:t>
      </w:r>
      <w:r w:rsidR="005B4A97">
        <w:rPr>
          <w:lang w:val="en-GB"/>
        </w:rPr>
        <w:t>labour</w:t>
      </w:r>
      <w:r w:rsidRPr="00D91870">
        <w:rPr>
          <w:lang w:val="en-GB"/>
        </w:rPr>
        <w:t xml:space="preserve"> market. </w:t>
      </w:r>
    </w:p>
    <w:p w:rsidR="00797BB5" w:rsidRPr="009D1068" w:rsidRDefault="00D91870" w:rsidP="00517554">
      <w:pPr>
        <w:pStyle w:val="NoSpacing"/>
        <w:rPr>
          <w:lang w:val="en-GB"/>
        </w:rPr>
      </w:pPr>
      <w:r w:rsidRPr="00D91870">
        <w:rPr>
          <w:lang w:val="en-GB"/>
        </w:rPr>
        <w:t xml:space="preserve">One would expect that when the skill formation organization is changing, institutions such as wage-protection and unemployment protection would change as well. Powell &amp; Solga (2008: 3) state about this that strong supranational forces, however powerful, are not likely to transform these national complementarities between higher education systems and employment institutions. They continue by arguing that the organization of higher education is embedded within the economic and educational environment that have evolved together over time. The above formulated expectation would, however, surpass the expectation (of course) that these changes would not occur on the whole for all institutions are configured to the organization of a particular states economy and do not want this organization to change for they are complementary. </w:t>
      </w:r>
    </w:p>
    <w:p w:rsidR="00797BB5" w:rsidRPr="009D1068" w:rsidRDefault="00D91870" w:rsidP="00797BB5">
      <w:pPr>
        <w:pStyle w:val="NoSpacing"/>
        <w:rPr>
          <w:lang w:val="en-GB"/>
        </w:rPr>
      </w:pPr>
      <w:r w:rsidRPr="00D91870">
        <w:rPr>
          <w:lang w:val="en-GB"/>
        </w:rPr>
        <w:t>First, Estevez-Abe, Iversen, &amp; Soskice (2001) identify three types of skills for a workforce within a state. These skills are often taught at the university or higher vocational education level. They argue that the firms anticipate their product market strategy on the workforce within the state in which they operate for this workforce has a particular skill profile. Secondly, they argue that different types of social protection (protection from losing employment or wages) facilitate the propensity of individuals within an economy to invest in a particular skill. This determines the skill profile of an economy. The different skills Estevez-Abe et al. (2001) identify are 1) firm specific skills, 2) industry specific skills and 3) general skills. The distinction between these skills lies mainly in the asset specificity and the portability of the skills from one job to the other. The least portable of the three different types of skills are the firm-specific skills. These skills are acquired through on the job, specific training. Training that is valuable to the employer that facilitated this training and invaluable to other employers. An example of this is the training in the organizational structure and the different processes within the firm. These skills are not portable and therefore, both the employer and the employee must be able to find an added value of investing in this skill. Industry specific skills are skills that are mainly acquired through vocational training schools and apprenticeships (Estevez- Abe et al., 2001). These skills are certified and are therefore transferable: the skill can be used throughout the whole industry and is therefore not employer-specific. The third type of skill distinguished by Estevez- Abe et al. (2001) is general skills. These skills are valuable regardless of any type of firm or industry. These skills are recognized by all employers. It should, however, be noted that a production system contains, if working properly, all types of skills to a point, however, particular strategies can be characterized, according to Estevez- Abe et al. (2001: 148</w:t>
      </w:r>
      <w:r w:rsidRPr="00D91870">
        <w:rPr>
          <w:rStyle w:val="FootnoteReference"/>
          <w:lang w:val="en-GB"/>
        </w:rPr>
        <w:footnoteReference w:id="11"/>
      </w:r>
      <w:r w:rsidRPr="00D91870">
        <w:rPr>
          <w:lang w:val="en-GB"/>
        </w:rPr>
        <w:t xml:space="preserve">), based on the required skill profile that is required. </w:t>
      </w:r>
    </w:p>
    <w:p w:rsidR="00797BB5" w:rsidRPr="009D1068" w:rsidRDefault="00D91870" w:rsidP="0097595A">
      <w:pPr>
        <w:pStyle w:val="NoSpacing"/>
        <w:rPr>
          <w:lang w:val="en-GB"/>
        </w:rPr>
      </w:pPr>
      <w:r w:rsidRPr="00D91870">
        <w:rPr>
          <w:lang w:val="en-GB"/>
        </w:rPr>
        <w:t xml:space="preserve">The above can be seen as the perspective of the employer. But how about the perspective of the employee? Estevez-Abe et al. (2001) assume the following about the worker’s </w:t>
      </w:r>
      <w:r w:rsidR="005B4A97">
        <w:rPr>
          <w:lang w:val="en-GB"/>
        </w:rPr>
        <w:t>behaviour</w:t>
      </w:r>
      <w:r w:rsidRPr="00D91870">
        <w:rPr>
          <w:lang w:val="en-GB"/>
        </w:rPr>
        <w:t xml:space="preserve">. The worker’s </w:t>
      </w:r>
      <w:r w:rsidR="005B4A97">
        <w:rPr>
          <w:lang w:val="en-GB"/>
        </w:rPr>
        <w:t>behaviour</w:t>
      </w:r>
      <w:r w:rsidRPr="00D91870">
        <w:rPr>
          <w:lang w:val="en-GB"/>
        </w:rPr>
        <w:t xml:space="preserve"> is economically driven and is always a calculation of the return on investment. To be more concrete, a student can choose to start a university education towards a very specific skill, or instead a for instance higher vocation education towards more generic skills. This leads to three assumptions:(1) students are rational; they calculate the overall return on their educational investments before committing themselves. So, it is assumed that a student enrolls for a university, he or she chooses a study that will not only ensure him or her an overall return, but also the wages forgone during their years studying. One can therefore argue that they take a calculated ‘risk’. (2) people invest in the skills that are likely to generate a higher expected return (provided of course that the investments’ riskiness is identical. (3) Ceteris paribus, people are not likely to invest in skills with an uncertain future, for people are, as is assumed, risk-aversive (Estevez-Abe et al., 2001: 149)</w:t>
      </w:r>
    </w:p>
    <w:p w:rsidR="00797BB5" w:rsidRPr="009D1068" w:rsidRDefault="00D91870" w:rsidP="00797BB5">
      <w:pPr>
        <w:pStyle w:val="NoSpacing"/>
        <w:rPr>
          <w:lang w:val="en-GB"/>
        </w:rPr>
      </w:pPr>
      <w:r w:rsidRPr="00D91870">
        <w:rPr>
          <w:lang w:val="en-GB"/>
        </w:rPr>
        <w:t>These assumptions are accepted in the field of varieties of capitalism that focuses on the formation of skills and vocational training (e.g. Lauder et al. 2008; Kleinman &amp; Vallas 2001; Freeman &amp; Lazear, 1996). It is important to note that, in the absence of institutional interventions, it is never rational for an employee to invest his or her money or time in highly specific or industry and firm specific skills because he or she knows that there can be a certain job insecurity. A worker will not invest in skills that have no remunerative added value for other industries or other firms because if he or she becomes unemployed, the investments on this skill (1) will not generate a return. Therefore, an institutional intervention is critical in a capitalist economy that depends on industry or firm specific skills.</w:t>
      </w:r>
      <w:r w:rsidRPr="00D91870">
        <w:rPr>
          <w:rStyle w:val="FootnoteReference"/>
          <w:lang w:val="en-GB"/>
        </w:rPr>
        <w:footnoteReference w:id="12"/>
      </w:r>
    </w:p>
    <w:p w:rsidR="00797BB5" w:rsidRPr="009D1068" w:rsidRDefault="00D91870" w:rsidP="00797BB5">
      <w:pPr>
        <w:pStyle w:val="NoSpacing"/>
        <w:rPr>
          <w:lang w:val="en-GB"/>
        </w:rPr>
      </w:pPr>
      <w:r w:rsidRPr="00D91870">
        <w:rPr>
          <w:lang w:val="en-GB"/>
        </w:rPr>
        <w:t xml:space="preserve">First, firm specific skills require a high level of employment protection because the skills acquired by a worker are useless when he would lose the job. Without a sufficiently high level of employment protection, it would not be rational for workers to invest significant amounts of energy, time and money in this skill. Freeman and Lazear (1996) argue that workers will only invest in firm-specific skills if they are assured that they will keep their jobs long enough to see a return on their initial investment (ibid.). </w:t>
      </w:r>
    </w:p>
    <w:p w:rsidR="00797BB5" w:rsidRPr="009D1068" w:rsidRDefault="00D91870" w:rsidP="00797BB5">
      <w:pPr>
        <w:pStyle w:val="NoSpacing"/>
        <w:rPr>
          <w:lang w:val="en-GB"/>
        </w:rPr>
      </w:pPr>
      <w:r w:rsidRPr="00D91870">
        <w:rPr>
          <w:lang w:val="en-GB"/>
        </w:rPr>
        <w:t xml:space="preserve">The investment of a worker in industry specific skills is much safer than the investment in firm specific skills. The employment protection is less relevant because if a worker loses his or her job, he can apply at firms active within the industry because his skills do not solely bind him to a specific firm. They are also useful in the industry in which the worker was already occupied: he can move between firms. For industry specific skills (as can be seen in table 2.2), unemployment protection is an important institute. The protection of the so called ‘skilled wages’ are essential within an economy that primarily makes use of industry specific trained work force. Unemployment protection achieves this by helping to keep the skilled wages high and by allowing workers to turn down jobs that are not within the industry they are trained in. If there is no such unemployment protection institution and a worker is forced to take a job that is not industry specific, workers would be discouraged to invest in an education that leads towards industry-specific skills for they have no certainty that they will have a return on their initial investment (1). </w:t>
      </w:r>
      <w:r w:rsidR="00797BB5" w:rsidRPr="009D1068">
        <w:rPr>
          <w:lang w:val="en-GB"/>
        </w:rPr>
        <w:t>On the other hand, when there is generous unemployment protection, the worker is rewarded for his investment even when is out of a job for a period (Estevez- Abe, 2001). Furthermore, a high replacement ratio also facilitates the investment</w:t>
      </w:r>
      <w:r w:rsidRPr="00D91870">
        <w:rPr>
          <w:lang w:val="en-GB"/>
        </w:rPr>
        <w:t xml:space="preserve"> in industry specific skills because the worker that has been laid off by a certain firm, has a big chance of getting hired again within a limited timeframe and, if this is not the case, the worker is still not compelled to accept a job that does not lie within his or her core competencies. To summarize in the words of Estevez- Abe et al. (2001: 152) ‘unemployment </w:t>
      </w:r>
      <w:r w:rsidRPr="00D91870">
        <w:rPr>
          <w:iCs/>
          <w:lang w:val="en-GB"/>
        </w:rPr>
        <w:t>protection</w:t>
      </w:r>
      <w:r w:rsidR="00453949" w:rsidRPr="009D1068">
        <w:rPr>
          <w:iCs/>
          <w:lang w:val="en-GB"/>
        </w:rPr>
        <w:t xml:space="preserve"> </w:t>
      </w:r>
      <w:r w:rsidRPr="00D91870">
        <w:rPr>
          <w:lang w:val="en-GB"/>
        </w:rPr>
        <w:t>— a high replacement ratio and 'secure' benefits — guarantee return on skill investment sufficient to compensate for economic fluctuations’.</w:t>
      </w:r>
    </w:p>
    <w:p w:rsidR="00797BB5" w:rsidRPr="009D1068" w:rsidRDefault="00797BB5" w:rsidP="00797BB5">
      <w:pPr>
        <w:pStyle w:val="NoSpacing"/>
        <w:rPr>
          <w:lang w:val="en-GB"/>
        </w:rPr>
      </w:pPr>
      <w:r w:rsidRPr="009D1068">
        <w:rPr>
          <w:lang w:val="en-GB"/>
        </w:rPr>
        <w:t>Both the unemployment protection and the employment protection are an incentive for workers to invest in firm</w:t>
      </w:r>
      <w:r w:rsidR="00D91870" w:rsidRPr="00D91870">
        <w:rPr>
          <w:lang w:val="en-GB"/>
        </w:rPr>
        <w:t>- or industry-specific skills. If there is little or no protection against unemployment and employment, workers will invest in general skills, that might be relevant in a broad variety of jobs and industries.</w:t>
      </w:r>
      <w:r w:rsidR="00D91870" w:rsidRPr="00D91870">
        <w:rPr>
          <w:rStyle w:val="FootnoteReference"/>
          <w:lang w:val="en-GB"/>
        </w:rPr>
        <w:footnoteReference w:id="13"/>
      </w:r>
      <w:r w:rsidR="00D91870" w:rsidRPr="00D91870">
        <w:rPr>
          <w:lang w:val="en-GB"/>
        </w:rPr>
        <w:t xml:space="preserve"> This is the best insurance against insecurities on the </w:t>
      </w:r>
      <w:r w:rsidR="005B4A97">
        <w:rPr>
          <w:lang w:val="en-GB"/>
        </w:rPr>
        <w:t>labour</w:t>
      </w:r>
      <w:r w:rsidR="00D91870" w:rsidRPr="00D91870">
        <w:rPr>
          <w:lang w:val="en-GB"/>
        </w:rPr>
        <w:t xml:space="preserve"> market a worker can get. Further, if general skills are most needed for firms in order to pursue their product market strategy, this might lead to a competitive edge when there are no institutions that prevents them from being flexible with their workforce (Busemeyer, 2009 and Estevez et al., 2001).</w:t>
      </w:r>
    </w:p>
    <w:p w:rsidR="00797BB5" w:rsidRPr="009D1068" w:rsidRDefault="00D91870" w:rsidP="00797BB5">
      <w:pPr>
        <w:pStyle w:val="NoSpacing"/>
        <w:rPr>
          <w:lang w:val="en-GB"/>
        </w:rPr>
      </w:pPr>
      <w:r w:rsidRPr="00D91870">
        <w:rPr>
          <w:lang w:val="en-GB"/>
        </w:rPr>
        <w:t xml:space="preserve">The third institute identified by Estevez-Abe et al. (2001) is wage protection. Wage protection ‘reinforces the effects of </w:t>
      </w:r>
      <w:r w:rsidRPr="00D91870">
        <w:rPr>
          <w:iCs/>
          <w:lang w:val="en-GB"/>
        </w:rPr>
        <w:t xml:space="preserve">employment </w:t>
      </w:r>
      <w:r w:rsidRPr="00D91870">
        <w:rPr>
          <w:lang w:val="en-GB"/>
        </w:rPr>
        <w:t xml:space="preserve">and </w:t>
      </w:r>
      <w:r w:rsidRPr="00D91870">
        <w:rPr>
          <w:iCs/>
          <w:lang w:val="en-GB"/>
        </w:rPr>
        <w:t xml:space="preserve">unemployment protection </w:t>
      </w:r>
      <w:r w:rsidRPr="00D91870">
        <w:rPr>
          <w:lang w:val="en-GB"/>
        </w:rPr>
        <w:t xml:space="preserve">by reducing the risk that the wage levels for specific skills might drop radically in the future. In other words, wage </w:t>
      </w:r>
      <w:r w:rsidRPr="00D91870">
        <w:rPr>
          <w:iCs/>
          <w:lang w:val="en-GB"/>
        </w:rPr>
        <w:t xml:space="preserve">protection </w:t>
      </w:r>
      <w:r w:rsidRPr="00D91870">
        <w:rPr>
          <w:lang w:val="en-GB"/>
        </w:rPr>
        <w:t>makes it possible for workers to calculate viable lifelong earnings if they were to invest in specific skills’</w:t>
      </w:r>
      <w:r w:rsidR="00E51DDD" w:rsidRPr="00E51DDD">
        <w:rPr>
          <w:lang w:val="en-GB"/>
        </w:rPr>
        <w:t xml:space="preserve"> </w:t>
      </w:r>
      <w:r w:rsidR="00E51DDD">
        <w:rPr>
          <w:lang w:val="en-GB"/>
        </w:rPr>
        <w:t>(ibid.: 153).</w:t>
      </w:r>
      <w:r w:rsidR="00797BB5" w:rsidRPr="009D1068">
        <w:rPr>
          <w:lang w:val="en-GB"/>
        </w:rPr>
        <w:t xml:space="preserve"> A </w:t>
      </w:r>
      <w:r w:rsidRPr="00D91870">
        <w:rPr>
          <w:lang w:val="en-GB"/>
        </w:rPr>
        <w:t>well-organized wage protection institute within a state enables workers to make calculations on the return on the investment in skill</w:t>
      </w:r>
      <w:r w:rsidR="00E51DDD">
        <w:rPr>
          <w:lang w:val="en-GB"/>
        </w:rPr>
        <w:t>.</w:t>
      </w:r>
      <w:r w:rsidRPr="00D91870">
        <w:rPr>
          <w:rStyle w:val="FootnoteReference"/>
          <w:lang w:val="en-GB"/>
        </w:rPr>
        <w:footnoteReference w:id="14"/>
      </w:r>
      <w:r w:rsidRPr="00D91870">
        <w:rPr>
          <w:lang w:val="en-GB"/>
        </w:rPr>
        <w:t xml:space="preserve"> </w:t>
      </w:r>
    </w:p>
    <w:p w:rsidR="00797BB5" w:rsidRPr="009D1068" w:rsidRDefault="00D91870" w:rsidP="00797BB5">
      <w:pPr>
        <w:pStyle w:val="NoSpacing"/>
        <w:rPr>
          <w:lang w:val="en-GB"/>
        </w:rPr>
      </w:pPr>
      <w:r w:rsidRPr="00D91870">
        <w:rPr>
          <w:lang w:val="en-GB"/>
        </w:rPr>
        <w:t xml:space="preserve">The skill profiles described above have significant implications for the output of a state’s economy. Hall and Soskice are famous for pointing out why coordinated market economies have mostly incremental innovations and why liberal market economies often produce radical innovations. Estevez-Abe (2001) uses the example of </w:t>
      </w:r>
      <w:r w:rsidR="00E51DDD" w:rsidRPr="00D91870">
        <w:rPr>
          <w:lang w:val="en-GB"/>
        </w:rPr>
        <w:t>start-up</w:t>
      </w:r>
      <w:r w:rsidRPr="00D91870">
        <w:rPr>
          <w:lang w:val="en-GB"/>
        </w:rPr>
        <w:t xml:space="preserve"> companies in the United States. They benefit from the very flexible </w:t>
      </w:r>
      <w:r w:rsidR="005B4A97">
        <w:rPr>
          <w:lang w:val="en-GB"/>
        </w:rPr>
        <w:t>labour</w:t>
      </w:r>
      <w:r w:rsidRPr="00D91870">
        <w:rPr>
          <w:lang w:val="en-GB"/>
        </w:rPr>
        <w:t xml:space="preserve"> market of university-educated workers that have excellent general skills in combination with a lot of experience in the field. This combination of skills and experience can lead more easily to radical innovations such as the innovations coming from the Silicon Valley. The innovations in a CME are often more incremental.</w:t>
      </w:r>
    </w:p>
    <w:p w:rsidR="00797BB5" w:rsidRPr="009D1068" w:rsidRDefault="00D91870" w:rsidP="00797BB5">
      <w:pPr>
        <w:pStyle w:val="NoSpacing"/>
        <w:rPr>
          <w:lang w:val="en-GB"/>
        </w:rPr>
      </w:pPr>
      <w:r w:rsidRPr="00D91870">
        <w:rPr>
          <w:lang w:val="en-GB"/>
        </w:rPr>
        <w:t xml:space="preserve">Further, another </w:t>
      </w:r>
      <w:r w:rsidR="00056601" w:rsidRPr="009D1068">
        <w:rPr>
          <w:lang w:val="en-GB"/>
        </w:rPr>
        <w:t xml:space="preserve">significant </w:t>
      </w:r>
      <w:r w:rsidRPr="00D91870">
        <w:rPr>
          <w:lang w:val="en-GB"/>
        </w:rPr>
        <w:t xml:space="preserve">implication of these different welfare production regimes is that they produce different kinds of inequality. This is best summarized by Lauder, Brown and Ashton (2008: 21) who argue that for low-achieving students, training systems that are highly developed for industry or firm specific skills (found in CMEs), are likely to provide the best opportunities for students to gain a particular skill that employers are willing to protect. This in contrast to the training systems in a LME </w:t>
      </w:r>
      <w:r w:rsidR="00517554" w:rsidRPr="009D1068">
        <w:rPr>
          <w:lang w:val="en-GB"/>
        </w:rPr>
        <w:t xml:space="preserve">where low achievers in the flexible (less protected) </w:t>
      </w:r>
      <w:r w:rsidR="005B4A97">
        <w:rPr>
          <w:lang w:val="en-GB"/>
        </w:rPr>
        <w:t>labour</w:t>
      </w:r>
      <w:r w:rsidR="00517554" w:rsidRPr="009D1068">
        <w:rPr>
          <w:lang w:val="en-GB"/>
        </w:rPr>
        <w:t xml:space="preserve"> market are likely to have greater possibility of lower wages. They continue by stating that in 2007, 23 percent of</w:t>
      </w:r>
      <w:r w:rsidRPr="00D91870">
        <w:rPr>
          <w:lang w:val="en-GB"/>
        </w:rPr>
        <w:t xml:space="preserve"> the British employees where low-paid – a salary lower than two thirds the median income.</w:t>
      </w:r>
    </w:p>
    <w:p w:rsidR="00797BB5" w:rsidRPr="009D1068" w:rsidRDefault="00D91870" w:rsidP="00797BB5">
      <w:pPr>
        <w:pStyle w:val="NoSpacing"/>
        <w:rPr>
          <w:lang w:val="en-GB"/>
        </w:rPr>
      </w:pPr>
      <w:r w:rsidRPr="00D91870">
        <w:rPr>
          <w:lang w:val="en-GB"/>
        </w:rPr>
        <w:t>In the conclusion of their chapter Estevez et al. (2001) argue that two factors can be distinguished that are instrumental for the resilience of these particular welfare production regimes. Firstly, the regimes tend to be enforced by the institutions such as employee representation and collective wage bargaining systems because these institutions facilitate the commitment of the actors to the strategies that are formed (or that already exist) within the economy. For example, long-term employment is a necessity for the sustainability of cooperation within the provision of certain particular, specific skills. Secondly, the employees and the employers that have the biggest advantages by these institutional complementarities usually have rather strong political positions. Estevez et al. (ibid.: 182) give the example of a welfare state economy that emphasizes the creation of specific skills. A median voter within that economy is likely to also have invested in specific skills. The same goes for the employers side. This side within this economy is likely to be dominated by firms that pursue specific skill strategies. Both the employee organization and the employers organization will contribute to institutions that benefit workers and companies that have invested heavy in specific skills.</w:t>
      </w:r>
    </w:p>
    <w:p w:rsidR="00797BB5" w:rsidRPr="009D1068" w:rsidRDefault="00D91870" w:rsidP="00797BB5">
      <w:pPr>
        <w:pStyle w:val="Heading3"/>
        <w:numPr>
          <w:ilvl w:val="2"/>
          <w:numId w:val="3"/>
        </w:numPr>
        <w:rPr>
          <w:lang w:val="en-GB"/>
        </w:rPr>
      </w:pPr>
      <w:bookmarkStart w:id="40" w:name="_Toc391510179"/>
      <w:bookmarkStart w:id="41" w:name="_Toc396045600"/>
      <w:r w:rsidRPr="00D91870">
        <w:rPr>
          <w:lang w:val="en-GB"/>
        </w:rPr>
        <w:t>Varieties of Capitalism and globalization</w:t>
      </w:r>
      <w:bookmarkEnd w:id="40"/>
      <w:bookmarkEnd w:id="41"/>
    </w:p>
    <w:p w:rsidR="00600E76" w:rsidRPr="009D1068" w:rsidRDefault="00D91870" w:rsidP="00DD7D0C">
      <w:pPr>
        <w:pStyle w:val="NoSpacing"/>
        <w:ind w:firstLine="0"/>
        <w:rPr>
          <w:lang w:val="en-GB"/>
        </w:rPr>
      </w:pPr>
      <w:r w:rsidRPr="00D91870">
        <w:rPr>
          <w:lang w:val="en-GB"/>
        </w:rPr>
        <w:t xml:space="preserve">Reform strategies of tertiary education have been linked to globalizations by governments all around the western world (OECD, 2003; Naidoo, 2003 etc.). A significant change in the approach towards universities and (university) education can be unveiled since the 1980s. Due to globalization, nation state economies have become more interconnected than before. This process will likely continue in the future because of the acceleration of information technologies such as for instance the instant communication all around the world and the institutionalization of the Post Fordist working practices, a new sort of economy can be seen in the Western World (Naido, 2003). This ‘knowledge economy’ is the result of the trend of abandoning manual labour, the production of material goods in developed countries towards a more immaterial, scientific economy which derives its merit from development, science, research and innovation. </w:t>
      </w:r>
    </w:p>
    <w:p w:rsidR="00600E76" w:rsidRPr="009D1068" w:rsidRDefault="00D91870" w:rsidP="00DD7D0C">
      <w:pPr>
        <w:pStyle w:val="NoSpacing"/>
        <w:rPr>
          <w:lang w:val="en-GB"/>
        </w:rPr>
      </w:pPr>
      <w:r w:rsidRPr="00D91870">
        <w:rPr>
          <w:lang w:val="en-GB"/>
        </w:rPr>
        <w:t>Globalization is everywhere and is best defined by David Held (1999: 14-15). He states that globalization refers to the deepening, the widening and the speeding up of the global interconnection. It can be seen as a continuum with on the one end the social and economic networks and relations that are organized on a national and local basis, and on the other end the economic and social relations and networks that lie on the wider scale of global interactions. The general linkage of human activity across regions, states and continents. Anthony Giddens (1991: 64) defines globalization more generally as the intensification of the social relations on a worldwide scale, linking distant places with local happenings in a manner events are shaped by occurrences thousands of miles away and vice versa.</w:t>
      </w:r>
    </w:p>
    <w:p w:rsidR="00797BB5" w:rsidRPr="009D1068" w:rsidRDefault="00D91870" w:rsidP="00600E76">
      <w:pPr>
        <w:pStyle w:val="NoSpacing"/>
        <w:rPr>
          <w:lang w:val="en-GB"/>
        </w:rPr>
      </w:pPr>
      <w:r w:rsidRPr="00D91870">
        <w:rPr>
          <w:lang w:val="en-GB"/>
        </w:rPr>
        <w:t xml:space="preserve">Lauder et al. (2008) and Graf (2009: 577) argue that the varieties of capitalism approach as depicted by Hall and Soskice and, to be more precise the part in their book written by Estevez-Abe, Torben, Iversen and Soskice (2001), disregards the strong forces of globalization. Lauder et al. (2008) go even further and argue that the utilization of skills is fundamentally changing and that this is a result of the changing nature of firms that increasingly operate abroad (and thus within other capitalist economic logics). </w:t>
      </w:r>
    </w:p>
    <w:p w:rsidR="00797BB5" w:rsidRPr="009D1068" w:rsidRDefault="00D91870" w:rsidP="00797BB5">
      <w:pPr>
        <w:pStyle w:val="NoSpacing"/>
        <w:rPr>
          <w:lang w:val="en-GB"/>
        </w:rPr>
      </w:pPr>
      <w:r w:rsidRPr="00D91870">
        <w:rPr>
          <w:lang w:val="en-GB"/>
        </w:rPr>
        <w:t xml:space="preserve">Before delving deeper into the implications of globalization in relation to higher education and training, it seems important to understand how Hall and Soskice interpreted globalization and why their view of globalization has been criticized. The technological innovations and the increasingly lower costs of transportation and communication all over the world captured in the, as Hall and Soskice (2001: 55) argue ‘the watchword </w:t>
      </w:r>
      <w:r w:rsidRPr="00D91870">
        <w:rPr>
          <w:i/>
          <w:lang w:val="en-GB"/>
        </w:rPr>
        <w:t>globalization’</w:t>
      </w:r>
      <w:r w:rsidRPr="00D91870">
        <w:rPr>
          <w:lang w:val="en-GB"/>
        </w:rPr>
        <w:t xml:space="preserve">, can possibly have gigantic implications for the topic at hand: the changes in higher educational systems in LME’s and CME’s. </w:t>
      </w:r>
    </w:p>
    <w:p w:rsidR="00797BB5" w:rsidRPr="009D1068" w:rsidRDefault="00D91870" w:rsidP="00797BB5">
      <w:pPr>
        <w:pStyle w:val="NoSpacing"/>
        <w:rPr>
          <w:lang w:val="en-GB"/>
        </w:rPr>
      </w:pPr>
      <w:r w:rsidRPr="00D91870">
        <w:rPr>
          <w:lang w:val="en-GB"/>
        </w:rPr>
        <w:t xml:space="preserve">First of all, Hall and Soskice (ibid.: 56) recognize the effects of globalization. They argue that due to the declining transport and communication costs, new flows of goods, information and capital across the national borders have become the reality. Developed economies are nowadays much more open than in the 1980s and the growing international competition has grave implications for firms. They continue by arguing that the conventional view of globalization that is prominent in the literature (ibid.) is built on three pillars: First, it regards firms in essence as similar across states in terms of their basic structure and their basis strategies. Second, it sees the competitiveness of these firms only in the light of a firm’s </w:t>
      </w:r>
      <w:r w:rsidR="005B4A97">
        <w:rPr>
          <w:lang w:val="en-GB"/>
        </w:rPr>
        <w:t>labour</w:t>
      </w:r>
      <w:r w:rsidRPr="00D91870">
        <w:rPr>
          <w:lang w:val="en-GB"/>
        </w:rPr>
        <w:t xml:space="preserve"> costs: if the production can be cheaper in another state, a firm will move its production towards that other state (from which the logical expectation is that all firms will move their production) and third, the first and the second pillar facilitate, or even generate a particular model of politics that is inspired by these globalization ‘trends’. The above named pillars are forcing governments to change their regulatory frameworks that regulated the </w:t>
      </w:r>
      <w:r w:rsidR="005B4A97">
        <w:rPr>
          <w:lang w:val="en-GB"/>
        </w:rPr>
        <w:t>labour</w:t>
      </w:r>
      <w:r w:rsidRPr="00D91870">
        <w:rPr>
          <w:lang w:val="en-GB"/>
        </w:rPr>
        <w:t xml:space="preserve"> costs or the employment protection in order to make it less attractive for firms to move their production. They continue by arguing that the opposition to these regulatory changes comes from the political resistance of </w:t>
      </w:r>
      <w:r w:rsidR="005B4A97">
        <w:rPr>
          <w:lang w:val="en-GB"/>
        </w:rPr>
        <w:t>labour</w:t>
      </w:r>
      <w:r w:rsidRPr="00D91870">
        <w:rPr>
          <w:lang w:val="en-GB"/>
        </w:rPr>
        <w:t xml:space="preserve"> unions or social democratic parties (‘the left’). However, the international interdependence is providing capital with more opportunities to exit a state than for instance </w:t>
      </w:r>
      <w:r w:rsidR="005B4A97">
        <w:rPr>
          <w:lang w:val="en-GB"/>
        </w:rPr>
        <w:t>labour</w:t>
      </w:r>
      <w:r w:rsidRPr="00D91870">
        <w:rPr>
          <w:lang w:val="en-GB"/>
        </w:rPr>
        <w:t xml:space="preserve"> and therefore, ‘the balance of power is said to have shifted dramatically towards capital</w:t>
      </w:r>
      <w:r w:rsidRPr="00D91870">
        <w:rPr>
          <w:i/>
          <w:lang w:val="en-GB"/>
        </w:rPr>
        <w:t xml:space="preserve">’ </w:t>
      </w:r>
      <w:r w:rsidRPr="00D91870">
        <w:rPr>
          <w:lang w:val="en-GB"/>
        </w:rPr>
        <w:t>(ibid.: 56). This inspires deregulation and therefore a sort of convergence of institutions across the world and, in theory, the convergence of LME’s with CME’s.</w:t>
      </w:r>
      <w:r w:rsidRPr="00D91870">
        <w:rPr>
          <w:rStyle w:val="FootnoteReference"/>
          <w:lang w:val="en-GB"/>
        </w:rPr>
        <w:footnoteReference w:id="15"/>
      </w:r>
      <w:r w:rsidRPr="00D91870">
        <w:rPr>
          <w:lang w:val="en-GB"/>
        </w:rPr>
        <w:t xml:space="preserve"> </w:t>
      </w:r>
    </w:p>
    <w:p w:rsidR="00797BB5" w:rsidRPr="009D1068" w:rsidRDefault="00D91870" w:rsidP="00797BB5">
      <w:pPr>
        <w:pStyle w:val="NoSpacing"/>
        <w:rPr>
          <w:lang w:val="en-GB"/>
        </w:rPr>
      </w:pPr>
      <w:r w:rsidRPr="00D91870">
        <w:rPr>
          <w:lang w:val="en-GB"/>
        </w:rPr>
        <w:t xml:space="preserve">The critique Hall and Soskice have on the above named pillars is that they do not regard firms as similar in essence (1). Firms in CME’s and LME’s have developed different strategies and have a different structure and will, therefore, respond differently to similar changes (Knetter, 1989). Furthermore, Hall and Soskice (2001: 56-57) do not think that firms will automatically move their production lines offshore only because the wages are lower. Their approach is centered around the fact that firms facilitate the capitalist logic and, and this is more relevant for CME’s, have competitive advantages by a specific skilled </w:t>
      </w:r>
      <w:r w:rsidR="005B4A97">
        <w:rPr>
          <w:lang w:val="en-GB"/>
        </w:rPr>
        <w:t>labour</w:t>
      </w:r>
      <w:r w:rsidRPr="00D91870">
        <w:rPr>
          <w:lang w:val="en-GB"/>
        </w:rPr>
        <w:t xml:space="preserve"> force. Firms will be reluctant to give up an exquisite </w:t>
      </w:r>
      <w:r w:rsidR="005B4A97">
        <w:rPr>
          <w:lang w:val="en-GB"/>
        </w:rPr>
        <w:t>labour</w:t>
      </w:r>
      <w:r w:rsidRPr="00D91870">
        <w:rPr>
          <w:lang w:val="en-GB"/>
        </w:rPr>
        <w:t xml:space="preserve"> force only for lower wages. Of course Hall and Soskice do recognize the fact that for some production activities, lower wages are convincing enough for the board of a firm to move their production elsewhere. They are also open to the possibility of firms moving parts of their production line to lower wage states.</w:t>
      </w:r>
    </w:p>
    <w:p w:rsidR="00797BB5" w:rsidRPr="009D1068" w:rsidRDefault="00D91870" w:rsidP="00797BB5">
      <w:pPr>
        <w:pStyle w:val="NoSpacing"/>
        <w:rPr>
          <w:rFonts w:ascii="Sylfaen" w:hAnsi="Sylfaen"/>
          <w:lang w:val="en-GB"/>
        </w:rPr>
      </w:pPr>
      <w:r w:rsidRPr="00D91870">
        <w:rPr>
          <w:lang w:val="en-GB"/>
        </w:rPr>
        <w:t xml:space="preserve">An intriguing aspect of the approach towards globalization of Hall and Soskice is the fact that they are able to come up with arguments why globalization can ‘exist’ side by side with their models of LMEs and CME’s. They call this concept </w:t>
      </w:r>
      <w:r w:rsidRPr="00D91870">
        <w:rPr>
          <w:i/>
          <w:lang w:val="en-GB"/>
        </w:rPr>
        <w:t>institutional arbitrage</w:t>
      </w:r>
      <w:r w:rsidRPr="00D91870">
        <w:rPr>
          <w:lang w:val="en-GB"/>
        </w:rPr>
        <w:t>. This concept entails that firms can secure the advantages of the different institutional frameworks of the political economies. For instance, due to the fact that, according to the varieties of capitalism approach, LME’s have more radical innovations and CME’s have more incremental innovation, firms that act within one logic, can use the framework of an economy within another logic, to their advantage</w:t>
      </w:r>
      <w:r w:rsidR="00B02DB6" w:rsidRPr="009D1068">
        <w:rPr>
          <w:lang w:val="en-GB"/>
        </w:rPr>
        <w:t>.</w:t>
      </w:r>
      <w:r w:rsidRPr="00D91870">
        <w:rPr>
          <w:rStyle w:val="FootnoteReference"/>
          <w:lang w:val="en-GB"/>
        </w:rPr>
        <w:footnoteReference w:id="16"/>
      </w:r>
      <w:r w:rsidRPr="00D91870">
        <w:rPr>
          <w:lang w:val="en-GB"/>
        </w:rPr>
        <w:t xml:space="preserve"> Hanké (2001: 4) summarizes this by arguing that globalization often reinforces the institutional advantages because foreign direct investments (FDI) flow to locations that are rich in specific assets and these depend on the requirements of investors. He continues by arguing that the CME’s and the LME’s will likely be located at different points in the industrial production chain and that these, therefore, </w:t>
      </w:r>
      <w:r w:rsidRPr="00D91870">
        <w:rPr>
          <w:i/>
          <w:lang w:val="en-GB"/>
        </w:rPr>
        <w:t>enforce</w:t>
      </w:r>
      <w:r w:rsidRPr="00D91870">
        <w:rPr>
          <w:lang w:val="en-GB"/>
        </w:rPr>
        <w:t xml:space="preserve"> the logic of the system.</w:t>
      </w:r>
    </w:p>
    <w:p w:rsidR="00797BB5" w:rsidRPr="009D1068" w:rsidRDefault="00D91870" w:rsidP="00797BB5">
      <w:pPr>
        <w:pStyle w:val="NoSpacing"/>
        <w:rPr>
          <w:lang w:val="en-GB"/>
        </w:rPr>
      </w:pPr>
      <w:r w:rsidRPr="00D91870">
        <w:rPr>
          <w:lang w:val="en-GB"/>
        </w:rPr>
        <w:t xml:space="preserve">Hall and Soskice (2001: 58) conclude their remarks about globalization with the prediction that LME’s will witness increased and widespread deregulations. Trade unions will be weakened by business initiatives and universities and other higher education institutes will become more autonomous and will be regulated less by the state. This has big implications for, for instance, studies that do not have a short-term profit perspective (such as the humanities). These studies are less attractive for a university to offer because they cost more than they produce in terms of economic gains. Higher tuition fees will be a (possible) result for the private sector will have less (or no) demand for these studies. Hall and Soskice use OECD statistics (of for instance the trade union density in LME in respect to CME) as prove for their statements; the UK, the US, New Zealand, Canada and Australia have all witnessed far-reaching deregulation (ibid.: 59). CME’s, where the cross-class coalitions are far stronger, have helped preserve their employment and wage institutions, and are therefore much less influenced. </w:t>
      </w:r>
    </w:p>
    <w:p w:rsidR="00797BB5" w:rsidRPr="009D1068" w:rsidRDefault="00D91870" w:rsidP="00797BB5">
      <w:pPr>
        <w:pStyle w:val="NoSpacing"/>
        <w:rPr>
          <w:lang w:val="en-GB"/>
        </w:rPr>
      </w:pPr>
      <w:r w:rsidRPr="00D91870">
        <w:rPr>
          <w:lang w:val="en-GB"/>
        </w:rPr>
        <w:t>This leads to the expectation that if a higher education institute is located in a coordinated market economy such as the Netherlands, these institutions will be less influenced by globalization than their Liberal market counterparts.</w:t>
      </w:r>
    </w:p>
    <w:p w:rsidR="00797BB5" w:rsidRPr="009D1068" w:rsidRDefault="00D91870" w:rsidP="00797BB5">
      <w:pPr>
        <w:pStyle w:val="NoSpacing"/>
        <w:rPr>
          <w:lang w:val="en-GB"/>
        </w:rPr>
      </w:pPr>
      <w:r w:rsidRPr="00D91870">
        <w:rPr>
          <w:lang w:val="en-GB"/>
        </w:rPr>
        <w:t xml:space="preserve">It is important to note that, as argued by Lauder (2008), that the above described skill formations and the institutions that facilitate these formations, do retain all the aspects of globalization as depicted by Hall and Soskice. </w:t>
      </w:r>
    </w:p>
    <w:p w:rsidR="00797BB5" w:rsidRPr="009D1068" w:rsidRDefault="00D91870" w:rsidP="00797BB5">
      <w:pPr>
        <w:pStyle w:val="NoSpacing"/>
        <w:rPr>
          <w:lang w:val="en-GB"/>
        </w:rPr>
      </w:pPr>
      <w:r w:rsidRPr="00D91870">
        <w:rPr>
          <w:lang w:val="en-GB"/>
        </w:rPr>
        <w:t xml:space="preserve">Graf (2008: 22) argues that, given the fact that universities face a set of coordinating institutional spheres of which they may only be able to define to a limited extent, universities are expected to focus their internationalization strategies in such a way that they are in line with the comparative institutional advantages that are provided by the higher education system of which they are a part. Other strategies would require adjustments in the </w:t>
      </w:r>
      <w:r w:rsidR="00505B73" w:rsidRPr="00D91870">
        <w:rPr>
          <w:lang w:val="en-GB"/>
        </w:rPr>
        <w:t>neighbouring</w:t>
      </w:r>
      <w:r w:rsidRPr="00D91870">
        <w:rPr>
          <w:lang w:val="en-GB"/>
        </w:rPr>
        <w:t xml:space="preserve"> institutional spheres and would therefore increase the cost of change across the board. The comparative institutional advantages of the respective higher education system, are based on the institutional complementarities of the state’s economy and whether there is institutional support for which type of coordination. This resembles the path dependency of certain other International relations (meta-)theories such as historical institutionalism. </w:t>
      </w:r>
    </w:p>
    <w:p w:rsidR="00797BB5" w:rsidRDefault="00D91870" w:rsidP="00797BB5">
      <w:pPr>
        <w:pStyle w:val="NoSpacing"/>
        <w:rPr>
          <w:lang w:val="en-GB"/>
        </w:rPr>
      </w:pPr>
      <w:r w:rsidRPr="00D91870">
        <w:rPr>
          <w:lang w:val="en-GB"/>
        </w:rPr>
        <w:t>Before elaborating on the criticisms of the varieties of capitalism approach it seems important to look at the general expectations of the varieties of capitalism approach on the higher education organization. As argued earlier, institutions within a certain capitalist economy logic will not divert towards the other logic. The expectation is therefore that the organization of higher education within a coordinated market economy will not divert towards a liberal market economy type of organization for there is no single best practice. If the higher education system of the Netherlands is diverging in a way similar to (and towards) the UK model, then this expectation is not met.</w:t>
      </w:r>
      <w:r w:rsidR="00C12A20">
        <w:rPr>
          <w:lang w:val="en-GB"/>
        </w:rPr>
        <w:t xml:space="preserve"> </w:t>
      </w:r>
      <w:r w:rsidRPr="00D91870">
        <w:rPr>
          <w:lang w:val="en-GB"/>
        </w:rPr>
        <w:t xml:space="preserve">Moreover, this would pose a problem for the varieties of capitalism approach, as presented by Hall and Soskice (2001) in general.  </w:t>
      </w:r>
    </w:p>
    <w:p w:rsidR="00797BB5" w:rsidRPr="009D1068" w:rsidRDefault="00D91870" w:rsidP="00797BB5">
      <w:pPr>
        <w:pStyle w:val="Heading3"/>
        <w:numPr>
          <w:ilvl w:val="2"/>
          <w:numId w:val="3"/>
        </w:numPr>
        <w:rPr>
          <w:lang w:val="en-GB"/>
        </w:rPr>
      </w:pPr>
      <w:bookmarkStart w:id="42" w:name="_Toc391510180"/>
      <w:bookmarkStart w:id="43" w:name="_Toc396045601"/>
      <w:r w:rsidRPr="00D91870">
        <w:rPr>
          <w:lang w:val="en-GB"/>
        </w:rPr>
        <w:t>Criticisms on the Varieties of Capitalism approach (in respect to skill formation)</w:t>
      </w:r>
      <w:bookmarkEnd w:id="42"/>
      <w:bookmarkEnd w:id="43"/>
    </w:p>
    <w:p w:rsidR="00797BB5" w:rsidRPr="009D1068" w:rsidRDefault="00D91870" w:rsidP="00797BB5">
      <w:pPr>
        <w:pStyle w:val="NoSpacing"/>
        <w:ind w:firstLine="0"/>
        <w:rPr>
          <w:lang w:val="en-GB"/>
        </w:rPr>
      </w:pPr>
      <w:r w:rsidRPr="00D91870">
        <w:rPr>
          <w:lang w:val="en-GB"/>
        </w:rPr>
        <w:t xml:space="preserve">Varieties of capitalism is a rather new way of approaching issues of global political economy and, as every new theory, has encountered much criticism. However, and this is line with the argument made by Lukas Graf (2008: 14), there has not been much criticism on the varieties of capitalism approach regarding the educational systems. Graf even goes as far as arguing that ‘the perspective varieties of capitalism opens up on skill formation systems in advanced political economies is considered one of the major strengths of varieties of capitalism’. </w:t>
      </w:r>
    </w:p>
    <w:p w:rsidR="00797BB5" w:rsidRPr="009D1068" w:rsidRDefault="00D91870" w:rsidP="003A7624">
      <w:pPr>
        <w:pStyle w:val="NoSpacing"/>
        <w:rPr>
          <w:lang w:val="en-GB"/>
        </w:rPr>
      </w:pPr>
      <w:r w:rsidRPr="00D91870">
        <w:rPr>
          <w:lang w:val="en-GB"/>
        </w:rPr>
        <w:t xml:space="preserve">The biggest criticism in regard to skill formation systems that the varieties of capitalist theory faces is the fact that the approach treats states as sealed </w:t>
      </w:r>
      <w:r w:rsidR="00797BB5" w:rsidRPr="009D1068">
        <w:rPr>
          <w:lang w:val="en-GB"/>
        </w:rPr>
        <w:t>actors (Graf, 2008). Actors that e</w:t>
      </w:r>
      <w:r w:rsidRPr="00D91870">
        <w:rPr>
          <w:lang w:val="en-GB"/>
        </w:rPr>
        <w:t>xist in a system of states in which every state is subject to its own capitalist logic. Lauder et al. (2008: 26) argue that they have developed the notion of ‘digital Taylorism’; a change that can be witnessed that involves that standardization of processes, products and people that has rendered the innovation process into a set of particular routines that requires some education, ‘but not the kind of creativity and independence of judgment that is often associated with the knowledge economy’ (ibid.)</w:t>
      </w:r>
      <w:r w:rsidRPr="00D91870">
        <w:rPr>
          <w:rStyle w:val="FootnoteReference"/>
          <w:vertAlign w:val="baseline"/>
          <w:lang w:val="en-GB"/>
        </w:rPr>
        <w:footnoteReference w:id="17"/>
      </w:r>
      <w:r w:rsidRPr="00D91870">
        <w:rPr>
          <w:lang w:val="en-GB"/>
        </w:rPr>
        <w:t xml:space="preserve">. </w:t>
      </w:r>
    </w:p>
    <w:p w:rsidR="00797BB5" w:rsidRPr="009D1068" w:rsidRDefault="00D91870" w:rsidP="009C438F">
      <w:pPr>
        <w:pStyle w:val="NoSpacing"/>
        <w:rPr>
          <w:lang w:val="en-GB"/>
        </w:rPr>
      </w:pPr>
      <w:r w:rsidRPr="00D91870">
        <w:rPr>
          <w:lang w:val="en-GB"/>
        </w:rPr>
        <w:t>With regard to higher education systems, Nolke and Taylor (2007) have argued that of all the capitalist institutions, the education and training systems are the least affected by the pressures of globalization because domestic policies are still playing the dominant role. This is challenged by Lauder et al. (2011: 25). They state that due to the rise of a global skill regime, governments are forced to adjust their higher education systems because in the past, the highly valued skills were always embedded within a certain context, a context that gave unions and the workers power. Nowadays, ‘once skills can be disembedded and constructed more or less anywhere’</w:t>
      </w:r>
      <w:r w:rsidR="00C12A20">
        <w:rPr>
          <w:lang w:val="en-GB"/>
        </w:rPr>
        <w:t xml:space="preserve"> (ibid.)</w:t>
      </w:r>
      <w:r w:rsidR="00797BB5" w:rsidRPr="009D1068">
        <w:rPr>
          <w:lang w:val="en-GB"/>
        </w:rPr>
        <w:t>, governments are not as free in deciding how the</w:t>
      </w:r>
      <w:r w:rsidRPr="00D91870">
        <w:rPr>
          <w:lang w:val="en-GB"/>
        </w:rPr>
        <w:t xml:space="preserve">se institutions are organized as they once were. Highly educated individuals do not necessarily have to be educated by the state itself. </w:t>
      </w:r>
    </w:p>
    <w:p w:rsidR="00797BB5" w:rsidRPr="009D1068" w:rsidRDefault="00D91870" w:rsidP="00797BB5">
      <w:pPr>
        <w:pStyle w:val="NoSpacing"/>
        <w:rPr>
          <w:lang w:val="en-GB"/>
        </w:rPr>
      </w:pPr>
      <w:r w:rsidRPr="00D91870">
        <w:rPr>
          <w:lang w:val="en-GB"/>
        </w:rPr>
        <w:t>Another critique was articulated by Busemeyer (2009: 376). The skill formations described in chapter 2.3.3. and protection institutions have been put right at the centre of a states national innovation strategies, production regimes and welfare state on the whole. Busemeyer recognizes the importance of this work and the implications for the political foundations of skill regimes. She, however, formulates an important critique on the approach formulated by Estevez- Abe et al. (2001).</w:t>
      </w:r>
      <w:r w:rsidR="00797BB5" w:rsidRPr="009D1068">
        <w:rPr>
          <w:lang w:val="en-GB"/>
        </w:rPr>
        <w:t xml:space="preserve"> The critique is focused on the rather </w:t>
      </w:r>
      <w:r w:rsidRPr="00D91870">
        <w:rPr>
          <w:lang w:val="en-GB"/>
        </w:rPr>
        <w:t xml:space="preserve">dichotomous distinction between the general skills systems and the specific skills system. She argues that Hall and Soskice (2001) underestimate the variation of skill regimes within coordinated market economies and that the dichotomous distinction between skill sets in CME’s and LME’s does not do justice to the real world complexity. Instead of grouping states along the single dimension that ranges from general skills to specific skills, she suggests to use two dimensions of variation: on the one hand, the investment in training and the degree of firm involvement, and on the other the degree to which an educational system is specified to vocational training as an indicator for the availability of an authoritative skill mechanism certification (Busemeyer, 2009: 397). </w:t>
      </w:r>
    </w:p>
    <w:p w:rsidR="00797BB5" w:rsidRPr="009D1068" w:rsidRDefault="00D91870" w:rsidP="00797BB5">
      <w:pPr>
        <w:pStyle w:val="NoSpacing"/>
        <w:rPr>
          <w:color w:val="FF0000"/>
          <w:lang w:val="en-GB"/>
        </w:rPr>
      </w:pPr>
      <w:r w:rsidRPr="00D91870">
        <w:rPr>
          <w:lang w:val="en-GB"/>
        </w:rPr>
        <w:t xml:space="preserve">She identifies three distinctive skill regimes within coordinated market economies that all have a particular set of institutional complementarities. These skill regimes are firstly, the segmentalist skill regime, found in Japan and is based on a firm-based provision of the vocational skills, where furthermore the portability of these skills is constrained by several large </w:t>
      </w:r>
      <w:r w:rsidR="005B4A97">
        <w:rPr>
          <w:lang w:val="en-GB"/>
        </w:rPr>
        <w:t>labour</w:t>
      </w:r>
      <w:r w:rsidRPr="00D91870">
        <w:rPr>
          <w:lang w:val="en-GB"/>
        </w:rPr>
        <w:t xml:space="preserve"> market institutions (ibid.: 390). Secondly, the integrationist skill regime emphasizing school-based vocational training and integrating school based vocational training in upper secondary vocational training. This regime is found in Sweden. Thirdly, the differentiated skill regime, found in Germany , which differentiates between vocational and academic education or training. In this regime, the national certified and recognized vocational skill profiles contribute to greater worker mobility between firms than in for instance in the Japanese regime (ibid.: 394). What these three regimes have in common, as argued by Busemeyer (2009), is that higher vocational training in general is of a greater importance in a CME system than in a LME system where more general skills are important.</w:t>
      </w:r>
      <w:r w:rsidRPr="00D91870">
        <w:rPr>
          <w:color w:val="FF0000"/>
          <w:lang w:val="en-GB"/>
        </w:rPr>
        <w:t xml:space="preserve"> </w:t>
      </w:r>
    </w:p>
    <w:p w:rsidR="00797BB5" w:rsidRPr="009D1068" w:rsidRDefault="00D91870" w:rsidP="00797BB5">
      <w:pPr>
        <w:pStyle w:val="NoSpacing"/>
        <w:rPr>
          <w:lang w:val="en-GB"/>
        </w:rPr>
      </w:pPr>
      <w:r w:rsidRPr="00D91870">
        <w:rPr>
          <w:lang w:val="en-GB"/>
        </w:rPr>
        <w:t xml:space="preserve">Busemeyer (ibid.) looked deeper into the skill regimes and concluded that these regimes are not as dichotomous as Hall and Soskice (2001) have suggested. Like Busemeyer, Trampusch &amp; Eichenberger (2012) argue that this dichotomization does not do justice to the rather complex reality. In a comparative case study they found out that there are fundamental differences between the skill formation within states that have a coordinated market economy. This is in line with what Lukas Graf (2009) argues about the varieties of capitalism approach on the whole: varieties of capitalism often treats nation-states as closed systems that are not affected by the strong forces of globalization (ibid.: 577). </w:t>
      </w:r>
    </w:p>
    <w:p w:rsidR="003D5612" w:rsidRDefault="00D91870">
      <w:pPr>
        <w:pStyle w:val="NoSpacing"/>
        <w:rPr>
          <w:lang w:val="en-GB"/>
        </w:rPr>
      </w:pPr>
      <w:r w:rsidRPr="00D91870">
        <w:rPr>
          <w:lang w:val="en-GB"/>
        </w:rPr>
        <w:t>The last critique that is relevant for this thesis comes from Lauder et al. (2008: 34). They argue that it is rather hard to account for differences in national institutional configurations and the relationships between these institutes when the rational action framework is taken on the level of the individual person. Lauder (ibid.) argues that this is too small for the basis of a national institutional configuration.</w:t>
      </w:r>
    </w:p>
    <w:p w:rsidR="0066622C" w:rsidRPr="009D1068" w:rsidRDefault="0066622C" w:rsidP="00C40307">
      <w:pPr>
        <w:pStyle w:val="NoSpacing"/>
        <w:rPr>
          <w:lang w:val="en-GB"/>
        </w:rPr>
      </w:pPr>
      <w:bookmarkStart w:id="44" w:name="_GoBack"/>
      <w:bookmarkEnd w:id="44"/>
    </w:p>
    <w:p w:rsidR="00600E76" w:rsidRPr="009D1068" w:rsidRDefault="00D91870">
      <w:pPr>
        <w:rPr>
          <w:rFonts w:eastAsiaTheme="majorEastAsia" w:cstheme="majorBidi"/>
          <w:b/>
          <w:bCs/>
          <w:sz w:val="24"/>
          <w:szCs w:val="28"/>
          <w:lang w:val="en-GB"/>
        </w:rPr>
      </w:pPr>
      <w:bookmarkStart w:id="45" w:name="_Toc391510181"/>
      <w:r w:rsidRPr="00D91870">
        <w:rPr>
          <w:lang w:val="en-GB"/>
        </w:rPr>
        <w:br w:type="page"/>
      </w:r>
    </w:p>
    <w:p w:rsidR="00566708" w:rsidRPr="009D1068" w:rsidRDefault="00D91870" w:rsidP="00AE14D7">
      <w:pPr>
        <w:pStyle w:val="Heading1"/>
        <w:numPr>
          <w:ilvl w:val="0"/>
          <w:numId w:val="3"/>
        </w:numPr>
        <w:rPr>
          <w:lang w:val="en-GB"/>
        </w:rPr>
      </w:pPr>
      <w:bookmarkStart w:id="46" w:name="_Toc396045602"/>
      <w:r w:rsidRPr="00D91870">
        <w:rPr>
          <w:lang w:val="en-GB"/>
        </w:rPr>
        <w:t>Operationalization and Methodology</w:t>
      </w:r>
      <w:bookmarkEnd w:id="45"/>
      <w:bookmarkEnd w:id="46"/>
    </w:p>
    <w:p w:rsidR="00797BB5" w:rsidRPr="009D1068" w:rsidRDefault="00D91870" w:rsidP="00797BB5">
      <w:pPr>
        <w:pStyle w:val="NoSpacing"/>
        <w:ind w:firstLine="0"/>
        <w:rPr>
          <w:lang w:val="en-GB"/>
        </w:rPr>
      </w:pPr>
      <w:r w:rsidRPr="00D91870">
        <w:rPr>
          <w:lang w:val="en-GB"/>
        </w:rPr>
        <w:t xml:space="preserve">In this chapter, the methodology of this thesis will be discussed. How is the knowledge gathered and how will it be used to answer the research question. Furthermore, this chapter will also elaborate on the sources that will be used and where they could be found and how the concepts that came forward in the theories are operationalized. </w:t>
      </w:r>
    </w:p>
    <w:p w:rsidR="00886372" w:rsidRPr="009D1068" w:rsidRDefault="00D91870" w:rsidP="00797BB5">
      <w:pPr>
        <w:pStyle w:val="NoSpacing"/>
        <w:rPr>
          <w:lang w:val="en-GB"/>
        </w:rPr>
      </w:pPr>
      <w:r w:rsidRPr="00D91870">
        <w:rPr>
          <w:lang w:val="en-GB"/>
        </w:rPr>
        <w:t>The method that will be used for this thesis in process tracing, combined with an extensive literature review. Only via process tracing, one can grasp the changes that have occurred in the field of higher education in Europe and in the UK and the Netherlands in particular. Both social constructivism and the varieties of capitalism approach are best utilized when tracing back the process of on the one hand, the lifecycle of the norm of internationalization and increased economic value of universities and the changes this norm has evoked on the national higher education structures. And on the other hand tracing back the process of the formation of skills in the UK and the Netherlands and how these would be organized according to the varieties of capitalism. The more common approach to process tracing emphasizes the identification of a causal mechanism that is connecting the dependent variable and the independent variables (Mahony, 2000: 412).</w:t>
      </w:r>
      <w:r w:rsidR="008F6D6D">
        <w:rPr>
          <w:lang w:val="en-GB"/>
        </w:rPr>
        <w:t xml:space="preserve"> In a more positivist research, </w:t>
      </w:r>
      <w:r w:rsidRPr="00D91870">
        <w:rPr>
          <w:lang w:val="en-GB"/>
        </w:rPr>
        <w:t xml:space="preserve">one can evaluate a link between different factors making use of archival documents, speech acts, interviews, treaty texts and numerous other sources (Vennesson, 2008). There are numerous different types of process tracing. One possibility is to give a detailed narrative of the events in chronological order, quite similar to the work of historians and anthropologists. Another option is to rely more on broad, causal explanations and an enumeration of the events. </w:t>
      </w:r>
    </w:p>
    <w:p w:rsidR="00797BB5" w:rsidRPr="009D1068" w:rsidRDefault="00D91870" w:rsidP="00797BB5">
      <w:pPr>
        <w:pStyle w:val="NoSpacing"/>
        <w:rPr>
          <w:lang w:val="en-GB"/>
        </w:rPr>
      </w:pPr>
      <w:r w:rsidRPr="00D91870">
        <w:rPr>
          <w:lang w:val="en-GB"/>
        </w:rPr>
        <w:t>This thesis will take the latter approach. It will give a broader insights of the changes that have occurred in the field of higher education and will trace back the emergence, cascade and eventual internalization of the internationalization of universities and their increased economic value (tracing the process of the norm). The same accounts for the varieties of capitalism approach; it will not trace back the roots of the capitalist economies of the Netherlands and the UK, but will rather try to explain why certain changes were adopted by government and universities. Furthermore, a lot has been published about the reforms in European higher education and the implications of these reforms. An extensive review of the literature will help answering the research question because, by making use of a literature review, we may better understand the broader meanings and implications of the process that is being traced back.</w:t>
      </w:r>
    </w:p>
    <w:p w:rsidR="00797BB5" w:rsidRPr="009D1068" w:rsidRDefault="00D91870" w:rsidP="00CE0B49">
      <w:pPr>
        <w:pStyle w:val="NoSpacing"/>
        <w:rPr>
          <w:lang w:val="en-GB"/>
        </w:rPr>
      </w:pPr>
      <w:r w:rsidRPr="00D91870">
        <w:rPr>
          <w:lang w:val="en-GB"/>
        </w:rPr>
        <w:t>The cases of the United Kingdom and the Netherlands were chosen for several reasons. First of all, The United Kingdom and the Netherlands are very comparable in several aspects. They both have an advanced capitalist economy which is highly competitive. They both committed themselves to the European Higher Education Area (EHEA) and are both signatories of the treaties and declarations such as the Lisbon Strategy and the E</w:t>
      </w:r>
      <w:r w:rsidR="008F6D6D">
        <w:rPr>
          <w:lang w:val="en-GB"/>
        </w:rPr>
        <w:t>urope</w:t>
      </w:r>
      <w:r w:rsidRPr="00D91870">
        <w:rPr>
          <w:lang w:val="en-GB"/>
        </w:rPr>
        <w:t xml:space="preserve"> 2020 strategy that focus on creating a competitive, dynamic European knowledge economy. Furthermore, both are subject to the same global changes: globalization and internationalization apply to the UK, as well as for the Netherlands. There are only a few (for this thesis) relevant differences between these two states. One of which is the fact that the UK is, according to Hall and Soskice (2001), a liberal market economy where the Netherlands is generally regarded as a coordinated market economy (at least in regard to the for this thesis relevant institutions). This has implications for the organization of the economy on the whole. Another relevant difference is that the organization of higher education in the UK is more based on competitiveness than the higher education organization of the Netherlands (Graf, 2008). Furthermore, the Dutch government is based on seeking a big support base for radical measures where in the UK, the opposition is of rather little importance. The above very briefly described similarities and differences lead to the conception of a </w:t>
      </w:r>
      <w:r w:rsidRPr="00D91870">
        <w:rPr>
          <w:i/>
          <w:lang w:val="en-GB"/>
        </w:rPr>
        <w:t xml:space="preserve">most similar system design </w:t>
      </w:r>
      <w:r w:rsidRPr="00D91870">
        <w:rPr>
          <w:lang w:val="en-GB"/>
        </w:rPr>
        <w:t xml:space="preserve">(MSSD). This, contrary to a </w:t>
      </w:r>
      <w:r w:rsidRPr="00D91870">
        <w:rPr>
          <w:i/>
          <w:lang w:val="en-GB"/>
        </w:rPr>
        <w:t xml:space="preserve">most different system design </w:t>
      </w:r>
      <w:r w:rsidRPr="00D91870">
        <w:rPr>
          <w:lang w:val="en-GB"/>
        </w:rPr>
        <w:t xml:space="preserve">(MDSD) entails that of the compared cases, most relevant independent variables are the same, but one or two are different. </w:t>
      </w:r>
      <w:r w:rsidR="00797BB5" w:rsidRPr="009D1068">
        <w:rPr>
          <w:lang w:val="en-GB"/>
        </w:rPr>
        <w:t>These are then usually the var</w:t>
      </w:r>
      <w:r w:rsidRPr="00D91870">
        <w:rPr>
          <w:lang w:val="en-GB"/>
        </w:rPr>
        <w:t xml:space="preserve">iables able to explain the difference between the cases. This method is used often in comparative political science and can be very useful when comparing two cases that seem very alike. The big advantage of this method is that it keeps the irrelevant independent variables constant and can therefore focus on the changing variables. However, is must be stated that it is often hard to treat the irrelevant independent variables as constant for, on the level of states and global economy, potentially all factors that can help explaining the variance on the independent variable cannot possibly be kept constant (Anckar, 2008). </w:t>
      </w:r>
    </w:p>
    <w:p w:rsidR="00797BB5" w:rsidRPr="009D1068" w:rsidRDefault="00D91870" w:rsidP="00797BB5">
      <w:pPr>
        <w:pStyle w:val="NoSpacing"/>
        <w:rPr>
          <w:lang w:val="en-GB"/>
        </w:rPr>
      </w:pPr>
      <w:r w:rsidRPr="00D91870">
        <w:rPr>
          <w:lang w:val="en-GB"/>
        </w:rPr>
        <w:t>This thesis will make use of a variety of sources. First, primary sources will be consulted. These are for instance speeches of government leaders of board members of advocacy groups. These speeches can help giving an overview of the debate behind a certain decision. Furthermore, in speeches, more than in reports or publications of certain groups or commission</w:t>
      </w:r>
      <w:r w:rsidR="008F6D6D">
        <w:rPr>
          <w:lang w:val="en-GB"/>
        </w:rPr>
        <w:t>s</w:t>
      </w:r>
      <w:r w:rsidRPr="00D91870">
        <w:rPr>
          <w:lang w:val="en-GB"/>
        </w:rPr>
        <w:t xml:space="preserve">, a vision is formulated. Speeches about what happened during a certain process, or what has been achieved, almost always go hand in hand with a vision about the future. Speech acts are also a vital part of the constructivist theory because constructivist regard the formulation of ideas of great importance. Other primary sources that will be consulted are for instance annually report of advocacy groups and off for instance the European Commission but also from non-governmental organizations. It is important to understand that these reports often show a one-sided view on the matter at hand and are therefore rather biased. This will pose a problem because it is rather hard to find unbiased primary sources about this topic. All actors that formulate their perspective tend to disregard the viewpoints of those that disagree with them. An example </w:t>
      </w:r>
      <w:r w:rsidR="008F6D6D">
        <w:rPr>
          <w:lang w:val="en-GB"/>
        </w:rPr>
        <w:t>is the European Round Table of I</w:t>
      </w:r>
      <w:r w:rsidRPr="00D91870">
        <w:rPr>
          <w:lang w:val="en-GB"/>
        </w:rPr>
        <w:t>ndustrialists. They have a clear focus on making the European economy more dynamic and innovative in order to keep up with the United States. They disregard the fact that European firms often have a long-term view in respect to their US-based counterparts that have a rather short-based, quick profit view. Therefore, this thesis will make use of as much primary sources as possible, but will rely more on secondary sources.</w:t>
      </w:r>
    </w:p>
    <w:p w:rsidR="00797BB5" w:rsidRPr="009D1068" w:rsidRDefault="00D91870" w:rsidP="00A329F8">
      <w:pPr>
        <w:pStyle w:val="NoSpacing"/>
        <w:rPr>
          <w:lang w:val="en-GB"/>
        </w:rPr>
      </w:pPr>
      <w:r w:rsidRPr="00D91870">
        <w:rPr>
          <w:lang w:val="en-GB"/>
        </w:rPr>
        <w:t xml:space="preserve">A lot has been published in scientific journals about the changes in higher education and about the implications of these changes for the European economy on the whole, but also for (new) students and their perspectives. When it comes to secondary literature, the skill formation aspect of the varieties of capitalism has, according to Lauder et al. (2010), been described extensively. This paper will stay close to what has been written by Estevez-Abe et al. (2001) in the volume of Hall and Soskice. Adopting the more recent alterations of this theory on the whole in the analysis would be futile for the initial framework (as can be seen in chapter 2) remains largely intact. Furthermore, there is not a lot published about social constructivism and the adoption of norms in the field of higher education. Therefore, this thesis will develop a way to use the framework of Finnemore and Sikkink (2001) that is derived from other uses of this framework. Secondary sources such as journal articles will be used to understand and describe the political process behind the changes. </w:t>
      </w:r>
    </w:p>
    <w:p w:rsidR="00797BB5" w:rsidRPr="009D1068" w:rsidRDefault="00D91870" w:rsidP="00797BB5">
      <w:pPr>
        <w:pStyle w:val="NoSpacing"/>
        <w:rPr>
          <w:lang w:val="en-GB"/>
        </w:rPr>
      </w:pPr>
      <w:r w:rsidRPr="00D91870">
        <w:rPr>
          <w:lang w:val="en-GB"/>
        </w:rPr>
        <w:t xml:space="preserve">The operationalization of the several independent variables is for some variables, such as the norm entrepreneur, rather easy; but for other more abstract variables a bit harder. In the following section, the independent variables will operationalized in the order of appearance in the previous chapter. </w:t>
      </w:r>
    </w:p>
    <w:p w:rsidR="00797BB5" w:rsidRPr="009D1068" w:rsidRDefault="00D91870" w:rsidP="00797BB5">
      <w:pPr>
        <w:pStyle w:val="NoSpacing"/>
        <w:rPr>
          <w:lang w:val="en-GB"/>
        </w:rPr>
      </w:pPr>
      <w:r w:rsidRPr="00D91870">
        <w:rPr>
          <w:lang w:val="en-GB"/>
        </w:rPr>
        <w:t>The norm entrepreneur that was responsible for the emergence of the norm of the internationalization of higher education must be sought in the late 1980s, early 1990s. An actor will be considered a norm entrepreneur in this thesis if he came forward with publications, or speech acts in this timeframe, that gained attention from either European states, or from the EU (i.e.</w:t>
      </w:r>
      <w:r w:rsidR="008F6D6D">
        <w:rPr>
          <w:lang w:val="en-GB"/>
        </w:rPr>
        <w:t>, the C</w:t>
      </w:r>
      <w:r w:rsidRPr="00D91870">
        <w:rPr>
          <w:lang w:val="en-GB"/>
        </w:rPr>
        <w:t>ommission or the parliament). These actors can be individuals, groups or even the European Commission itself. If the actor is given a stage where he can articulate the norm he seeks to create, then that will be the organizational platform. This can be a meetings with for instance the European Commission, but also a, or several meetings with government officials from (important) EU member states. If the norm entrepreneur is given a stage that is able to give the norm its required footing, that is the organizational platform.</w:t>
      </w:r>
    </w:p>
    <w:p w:rsidR="00797BB5" w:rsidRPr="009D1068" w:rsidRDefault="00D91870" w:rsidP="00797BB5">
      <w:pPr>
        <w:pStyle w:val="NoSpacing"/>
        <w:rPr>
          <w:lang w:val="en-GB"/>
        </w:rPr>
      </w:pPr>
      <w:r w:rsidRPr="00D91870">
        <w:rPr>
          <w:lang w:val="en-GB"/>
        </w:rPr>
        <w:t>The cascade of the norm is easier to expose. By looking at treaties and agreements on the European Level, the cascade of the norm must be clearly distinguishable in these declarations. If at least two thirds of the EU member states (Finnemore and Sikkink speak of a critical mass that is reached at two-thirds of the possible signatory states) have signed these declarations, then the norm cascade is evident.</w:t>
      </w:r>
    </w:p>
    <w:p w:rsidR="00797BB5" w:rsidRPr="009D1068" w:rsidRDefault="00D91870" w:rsidP="00797BB5">
      <w:pPr>
        <w:pStyle w:val="NoSpacing"/>
        <w:rPr>
          <w:lang w:val="en-GB"/>
        </w:rPr>
      </w:pPr>
      <w:r w:rsidRPr="00D91870">
        <w:rPr>
          <w:lang w:val="en-GB"/>
        </w:rPr>
        <w:t xml:space="preserve">The internalization of the norm is a lot harder to clearly operationalize. In the framework of Finnemore and Sikkink (2003) it is evident that a norm has internalized when it has become a custom: no one is discussing the norm anymore and the norm is institutionalized in professions and laws. Norm internalization in this thesis is difficult to clearly distinguish, as higher education is a heavily debated topic within the domestic arena. Even if the changes in higher education have been fully internalized; and have thus become a habit, discussion will always remain. Therefore, discussion about the norm in order to find out whether it is internalized is not the best practice. Therefore, it is best to look at laws and agreements within states. If governments have adopted measures in line with the norm, then it can be argued that the norm is (almost entirely) internalized. If there are massive and recent demonstrations against these laws or measures, then it can be concluded that the norm is yet to be internalized. Furthermore, the existence or the initiation of projects such as for instance a triple helix organization, (cooperation between industry, government, and university), is also regarded as an indicator for the internalization of the higher education norm (the institutionalization of the norm; the dominant mechanism in the internalization stage).  </w:t>
      </w:r>
    </w:p>
    <w:p w:rsidR="00797BB5" w:rsidRPr="009D1068" w:rsidRDefault="00D91870" w:rsidP="00797BB5">
      <w:pPr>
        <w:pStyle w:val="NoSpacing"/>
        <w:rPr>
          <w:lang w:val="en-GB"/>
        </w:rPr>
      </w:pPr>
      <w:r w:rsidRPr="00D91870">
        <w:rPr>
          <w:lang w:val="en-GB"/>
        </w:rPr>
        <w:t>Institutional constraints are often rather vague, but are operationalized here as a strong opposition in the national parliament and the existence of a rather open political opportunity structure.</w:t>
      </w:r>
    </w:p>
    <w:p w:rsidR="004359FE" w:rsidRPr="009D1068" w:rsidRDefault="004359FE" w:rsidP="00797BB5">
      <w:pPr>
        <w:pStyle w:val="NoSpacing"/>
        <w:rPr>
          <w:lang w:val="en-GB"/>
        </w:rPr>
      </w:pPr>
    </w:p>
    <w:p w:rsidR="00797BB5" w:rsidRPr="009D1068" w:rsidRDefault="00D91870" w:rsidP="00797BB5">
      <w:pPr>
        <w:pStyle w:val="NoSpacing"/>
        <w:rPr>
          <w:lang w:val="en-GB"/>
        </w:rPr>
      </w:pPr>
      <w:r w:rsidRPr="00D91870">
        <w:rPr>
          <w:lang w:val="en-GB"/>
        </w:rPr>
        <w:t xml:space="preserve">The varieties of capitalism variables are harder to clearly operationalize than the social constructivist variables. The reason for this is that, and the same accounts for globalization and internationalization, it are often rather abstract concepts. One can describe globalization, but cannot regard it as a variable that can be changed or that can be left out of the equation because it has implications on so many different factors. </w:t>
      </w:r>
    </w:p>
    <w:p w:rsidR="00797BB5" w:rsidRPr="009D1068" w:rsidRDefault="00D91870" w:rsidP="00797BB5">
      <w:pPr>
        <w:pStyle w:val="NoSpacing"/>
        <w:rPr>
          <w:lang w:val="en-GB"/>
        </w:rPr>
      </w:pPr>
      <w:r w:rsidRPr="00D91870">
        <w:rPr>
          <w:lang w:val="en-GB"/>
        </w:rPr>
        <w:t>The Dutch economy can be designated a coordinated market economy</w:t>
      </w:r>
      <w:r w:rsidR="00335BF9" w:rsidRPr="009D1068">
        <w:rPr>
          <w:lang w:val="en-GB"/>
        </w:rPr>
        <w:t>,</w:t>
      </w:r>
      <w:r w:rsidRPr="00D91870">
        <w:rPr>
          <w:lang w:val="en-GB"/>
        </w:rPr>
        <w:t xml:space="preserve"> whereas the British economy is a liberal market economy</w:t>
      </w:r>
      <w:r w:rsidR="00797BB5" w:rsidRPr="009D1068">
        <w:rPr>
          <w:lang w:val="en-GB"/>
        </w:rPr>
        <w:t>. Both logics do not converge towards a single best practice and therefore, the varieties of capitalism approach would expect that the changes the higher education systems of the UK and the Netherlands are going through, are follo</w:t>
      </w:r>
      <w:r w:rsidRPr="00D91870">
        <w:rPr>
          <w:lang w:val="en-GB"/>
        </w:rPr>
        <w:t>wing a path that lies in the extension of their particular logic of economy. If that is the case, then the varieties of capitalism</w:t>
      </w:r>
      <w:r w:rsidR="002E313D">
        <w:rPr>
          <w:lang w:val="en-GB"/>
        </w:rPr>
        <w:t xml:space="preserve"> </w:t>
      </w:r>
      <w:r w:rsidRPr="00D91870">
        <w:rPr>
          <w:lang w:val="en-GB"/>
        </w:rPr>
        <w:t xml:space="preserve">approach is better able to explain the changes (ushered in by for instance globalization) than the social constructivist approach that would expect that the norm of internationalization, and the adding of economic value of higher education systems to their respective economies, would lead to the same point for the UK and the Netherlands. </w:t>
      </w:r>
    </w:p>
    <w:p w:rsidR="00DD55EC" w:rsidRPr="009D1068" w:rsidRDefault="00D91870" w:rsidP="00797BB5">
      <w:pPr>
        <w:pStyle w:val="NoSpacing"/>
        <w:ind w:firstLine="0"/>
        <w:rPr>
          <w:lang w:val="en-GB"/>
        </w:rPr>
      </w:pPr>
      <w:r w:rsidRPr="00D91870">
        <w:rPr>
          <w:lang w:val="en-GB"/>
        </w:rPr>
        <w:t xml:space="preserve">The varieties of capitalism approach, being a more heuristic device, consists of mostly static variables such as for instance higher education institutions that hardly change because of the institutional complementarities. If institutions such as employment protection exist in a state, it is likely that the organization of higher education in that state will reflect this and will therefore be more focused on specific skills than on general skills. Therefore, the varieties of capitalism ‘variables’ will be described within the analysis, but they will not be further operationalized in this chapter. </w:t>
      </w:r>
    </w:p>
    <w:p w:rsidR="009F48CF" w:rsidRPr="009D1068" w:rsidRDefault="00D91870">
      <w:pPr>
        <w:rPr>
          <w:rFonts w:eastAsiaTheme="majorEastAsia" w:cstheme="majorBidi"/>
          <w:b/>
          <w:bCs/>
          <w:sz w:val="24"/>
          <w:szCs w:val="28"/>
          <w:lang w:val="en-GB"/>
        </w:rPr>
      </w:pPr>
      <w:r w:rsidRPr="00D91870">
        <w:rPr>
          <w:lang w:val="en-GB"/>
        </w:rPr>
        <w:t xml:space="preserve"> </w:t>
      </w:r>
    </w:p>
    <w:p w:rsidR="00D2595F" w:rsidRPr="009D1068" w:rsidRDefault="00D91870">
      <w:pPr>
        <w:rPr>
          <w:rFonts w:eastAsiaTheme="majorEastAsia" w:cstheme="majorBidi"/>
          <w:b/>
          <w:bCs/>
          <w:sz w:val="24"/>
          <w:szCs w:val="28"/>
          <w:lang w:val="en-GB"/>
        </w:rPr>
      </w:pPr>
      <w:bookmarkStart w:id="47" w:name="_Toc391510182"/>
      <w:bookmarkStart w:id="48" w:name="_Toc396045603"/>
      <w:r w:rsidRPr="00D91870">
        <w:rPr>
          <w:lang w:val="en-GB"/>
        </w:rPr>
        <w:br w:type="page"/>
      </w:r>
    </w:p>
    <w:p w:rsidR="0097630A" w:rsidRPr="009D1068" w:rsidRDefault="00D91870" w:rsidP="0097630A">
      <w:pPr>
        <w:pStyle w:val="Heading1"/>
        <w:numPr>
          <w:ilvl w:val="0"/>
          <w:numId w:val="3"/>
        </w:numPr>
        <w:rPr>
          <w:lang w:val="en-GB"/>
        </w:rPr>
      </w:pPr>
      <w:r w:rsidRPr="00D91870">
        <w:rPr>
          <w:lang w:val="en-GB"/>
        </w:rPr>
        <w:t>Explaining the change of pace: The Dutch universities compared to the British universities</w:t>
      </w:r>
      <w:bookmarkEnd w:id="47"/>
      <w:bookmarkEnd w:id="48"/>
    </w:p>
    <w:p w:rsidR="0097630A" w:rsidRPr="009D1068" w:rsidRDefault="0097630A" w:rsidP="0097630A">
      <w:pPr>
        <w:pStyle w:val="NoSpacing"/>
        <w:ind w:firstLine="0"/>
        <w:rPr>
          <w:lang w:val="en-GB"/>
        </w:rPr>
      </w:pPr>
    </w:p>
    <w:p w:rsidR="00797BB5" w:rsidRPr="009D1068" w:rsidRDefault="00D91870" w:rsidP="00797BB5">
      <w:pPr>
        <w:pStyle w:val="NoSpacing"/>
        <w:ind w:left="142" w:right="334" w:firstLine="0"/>
        <w:rPr>
          <w:lang w:val="en-GB"/>
        </w:rPr>
      </w:pPr>
      <w:r w:rsidRPr="00D91870">
        <w:rPr>
          <w:lang w:val="en-GB"/>
        </w:rPr>
        <w:t>This chapter will start with a brief elaboration of the Bologna Process, the Lisbon Strategy and the E</w:t>
      </w:r>
      <w:r w:rsidR="008F6D6D">
        <w:rPr>
          <w:lang w:val="en-GB"/>
        </w:rPr>
        <w:t>urope</w:t>
      </w:r>
      <w:r w:rsidRPr="00D91870">
        <w:rPr>
          <w:lang w:val="en-GB"/>
        </w:rPr>
        <w:t xml:space="preserve"> 2020 strategy. This in order to give an overview of what has changed in the last two, two and a half decades in the field of higher education on the European level. This level has significant implications for the domestic level of the United Kingdom and the Netherlands. This section will be followed by a section that will argue that the internationalization of higher education and the increased focus of economic added value of higher education institutes can be called a norm and through what stages of the norm lifecycle this particular norm has already gone. In this section, the norm entrepreneur will be identified as well as the means it has used to articulate the norm. As argued earlier, the problem might lie in the variance of the level of internalization. The next section of this chapter will focus on why there can be a change of pace distinguished between the internalization of the norm in the UK in respect to the Netherlands. In here, the two theoretical approaches and their respective expectations will be discussed.</w:t>
      </w:r>
    </w:p>
    <w:p w:rsidR="00797BB5" w:rsidRPr="009D1068" w:rsidRDefault="00797BB5" w:rsidP="00797BB5">
      <w:pPr>
        <w:pStyle w:val="NoSpacing"/>
        <w:ind w:left="142" w:right="334" w:firstLine="0"/>
        <w:rPr>
          <w:lang w:val="en-GB"/>
        </w:rPr>
      </w:pPr>
    </w:p>
    <w:p w:rsidR="00797BB5" w:rsidRPr="009D1068" w:rsidRDefault="00D91870" w:rsidP="00797BB5">
      <w:pPr>
        <w:pStyle w:val="Heading2"/>
        <w:numPr>
          <w:ilvl w:val="1"/>
          <w:numId w:val="3"/>
        </w:numPr>
        <w:rPr>
          <w:lang w:val="en-GB"/>
        </w:rPr>
      </w:pPr>
      <w:bookmarkStart w:id="49" w:name="_Toc391510183"/>
      <w:bookmarkStart w:id="50" w:name="_Toc396045604"/>
      <w:r w:rsidRPr="00D91870">
        <w:rPr>
          <w:lang w:val="en-GB"/>
        </w:rPr>
        <w:t>The Bologna Process, the Lisbon Strategy and The E</w:t>
      </w:r>
      <w:r w:rsidR="008F6D6D">
        <w:rPr>
          <w:lang w:val="en-GB"/>
        </w:rPr>
        <w:t>urope</w:t>
      </w:r>
      <w:r w:rsidRPr="00D91870">
        <w:rPr>
          <w:lang w:val="en-GB"/>
        </w:rPr>
        <w:t xml:space="preserve"> 2020 - an overview</w:t>
      </w:r>
      <w:bookmarkEnd w:id="49"/>
      <w:bookmarkEnd w:id="50"/>
      <w:r w:rsidRPr="00D91870">
        <w:rPr>
          <w:lang w:val="en-GB"/>
        </w:rPr>
        <w:t xml:space="preserve"> </w:t>
      </w:r>
    </w:p>
    <w:p w:rsidR="00797BB5" w:rsidRPr="009D1068" w:rsidRDefault="00D91870" w:rsidP="00797BB5">
      <w:pPr>
        <w:pStyle w:val="NoSpacing"/>
        <w:ind w:left="142" w:right="334" w:firstLine="0"/>
        <w:rPr>
          <w:lang w:val="en-GB"/>
        </w:rPr>
      </w:pPr>
      <w:r w:rsidRPr="00D91870">
        <w:rPr>
          <w:lang w:val="en-GB"/>
        </w:rPr>
        <w:t>As already stated in the introduction, higher education has gone through some fundamental changes in the last two decades. These changes, including for instance more internationalization, increased global competition (Sursock, Smidt &amp; Davies, 2010), significant increase on adding value to the economy by higher education institutes and a rise of tuition fees, have been initiated by the Bologna Process which was then followed by the other European agreements such as the Lisbon Strategy and the E</w:t>
      </w:r>
      <w:r w:rsidR="008F6D6D">
        <w:rPr>
          <w:lang w:val="en-GB"/>
        </w:rPr>
        <w:t xml:space="preserve">urope </w:t>
      </w:r>
      <w:r w:rsidRPr="00D91870">
        <w:rPr>
          <w:lang w:val="en-GB"/>
        </w:rPr>
        <w:t xml:space="preserve">2020 strategy. </w:t>
      </w:r>
    </w:p>
    <w:p w:rsidR="00797BB5" w:rsidRPr="009D1068" w:rsidRDefault="00D91870" w:rsidP="00DB04D9">
      <w:pPr>
        <w:pStyle w:val="NoSpacing"/>
        <w:ind w:left="142" w:right="334"/>
        <w:rPr>
          <w:lang w:val="en-GB"/>
        </w:rPr>
      </w:pPr>
      <w:r w:rsidRPr="00D91870">
        <w:rPr>
          <w:lang w:val="en-GB"/>
        </w:rPr>
        <w:t>In 1999, 29 European ministers signed the Bologna declaration. This declaration was aimed at establishing a European higher education era, which had to facilitate the qualification transparency, the individual mobility,</w:t>
      </w:r>
      <w:r w:rsidR="00797BB5" w:rsidRPr="009D1068">
        <w:rPr>
          <w:rStyle w:val="FootnoteReference"/>
          <w:lang w:val="en-GB"/>
        </w:rPr>
        <w:footnoteReference w:id="18"/>
      </w:r>
      <w:r w:rsidRPr="00D91870">
        <w:rPr>
          <w:lang w:val="en-GB"/>
        </w:rPr>
        <w:t xml:space="preserve"> quality assurance systems and the recognition of diplomas. By December 2003, 38 countries had signed the declaration and it even attracted interest of states outside Europe. The momentum established by the Bologna process was unprecedented, especially for the domain of higher education that was hitherto very nationally oriented (Furlong, 2005). The Bologna process harmonized the European university structures. Conferences were held in Prague (2001), Berlin (2003), Bergen (2005), London (2007) and Leuven (2009). The process’ reform agenda has been implemented in a decentralized manner at the national level but was, however, closely advanced and monitored by European level conferences, reports and policy declarations. These were all structured around ministerial meetings (Keeling, 2006). One of the objectives of the Bologna process was to make university qualifications more transparent and comparable across Europe. An example of this is the introduction of the Bachelor, Master and Doctoral degrees throughout the signatory states. The same accounts for the introduction of the ECTS credit structure. Besides these rather visible measures, the Bologna process also encouraged and initiated developments in European higher education quality assurances. In Bergen in 2005, the ministers of education of the signatory states concluded that the Bologna process was demonstrating a success and that the implementation of the European Higher Education Area</w:t>
      </w:r>
      <w:r w:rsidR="00797BB5" w:rsidRPr="009D1068">
        <w:rPr>
          <w:rStyle w:val="FootnoteReference"/>
          <w:lang w:val="en-GB"/>
        </w:rPr>
        <w:footnoteReference w:id="19"/>
      </w:r>
      <w:r w:rsidR="00797BB5" w:rsidRPr="009D1068">
        <w:rPr>
          <w:lang w:val="en-GB"/>
        </w:rPr>
        <w:t xml:space="preserve"> (EHEA) showed go</w:t>
      </w:r>
      <w:r w:rsidRPr="00D91870">
        <w:rPr>
          <w:lang w:val="en-GB"/>
        </w:rPr>
        <w:t>od progress (Keeling, 2006). Keeling (ibid.) also argued that student unions, rector unions and the European University Association also took stock in the Bologna process despite initial (and lingering) concerns about the swiftness of implementation. The European Commission (EC) played a pivotal role in the establishment of the EU higher Education policies and is the only non-state member of the Bologna Process. The Commission has, on multiple occasions, showed its influence on the process by giving financial incentives to universities if they cooperated internationally, but also for funding the Bologna Promoters and information initiatives in the (non)member states (Keeling, 2006: 208). In 2002, the European Council decided that the EU had to commit itself to the goal of spending three percent of the GDP on research and development. In these plans, the universities and other high education institutions were the ‘key stakeholder’; as formulated in the action plan: ‘Investing in Research by the European Commission’ (2003)</w:t>
      </w:r>
      <w:r w:rsidR="00797BB5" w:rsidRPr="009D1068">
        <w:rPr>
          <w:lang w:val="en-GB"/>
        </w:rPr>
        <w:t>. According to the European Commission, universities gave employ to a third of all the researchers in Europe and together they produced more than 80 percent of all fundamental research in Europe (European Commission, 20</w:t>
      </w:r>
      <w:r w:rsidRPr="00D91870">
        <w:rPr>
          <w:lang w:val="en-GB"/>
        </w:rPr>
        <w:t>05). The goal of spending three percent of the GDP proved to be too ambitious. The same accounted for the ‘Work Programme 2010’. This programme was designed in a response to the Lisbon Strategy to monitor the progress. It showed that in for example the education sector, the set benchmarks were not met.</w:t>
      </w:r>
      <w:r w:rsidR="008F6D6D">
        <w:rPr>
          <w:lang w:val="en-GB"/>
        </w:rPr>
        <w:t xml:space="preserve"> Therefore the C</w:t>
      </w:r>
      <w:r w:rsidRPr="00D91870">
        <w:rPr>
          <w:lang w:val="en-GB"/>
        </w:rPr>
        <w:t xml:space="preserve">ommission initiated a mid-term review (‘A New Start for the Lisbon Strategy). In this review again, the critical role of universities and higher education was highlighted. </w:t>
      </w:r>
    </w:p>
    <w:p w:rsidR="00797BB5" w:rsidRPr="009D1068" w:rsidRDefault="00D91870" w:rsidP="00797BB5">
      <w:pPr>
        <w:pStyle w:val="NoSpacing"/>
        <w:ind w:left="142" w:right="334"/>
        <w:rPr>
          <w:lang w:val="en-GB"/>
        </w:rPr>
      </w:pPr>
      <w:r w:rsidRPr="00D91870">
        <w:rPr>
          <w:lang w:val="en-GB"/>
        </w:rPr>
        <w:t xml:space="preserve">The mandate of the </w:t>
      </w:r>
      <w:r w:rsidR="008F6D6D">
        <w:rPr>
          <w:lang w:val="en-GB"/>
        </w:rPr>
        <w:t>C</w:t>
      </w:r>
      <w:r w:rsidRPr="00D91870">
        <w:rPr>
          <w:lang w:val="en-GB"/>
        </w:rPr>
        <w:t xml:space="preserve">ommission was, according to Keeling (2006), strongly confirmed in the area of taking action in relation to research because of the lack of progress. The </w:t>
      </w:r>
      <w:r w:rsidR="008F6D6D">
        <w:rPr>
          <w:lang w:val="en-GB"/>
        </w:rPr>
        <w:t>C</w:t>
      </w:r>
      <w:r w:rsidRPr="00D91870">
        <w:rPr>
          <w:lang w:val="en-GB"/>
        </w:rPr>
        <w:t>ommission presented, in 2005 a rather bold plan that would double the available funds for research in Europe: the so-called ‘7</w:t>
      </w:r>
      <w:r w:rsidRPr="00D91870">
        <w:rPr>
          <w:vertAlign w:val="superscript"/>
          <w:lang w:val="en-GB"/>
        </w:rPr>
        <w:t>th</w:t>
      </w:r>
      <w:r w:rsidRPr="00D91870">
        <w:rPr>
          <w:lang w:val="en-GB"/>
        </w:rPr>
        <w:t xml:space="preserve"> Research Framework Programme’ of the EC. After the launch of this programme, European universities were eligible for funding for each of the following four categories: Cooperation initiatives, researcher support, project-based research and the improvement of the universities’ infrastructure. These funds that came available through the research ini</w:t>
      </w:r>
      <w:r w:rsidR="008F6D6D">
        <w:rPr>
          <w:lang w:val="en-GB"/>
        </w:rPr>
        <w:t>tiatives of the C</w:t>
      </w:r>
      <w:r w:rsidRPr="00D91870">
        <w:rPr>
          <w:lang w:val="en-GB"/>
        </w:rPr>
        <w:t>ommission generated much interest from European universities which enhanced the legitimacy of the European Commission and its actions (Keeling, 2006).</w:t>
      </w:r>
    </w:p>
    <w:p w:rsidR="00797BB5" w:rsidRPr="009D1068" w:rsidRDefault="00D91870" w:rsidP="00797BB5">
      <w:pPr>
        <w:pStyle w:val="NoSpacing"/>
        <w:ind w:left="142" w:right="334"/>
        <w:rPr>
          <w:lang w:val="en-GB"/>
        </w:rPr>
      </w:pPr>
      <w:r w:rsidRPr="00D91870">
        <w:rPr>
          <w:lang w:val="en-GB"/>
        </w:rPr>
        <w:t xml:space="preserve">In 2003, the report ‘The Role of the Universities in the Europe of Knowledge’, by the European Commission, came out. It was followed in 2005 by the ‘Mobilizing the Brainpower of Europe’, which both called for a new social contract between the higher education institutions on the one hand and the society at the other (Keeling, 2006). The focus that the Commission </w:t>
      </w:r>
      <w:r w:rsidR="002E313D">
        <w:rPr>
          <w:lang w:val="en-GB"/>
        </w:rPr>
        <w:t>was recommending</w:t>
      </w:r>
      <w:r w:rsidRPr="00D91870">
        <w:rPr>
          <w:lang w:val="en-GB"/>
        </w:rPr>
        <w:t xml:space="preserve"> was based on curricular reform towards internationalization, institutional governance and financing arrangements. Important here is that the 2005 report focused for a significant proportion on university-industry relations and the tax incentives that would facilitate these relations. Therefore, changing the view of the university in a way best described by Leydesdorff &amp; Mayer (2008: 109) as the third mission of a university: adding economic value to a state’s economy (the first two being teaching and research). This, according to Leyesdorf &amp; Mayer (2008) leads to a disproportional increase of funding for studies with great economic value such as physics and IT-studies compared to the humanities that have a cultural value rather than an economic one. Another intriguing aspect that came forward in the 2005 report was the aspect of performance-based funding. Implications for higher education competitiveness and more specific research universities were also included in the report (European Commission, 2005)</w:t>
      </w:r>
    </w:p>
    <w:p w:rsidR="00797BB5" w:rsidRPr="009D1068" w:rsidRDefault="00D91870" w:rsidP="00797BB5">
      <w:pPr>
        <w:pStyle w:val="NoSpacing"/>
        <w:ind w:left="142" w:right="334"/>
        <w:rPr>
          <w:lang w:val="en-GB"/>
        </w:rPr>
      </w:pPr>
      <w:r w:rsidRPr="00D91870">
        <w:rPr>
          <w:lang w:val="en-GB"/>
        </w:rPr>
        <w:t xml:space="preserve">The most recent major initiative is Europe 2020. Again, this initiative elaborated on the Lisbon Strategy and the Bologna Progress and did not take higher education as its primary focus. It regards higher education as instrumental for achieving the goal of being the most competitive and dynamic knowledge-based economy of the world with sustainable growth and low unemployment numbers. </w:t>
      </w:r>
    </w:p>
    <w:p w:rsidR="00797BB5" w:rsidRPr="009D1068" w:rsidRDefault="00D91870" w:rsidP="00797BB5">
      <w:pPr>
        <w:pStyle w:val="NoSpacing"/>
        <w:ind w:left="142" w:right="334"/>
        <w:rPr>
          <w:lang w:val="en-GB"/>
        </w:rPr>
      </w:pPr>
      <w:r w:rsidRPr="00D91870">
        <w:rPr>
          <w:lang w:val="en-GB"/>
        </w:rPr>
        <w:t xml:space="preserve">The formulated goal is only achievable with a highly educated population. Europe 2020 set two targets to achieve these goals. First, it aimed at significantly reducing the number of early school leavers. By the time the initiative was articulated, 15 percent of Europe’s population left school in an early stage. This number should be below 10 percent in the year 2020. Secondly, the share of young adults that have completed a secondary education should increase. The percentage of the population between 30 and 34 years old with a secondary education degree should increase from 31 percent to at least 40 percent. By the year 2020, the ten year strategy should be completed. Furthermore, lifelong learning was one of the major aspects of Europe 2020. Lifelong learning should be the perspective when implementing the under Europe 2020 proposed higher education restructures. </w:t>
      </w:r>
    </w:p>
    <w:p w:rsidR="00797BB5" w:rsidRPr="009D1068" w:rsidRDefault="00D91870" w:rsidP="00797BB5">
      <w:pPr>
        <w:pStyle w:val="NoSpacing"/>
        <w:ind w:left="142" w:right="334"/>
        <w:rPr>
          <w:lang w:val="en-GB"/>
        </w:rPr>
      </w:pPr>
      <w:r w:rsidRPr="00D91870">
        <w:rPr>
          <w:lang w:val="en-GB"/>
        </w:rPr>
        <w:t xml:space="preserve">The Bologna Process, the Lisbon Strategy and Europe 2020, and also the Erasmus programme all had huge implications for the structure and organization of higher education in the member states. The signatories of the strategies differed but in general, most EU members participated. The Netherlands and the United Kingdom took part in all these programs and initiatives. </w:t>
      </w:r>
    </w:p>
    <w:p w:rsidR="00797BB5" w:rsidRPr="009D1068" w:rsidRDefault="00D91870" w:rsidP="00797BB5">
      <w:pPr>
        <w:pStyle w:val="NoSpacing"/>
        <w:ind w:left="142" w:right="334"/>
        <w:rPr>
          <w:lang w:val="en-GB"/>
        </w:rPr>
      </w:pPr>
      <w:r w:rsidRPr="00D91870">
        <w:rPr>
          <w:lang w:val="en-GB"/>
        </w:rPr>
        <w:t>But where did these initiatives come from? Why did these initiatives arise and why were states giving parts of their autonomy up? Higher education has always been a domain where the state had great autonomy. Why did states agree to initiatives and strategies that were aimed at increasing the convergence of the higher education and university systems? In chapter 2, the norm lifecycle was discussed. The norm lifecycle might be able to shed light on these questions and appears to be able to explain why and how these changes gained traction.</w:t>
      </w:r>
    </w:p>
    <w:p w:rsidR="00797BB5" w:rsidRPr="009D1068" w:rsidRDefault="00D91870" w:rsidP="00797BB5">
      <w:pPr>
        <w:pStyle w:val="NoSpacing"/>
        <w:ind w:left="142" w:right="334"/>
        <w:rPr>
          <w:lang w:val="en-GB"/>
        </w:rPr>
      </w:pPr>
      <w:r w:rsidRPr="00D91870">
        <w:rPr>
          <w:lang w:val="en-GB"/>
        </w:rPr>
        <w:t xml:space="preserve">Many players can have played a vital role in shaping these initiatives. But before entering a debate about whether there was a norm entrepreneur and when the norm cascaded and ultimately internalized, it seems important to find out whether the combinations of initiatives and strategies can be considered a norm. In chapter 2.2.1., the definition of a norm is worked out. According to Finnemore and Sikkink (1998:891), a norm is a form of appropriate, standard </w:t>
      </w:r>
      <w:r w:rsidR="005B4A97">
        <w:rPr>
          <w:lang w:val="en-GB"/>
        </w:rPr>
        <w:t>behaviour</w:t>
      </w:r>
      <w:r w:rsidRPr="00D91870">
        <w:rPr>
          <w:lang w:val="en-GB"/>
        </w:rPr>
        <w:t xml:space="preserve"> for actors with a given identity. In this case, the actors are member states of the EU and signatories of the various strategies and initiatives. They all share that they aspire (or already are and want to stay) a competitive, dynamic and knowledge based capitalist economy. As has been mentioned, there are regulative and constitutive norms. Because the initiatives and strategies do not constrain states or force them to act in a particular way, one cannot (yet) speak of a regulative norm (as was for instance in the case of the banning of landmines). If the internationalization and the economic value of a university is perceived to be a norm, it can, at the moment, only be a constitutive norm: a norm that creates new interest and new categories of action and new actors. </w:t>
      </w:r>
    </w:p>
    <w:p w:rsidR="00797BB5" w:rsidRPr="009D1068" w:rsidRDefault="00D91870" w:rsidP="00797BB5">
      <w:pPr>
        <w:pStyle w:val="NoSpacing"/>
        <w:ind w:left="142" w:right="334"/>
        <w:rPr>
          <w:lang w:val="en-GB"/>
        </w:rPr>
      </w:pPr>
      <w:r w:rsidRPr="00D91870">
        <w:rPr>
          <w:lang w:val="en-GB"/>
        </w:rPr>
        <w:t>The identification of a norm can, according to Finnemore and Sikkink (1998) only happen by looking at indirect evidence of the norm. It is the extensive trail of communication between actors (ibid.: 892) that should be studied. There is little discussion about whether the internationalization of higher education and the significant increase of adding economic value to a state’s economy by higher education institutes such as universities is a norm or not because, as for many other norms, it is rather clear that it is.</w:t>
      </w:r>
    </w:p>
    <w:p w:rsidR="00797BB5" w:rsidRPr="009D1068" w:rsidRDefault="00D91870" w:rsidP="00797BB5">
      <w:pPr>
        <w:pStyle w:val="NoSpacing"/>
        <w:ind w:left="142" w:right="334"/>
        <w:rPr>
          <w:lang w:val="en-GB"/>
        </w:rPr>
      </w:pPr>
      <w:r w:rsidRPr="00D91870">
        <w:rPr>
          <w:lang w:val="en-GB"/>
        </w:rPr>
        <w:t>For now, it seems therefore wise to assume the internationalization of higher education and the economic added value of universities in the future can be called a ‘norm’. The process of the norm will be thoroughly traced back in the next paragraphs and will lead to no other conclusion than it being a norm; a norm that can be dissected with the norm lifecycle framework of Finnemore and Sikkink (2001).</w:t>
      </w:r>
    </w:p>
    <w:p w:rsidR="00797BB5" w:rsidRPr="009D1068" w:rsidRDefault="00797BB5" w:rsidP="00797BB5">
      <w:pPr>
        <w:pStyle w:val="NoSpacing"/>
        <w:ind w:left="142" w:right="334"/>
        <w:rPr>
          <w:lang w:val="en-GB"/>
        </w:rPr>
      </w:pPr>
    </w:p>
    <w:p w:rsidR="00797BB5" w:rsidRPr="009D1068" w:rsidRDefault="00D91870" w:rsidP="00797BB5">
      <w:pPr>
        <w:pStyle w:val="Heading2"/>
        <w:numPr>
          <w:ilvl w:val="1"/>
          <w:numId w:val="3"/>
        </w:numPr>
        <w:rPr>
          <w:lang w:val="en-GB"/>
        </w:rPr>
      </w:pPr>
      <w:bookmarkStart w:id="51" w:name="_Toc391510184"/>
      <w:bookmarkStart w:id="52" w:name="_Toc396045605"/>
      <w:r w:rsidRPr="00D91870">
        <w:rPr>
          <w:lang w:val="en-GB"/>
        </w:rPr>
        <w:t>The norm lifecycle of the new of higher education</w:t>
      </w:r>
      <w:bookmarkEnd w:id="51"/>
      <w:r w:rsidRPr="00D91870">
        <w:rPr>
          <w:lang w:val="en-GB"/>
        </w:rPr>
        <w:t xml:space="preserve"> norm</w:t>
      </w:r>
      <w:bookmarkEnd w:id="52"/>
    </w:p>
    <w:p w:rsidR="00797BB5" w:rsidRPr="009D1068" w:rsidRDefault="00D91870" w:rsidP="00797BB5">
      <w:pPr>
        <w:pStyle w:val="NoSpacing"/>
        <w:ind w:left="142" w:right="334" w:firstLine="0"/>
        <w:rPr>
          <w:lang w:val="en-GB"/>
        </w:rPr>
      </w:pPr>
      <w:r w:rsidRPr="00D91870">
        <w:rPr>
          <w:lang w:val="en-GB"/>
        </w:rPr>
        <w:t>Central to this thesis is the question why the UK has changed in a faster pace than the Netherlands when it comes to the internationalization of higher education and the changing role of higher education institutes; a role that is changing towards adding more value to the national economy. They appear to be on the same track except for the fact that the UK seems to be ‘a few stations’ ahead. It is conceivable that, when following the framework of Finnemore and Sikkink (2001) that the norm lifecycle internalized quite differently in both these states. This might be due to the fact that norms face domestic institutional constraints (as argued by van Kersbergen and Verbeek (2007)).</w:t>
      </w:r>
    </w:p>
    <w:p w:rsidR="00797BB5" w:rsidRPr="009D1068" w:rsidRDefault="00D91870" w:rsidP="00797BB5">
      <w:pPr>
        <w:pStyle w:val="NoSpacing"/>
        <w:ind w:left="142" w:right="334"/>
        <w:rPr>
          <w:lang w:val="en-GB"/>
        </w:rPr>
      </w:pPr>
      <w:r w:rsidRPr="00D91870">
        <w:rPr>
          <w:lang w:val="en-GB"/>
        </w:rPr>
        <w:t xml:space="preserve">Regardless of the way the norm has internalized, it seems appropriate to trace back the process before discussing the internalization stage. </w:t>
      </w:r>
    </w:p>
    <w:p w:rsidR="00797BB5" w:rsidRPr="009D1068" w:rsidRDefault="00D91870" w:rsidP="00797BB5">
      <w:pPr>
        <w:pStyle w:val="Heading3"/>
        <w:numPr>
          <w:ilvl w:val="2"/>
          <w:numId w:val="3"/>
        </w:numPr>
        <w:rPr>
          <w:color w:val="auto"/>
          <w:lang w:val="en-GB"/>
        </w:rPr>
      </w:pPr>
      <w:bookmarkStart w:id="53" w:name="_Toc391510185"/>
      <w:bookmarkStart w:id="54" w:name="_Toc396045606"/>
      <w:r w:rsidRPr="00D91870">
        <w:rPr>
          <w:color w:val="auto"/>
          <w:lang w:val="en-GB"/>
        </w:rPr>
        <w:t>The European Round Table of Industrialists</w:t>
      </w:r>
      <w:bookmarkEnd w:id="53"/>
      <w:r w:rsidRPr="00D91870">
        <w:rPr>
          <w:color w:val="auto"/>
          <w:lang w:val="en-GB"/>
        </w:rPr>
        <w:t xml:space="preserve"> and the European Commission</w:t>
      </w:r>
      <w:bookmarkEnd w:id="54"/>
    </w:p>
    <w:p w:rsidR="00797BB5" w:rsidRPr="009D1068" w:rsidRDefault="00D91870" w:rsidP="00797BB5">
      <w:pPr>
        <w:pStyle w:val="NoSpacing"/>
        <w:ind w:left="142" w:right="334" w:firstLine="0"/>
        <w:rPr>
          <w:lang w:val="en-GB"/>
        </w:rPr>
      </w:pPr>
      <w:r w:rsidRPr="00D91870">
        <w:rPr>
          <w:lang w:val="en-GB"/>
        </w:rPr>
        <w:t>As the literature on higher education suggests, the transformation of higher education started in the late 1980s. The question that arises is: what ushered in this transformation? Where did it come from and who initiated it? As argued earlier, (higher) education has been a domain in which the nation states have stayed rather autonomous (Lauder, Brown &amp; Ashton, 2008). According to Kauppinen (2012), the developments of the European Higher Education Area (EHEA) and the European Research Area (ERA) have caused problems for scholars that adopt a nation-state centric approach towards higher education. It can be said that higher education has been lifted entirely out of the domain of the state, given that internationalization has become the central strategy of universities.</w:t>
      </w:r>
    </w:p>
    <w:p w:rsidR="00797BB5" w:rsidRPr="009D1068" w:rsidRDefault="00D91870" w:rsidP="00797BB5">
      <w:pPr>
        <w:pStyle w:val="NoSpacing"/>
        <w:ind w:left="142" w:right="334"/>
        <w:rPr>
          <w:lang w:val="en-GB"/>
        </w:rPr>
      </w:pPr>
      <w:r w:rsidRPr="00D91870">
        <w:rPr>
          <w:lang w:val="en-GB"/>
        </w:rPr>
        <w:t>The internationalization of higher education, and the increasingly economic function of universities norm did not come out of the blue. According to Finnemore and Sikkink’s norm lifecycle framework, the norm emerged as a result of a norm entrepreneur that was able to make use of an organizational platform. Tracing back a norm entrepreneur is often not easy, given that articulating a norm often happens implicitly. In this case, fortunately, the norm entrepreneurs can be distinguished rather easily. There cannot be any question about the gigantic impact of the European Round Table of Industrialist (ERT) and the European Commission (EC) in formulating this norm. The ERT and the EC will be discussed below. After that discussion, the internalization stage will be discussed for the adoption of the Bologna Strategy and the other EU initiatives will be regarded as the cascade stage.</w:t>
      </w:r>
    </w:p>
    <w:p w:rsidR="00421043" w:rsidRPr="009D1068" w:rsidRDefault="00D91870" w:rsidP="00505B73">
      <w:pPr>
        <w:pStyle w:val="NoSpacing"/>
        <w:ind w:left="142" w:right="334"/>
        <w:rPr>
          <w:i/>
          <w:lang w:val="en-GB"/>
        </w:rPr>
      </w:pPr>
      <w:r w:rsidRPr="00D91870">
        <w:rPr>
          <w:lang w:val="en-GB"/>
        </w:rPr>
        <w:t>The European Round Table of Industrialists (ERT</w:t>
      </w:r>
      <w:r w:rsidR="00797BB5" w:rsidRPr="009D1068">
        <w:rPr>
          <w:lang w:val="en-GB"/>
        </w:rPr>
        <w:t xml:space="preserve">) is a transnational advocacy group and an elitist forum which consists of </w:t>
      </w:r>
      <w:r w:rsidRPr="00D91870">
        <w:rPr>
          <w:lang w:val="en-GB"/>
        </w:rPr>
        <w:t xml:space="preserve">forty-six CEO’s and chairmen of some of the biggest European based multinational corporations (MNC). Membership of this group is personal; not organizational. The ERT meets twice a year in the EU presidency member state. The influence and sheer power of this group of captains of industry is evident. The ERT describes their work as: </w:t>
      </w:r>
    </w:p>
    <w:p w:rsidR="00797BB5" w:rsidRPr="009D1068" w:rsidRDefault="00D91870" w:rsidP="00421043">
      <w:pPr>
        <w:pStyle w:val="NoSpacing"/>
        <w:spacing w:line="240" w:lineRule="auto"/>
        <w:ind w:left="567" w:right="759" w:firstLine="0"/>
        <w:rPr>
          <w:lang w:val="en-GB"/>
        </w:rPr>
      </w:pPr>
      <w:r w:rsidRPr="00D91870">
        <w:rPr>
          <w:i/>
          <w:lang w:val="en-GB"/>
        </w:rPr>
        <w:t>Drawing on the global experience of its Members, ERT identifies important issues related to European competitiveness and examines how public policies could facilitate improvements. ERT makes its views known to the political decision-makers at national and European level by means of reports, position papers and face-to-face discussions. At European level, ERT discusses its views with Members of the European Commission, the Council of Ministers and the European Parliament. At national level, Members communicate ERT’s views to their national government and parliament, as well as business colleagues, contacts in industrial federations, other opinion-formers and the press.ERT has close contacts with BUSINESSEUROPE, the official representative body of European business and industry vis-à-vis the European institutions.</w:t>
      </w:r>
      <w:r w:rsidRPr="00D91870">
        <w:rPr>
          <w:lang w:val="en-GB"/>
        </w:rPr>
        <w:t>(European Round Table of Industrialists, 2013)</w:t>
      </w:r>
    </w:p>
    <w:p w:rsidR="00797BB5" w:rsidRPr="009D1068" w:rsidRDefault="00797BB5" w:rsidP="00797BB5">
      <w:pPr>
        <w:pStyle w:val="NoSpacing"/>
        <w:ind w:left="142" w:right="334"/>
        <w:rPr>
          <w:lang w:val="en-GB"/>
        </w:rPr>
      </w:pPr>
    </w:p>
    <w:p w:rsidR="00797BB5" w:rsidRDefault="00D91870" w:rsidP="00797BB5">
      <w:pPr>
        <w:pStyle w:val="NoSpacing"/>
        <w:ind w:left="142" w:right="334"/>
        <w:rPr>
          <w:lang w:val="en-GB"/>
        </w:rPr>
      </w:pPr>
      <w:r w:rsidRPr="00D91870">
        <w:rPr>
          <w:lang w:val="en-GB"/>
        </w:rPr>
        <w:t>There is little doubt about the influence and power of the ERT. Van Apeldoorn (2000: 157) researched the political impact of the ERT and argues that:</w:t>
      </w:r>
    </w:p>
    <w:p w:rsidR="00797BB5" w:rsidRDefault="00D91870" w:rsidP="00421043">
      <w:pPr>
        <w:pStyle w:val="NoSpacing"/>
        <w:tabs>
          <w:tab w:val="left" w:pos="8505"/>
        </w:tabs>
        <w:spacing w:line="240" w:lineRule="auto"/>
        <w:ind w:left="567" w:right="901" w:firstLine="0"/>
        <w:rPr>
          <w:i/>
          <w:lang w:val="en-GB"/>
        </w:rPr>
      </w:pPr>
      <w:r w:rsidRPr="00D91870">
        <w:rPr>
          <w:i/>
          <w:lang w:val="en-GB"/>
        </w:rPr>
        <w:t>‘the ERT—as an elite forum mediating the interests and power of the most transnational segments of European capital—has played a signifi</w:t>
      </w:r>
      <w:r w:rsidRPr="00D91870">
        <w:rPr>
          <w:rFonts w:cs="Calibri"/>
          <w:i/>
          <w:lang w:val="en-GB"/>
        </w:rPr>
        <w:t xml:space="preserve">cant role in shaping European governance in as </w:t>
      </w:r>
      <w:r w:rsidR="00797BB5" w:rsidRPr="009D1068">
        <w:rPr>
          <w:i/>
          <w:lang w:val="en-GB"/>
        </w:rPr>
        <w:t>much as it has successfully articulated and promoted ideas and concepts that have at critical times set the political agenda and, beyond, have helped to shape the discourse within which European policy making is embedded. Here, the increasingly neoliberal orientation of the ERT refl</w:t>
      </w:r>
      <w:r w:rsidRPr="00D91870">
        <w:rPr>
          <w:rFonts w:cs="Calibri"/>
          <w:i/>
          <w:lang w:val="en-GB"/>
        </w:rPr>
        <w:t>ects […] t</w:t>
      </w:r>
      <w:r w:rsidR="00797BB5" w:rsidRPr="009D1068">
        <w:rPr>
          <w:i/>
          <w:lang w:val="en-GB"/>
        </w:rPr>
        <w:t>he constructi</w:t>
      </w:r>
      <w:r w:rsidRPr="00D91870">
        <w:rPr>
          <w:i/>
          <w:lang w:val="en-GB"/>
        </w:rPr>
        <w:t>on of a new European order in which governance is geared to serve the interests of a globalizing transnational capitalist elite, and hence the exigencies of global ‘competitiveness’</w:t>
      </w:r>
    </w:p>
    <w:p w:rsidR="00505B73" w:rsidRPr="009D1068" w:rsidRDefault="00505B73" w:rsidP="00421043">
      <w:pPr>
        <w:pStyle w:val="NoSpacing"/>
        <w:tabs>
          <w:tab w:val="left" w:pos="8505"/>
        </w:tabs>
        <w:spacing w:line="240" w:lineRule="auto"/>
        <w:ind w:left="567" w:right="901" w:firstLine="0"/>
        <w:rPr>
          <w:i/>
          <w:lang w:val="en-GB"/>
        </w:rPr>
      </w:pPr>
    </w:p>
    <w:p w:rsidR="00797BB5" w:rsidRPr="009D1068" w:rsidRDefault="00797BB5" w:rsidP="00797BB5">
      <w:pPr>
        <w:pStyle w:val="NoSpacing"/>
        <w:spacing w:line="240" w:lineRule="auto"/>
        <w:ind w:left="142" w:right="334"/>
        <w:rPr>
          <w:i/>
          <w:lang w:val="en-GB"/>
        </w:rPr>
      </w:pPr>
    </w:p>
    <w:p w:rsidR="00797BB5" w:rsidRPr="009D1068" w:rsidRDefault="00D91870" w:rsidP="00797BB5">
      <w:pPr>
        <w:pStyle w:val="NoSpacing"/>
        <w:ind w:left="142" w:right="334"/>
        <w:rPr>
          <w:lang w:val="en-GB"/>
        </w:rPr>
      </w:pPr>
      <w:r w:rsidRPr="00D91870">
        <w:rPr>
          <w:lang w:val="en-GB"/>
        </w:rPr>
        <w:t>And according to for instance EIRMA (2008), the ERT often organizes meetings with the European Commission and with members of the European Parliament. The economic power of the members of the ERT is significant. For instance twenty of the world’s sixty non-financial MNC’s are represented at the ERT (Kaupinnen, 2012).</w:t>
      </w:r>
    </w:p>
    <w:p w:rsidR="00797BB5" w:rsidRPr="009D1068" w:rsidRDefault="00D91870" w:rsidP="00797BB5">
      <w:pPr>
        <w:pStyle w:val="NoSpacing"/>
        <w:ind w:left="142" w:right="334"/>
        <w:rPr>
          <w:lang w:val="en-GB"/>
        </w:rPr>
      </w:pPr>
      <w:r w:rsidRPr="00D91870">
        <w:rPr>
          <w:lang w:val="en-GB"/>
        </w:rPr>
        <w:t>The ERT has been a driving force behind the restructuring of European universities. Since its establishment in 1983, it has focused on higher education. The ERT has produced many report</w:t>
      </w:r>
      <w:r w:rsidR="00042F78">
        <w:rPr>
          <w:lang w:val="en-GB"/>
        </w:rPr>
        <w:t>s</w:t>
      </w:r>
      <w:r w:rsidRPr="00D91870">
        <w:rPr>
          <w:lang w:val="en-GB"/>
        </w:rPr>
        <w:t xml:space="preserve"> that have focused on higher education, Research and development and science on the whole. These topics were always related to the competitiveness of the European economy. The ERT views higher education as instrumental for the position of the European economy in respect to the economy of the United States and the upcoming economy of for instance China (or Japan in the 1980-90s). To illustrate that this has been the focus of the ERT from its earliest years: </w:t>
      </w:r>
    </w:p>
    <w:p w:rsidR="00421043" w:rsidRPr="009D1068" w:rsidRDefault="00421043" w:rsidP="00797BB5">
      <w:pPr>
        <w:pStyle w:val="NoSpacing"/>
        <w:spacing w:line="240" w:lineRule="auto"/>
        <w:ind w:left="709" w:right="901"/>
        <w:rPr>
          <w:i/>
          <w:lang w:val="en-GB"/>
        </w:rPr>
      </w:pPr>
    </w:p>
    <w:p w:rsidR="00797BB5" w:rsidRPr="009D1068" w:rsidRDefault="00D91870" w:rsidP="00421043">
      <w:pPr>
        <w:pStyle w:val="NoSpacing"/>
        <w:spacing w:line="240" w:lineRule="auto"/>
        <w:ind w:left="709" w:right="901" w:firstLine="0"/>
        <w:rPr>
          <w:i/>
          <w:lang w:val="en-GB"/>
        </w:rPr>
      </w:pPr>
      <w:r w:rsidRPr="00D91870">
        <w:rPr>
          <w:i/>
          <w:lang w:val="en-GB"/>
        </w:rPr>
        <w:t>Europe needs to make advantage of its scale in improving scientific education. No truly European research-led education institution has yet been created. Such institutions are required to redress the currently unfavorable balance between each individual European nation and Japan and the US. And furthermore, the European dimension is crucial because the national level in Europe is just too small for the new technologies (imagine Stanford being limited to Californians and MIT to US East Coasters (</w:t>
      </w:r>
      <w:r w:rsidRPr="00D91870">
        <w:rPr>
          <w:lang w:val="en-GB"/>
        </w:rPr>
        <w:t>ERT, 1985: 31).</w:t>
      </w:r>
    </w:p>
    <w:p w:rsidR="00797BB5" w:rsidRPr="009D1068" w:rsidRDefault="00D91870" w:rsidP="00797BB5">
      <w:pPr>
        <w:pStyle w:val="NoSpacing"/>
        <w:ind w:left="142" w:right="334"/>
        <w:rPr>
          <w:lang w:val="en-GB"/>
        </w:rPr>
      </w:pPr>
      <w:r w:rsidRPr="00D91870">
        <w:rPr>
          <w:lang w:val="en-GB"/>
        </w:rPr>
        <w:br/>
        <w:t xml:space="preserve">In this report, the ERT continues to argue that the European teaching institutions should be focused at sharpening the European industry’s competitive side. Further, the ERT (2009) argues that, compared to Japan and the United States, the connection between educational institutions and the industry has been relatively week. Especially in the area of academic research. In the early 1990s, the ERT has articulated the need for an European Educational Space along the lines of the European Economic Space (ERT, 1989) and has argued for the installment of a European business degree matching the American MBA. According to Kauppinen (2013:12), numerous reports have followed and they all focused on harmonization, more co-operation between European higher education institutes, European degrees, transferability of studies and exams, exchange programmes and international apprenticeships. Universities had to offer economic value and therefore, universities offering studies that do not have (direct) economic value, will likely not receive as much funding as studies that do have an explicit economic value for, as can be read in a report of the ERT (1989:9) that argues that funding of higher education institutions should increasingly come from the industries and teachers should always be aware of the economic implications when building their training programmes or course curriculums. </w:t>
      </w:r>
    </w:p>
    <w:p w:rsidR="00797BB5" w:rsidRPr="009D1068" w:rsidRDefault="00D91870" w:rsidP="00797BB5">
      <w:pPr>
        <w:pStyle w:val="NoSpacing"/>
        <w:ind w:left="142" w:right="334"/>
        <w:rPr>
          <w:lang w:val="en-GB"/>
        </w:rPr>
      </w:pPr>
      <w:r w:rsidRPr="00D91870">
        <w:rPr>
          <w:lang w:val="en-GB"/>
        </w:rPr>
        <w:t xml:space="preserve">As one has read in the previous paragraph, all these goals have been reached via the Bologna Process, the Lisbon Strategy and Europe 2020. These European agreements and initiatives all originated from the European Commission; the other actor that has shaped the higher education norm. </w:t>
      </w:r>
    </w:p>
    <w:p w:rsidR="00797BB5" w:rsidRPr="009D1068" w:rsidRDefault="00D91870" w:rsidP="00797BB5">
      <w:pPr>
        <w:pStyle w:val="NoSpacing"/>
        <w:ind w:left="142" w:right="334"/>
        <w:rPr>
          <w:lang w:val="en-GB"/>
        </w:rPr>
      </w:pPr>
      <w:r w:rsidRPr="00D91870">
        <w:rPr>
          <w:lang w:val="en-GB"/>
        </w:rPr>
        <w:t>According to a number of authors (for instance McCreevy, 2008, Ziltener, 2004, Parsons, 2010, Cowles, 1995 and Van Apeldoorn 2000), the interaction between the ERT</w:t>
      </w:r>
      <w:r w:rsidR="008D3AB9" w:rsidRPr="009D1068">
        <w:rPr>
          <w:lang w:val="en-GB"/>
        </w:rPr>
        <w:t xml:space="preserve"> </w:t>
      </w:r>
      <w:r w:rsidRPr="00D91870">
        <w:rPr>
          <w:lang w:val="en-GB"/>
        </w:rPr>
        <w:t>on the one hand and the European Commission on the other hand has proved to be a rather productive one. The mutual recognition of the successfulness of the cooperation between the ERT and the EC and the often publicly organized meetings originated from the promotion and the formulation of the idea of the Single Market Programme of 1992. According to Kauppinen (2013), it is important to recognize the instrumental role of the ERT towards this project in order to understand the role the ERT and the EC played in articulating the higher education norm. The higher education norm can be seen as an extension of the European Single Market; that is, a European Single Market for innovation and knowledge. The Commissioner for Education in 1985, Peter Sutherland, was a strong supporter of the Erasmus programme, which was started off in that year. He em</w:t>
      </w:r>
      <w:r w:rsidR="00042F78">
        <w:rPr>
          <w:lang w:val="en-GB"/>
        </w:rPr>
        <w:t>phasised</w:t>
      </w:r>
      <w:r w:rsidRPr="00D91870">
        <w:rPr>
          <w:lang w:val="en-GB"/>
        </w:rPr>
        <w:t xml:space="preserve"> how the programme would dovetail</w:t>
      </w:r>
      <w:r w:rsidR="008F6D6D">
        <w:rPr>
          <w:lang w:val="en-GB"/>
        </w:rPr>
        <w:t xml:space="preserve"> the</w:t>
      </w:r>
      <w:r w:rsidRPr="00D91870">
        <w:rPr>
          <w:lang w:val="en-GB"/>
        </w:rPr>
        <w:t xml:space="preserve"> </w:t>
      </w:r>
      <w:r w:rsidR="008F6D6D">
        <w:rPr>
          <w:lang w:val="en-GB"/>
        </w:rPr>
        <w:t>C</w:t>
      </w:r>
      <w:r w:rsidRPr="00D91870">
        <w:rPr>
          <w:lang w:val="en-GB"/>
        </w:rPr>
        <w:t xml:space="preserve">ommissions Single Market policy focus (Corbett, 2003: 125). </w:t>
      </w:r>
    </w:p>
    <w:p w:rsidR="00797BB5" w:rsidRPr="009D1068" w:rsidRDefault="00D91870" w:rsidP="00797BB5">
      <w:pPr>
        <w:pStyle w:val="NoSpacing"/>
        <w:ind w:left="142" w:right="334"/>
        <w:rPr>
          <w:lang w:val="en-GB"/>
        </w:rPr>
      </w:pPr>
      <w:r w:rsidRPr="00D91870">
        <w:rPr>
          <w:lang w:val="en-GB"/>
        </w:rPr>
        <w:t>According to Keeling (2006: 208), the European Commission has shaped the discourse on higher education ever since the Erasmus programme. Through the Lisbon Strategy and the Bologna Process, it has been able to achieve an ever growing profile within the domain of European higher education. All the agreements on the EU-level, were initiated by the European Commission. Achieving this by funding the councils and ministerial meetings, and the backing of for instance the European Research Council. Fu</w:t>
      </w:r>
      <w:r w:rsidR="008F6D6D">
        <w:rPr>
          <w:lang w:val="en-GB"/>
        </w:rPr>
        <w:t>r</w:t>
      </w:r>
      <w:r w:rsidRPr="00D91870">
        <w:rPr>
          <w:lang w:val="en-GB"/>
        </w:rPr>
        <w:t xml:space="preserve">thermore, as argued by the then President of the Commission Barosso, the European Commission is the only constant in the higher education project; it is the only actor that is always at the table (Barosso 2005). An extensive discourse analysis has led Keeling (2005) to conclude that the contributions of the EC always propagated a discourse in line with the European Round Table of Industrialists. Higher education had to </w:t>
      </w:r>
      <w:r w:rsidR="00BB6071" w:rsidRPr="009D1068">
        <w:rPr>
          <w:lang w:val="en-GB"/>
        </w:rPr>
        <w:t>have a purpose</w:t>
      </w:r>
      <w:r w:rsidRPr="00D91870">
        <w:rPr>
          <w:lang w:val="en-GB"/>
        </w:rPr>
        <w:t>,</w:t>
      </w:r>
      <w:r w:rsidR="00797BB5" w:rsidRPr="009D1068">
        <w:rPr>
          <w:lang w:val="en-GB"/>
        </w:rPr>
        <w:t xml:space="preserve"> for</w:t>
      </w:r>
      <w:r w:rsidRPr="00D91870">
        <w:rPr>
          <w:lang w:val="en-GB"/>
        </w:rPr>
        <w:t xml:space="preserve"> the individual and for the wider society on the whole. Learning on academic level should be a </w:t>
      </w:r>
      <w:r w:rsidRPr="00D91870">
        <w:rPr>
          <w:i/>
          <w:lang w:val="en-GB"/>
        </w:rPr>
        <w:t>productive activity</w:t>
      </w:r>
      <w:r w:rsidRPr="00D91870">
        <w:rPr>
          <w:lang w:val="en-GB"/>
        </w:rPr>
        <w:t>, a means to accumulate and generate knowledge for social benefit. On the knowledge production site, the European Commission argued that this should be focused on creating innovations and intellectual property (European Commission, 2004: 12-17). Further, the Commission has, in the last decades, pushed the idea of measurable ‘outputs’ of higher educational activities such as the ECTS credits structure (within the Bologna Process) at the individual level and research output</w:t>
      </w:r>
      <w:r w:rsidR="00797BB5" w:rsidRPr="009D1068">
        <w:rPr>
          <w:rStyle w:val="FootnoteReference"/>
          <w:lang w:val="en-GB"/>
        </w:rPr>
        <w:footnoteReference w:id="20"/>
      </w:r>
      <w:r w:rsidR="00797BB5" w:rsidRPr="009D1068">
        <w:rPr>
          <w:lang w:val="en-GB"/>
        </w:rPr>
        <w:t xml:space="preserve"> at the institutional level </w:t>
      </w:r>
      <w:r w:rsidRPr="00D91870">
        <w:rPr>
          <w:lang w:val="en-GB"/>
        </w:rPr>
        <w:t>(European Commission, 2005).</w:t>
      </w:r>
      <w:r w:rsidRPr="00D91870">
        <w:rPr>
          <w:b/>
          <w:lang w:val="en-GB"/>
        </w:rPr>
        <w:t xml:space="preserve"> </w:t>
      </w:r>
      <w:r w:rsidRPr="00D91870">
        <w:rPr>
          <w:lang w:val="en-GB"/>
        </w:rPr>
        <w:t xml:space="preserve">The European Commission is restructuring the higher education organizations in such a way that they are starting to participate in the open market and are even competing with the private sector on the one hand, and other higher education institutes on the other (Keeling, 2006: 209). Education is increasingly being represented as a product. The researcher is seen more as a manufacturer where the student can be regarded as the consumer and the ECTS credits has become the systems specific ‘currency’ (Nyborg, 2005). </w:t>
      </w:r>
    </w:p>
    <w:p w:rsidR="00797BB5" w:rsidRPr="009D1068" w:rsidRDefault="00D91870" w:rsidP="00421043">
      <w:pPr>
        <w:pStyle w:val="NoSpacing"/>
        <w:ind w:left="142" w:right="334"/>
        <w:rPr>
          <w:lang w:val="en-GB"/>
        </w:rPr>
      </w:pPr>
      <w:r w:rsidRPr="00D91870">
        <w:rPr>
          <w:lang w:val="en-GB"/>
        </w:rPr>
        <w:t>To summarize, the recommendations of the ERT to the European Commission, which involved increasing industry representatives in the boards of universities, the restructuring of (some) European universities towards a US private university, the lifelong learning principles, the compatibility of European higher education institutions between the member states and the facilitation of industry-university collaborations, have not been in vain</w:t>
      </w:r>
      <w:r w:rsidR="00797BB5" w:rsidRPr="009D1068">
        <w:rPr>
          <w:lang w:val="en-GB"/>
        </w:rPr>
        <w:t>. According to Kauppinen (2013), the restructuring</w:t>
      </w:r>
      <w:r w:rsidRPr="00D91870">
        <w:rPr>
          <w:lang w:val="en-GB"/>
        </w:rPr>
        <w:t xml:space="preserve"> of the European higher education area in the last twenty years has been done exactly along the lines put forward by the ERT and the European Commission. The ERT and the EC have persuaded</w:t>
      </w:r>
      <w:r w:rsidR="00797BB5" w:rsidRPr="009D1068">
        <w:rPr>
          <w:i/>
          <w:lang w:val="en-GB"/>
        </w:rPr>
        <w:t xml:space="preserve"> </w:t>
      </w:r>
      <w:r w:rsidRPr="00D91870">
        <w:rPr>
          <w:lang w:val="en-GB"/>
        </w:rPr>
        <w:t xml:space="preserve">the European (member) states of the importance of their plans for the higher education area in Europe. As has been pointed out, norm entrepreneurs require an organizational platform with which it uses to articulate the norm. In this case, the ERT was able to influence the ERT and the EC, being the executive branch of the European Union, was able to create its own platform by setting the agenda of council meetings of the European Union with ministers from the member states (Apeldoorn, 2000). </w:t>
      </w:r>
    </w:p>
    <w:p w:rsidR="007B6048" w:rsidRPr="009D1068" w:rsidRDefault="00D91870" w:rsidP="00797BB5">
      <w:pPr>
        <w:pStyle w:val="NoSpacing"/>
        <w:ind w:left="142" w:right="334"/>
        <w:rPr>
          <w:lang w:val="en-GB"/>
        </w:rPr>
      </w:pPr>
      <w:r w:rsidRPr="00D91870">
        <w:rPr>
          <w:lang w:val="en-GB"/>
        </w:rPr>
        <w:t>The second stage of the norm; the norm cascade, has been described in the first paragraph of this chapter. The Bologna Process, the Lisbon Strategy and the E</w:t>
      </w:r>
      <w:r w:rsidR="008F6D6D">
        <w:rPr>
          <w:lang w:val="en-GB"/>
        </w:rPr>
        <w:t>urope</w:t>
      </w:r>
      <w:r w:rsidRPr="00D91870">
        <w:rPr>
          <w:lang w:val="en-GB"/>
        </w:rPr>
        <w:t xml:space="preserve"> 2020 are all embodiments of the norm that was articulated by the European Round Table of Industrialists and the European Commission. Keeling (2006) argues that the EC has been very active in articulating the importance of a European higher education area (EHEA).He states that this creates innovations, new technologies and intellectual property. Keeling (ibid.) argues that the EC, with its constant use of benchmarking (on US-based universities) in relation to the reform of higher education, constructed higher education institutes as organizations that participate and compete, like other organizations, in an open market. A competition that can be measured and that produces winners and losers. An example of this is are the ‘stocktaking procedures’ that analyze the output and the performance of the participating states (Bologna Working Group, 2005). Furthermore, the EC keeps depicting higher education as </w:t>
      </w:r>
      <w:r w:rsidRPr="00D91870">
        <w:rPr>
          <w:i/>
          <w:lang w:val="en-GB"/>
        </w:rPr>
        <w:t>beyond the university</w:t>
      </w:r>
      <w:r w:rsidRPr="00D91870">
        <w:rPr>
          <w:lang w:val="en-GB"/>
        </w:rPr>
        <w:t xml:space="preserve"> and its focus on lifelong intrastate learning (European Commission (2001, and 2004). The European Commission, in a way, has paved the way for the cascade of the norm. By institutionalizing the internationalization of higher education and by capturing the norm in various treaties, it was able to give the norm a strong foundation, one that could not be ignored by member states nor by </w:t>
      </w:r>
      <w:r w:rsidR="0036568C" w:rsidRPr="00D91870">
        <w:rPr>
          <w:lang w:val="en-GB"/>
        </w:rPr>
        <w:t>non-member</w:t>
      </w:r>
      <w:r w:rsidRPr="00D91870">
        <w:rPr>
          <w:lang w:val="en-GB"/>
        </w:rPr>
        <w:t xml:space="preserve"> states</w:t>
      </w:r>
      <w:r w:rsidR="0036568C">
        <w:rPr>
          <w:lang w:val="en-GB"/>
        </w:rPr>
        <w:t xml:space="preserve"> for</w:t>
      </w:r>
      <w:r w:rsidRPr="00D91870">
        <w:rPr>
          <w:lang w:val="en-GB"/>
        </w:rPr>
        <w:t xml:space="preserve"> not joining meant falling behind. As argued by Finnemore and Sikkink (1998), in order for a norm to cascade, it should have reached a so called critical mass of states that adopt the norm. This point lies around two-thirds of the member states (including the larger states such as France, Germany and the UK). This criterion has easily been met. With all European states (excluding Monaco) plus Ukraine and Kazakhstan (as of 2010) among others, this measure has been almost universally adopted in Europe (Council of Europe, 2014).</w:t>
      </w:r>
    </w:p>
    <w:p w:rsidR="00797BB5" w:rsidRPr="009D1068" w:rsidRDefault="00D91870" w:rsidP="00797BB5">
      <w:pPr>
        <w:pStyle w:val="NoSpacing"/>
        <w:ind w:left="142" w:right="334"/>
        <w:rPr>
          <w:lang w:val="en-GB"/>
        </w:rPr>
      </w:pPr>
      <w:r w:rsidRPr="00D91870">
        <w:rPr>
          <w:lang w:val="en-GB"/>
        </w:rPr>
        <w:t xml:space="preserve">It was expected that the preferences of the private sector do play a role in the cascading stage. They are unable to change the norm in this stage, but can lobby their own government to adopt the norm. In the Netherlands, high tech companies such as Philips and for instance ASML all benefit greatly from the cooperation with higher education institutes. Furthermore, Wisse Dekker, who was the President of Philips, was the chairman of the European Round Table of Industrialists and had, therefore, a big influence on the formulation of the norm. Cowles (1995) argues that Dekker, with the unveiling of the ‘Dekker Plan’; a simple plan for a unified and harmonized market, was instrumental for the goal of creating the Single European Act. This ‘Dekker Paper’ </w:t>
      </w:r>
      <w:r w:rsidR="004B4DB6" w:rsidRPr="009D1068">
        <w:rPr>
          <w:lang w:val="en-GB"/>
        </w:rPr>
        <w:t>was an internal Philips initiative that was embraced by the ERT. Several days later, Jacques Delors, the new President of t</w:t>
      </w:r>
      <w:r w:rsidRPr="00D91870">
        <w:rPr>
          <w:lang w:val="en-GB"/>
        </w:rPr>
        <w:t xml:space="preserve">he European Commission, embraced the paper and pledged himself to the completion of the unified single market by 1992 (ibid.: 515). The industries in the UK have always cooperated closer with the higher education institutes in comparison to the Netherlands. They are also well represented in the ERT and were therefore able to adjust the course of the ERT to wherever would suit them best.  </w:t>
      </w:r>
    </w:p>
    <w:p w:rsidR="00797BB5" w:rsidRPr="009D1068" w:rsidRDefault="00D91870" w:rsidP="00797BB5">
      <w:pPr>
        <w:pStyle w:val="NoSpacing"/>
        <w:ind w:left="142" w:right="334"/>
        <w:rPr>
          <w:lang w:val="en-GB"/>
        </w:rPr>
      </w:pPr>
      <w:r w:rsidRPr="00D91870">
        <w:rPr>
          <w:lang w:val="en-GB"/>
        </w:rPr>
        <w:t>The third stage is the main focal point of this thesis. Is the internalization of the above described norm. It seems sensible to look at the changes in the Netherlands and the UK before arguing if, and why there is a change of pace when it comes to the third stage of the norm: internalization. The varieties of capitalism approach will then be used to analyze the changes that have occurred.</w:t>
      </w:r>
    </w:p>
    <w:p w:rsidR="00797BB5" w:rsidRPr="009D1068" w:rsidRDefault="00D91870" w:rsidP="00797BB5">
      <w:pPr>
        <w:ind w:left="142" w:right="334"/>
        <w:rPr>
          <w:lang w:val="en-GB"/>
        </w:rPr>
      </w:pPr>
      <w:r w:rsidRPr="00D91870">
        <w:rPr>
          <w:lang w:val="en-GB"/>
        </w:rPr>
        <w:t xml:space="preserve"> </w:t>
      </w:r>
    </w:p>
    <w:p w:rsidR="00797BB5" w:rsidRPr="009D1068" w:rsidRDefault="00D91870" w:rsidP="00797BB5">
      <w:pPr>
        <w:pStyle w:val="Heading2"/>
        <w:numPr>
          <w:ilvl w:val="1"/>
          <w:numId w:val="3"/>
        </w:numPr>
        <w:rPr>
          <w:lang w:val="en-GB"/>
        </w:rPr>
      </w:pPr>
      <w:bookmarkStart w:id="55" w:name="_Toc391510186"/>
      <w:bookmarkStart w:id="56" w:name="_Toc396045607"/>
      <w:r w:rsidRPr="00D91870">
        <w:rPr>
          <w:lang w:val="en-GB"/>
        </w:rPr>
        <w:t>Empirical analysis of the changes in higher education in the Netherlands and In the United Kingdom</w:t>
      </w:r>
      <w:bookmarkEnd w:id="55"/>
      <w:bookmarkEnd w:id="56"/>
    </w:p>
    <w:p w:rsidR="00797BB5" w:rsidRPr="009D1068" w:rsidRDefault="00D91870" w:rsidP="00797BB5">
      <w:pPr>
        <w:pStyle w:val="NoSpacing"/>
        <w:ind w:left="142" w:right="334" w:firstLine="0"/>
        <w:rPr>
          <w:lang w:val="en-GB"/>
        </w:rPr>
      </w:pPr>
      <w:r w:rsidRPr="00D91870">
        <w:rPr>
          <w:lang w:val="en-GB"/>
        </w:rPr>
        <w:t>Before starting with an elaboration of the changes in the Netherlands and the UK, it seems important to first state that both the Netherlands and the UK are subject to the same legislations from Europe. Both the UK and the Netherlands are signatories of the Bologna Process, the Lisbon Strategy and the Europe 2020 strategy. Furthermore, both states are subject to the same contemporary trend in the (economic) world. Secondly, it seems important to address what is meant with internationalization of higher education: until the 1980s, higher education internationalization constituted mostly of student mobility. At the beginning of the 1990s, the ‘definition’ was broadened towards increased interconnectedness between national higher education structures (Van der Wende, 2007). Furthermore, internationalization of higher education institutes also beholds that for instance universities become more involved in competitions.</w:t>
      </w:r>
    </w:p>
    <w:p w:rsidR="00797BB5" w:rsidRPr="009D1068" w:rsidRDefault="00D91870" w:rsidP="00797BB5">
      <w:pPr>
        <w:pStyle w:val="Heading3"/>
        <w:numPr>
          <w:ilvl w:val="2"/>
          <w:numId w:val="3"/>
        </w:numPr>
        <w:rPr>
          <w:color w:val="auto"/>
          <w:lang w:val="en-GB"/>
        </w:rPr>
      </w:pPr>
      <w:bookmarkStart w:id="57" w:name="_Toc396045608"/>
      <w:bookmarkStart w:id="58" w:name="_Toc391510188"/>
      <w:r w:rsidRPr="00D91870">
        <w:rPr>
          <w:color w:val="auto"/>
          <w:lang w:val="en-GB"/>
        </w:rPr>
        <w:t>The Netherlands</w:t>
      </w:r>
      <w:bookmarkEnd w:id="57"/>
      <w:r w:rsidRPr="00D91870">
        <w:rPr>
          <w:color w:val="auto"/>
          <w:lang w:val="en-GB"/>
        </w:rPr>
        <w:t xml:space="preserve"> </w:t>
      </w:r>
      <w:bookmarkEnd w:id="58"/>
    </w:p>
    <w:p w:rsidR="00797BB5" w:rsidRPr="009D1068" w:rsidRDefault="00D91870" w:rsidP="00797BB5">
      <w:pPr>
        <w:pStyle w:val="NoSpacing"/>
        <w:ind w:left="142" w:right="334" w:firstLine="0"/>
        <w:rPr>
          <w:lang w:val="en-GB"/>
        </w:rPr>
      </w:pPr>
      <w:r w:rsidRPr="00D91870">
        <w:rPr>
          <w:lang w:val="en-GB"/>
        </w:rPr>
        <w:t>The Netherlands has gone through a number of changes when it comes to higher education, as have the rest of the European Union member states. As a signatory to the Bologna Process, the Lisbon Strategy and Europe 2020 it has committed itself to such a change. However, the implementation (or internalization) is slightly different from the implementation in the UK. Van Kersbergen and Verbeek (2007) might be able to ex</w:t>
      </w:r>
      <w:r w:rsidRPr="0036568C">
        <w:rPr>
          <w:sz w:val="16"/>
          <w:szCs w:val="16"/>
        </w:rPr>
        <w:t>plain this, but before delving deeper into that</w:t>
      </w:r>
      <w:r w:rsidR="00797BB5" w:rsidRPr="009D1068">
        <w:rPr>
          <w:lang w:val="en-GB"/>
        </w:rPr>
        <w:t xml:space="preserve">, </w:t>
      </w:r>
      <w:r w:rsidRPr="00D91870">
        <w:rPr>
          <w:lang w:val="en-GB"/>
        </w:rPr>
        <w:t>Before moving to explaining the difference, it seems important to describe the (political) process behind the internalization of the norm in the Netherlands.</w:t>
      </w:r>
    </w:p>
    <w:p w:rsidR="00797BB5" w:rsidRPr="009D1068" w:rsidRDefault="00D91870" w:rsidP="00797BB5">
      <w:pPr>
        <w:pStyle w:val="NoSpacing"/>
        <w:ind w:left="142" w:right="334"/>
        <w:rPr>
          <w:lang w:val="en-GB"/>
        </w:rPr>
      </w:pPr>
      <w:r w:rsidRPr="00D91870">
        <w:rPr>
          <w:lang w:val="en-GB"/>
        </w:rPr>
        <w:t xml:space="preserve">De Boer et al. (2007) have written an elaborate article about the reforms of higher education, and the reforms of universities in particular, in the last two decades. Their main conclusion is that universities have transformed into more ‘complete’ organizations and that the position of the university as ‘corporate actor’ has been strengthened (ibid.: 42-43). They compare the contemporary universities with their predecessors and conclude that new identities, hierarchies and rationalities have been constructed. </w:t>
      </w:r>
    </w:p>
    <w:p w:rsidR="00797BB5" w:rsidRPr="009D1068" w:rsidRDefault="00D91870" w:rsidP="00797BB5">
      <w:pPr>
        <w:pStyle w:val="NoSpacing"/>
        <w:ind w:left="142" w:right="334"/>
        <w:rPr>
          <w:lang w:val="en-GB"/>
        </w:rPr>
      </w:pPr>
      <w:r w:rsidRPr="00D91870">
        <w:rPr>
          <w:lang w:val="en-GB"/>
        </w:rPr>
        <w:t>The Dutch higher education system is organized as a so-called binary system, consisting of thirteen universities and forty-three higher vocational education institutes. Of these thirteen universities, ten are publicly funded and three are privately funded. The Dutch government has traditionally played a role of importance in the coordination of research and higher education. Private funding and private higher education has always played a minor role in the Netherlands. Until recently, tables that compared Dutch universities did not exists and the difference between teaching and research at the different Dutch universities was relatively small (de Boer, 2007). Only in the last decade, status stratification has become an issue (ibid.; 29).</w:t>
      </w:r>
    </w:p>
    <w:p w:rsidR="00797BB5" w:rsidRPr="009D1068" w:rsidRDefault="00D91870" w:rsidP="00797BB5">
      <w:pPr>
        <w:pStyle w:val="NoSpacing"/>
        <w:ind w:left="142" w:right="334"/>
        <w:rPr>
          <w:lang w:val="en-GB"/>
        </w:rPr>
      </w:pPr>
      <w:r w:rsidRPr="00D91870">
        <w:rPr>
          <w:lang w:val="en-GB"/>
        </w:rPr>
        <w:t xml:space="preserve">According to De Boer (2007), the development ‘from government to governance’ was initiated in the late 1990s. The government gave more powers to the executives of universities. This allowed the market to get a more firm grasp on the universities, as was the intention: it was believed that the market was better able to allocate the services of universities. The facilitation of this development can be easily traced back by looking at numerous speeches of Dutch policy-makers: </w:t>
      </w:r>
    </w:p>
    <w:p w:rsidR="00797BB5" w:rsidRPr="003D5612" w:rsidRDefault="00D91870" w:rsidP="00797BB5">
      <w:pPr>
        <w:pStyle w:val="NoSpacing"/>
        <w:tabs>
          <w:tab w:val="left" w:pos="8647"/>
        </w:tabs>
        <w:spacing w:line="240" w:lineRule="auto"/>
        <w:ind w:left="567" w:right="759" w:firstLine="0"/>
        <w:rPr>
          <w:lang w:val="nl-NL"/>
        </w:rPr>
      </w:pPr>
      <w:r w:rsidRPr="003D5612">
        <w:rPr>
          <w:i/>
          <w:lang w:val="nl-NL"/>
        </w:rPr>
        <w:t xml:space="preserve">“Nederland heeft alles in huis voor de top 5 van kenniseconomieën. Dat levert ons in de toekomst banen en welvaart op. Maar we moeten onze kennis en innovaties beter vermarkten. Kennis en kunde moeten ook kassa worden” </w:t>
      </w:r>
      <w:r w:rsidRPr="003D5612">
        <w:rPr>
          <w:lang w:val="nl-NL"/>
        </w:rPr>
        <w:t>(Prime minister Mark Rutte, 2011)</w:t>
      </w:r>
    </w:p>
    <w:p w:rsidR="00797BB5" w:rsidRPr="003D5612" w:rsidRDefault="00D91870" w:rsidP="00797BB5">
      <w:pPr>
        <w:pStyle w:val="NoSpacing"/>
        <w:ind w:left="142" w:right="334" w:firstLine="0"/>
        <w:rPr>
          <w:lang w:val="nl-NL"/>
        </w:rPr>
      </w:pPr>
      <w:r w:rsidRPr="003D5612">
        <w:rPr>
          <w:lang w:val="nl-NL"/>
        </w:rPr>
        <w:t xml:space="preserve">And: </w:t>
      </w:r>
    </w:p>
    <w:p w:rsidR="00797BB5" w:rsidRPr="009D1068" w:rsidRDefault="00D91870" w:rsidP="00797BB5">
      <w:pPr>
        <w:pStyle w:val="NoSpacing"/>
        <w:spacing w:line="240" w:lineRule="auto"/>
        <w:ind w:left="567" w:right="759" w:firstLine="0"/>
        <w:rPr>
          <w:lang w:val="en-GB"/>
        </w:rPr>
      </w:pPr>
      <w:r w:rsidRPr="003D5612">
        <w:rPr>
          <w:i/>
          <w:lang w:val="nl-NL"/>
        </w:rPr>
        <w:t>“De gelijkheidsdeken die nu nog grote delen van onze kennissamenleving bedekt, mag wat mij betreft flink worden opgeschud. Tevreden zijn met een zesje past niet meer in deze tijd. Wie heel goed presteert, mag daar ook best de vruchten van plukken.”</w:t>
      </w:r>
      <w:r w:rsidRPr="003D5612">
        <w:rPr>
          <w:lang w:val="nl-NL"/>
        </w:rPr>
        <w:t xml:space="preserve"> </w:t>
      </w:r>
      <w:r w:rsidR="00797BB5" w:rsidRPr="009D1068">
        <w:rPr>
          <w:lang w:val="en-GB"/>
        </w:rPr>
        <w:t>(Prime minister Jan Peter Balkenende, 2003)</w:t>
      </w:r>
    </w:p>
    <w:p w:rsidR="00797BB5" w:rsidRPr="009D1068" w:rsidRDefault="00797BB5" w:rsidP="00797BB5">
      <w:pPr>
        <w:pStyle w:val="NoSpacing"/>
        <w:ind w:left="142" w:right="334"/>
        <w:rPr>
          <w:i/>
          <w:lang w:val="en-GB"/>
        </w:rPr>
      </w:pPr>
    </w:p>
    <w:p w:rsidR="00797BB5" w:rsidRPr="009D1068" w:rsidRDefault="00D91870" w:rsidP="00797BB5">
      <w:pPr>
        <w:pStyle w:val="NoSpacing"/>
        <w:ind w:left="142" w:right="334" w:firstLine="0"/>
        <w:rPr>
          <w:lang w:val="en-GB"/>
        </w:rPr>
      </w:pPr>
      <w:r w:rsidRPr="00D91870">
        <w:rPr>
          <w:lang w:val="en-GB"/>
        </w:rPr>
        <w:t xml:space="preserve">A good example of these development is the, by the second Balkenende-cabinet established ‘innovation platform’ which comprised of the Dutch Prime minister, several cabinet members and the CEO’s of Dutch MNC’s such as Philips and several top-tier scientists. The goal of this platform was to make sure the profit of Dutch technical companies would match the scientific research output of the Netherlands that was in respect, considerably higher. </w:t>
      </w:r>
    </w:p>
    <w:p w:rsidR="00797BB5" w:rsidRPr="009D1068" w:rsidRDefault="00D91870" w:rsidP="00797BB5">
      <w:pPr>
        <w:pStyle w:val="NoSpacing"/>
        <w:ind w:left="142" w:right="334"/>
        <w:rPr>
          <w:lang w:val="en-GB"/>
        </w:rPr>
      </w:pPr>
      <w:r w:rsidRPr="00D91870">
        <w:rPr>
          <w:lang w:val="en-GB"/>
        </w:rPr>
        <w:t>Another example of the changes that have had an impact on universities and that have driven them further back from their traditional roles is the realization of so-called ‘triple helix’ institutes (Leyesdorf &amp; Mayer 2008). This triple helix consists of the government, the industry and the university</w:t>
      </w:r>
      <w:r w:rsidR="00797BB5" w:rsidRPr="009D1068">
        <w:rPr>
          <w:lang w:val="en-GB"/>
        </w:rPr>
        <w:t>. A good example is the creation of ‘Brainport’ in the region Eindhoven. In this Brainport; an industrial terrain, many MNC</w:t>
      </w:r>
      <w:r w:rsidRPr="00D91870">
        <w:rPr>
          <w:lang w:val="en-GB"/>
        </w:rPr>
        <w:t xml:space="preserve">s have an R&amp;D department that collaborates extensively with the university, its researchers and its students. This area has established a global dominance in their respective fields with firms such as Philips and ASML, and many of the University of Technology Eindhoven students find employ here. The universities (mainly the universities of technology) have indeed adopted a third mission: Economic value. Next to their other primary missions of educating and researching. The Brainport region has been designated by the government as key-region for economic growth in the Netherlands (Eindhoven, 2009). </w:t>
      </w:r>
    </w:p>
    <w:p w:rsidR="00797BB5" w:rsidRPr="009D1068" w:rsidRDefault="00D91870" w:rsidP="00797BB5">
      <w:pPr>
        <w:pStyle w:val="NoSpacing"/>
        <w:ind w:left="142" w:right="334"/>
        <w:rPr>
          <w:lang w:val="en-GB"/>
        </w:rPr>
      </w:pPr>
      <w:r w:rsidRPr="00D91870">
        <w:rPr>
          <w:lang w:val="en-GB"/>
        </w:rPr>
        <w:t>The above gives rise to the idea that the Netherlands, being a signatory of all the relevant treaties, has been working hard to converge the organization of higher education to the rest of Europe, making it a vital part of the European Higher Education Area. It can, however, easily be argued that the internalization stage of the norm lifecycle is far from completed. Van Kersbergen and Verbeek (2007), Sandholtz (2008 and Wienier (2004) have all argued that norms that have been adopted at the international level are not, by definition, implemented in an unaltered fashion by national governments due to for instance their vagueness or elusiveness. This will be discussed in chapter 4.5.</w:t>
      </w:r>
    </w:p>
    <w:p w:rsidR="00797BB5" w:rsidRPr="009D1068" w:rsidRDefault="00D91870" w:rsidP="00797BB5">
      <w:pPr>
        <w:pStyle w:val="Heading3"/>
        <w:numPr>
          <w:ilvl w:val="2"/>
          <w:numId w:val="3"/>
        </w:numPr>
        <w:rPr>
          <w:lang w:val="en-GB"/>
        </w:rPr>
      </w:pPr>
      <w:bookmarkStart w:id="59" w:name="_Toc396045609"/>
      <w:r w:rsidRPr="00D91870">
        <w:rPr>
          <w:lang w:val="en-GB"/>
        </w:rPr>
        <w:t xml:space="preserve">The United </w:t>
      </w:r>
      <w:r w:rsidR="00797BB5" w:rsidRPr="009D1068">
        <w:rPr>
          <w:lang w:val="en-GB"/>
        </w:rPr>
        <w:t>Kingdom</w:t>
      </w:r>
      <w:bookmarkEnd w:id="59"/>
    </w:p>
    <w:p w:rsidR="00797BB5" w:rsidRPr="009D1068" w:rsidRDefault="00797BB5" w:rsidP="00797BB5">
      <w:pPr>
        <w:pStyle w:val="NoSpacing"/>
        <w:ind w:left="142" w:right="334"/>
        <w:rPr>
          <w:lang w:val="en-GB"/>
        </w:rPr>
      </w:pPr>
      <w:r w:rsidRPr="009D1068">
        <w:rPr>
          <w:lang w:val="en-GB"/>
        </w:rPr>
        <w:t xml:space="preserve">The United Kingdom on </w:t>
      </w:r>
      <w:r w:rsidR="00D91870" w:rsidRPr="00D91870">
        <w:rPr>
          <w:lang w:val="en-GB"/>
        </w:rPr>
        <w:t>the other hand, as recognized by many scholars (such as Furlong, 2005; Graf, 2008), has stumbled upon much less resistance when implementing the Bologna Process and the Lisbon Strategy. This due to the fact that British universities were already much aligned with the propositions made. As Furlong argues, because of institutes such as the London School of Economics, Cambridge and Oxford, British universities have traditionally had little or no difficulty in the recruitment of good students from elsewhere in Europe (Furlong, 2005: 60). The British higher education system consists out of four subsystems. One of which is the subsystem the UK that has become, as of 1992, an autonomous administration. There are 144 higher education institutions in the UK (Huisman &amp; Wende, 2004) and approximately two and half million students. As for the Netherlands, the UK is also a signatory of all relevant treaties and has also committed itself to become a part of the European Higher Education Area.</w:t>
      </w:r>
    </w:p>
    <w:p w:rsidR="00797BB5" w:rsidRPr="009D1068" w:rsidRDefault="00D91870" w:rsidP="00797BB5">
      <w:pPr>
        <w:pStyle w:val="NoSpacing"/>
        <w:ind w:left="142" w:right="334"/>
        <w:rPr>
          <w:lang w:val="en-GB"/>
        </w:rPr>
      </w:pPr>
      <w:r w:rsidRPr="00D91870">
        <w:rPr>
          <w:lang w:val="en-GB"/>
        </w:rPr>
        <w:t xml:space="preserve">In the UK, there is, in contrast to the Netherlands, stiff competition between universities. The Russell Group for instance, which consists of 24 universities under which all the ‘Red Brick’ universities and for instance Oxford, Cambridge and the LSE which, all together, receives more than two-thirds of all public research funding. Furthermore, in stark contrast with the Netherlands, recruitment for universities is, to a great extent, outsourced to private organizations. This is also true when British universities target foreign students (Graf, 2007: 35). Graf (ibid.) also argues that this is a clear example of a market based, contractual relation between the university and the private sector. In the Netherlands, cooperation between the private sector and universities is mostly focused on the sponsoring of internationalization (Luijten-Lub et al., 2005). In the United Kingdom, as argued by Graf (2007), the internationalization of British universities reflects the configuration of a close connection between the university and the </w:t>
      </w:r>
      <w:r w:rsidR="005B4A97">
        <w:rPr>
          <w:lang w:val="en-GB"/>
        </w:rPr>
        <w:t>labour</w:t>
      </w:r>
      <w:r w:rsidRPr="00D91870">
        <w:rPr>
          <w:lang w:val="en-GB"/>
        </w:rPr>
        <w:t xml:space="preserve"> market because, and here the varieties of capitalism approach might be able to come up with an explanation (though it is mostly a heuristic theory, less able to explain dynamic changes) the whole economy is structured via the liberal market economy logic of a capitalist economy. </w:t>
      </w:r>
      <w:r w:rsidR="00797BB5" w:rsidRPr="009D1068">
        <w:rPr>
          <w:lang w:val="en-GB"/>
        </w:rPr>
        <w:t xml:space="preserve">The </w:t>
      </w:r>
      <w:r w:rsidRPr="00D91870">
        <w:rPr>
          <w:lang w:val="en-GB"/>
        </w:rPr>
        <w:t>United Kingdom, being a text-book example of an LME and, considering the institutional complementarities has, in regard to higher education, focused its higher education institutes on creating a workforce with more general skills (while outsourcing and off shoring the jobs that require specific skills). A good example of this is for instance the well-known MBA managerial education; a generalist MBA kind of (post-gradual) education does not have as much footing in the Netherlands (which is considered a CME) because of the rather specialist managers which the economy (apparently) demands. Also the BA an MA structure fits this coordination. Though this has been implemented and adopted in the Netherlands (via the Bologna Process) it is still much less internalized than it is in the United Kingdom. In the Netherlands, despite frantic attempt of the Minister for Education Ronald Plasterk</w:t>
      </w:r>
      <w:r w:rsidR="00797BB5" w:rsidRPr="009D1068">
        <w:rPr>
          <w:rStyle w:val="FootnoteReference"/>
          <w:lang w:val="en-GB"/>
        </w:rPr>
        <w:footnoteReference w:id="21"/>
      </w:r>
      <w:r w:rsidR="00797BB5" w:rsidRPr="009D1068">
        <w:rPr>
          <w:lang w:val="en-GB"/>
        </w:rPr>
        <w:t xml:space="preserve">, </w:t>
      </w:r>
      <w:r w:rsidRPr="00D91870">
        <w:rPr>
          <w:lang w:val="en-GB"/>
        </w:rPr>
        <w:t>almost all student</w:t>
      </w:r>
      <w:r w:rsidR="003A3B49">
        <w:rPr>
          <w:lang w:val="en-GB"/>
        </w:rPr>
        <w:t>s</w:t>
      </w:r>
      <w:r w:rsidRPr="00D91870">
        <w:rPr>
          <w:lang w:val="en-GB"/>
        </w:rPr>
        <w:t xml:space="preserve"> continue with a much more specialist master after obtaining their bachelor. In the United Kingdom, the proportion of people continuing their study in order to obtain a Master’s degree is much smaller for it is not rational for (all) students to pursue a specialist skill in a general skill economy. </w:t>
      </w:r>
    </w:p>
    <w:p w:rsidR="00797BB5" w:rsidRPr="009D1068" w:rsidRDefault="00D91870" w:rsidP="00797BB5">
      <w:pPr>
        <w:pStyle w:val="NoSpacing"/>
        <w:ind w:left="142" w:right="334"/>
        <w:rPr>
          <w:lang w:val="en-GB"/>
        </w:rPr>
      </w:pPr>
      <w:r w:rsidRPr="00D91870">
        <w:rPr>
          <w:lang w:val="en-GB"/>
        </w:rPr>
        <w:t>The higher education system of the United Kingdom has been engaged in internationalization of higher education since, according Coate and Williams (2004: 115), the nineteenth century. They have linked the internationalization of higher education to the UK’s imperial conquests. Up until today, the United Kingdom are still profiting from these historical ties. The former British colonies have a similar mindset that can be traced back to the point of the British rule. Graf (2008) argues that it is not surprising that the former colonies of the UK are now strong competitors to the UK universities. He continues by arguing that states that also have colonies, states such as France, are not seen as competitors. Furthermore, with English being the lingua franca of the academic world, it can be argued that this also influenced the fact that the United Kingdom has a longer history of internationalization of universities than the Netherlands. It does, however, hinder the outward mobility of native English speaking students. De Wit and Callan (1995) have argued that the lack of knowledge of other languages of native English students is a barrier against the internationalization of higher education.</w:t>
      </w:r>
    </w:p>
    <w:p w:rsidR="00263DDA" w:rsidRPr="009D1068" w:rsidRDefault="00D91870" w:rsidP="00797BB5">
      <w:pPr>
        <w:pStyle w:val="NoSpacing"/>
        <w:ind w:left="142" w:right="334"/>
        <w:rPr>
          <w:lang w:val="en-GB"/>
        </w:rPr>
      </w:pPr>
      <w:r w:rsidRPr="00D91870">
        <w:rPr>
          <w:lang w:val="en-GB"/>
        </w:rPr>
        <w:t>Triple helix structures, like the one described in Eindhoven, exist in the United Kingdom for a much longer time. The best example of this is the Cambridge Phenomenon</w:t>
      </w:r>
      <w:r w:rsidR="003A3B49">
        <w:rPr>
          <w:lang w:val="en-GB"/>
        </w:rPr>
        <w:t>. Since the 197</w:t>
      </w:r>
      <w:r w:rsidR="008E124E" w:rsidRPr="009D1068">
        <w:rPr>
          <w:lang w:val="en-GB"/>
        </w:rPr>
        <w:t>0s, about 5000 hi-tech companies have been established in and around the area of Cambridge (BBC, 2012)</w:t>
      </w:r>
      <w:r w:rsidRPr="00D91870">
        <w:rPr>
          <w:lang w:val="en-GB"/>
        </w:rPr>
        <w:t xml:space="preserve"> of which more than 1.400 remain as of today (ibid.). These hi-tech companies were all drawn to the university-city because in doing so, they could cooperate with the university and be part of the innovative research that was conducted there. As argued by Keeble (1989), the Cambridge Science Park consisted of more than 16.500 workers and took the form of a market concentration around the university. Keeble (1989: 162) argues that these developments were only possible because of the strategic assistance provided by the (local) government. Interesting here is that Kee</w:t>
      </w:r>
      <w:r w:rsidR="003A3B49">
        <w:rPr>
          <w:lang w:val="en-GB"/>
        </w:rPr>
        <w:t>ble</w:t>
      </w:r>
      <w:r w:rsidRPr="00D91870">
        <w:rPr>
          <w:lang w:val="en-GB"/>
        </w:rPr>
        <w:t xml:space="preserve"> (ibid</w:t>
      </w:r>
      <w:r w:rsidR="003A3B49">
        <w:rPr>
          <w:lang w:val="en-GB"/>
        </w:rPr>
        <w:t>.</w:t>
      </w:r>
      <w:r w:rsidRPr="00D91870">
        <w:rPr>
          <w:lang w:val="en-GB"/>
        </w:rPr>
        <w:t xml:space="preserve">) argues that several decisions by the ministry of Technology in the 1965-1969 (decisions such as assigning a Computer Design Centre to this region) were instrumental for the entrepreneurial activity of and around the university. </w:t>
      </w:r>
    </w:p>
    <w:p w:rsidR="00797BB5" w:rsidRPr="009D1068" w:rsidRDefault="00797BB5" w:rsidP="00797BB5">
      <w:pPr>
        <w:pStyle w:val="NoSpacing"/>
        <w:ind w:left="142" w:right="334"/>
        <w:rPr>
          <w:lang w:val="en-GB"/>
        </w:rPr>
      </w:pPr>
    </w:p>
    <w:p w:rsidR="00797BB5" w:rsidRPr="009D1068" w:rsidRDefault="00D91870" w:rsidP="009A3D6C">
      <w:pPr>
        <w:pStyle w:val="Heading2"/>
        <w:numPr>
          <w:ilvl w:val="1"/>
          <w:numId w:val="3"/>
        </w:numPr>
        <w:rPr>
          <w:lang w:val="en-GB"/>
        </w:rPr>
      </w:pPr>
      <w:bookmarkStart w:id="60" w:name="_Toc396045610"/>
      <w:r w:rsidRPr="00D91870">
        <w:rPr>
          <w:lang w:val="en-GB"/>
        </w:rPr>
        <w:t>Explaining the differences with the varieties of capitalism approach</w:t>
      </w:r>
      <w:bookmarkEnd w:id="60"/>
    </w:p>
    <w:p w:rsidR="00726C5F" w:rsidRDefault="00D91870" w:rsidP="00797BB5">
      <w:pPr>
        <w:pStyle w:val="NoSpacing"/>
        <w:ind w:left="142" w:right="334" w:firstLine="0"/>
        <w:rPr>
          <w:lang w:val="en-GB"/>
        </w:rPr>
      </w:pPr>
      <w:r w:rsidRPr="00D91870">
        <w:rPr>
          <w:lang w:val="en-GB"/>
        </w:rPr>
        <w:t>As listed above, there are some fundamental differences between higher education in the UK and the Netherlands. These can be juxtaposed as, respectively</w:t>
      </w:r>
      <w:r w:rsidR="009D1068" w:rsidRPr="009D1068">
        <w:rPr>
          <w:lang w:val="en-GB"/>
        </w:rPr>
        <w:t>,</w:t>
      </w:r>
      <w:r w:rsidR="00797BB5" w:rsidRPr="009D1068">
        <w:rPr>
          <w:lang w:val="en-GB"/>
        </w:rPr>
        <w:t xml:space="preserve"> a ‘competition mode’ and a ‘coordination mode’. Graf (2007) came forward with several institutional spheres where one could find differences between both these modes. </w:t>
      </w:r>
    </w:p>
    <w:p w:rsidR="00726C5F" w:rsidRDefault="00726C5F" w:rsidP="00726C5F">
      <w:pPr>
        <w:pStyle w:val="NoSpacing"/>
        <w:tabs>
          <w:tab w:val="left" w:pos="284"/>
        </w:tabs>
        <w:ind w:left="142" w:right="334" w:firstLine="0"/>
        <w:rPr>
          <w:lang w:val="en-GB"/>
        </w:rPr>
      </w:pPr>
      <w:r>
        <w:rPr>
          <w:lang w:val="en-GB"/>
        </w:rPr>
        <w:tab/>
      </w:r>
      <w:r w:rsidR="00797BB5" w:rsidRPr="009D1068">
        <w:rPr>
          <w:lang w:val="en-GB"/>
        </w:rPr>
        <w:t>First, university-state relations. Where the British government would rather focus on steering at a distance and preserving a market orientated institutional framework, the Netherlands rather restricts the institutional autonomy of universities and a state in a CME would even push universities to catch up with other universities where the UK would rather regard the relation as a producer-customer one, even carrying out performance</w:t>
      </w:r>
      <w:r>
        <w:rPr>
          <w:lang w:val="en-GB"/>
        </w:rPr>
        <w:t>-</w:t>
      </w:r>
      <w:r w:rsidR="00797BB5" w:rsidRPr="009D1068">
        <w:rPr>
          <w:lang w:val="en-GB"/>
        </w:rPr>
        <w:t xml:space="preserve">based assessments. </w:t>
      </w:r>
    </w:p>
    <w:p w:rsidR="00726C5F" w:rsidRDefault="00726C5F" w:rsidP="00726C5F">
      <w:pPr>
        <w:pStyle w:val="NoSpacing"/>
        <w:tabs>
          <w:tab w:val="left" w:pos="284"/>
        </w:tabs>
        <w:ind w:left="142" w:right="334" w:firstLine="0"/>
        <w:rPr>
          <w:lang w:val="en-GB"/>
        </w:rPr>
      </w:pPr>
      <w:r>
        <w:rPr>
          <w:lang w:val="en-GB"/>
        </w:rPr>
        <w:tab/>
      </w:r>
      <w:r w:rsidR="00797BB5" w:rsidRPr="009D1068">
        <w:rPr>
          <w:lang w:val="en-GB"/>
        </w:rPr>
        <w:t>Secondly, corporate governance. Where the UK</w:t>
      </w:r>
      <w:r>
        <w:rPr>
          <w:lang w:val="en-GB"/>
        </w:rPr>
        <w:t>-</w:t>
      </w:r>
      <w:r w:rsidR="00797BB5" w:rsidRPr="009D1068">
        <w:rPr>
          <w:lang w:val="en-GB"/>
        </w:rPr>
        <w:t>based universities would focus on profit</w:t>
      </w:r>
      <w:r>
        <w:rPr>
          <w:lang w:val="en-GB"/>
        </w:rPr>
        <w:t>-</w:t>
      </w:r>
      <w:r w:rsidR="00797BB5" w:rsidRPr="009D1068">
        <w:rPr>
          <w:lang w:val="en-GB"/>
        </w:rPr>
        <w:t xml:space="preserve">orientated ventures and where offshore projects would have to generate return of investment quickly, the Netherlands, </w:t>
      </w:r>
      <w:r>
        <w:rPr>
          <w:lang w:val="en-GB"/>
        </w:rPr>
        <w:t>as</w:t>
      </w:r>
      <w:r w:rsidRPr="009D1068">
        <w:rPr>
          <w:lang w:val="en-GB"/>
        </w:rPr>
        <w:t xml:space="preserve"> </w:t>
      </w:r>
      <w:r w:rsidR="00797BB5" w:rsidRPr="009D1068">
        <w:rPr>
          <w:lang w:val="en-GB"/>
        </w:rPr>
        <w:t>a CME, would rather focus on off</w:t>
      </w:r>
      <w:r>
        <w:rPr>
          <w:lang w:val="en-GB"/>
        </w:rPr>
        <w:t>-</w:t>
      </w:r>
      <w:r w:rsidR="00797BB5" w:rsidRPr="009D1068">
        <w:rPr>
          <w:lang w:val="en-GB"/>
        </w:rPr>
        <w:t>shore projects that would foster long-term relations and even restricting entrepreneurial activity.</w:t>
      </w:r>
    </w:p>
    <w:p w:rsidR="00726C5F" w:rsidRDefault="00726C5F" w:rsidP="00726C5F">
      <w:pPr>
        <w:pStyle w:val="NoSpacing"/>
        <w:tabs>
          <w:tab w:val="left" w:pos="284"/>
        </w:tabs>
        <w:ind w:left="142" w:right="334" w:firstLine="0"/>
        <w:rPr>
          <w:lang w:val="en-GB"/>
        </w:rPr>
      </w:pPr>
      <w:r>
        <w:rPr>
          <w:lang w:val="en-GB"/>
        </w:rPr>
        <w:tab/>
      </w:r>
      <w:r w:rsidR="00797BB5" w:rsidRPr="009D1068">
        <w:rPr>
          <w:lang w:val="en-GB"/>
        </w:rPr>
        <w:t xml:space="preserve">Furthermore, the cooperation with firms would be rather based on sponsorships than on a potential income stream. The </w:t>
      </w:r>
      <w:r>
        <w:t>United Kingdom</w:t>
      </w:r>
      <w:r w:rsidRPr="009D1068" w:rsidDel="00726C5F">
        <w:rPr>
          <w:lang w:val="en-GB"/>
        </w:rPr>
        <w:t xml:space="preserve"> </w:t>
      </w:r>
      <w:r w:rsidR="00797BB5" w:rsidRPr="009D1068">
        <w:rPr>
          <w:lang w:val="en-GB"/>
        </w:rPr>
        <w:t xml:space="preserve">has also adopted a significantly more stringent state funding regime. Thirdly, the relation between international students and the university. In the Netherlands, international students are attracted through networks with other European universities and scholarships where in the UK, the focus lies more on the selling of their higher education services. </w:t>
      </w:r>
    </w:p>
    <w:p w:rsidR="00925ABB" w:rsidRDefault="00726C5F" w:rsidP="00726C5F">
      <w:pPr>
        <w:pStyle w:val="NoSpacing"/>
        <w:tabs>
          <w:tab w:val="left" w:pos="284"/>
        </w:tabs>
        <w:ind w:left="142" w:right="334" w:firstLine="0"/>
        <w:rPr>
          <w:lang w:val="en-GB"/>
        </w:rPr>
      </w:pPr>
      <w:r>
        <w:rPr>
          <w:lang w:val="en-GB"/>
        </w:rPr>
        <w:tab/>
      </w:r>
      <w:r w:rsidR="00797BB5" w:rsidRPr="009D1068">
        <w:rPr>
          <w:lang w:val="en-GB"/>
        </w:rPr>
        <w:t xml:space="preserve">Fourthly, the relations between the university, the </w:t>
      </w:r>
      <w:r w:rsidR="005B4A97">
        <w:rPr>
          <w:lang w:val="en-GB"/>
        </w:rPr>
        <w:t>labour</w:t>
      </w:r>
      <w:r w:rsidR="00797BB5" w:rsidRPr="009D1068">
        <w:rPr>
          <w:lang w:val="en-GB"/>
        </w:rPr>
        <w:t xml:space="preserve"> market and the firms differs in respect to internationalization. Where in the Netherlands the exported study programmes offered by universities reflect industry-specific trainings creating specific assets for the economy (in a rather regulated labo</w:t>
      </w:r>
      <w:r>
        <w:rPr>
          <w:lang w:val="en-GB"/>
        </w:rPr>
        <w:t>u</w:t>
      </w:r>
      <w:r w:rsidR="00797BB5" w:rsidRPr="009D1068">
        <w:rPr>
          <w:lang w:val="en-GB"/>
        </w:rPr>
        <w:t>r market), the UK</w:t>
      </w:r>
      <w:r w:rsidR="00925ABB">
        <w:rPr>
          <w:lang w:val="en-GB"/>
        </w:rPr>
        <w:t>’s</w:t>
      </w:r>
      <w:r w:rsidR="00797BB5" w:rsidRPr="009D1068">
        <w:rPr>
          <w:lang w:val="en-GB"/>
        </w:rPr>
        <w:t xml:space="preserve"> exported</w:t>
      </w:r>
      <w:r w:rsidR="008F6921" w:rsidRPr="009D1068">
        <w:rPr>
          <w:lang w:val="en-GB"/>
        </w:rPr>
        <w:t xml:space="preserve"> </w:t>
      </w:r>
      <w:r w:rsidR="00797BB5" w:rsidRPr="009D1068">
        <w:rPr>
          <w:lang w:val="en-GB"/>
        </w:rPr>
        <w:t xml:space="preserve">study programmes focus on teaching general skills. Furthermore, the exported degrees will likely lead to a higher wage in the students domestic market, this in contrast to the Netherlands where the exported degrees are more likely to reflect more domestic wages that are standard at certain levels of skill. Another difference is that the exported studies in the UK are almost always in the managerial and financial areas; thus reflecting the UK’s strength in these respective sectors. In the Netherlands, the offered programmes are more linked towards the specific strengths of the domestic economies. </w:t>
      </w:r>
    </w:p>
    <w:p w:rsidR="00797BB5" w:rsidRPr="009D1068" w:rsidRDefault="00925ABB" w:rsidP="00726C5F">
      <w:pPr>
        <w:pStyle w:val="NoSpacing"/>
        <w:tabs>
          <w:tab w:val="left" w:pos="284"/>
        </w:tabs>
        <w:ind w:left="142" w:right="334" w:firstLine="0"/>
        <w:rPr>
          <w:lang w:val="en-GB"/>
        </w:rPr>
      </w:pPr>
      <w:r>
        <w:rPr>
          <w:lang w:val="en-GB"/>
        </w:rPr>
        <w:tab/>
      </w:r>
      <w:r w:rsidR="00797BB5" w:rsidRPr="009D1068">
        <w:rPr>
          <w:lang w:val="en-GB"/>
        </w:rPr>
        <w:t>Fifthly, the interstate relations</w:t>
      </w:r>
      <w:r>
        <w:rPr>
          <w:lang w:val="en-GB"/>
        </w:rPr>
        <w:t>:</w:t>
      </w:r>
      <w:r w:rsidR="00797BB5" w:rsidRPr="009D1068">
        <w:rPr>
          <w:lang w:val="en-GB"/>
        </w:rPr>
        <w:t xml:space="preserve"> In the Netherlands, there is much more collaboration between universities and national intermediary actors play a vital role in the internationalization. In the UK, the relations between universities are much more competitive. Reaching out to international students is </w:t>
      </w:r>
      <w:r>
        <w:rPr>
          <w:lang w:val="en-GB"/>
        </w:rPr>
        <w:t xml:space="preserve">considered a </w:t>
      </w:r>
      <w:r w:rsidR="00797BB5" w:rsidRPr="009D1068">
        <w:rPr>
          <w:lang w:val="en-GB"/>
        </w:rPr>
        <w:t>matter</w:t>
      </w:r>
      <w:r>
        <w:rPr>
          <w:lang w:val="en-GB"/>
        </w:rPr>
        <w:t xml:space="preserve"> for the universities themselves</w:t>
      </w:r>
      <w:r w:rsidR="00797BB5" w:rsidRPr="009D1068">
        <w:rPr>
          <w:lang w:val="en-GB"/>
        </w:rPr>
        <w:t xml:space="preserve">. Further, performance is of the highest importance because universities </w:t>
      </w:r>
      <w:r>
        <w:rPr>
          <w:lang w:val="en-GB"/>
        </w:rPr>
        <w:t xml:space="preserve">that perform </w:t>
      </w:r>
      <w:r w:rsidRPr="009D1068">
        <w:rPr>
          <w:lang w:val="en-GB"/>
        </w:rPr>
        <w:t xml:space="preserve">badly </w:t>
      </w:r>
      <w:r w:rsidR="00797BB5" w:rsidRPr="009D1068">
        <w:rPr>
          <w:lang w:val="en-GB"/>
        </w:rPr>
        <w:t xml:space="preserve">are </w:t>
      </w:r>
      <w:r>
        <w:rPr>
          <w:lang w:val="en-GB"/>
        </w:rPr>
        <w:t xml:space="preserve">viewed </w:t>
      </w:r>
      <w:r w:rsidR="00797BB5" w:rsidRPr="009D1068">
        <w:rPr>
          <w:lang w:val="en-GB"/>
        </w:rPr>
        <w:t>as unattractive investment</w:t>
      </w:r>
      <w:r>
        <w:rPr>
          <w:lang w:val="en-GB"/>
        </w:rPr>
        <w:t xml:space="preserve"> opportunities and unattractive for </w:t>
      </w:r>
      <w:r w:rsidR="00797BB5" w:rsidRPr="009D1068">
        <w:rPr>
          <w:lang w:val="en-GB"/>
        </w:rPr>
        <w:t xml:space="preserve">international students </w:t>
      </w:r>
      <w:r>
        <w:rPr>
          <w:lang w:val="en-GB"/>
        </w:rPr>
        <w:t>to study abroad at (</w:t>
      </w:r>
      <w:r w:rsidR="00797BB5" w:rsidRPr="009D1068">
        <w:rPr>
          <w:lang w:val="en-GB"/>
        </w:rPr>
        <w:t>Graf, 2007: 42-43; van der Wende, 2007).</w:t>
      </w:r>
    </w:p>
    <w:p w:rsidR="00797BB5" w:rsidRPr="009D1068" w:rsidRDefault="00726C5F" w:rsidP="00797BB5">
      <w:pPr>
        <w:pStyle w:val="NoSpacing"/>
        <w:ind w:left="142" w:right="334"/>
        <w:rPr>
          <w:lang w:val="en-GB"/>
        </w:rPr>
      </w:pPr>
      <w:r>
        <w:rPr>
          <w:lang w:val="en-GB"/>
        </w:rPr>
        <w:t>In sum</w:t>
      </w:r>
      <w:r w:rsidR="007A3957" w:rsidRPr="009D1068">
        <w:rPr>
          <w:lang w:val="en-GB"/>
        </w:rPr>
        <w:t>, one can state</w:t>
      </w:r>
      <w:r w:rsidR="00797BB5" w:rsidRPr="009D1068">
        <w:rPr>
          <w:lang w:val="en-GB"/>
        </w:rPr>
        <w:t xml:space="preserve"> that universities in the UK and in the Netherland put rather different emphasis on several aspects that can be seen as illustrative for the approach of the global market when it comes to higher education.</w:t>
      </w:r>
    </w:p>
    <w:p w:rsidR="00797BB5" w:rsidRPr="009D1068" w:rsidRDefault="00797BB5" w:rsidP="00797BB5">
      <w:pPr>
        <w:pStyle w:val="NoSpacing"/>
        <w:ind w:left="142" w:right="334"/>
        <w:rPr>
          <w:lang w:val="en-GB"/>
        </w:rPr>
      </w:pPr>
      <w:r w:rsidRPr="009D1068">
        <w:rPr>
          <w:lang w:val="en-GB"/>
        </w:rPr>
        <w:t>As argued in the theoretical chapter, the varieties of capitalism approach is a rather heuristic device. It has a hard time explaining the changes that have occurred in higher education; that is, it has a hard time explaining a</w:t>
      </w:r>
      <w:r w:rsidR="00600E29" w:rsidRPr="009D1068">
        <w:rPr>
          <w:lang w:val="en-GB"/>
        </w:rPr>
        <w:t>ny changes for it explains why l</w:t>
      </w:r>
      <w:r w:rsidRPr="009D1068">
        <w:rPr>
          <w:lang w:val="en-GB"/>
        </w:rPr>
        <w:t xml:space="preserve">iberal and coordinated markets are rather static. They do not converge towards a single best practice (Thelen, 2012) because all institutions benefit from the rest of the system being organized in a complementary fashion. Change in for instance unemployment protection would change the perspectives of students studying in order to gain specific skills; they would have to stop their study and switch to a more general one for they are rational individuals (as presumed by the theory). </w:t>
      </w:r>
    </w:p>
    <w:p w:rsidR="00797BB5" w:rsidRPr="009D1068" w:rsidRDefault="00797BB5" w:rsidP="00797BB5">
      <w:pPr>
        <w:pStyle w:val="NoSpacing"/>
        <w:ind w:left="142" w:right="334"/>
        <w:rPr>
          <w:lang w:val="en-GB"/>
        </w:rPr>
      </w:pPr>
      <w:r w:rsidRPr="009D1068">
        <w:rPr>
          <w:lang w:val="en-GB"/>
        </w:rPr>
        <w:t>The varieties of capitalism approach would expect that there would not be any change and, in particular: no convergence towards a single best practice. The best scenario for the credibility of the varieties of capitalism approach would be that the British universities would focus more and more on short time gain, competition and adding value to the (financial) markets (Higher education based more on market coordination) were the Dutch universities would not change their paths and would continue to focus on long term initiatives, on incremental innovation and education and fundamental research in all dom</w:t>
      </w:r>
      <w:r w:rsidR="00600E29" w:rsidRPr="009D1068">
        <w:rPr>
          <w:lang w:val="en-GB"/>
        </w:rPr>
        <w:t>ains</w:t>
      </w:r>
      <w:r w:rsidR="00033187">
        <w:rPr>
          <w:lang w:val="en-GB"/>
        </w:rPr>
        <w:t xml:space="preserve">. Simply put: </w:t>
      </w:r>
      <w:r w:rsidRPr="009D1068">
        <w:rPr>
          <w:lang w:val="en-GB"/>
        </w:rPr>
        <w:t xml:space="preserve">the humanities and applied physics </w:t>
      </w:r>
      <w:r w:rsidR="00033187">
        <w:rPr>
          <w:lang w:val="en-GB"/>
        </w:rPr>
        <w:t xml:space="preserve">received equal subsidization and </w:t>
      </w:r>
      <w:r w:rsidRPr="009D1068">
        <w:rPr>
          <w:lang w:val="en-GB"/>
        </w:rPr>
        <w:t xml:space="preserve">higher education </w:t>
      </w:r>
      <w:r w:rsidR="00033187">
        <w:rPr>
          <w:lang w:val="en-GB"/>
        </w:rPr>
        <w:t xml:space="preserve">was </w:t>
      </w:r>
      <w:r w:rsidRPr="009D1068">
        <w:rPr>
          <w:lang w:val="en-GB"/>
        </w:rPr>
        <w:t>based more on strategic interactions.</w:t>
      </w:r>
      <w:r w:rsidR="007A3957" w:rsidRPr="009D1068">
        <w:rPr>
          <w:lang w:val="en-GB"/>
        </w:rPr>
        <w:t xml:space="preserve"> </w:t>
      </w:r>
    </w:p>
    <w:p w:rsidR="00797BB5" w:rsidRPr="009D1068" w:rsidRDefault="00797BB5" w:rsidP="00797BB5">
      <w:pPr>
        <w:pStyle w:val="NoSpacing"/>
        <w:ind w:left="142" w:right="334"/>
        <w:rPr>
          <w:lang w:val="en-GB"/>
        </w:rPr>
      </w:pPr>
      <w:r w:rsidRPr="009D1068">
        <w:rPr>
          <w:lang w:val="en-GB"/>
        </w:rPr>
        <w:t>However, changes in higher education have been witnessed and this poses a problem for the varieties of capitalism approach. As Graf (2008: 53) argues, liberal market economies tend to be the first movers when it comes to organizational change. They were the first movers in the off</w:t>
      </w:r>
      <w:r w:rsidR="00033187">
        <w:rPr>
          <w:lang w:val="en-GB"/>
        </w:rPr>
        <w:t>-</w:t>
      </w:r>
      <w:r w:rsidRPr="009D1068">
        <w:rPr>
          <w:lang w:val="en-GB"/>
        </w:rPr>
        <w:t>shore for-profit sector</w:t>
      </w:r>
      <w:r w:rsidR="00033187">
        <w:rPr>
          <w:lang w:val="en-GB"/>
        </w:rPr>
        <w:t>,</w:t>
      </w:r>
      <w:r w:rsidRPr="009D1068">
        <w:rPr>
          <w:lang w:val="en-GB"/>
        </w:rPr>
        <w:t xml:space="preserve"> which indicated that </w:t>
      </w:r>
      <w:r w:rsidR="00033187">
        <w:rPr>
          <w:lang w:val="en-GB"/>
        </w:rPr>
        <w:t xml:space="preserve">there were </w:t>
      </w:r>
      <w:r w:rsidRPr="009D1068">
        <w:rPr>
          <w:lang w:val="en-GB"/>
        </w:rPr>
        <w:t xml:space="preserve">parallels between the institutional configuration of an economy, and the internationalization of higher education. </w:t>
      </w:r>
      <w:r w:rsidR="00033187">
        <w:rPr>
          <w:lang w:val="en-GB"/>
        </w:rPr>
        <w:t>W</w:t>
      </w:r>
      <w:r w:rsidRPr="009D1068">
        <w:rPr>
          <w:lang w:val="en-GB"/>
        </w:rPr>
        <w:t>hile concluding that there is not a superior mode of organizing higher education,</w:t>
      </w:r>
      <w:r w:rsidR="00033187">
        <w:rPr>
          <w:lang w:val="en-GB"/>
        </w:rPr>
        <w:t xml:space="preserve"> Graf </w:t>
      </w:r>
      <w:r w:rsidR="00033187" w:rsidRPr="009D1068">
        <w:rPr>
          <w:lang w:val="en-GB"/>
        </w:rPr>
        <w:t>(ibid.: 55)</w:t>
      </w:r>
      <w:r w:rsidR="00033187">
        <w:rPr>
          <w:lang w:val="en-GB"/>
        </w:rPr>
        <w:t xml:space="preserve"> nevertheless</w:t>
      </w:r>
      <w:r w:rsidRPr="009D1068">
        <w:rPr>
          <w:lang w:val="en-GB"/>
        </w:rPr>
        <w:t xml:space="preserve"> had to admit that a coordinated market economy has to ad</w:t>
      </w:r>
      <w:r w:rsidR="00145A6D">
        <w:rPr>
          <w:lang w:val="en-GB"/>
        </w:rPr>
        <w:t>a</w:t>
      </w:r>
      <w:r w:rsidRPr="009D1068">
        <w:rPr>
          <w:lang w:val="en-GB"/>
        </w:rPr>
        <w:t xml:space="preserve">pt to some international standards that </w:t>
      </w:r>
      <w:r w:rsidRPr="009D1068">
        <w:rPr>
          <w:i/>
          <w:lang w:val="en-GB"/>
        </w:rPr>
        <w:t>happen</w:t>
      </w:r>
      <w:r w:rsidRPr="009D1068">
        <w:rPr>
          <w:lang w:val="en-GB"/>
        </w:rPr>
        <w:t xml:space="preserve"> to be biased towards a liberal market economy. He gives the example of the adoption of the </w:t>
      </w:r>
      <w:r w:rsidR="00033187">
        <w:rPr>
          <w:lang w:val="en-GB"/>
        </w:rPr>
        <w:t xml:space="preserve">master’s </w:t>
      </w:r>
      <w:r w:rsidRPr="009D1068">
        <w:rPr>
          <w:lang w:val="en-GB"/>
        </w:rPr>
        <w:t xml:space="preserve">and </w:t>
      </w:r>
      <w:r w:rsidR="00033187">
        <w:rPr>
          <w:lang w:val="en-GB"/>
        </w:rPr>
        <w:t>b</w:t>
      </w:r>
      <w:r w:rsidRPr="009D1068">
        <w:rPr>
          <w:lang w:val="en-GB"/>
        </w:rPr>
        <w:t>achelor</w:t>
      </w:r>
      <w:r w:rsidR="00033187">
        <w:rPr>
          <w:lang w:val="en-GB"/>
        </w:rPr>
        <w:t>’</w:t>
      </w:r>
      <w:r w:rsidRPr="009D1068">
        <w:rPr>
          <w:lang w:val="en-GB"/>
        </w:rPr>
        <w:t xml:space="preserve">s degree structure. </w:t>
      </w:r>
      <w:r w:rsidR="00291821">
        <w:rPr>
          <w:lang w:val="en-GB"/>
        </w:rPr>
        <w:t>U</w:t>
      </w:r>
      <w:r w:rsidRPr="009D1068">
        <w:rPr>
          <w:lang w:val="en-GB"/>
        </w:rPr>
        <w:t xml:space="preserve">niversities </w:t>
      </w:r>
      <w:r w:rsidR="00291821">
        <w:rPr>
          <w:lang w:val="en-GB"/>
        </w:rPr>
        <w:t xml:space="preserve">in </w:t>
      </w:r>
      <w:r w:rsidR="00291821" w:rsidRPr="009D1068">
        <w:rPr>
          <w:lang w:val="en-GB"/>
        </w:rPr>
        <w:t>CME</w:t>
      </w:r>
      <w:r w:rsidR="00291821">
        <w:rPr>
          <w:lang w:val="en-GB"/>
        </w:rPr>
        <w:t>s</w:t>
      </w:r>
      <w:r w:rsidR="00291821" w:rsidRPr="009D1068">
        <w:rPr>
          <w:lang w:val="en-GB"/>
        </w:rPr>
        <w:t xml:space="preserve"> </w:t>
      </w:r>
      <w:r w:rsidRPr="009D1068">
        <w:rPr>
          <w:lang w:val="en-GB"/>
        </w:rPr>
        <w:t>do not have to adapt completely in order to stand competition with LME universities. It can be argued that the varieties of capitalism approach is therefore able to explain why Dutch universities are restructuring, but in a slower pace than British</w:t>
      </w:r>
      <w:r w:rsidR="00291821">
        <w:rPr>
          <w:lang w:val="en-GB"/>
        </w:rPr>
        <w:t xml:space="preserve"> –</w:t>
      </w:r>
      <w:r w:rsidRPr="009D1068">
        <w:rPr>
          <w:lang w:val="en-GB"/>
        </w:rPr>
        <w:t xml:space="preserve"> first movers</w:t>
      </w:r>
      <w:r w:rsidR="00291821">
        <w:rPr>
          <w:lang w:val="en-GB"/>
        </w:rPr>
        <w:t xml:space="preserve"> –</w:t>
      </w:r>
      <w:r w:rsidRPr="009D1068">
        <w:rPr>
          <w:lang w:val="en-GB"/>
        </w:rPr>
        <w:t xml:space="preserve"> universities. However, </w:t>
      </w:r>
      <w:r w:rsidR="00291821">
        <w:rPr>
          <w:lang w:val="en-GB"/>
        </w:rPr>
        <w:t>to</w:t>
      </w:r>
      <w:r w:rsidR="00291821" w:rsidRPr="009D1068">
        <w:rPr>
          <w:lang w:val="en-GB"/>
        </w:rPr>
        <w:t xml:space="preserve"> </w:t>
      </w:r>
      <w:r w:rsidRPr="009D1068">
        <w:rPr>
          <w:lang w:val="en-GB"/>
        </w:rPr>
        <w:t xml:space="preserve">focus on internationalization is </w:t>
      </w:r>
      <w:r w:rsidR="00291821">
        <w:rPr>
          <w:lang w:val="en-GB"/>
        </w:rPr>
        <w:t xml:space="preserve">to not paint </w:t>
      </w:r>
      <w:r w:rsidRPr="009D1068">
        <w:rPr>
          <w:lang w:val="en-GB"/>
        </w:rPr>
        <w:t>the whole picture. Not only internationalization should be considered in this case. The third mission of universities is another factor that Graf did not include in his conclusion. Dutch universities, as can be concluded when reading the numerous speech acts, and looking at the numerous examples of cooperation’s between universities and industries in the Netherlands (Brainport in Eindhoven, Seaport Rotterdam, Bio-Science Park Leiden</w:t>
      </w:r>
      <w:r w:rsidR="00291821">
        <w:rPr>
          <w:lang w:val="en-GB"/>
        </w:rPr>
        <w:t>,</w:t>
      </w:r>
      <w:r w:rsidRPr="009D1068">
        <w:rPr>
          <w:lang w:val="en-GB"/>
        </w:rPr>
        <w:t xml:space="preserve"> etc.) have adopted a more market</w:t>
      </w:r>
      <w:r w:rsidR="00291821">
        <w:rPr>
          <w:lang w:val="en-GB"/>
        </w:rPr>
        <w:t>-</w:t>
      </w:r>
      <w:r w:rsidRPr="009D1068">
        <w:rPr>
          <w:lang w:val="en-GB"/>
        </w:rPr>
        <w:t xml:space="preserve">coordinated organization. </w:t>
      </w:r>
    </w:p>
    <w:p w:rsidR="00797BB5" w:rsidRPr="009D1068" w:rsidRDefault="00797BB5" w:rsidP="00797BB5">
      <w:pPr>
        <w:pStyle w:val="NoSpacing"/>
        <w:ind w:left="142" w:right="334"/>
        <w:rPr>
          <w:lang w:val="en-GB"/>
        </w:rPr>
      </w:pPr>
      <w:r w:rsidRPr="009D1068">
        <w:rPr>
          <w:lang w:val="en-GB"/>
        </w:rPr>
        <w:t>According to Lauder et al. (2008: 31) the varieties of capitalism approach would expect that the skill formation regime of a liberal market economy would change because it is likely to go off shore, seeking lower costs of labo</w:t>
      </w:r>
      <w:r w:rsidR="00291821">
        <w:rPr>
          <w:lang w:val="en-GB"/>
        </w:rPr>
        <w:t>u</w:t>
      </w:r>
      <w:r w:rsidRPr="009D1068">
        <w:rPr>
          <w:lang w:val="en-GB"/>
        </w:rPr>
        <w:t xml:space="preserve">r. A CME such as the Netherlands would keep focusing on gaining competitive advantages from high skills that are generated at home and therefore would not seek to go international </w:t>
      </w:r>
      <w:r w:rsidR="00291821">
        <w:rPr>
          <w:lang w:val="en-GB"/>
        </w:rPr>
        <w:t xml:space="preserve">in any </w:t>
      </w:r>
      <w:r w:rsidR="0073606D" w:rsidRPr="009D1068">
        <w:rPr>
          <w:lang w:val="en-GB"/>
        </w:rPr>
        <w:t xml:space="preserve">way </w:t>
      </w:r>
      <w:r w:rsidR="00291821">
        <w:rPr>
          <w:lang w:val="en-GB"/>
        </w:rPr>
        <w:t xml:space="preserve">that is similar to </w:t>
      </w:r>
      <w:r w:rsidRPr="009D1068">
        <w:rPr>
          <w:lang w:val="en-GB"/>
        </w:rPr>
        <w:t>the U</w:t>
      </w:r>
      <w:r w:rsidR="00291821">
        <w:rPr>
          <w:lang w:val="en-GB"/>
        </w:rPr>
        <w:t xml:space="preserve">nited </w:t>
      </w:r>
      <w:r w:rsidRPr="009D1068">
        <w:rPr>
          <w:lang w:val="en-GB"/>
        </w:rPr>
        <w:t>K</w:t>
      </w:r>
      <w:r w:rsidR="00291821">
        <w:rPr>
          <w:lang w:val="en-GB"/>
        </w:rPr>
        <w:t>ingdom’s institutions of higher education</w:t>
      </w:r>
      <w:r w:rsidRPr="009D1068">
        <w:rPr>
          <w:lang w:val="en-GB"/>
        </w:rPr>
        <w:t>.</w:t>
      </w:r>
      <w:r w:rsidR="00E32522" w:rsidRPr="009D1068">
        <w:rPr>
          <w:lang w:val="en-GB"/>
        </w:rPr>
        <w:t xml:space="preserve"> </w:t>
      </w:r>
    </w:p>
    <w:p w:rsidR="005D6BCD" w:rsidRPr="009D1068" w:rsidRDefault="005D6BCD" w:rsidP="005D6BCD">
      <w:pPr>
        <w:pStyle w:val="NoSpacing"/>
        <w:rPr>
          <w:lang w:val="en-GB"/>
        </w:rPr>
      </w:pPr>
      <w:r w:rsidRPr="009D1068">
        <w:rPr>
          <w:lang w:val="en-GB"/>
        </w:rPr>
        <w:t xml:space="preserve">The varieties of capitalism approach is unable to explain why the organization of higher education in the Netherlands is changing towards </w:t>
      </w:r>
      <w:r w:rsidR="00291821">
        <w:rPr>
          <w:lang w:val="en-GB"/>
        </w:rPr>
        <w:t xml:space="preserve">being both </w:t>
      </w:r>
      <w:r w:rsidRPr="009D1068">
        <w:rPr>
          <w:lang w:val="en-GB"/>
        </w:rPr>
        <w:t>more internationalization and more focused on market coordination. The varieties of capitalism approach has, as argued by many scholars (Thelen, 2003, Lauder et al., 2008, Hanke 2011) problems controlling for globalization. The varieties of capitalism is a rather static approach which expects that CME’s and LME’s will not converge towards a single ‘best practice’. The Dutch higher education system is however, changing towards the British (Anglo-Saxon) system but is changing in a slower pace. As argued in chapter 4.2., the European Round Table of Industrialists and the European Commission can be recognized as the norm entrepreneur for the norm of internationalization of higher education and the focus on converging Rhineland universities towards a more Anglo-Saxon university organization which is based more on market competition than on governmental coordination.</w:t>
      </w:r>
    </w:p>
    <w:p w:rsidR="005D6BCD" w:rsidRPr="009D1068" w:rsidRDefault="005D6BCD" w:rsidP="00291821">
      <w:pPr>
        <w:pStyle w:val="NoSpacing"/>
        <w:ind w:right="50"/>
        <w:rPr>
          <w:lang w:val="en-GB"/>
        </w:rPr>
      </w:pPr>
      <w:r w:rsidRPr="009D1068">
        <w:rPr>
          <w:lang w:val="en-GB"/>
        </w:rPr>
        <w:t xml:space="preserve">This leaves open the question </w:t>
      </w:r>
      <w:r w:rsidRPr="009D1068">
        <w:rPr>
          <w:i/>
          <w:lang w:val="en-GB"/>
        </w:rPr>
        <w:t>why</w:t>
      </w:r>
      <w:r w:rsidRPr="009D1068">
        <w:rPr>
          <w:lang w:val="en-GB"/>
        </w:rPr>
        <w:t xml:space="preserve"> the Dutch higher education organization is changing in a much slower pace than the higher education system in the UK. Why is the UK ahead on the Netherlands when both states were subject to the same changes, (European) institutions, economic progress (Chapter 3: most similar system design)? The answer to this question can be found in the norm lifecycle framework as depicte</w:t>
      </w:r>
      <w:r w:rsidR="007A3957" w:rsidRPr="009D1068">
        <w:rPr>
          <w:lang w:val="en-GB"/>
        </w:rPr>
        <w:t>d by Finnemore and Sikkink (1998</w:t>
      </w:r>
      <w:r w:rsidRPr="009D1068">
        <w:rPr>
          <w:lang w:val="en-GB"/>
        </w:rPr>
        <w:t>).</w:t>
      </w:r>
    </w:p>
    <w:p w:rsidR="007A3957" w:rsidRPr="009D1068" w:rsidRDefault="007A3957" w:rsidP="005D6BCD">
      <w:pPr>
        <w:pStyle w:val="NoSpacing"/>
        <w:ind w:left="142" w:right="334"/>
        <w:rPr>
          <w:lang w:val="en-GB"/>
        </w:rPr>
      </w:pPr>
    </w:p>
    <w:p w:rsidR="00797BB5" w:rsidRPr="009D1068" w:rsidRDefault="00797BB5" w:rsidP="00797BB5">
      <w:pPr>
        <w:pStyle w:val="Heading2"/>
        <w:numPr>
          <w:ilvl w:val="1"/>
          <w:numId w:val="3"/>
        </w:numPr>
        <w:rPr>
          <w:lang w:val="en-GB"/>
        </w:rPr>
      </w:pPr>
      <w:bookmarkStart w:id="61" w:name="_Toc396045611"/>
      <w:r w:rsidRPr="009D1068">
        <w:rPr>
          <w:lang w:val="en-GB"/>
        </w:rPr>
        <w:t>Explaining the differences with the norm lifecycle</w:t>
      </w:r>
      <w:bookmarkEnd w:id="61"/>
      <w:r w:rsidR="00291821">
        <w:rPr>
          <w:lang w:val="en-GB"/>
        </w:rPr>
        <w:t xml:space="preserve"> framework</w:t>
      </w:r>
    </w:p>
    <w:p w:rsidR="00797BB5" w:rsidRPr="009D1068" w:rsidRDefault="00797BB5" w:rsidP="005D6BCD">
      <w:pPr>
        <w:pStyle w:val="NoSpacing"/>
        <w:ind w:left="142" w:right="334" w:firstLine="0"/>
        <w:rPr>
          <w:lang w:val="en-GB"/>
        </w:rPr>
      </w:pPr>
      <w:r w:rsidRPr="009D1068">
        <w:rPr>
          <w:lang w:val="en-GB"/>
        </w:rPr>
        <w:t>The first two stages have already been discussed in chapter 4.2. The third stage, the norm internalization stage, will be discussed below. Both the UK and the Netherlands have been subject to the same international higher education norm, but for some reason, the norm has internalized in the U</w:t>
      </w:r>
      <w:r w:rsidR="00291821">
        <w:rPr>
          <w:lang w:val="en-GB"/>
        </w:rPr>
        <w:t xml:space="preserve">nited </w:t>
      </w:r>
      <w:r w:rsidRPr="009D1068">
        <w:rPr>
          <w:lang w:val="en-GB"/>
        </w:rPr>
        <w:t>K</w:t>
      </w:r>
      <w:r w:rsidR="00291821">
        <w:rPr>
          <w:lang w:val="en-GB"/>
        </w:rPr>
        <w:t>ingdom</w:t>
      </w:r>
      <w:r w:rsidRPr="009D1068">
        <w:rPr>
          <w:lang w:val="en-GB"/>
        </w:rPr>
        <w:t xml:space="preserve"> much faster than in </w:t>
      </w:r>
      <w:r w:rsidR="009F0965">
        <w:rPr>
          <w:lang w:val="en-GB"/>
        </w:rPr>
        <w:t>T</w:t>
      </w:r>
      <w:r w:rsidRPr="009D1068">
        <w:rPr>
          <w:lang w:val="en-GB"/>
        </w:rPr>
        <w:t xml:space="preserve">he Netherlands. Van Kersbergen and Verbeek (2007) have written an article (see chapter 2.1.3) about the implementation of international norms in the domestic arena. Finnemore and Sikkink (1998: 892) have argued that a norm should be considered as a ‘continues entities’ and that it can be (formulated) rather vague and elusive. This has several advantages: more states will adopt a norm if it is formulated vague for these states can interpret the norm differently in the domestic setting. </w:t>
      </w:r>
      <w:r w:rsidR="009F0965">
        <w:rPr>
          <w:lang w:val="en-GB"/>
        </w:rPr>
        <w:t>T</w:t>
      </w:r>
      <w:r w:rsidRPr="009D1068">
        <w:rPr>
          <w:lang w:val="en-GB"/>
        </w:rPr>
        <w:t xml:space="preserve">his is precisely what </w:t>
      </w:r>
      <w:r w:rsidR="009F0965">
        <w:rPr>
          <w:lang w:val="en-GB"/>
        </w:rPr>
        <w:t>V</w:t>
      </w:r>
      <w:r w:rsidRPr="009D1068">
        <w:rPr>
          <w:lang w:val="en-GB"/>
        </w:rPr>
        <w:t xml:space="preserve">an Kersbergen and Verbeek (ibid.: 222) are arguing: international norms have the tendency to be imprecise and are often formulated to broadly. This ushers in new battles ‘at home’ about the exact interpretation of this norm. </w:t>
      </w:r>
      <w:r w:rsidR="009F0965">
        <w:rPr>
          <w:lang w:val="en-GB"/>
        </w:rPr>
        <w:t>D</w:t>
      </w:r>
      <w:r w:rsidRPr="009D1068">
        <w:rPr>
          <w:lang w:val="en-GB"/>
        </w:rPr>
        <w:t>omestic actors may argue that the norm is adequate</w:t>
      </w:r>
      <w:r w:rsidR="009F0965">
        <w:rPr>
          <w:lang w:val="en-GB"/>
        </w:rPr>
        <w:t xml:space="preserve">, while others </w:t>
      </w:r>
      <w:r w:rsidRPr="009D1068">
        <w:rPr>
          <w:lang w:val="en-GB"/>
        </w:rPr>
        <w:t>may argue that it is too limited, or</w:t>
      </w:r>
      <w:r w:rsidR="009F0965">
        <w:rPr>
          <w:lang w:val="en-GB"/>
        </w:rPr>
        <w:t>,</w:t>
      </w:r>
      <w:r w:rsidRPr="009D1068">
        <w:rPr>
          <w:lang w:val="en-GB"/>
        </w:rPr>
        <w:t xml:space="preserve"> in th</w:t>
      </w:r>
      <w:r w:rsidR="009F0965">
        <w:rPr>
          <w:lang w:val="en-GB"/>
        </w:rPr>
        <w:t>is</w:t>
      </w:r>
      <w:r w:rsidRPr="009D1068">
        <w:rPr>
          <w:lang w:val="en-GB"/>
        </w:rPr>
        <w:t xml:space="preserve"> case , too far</w:t>
      </w:r>
      <w:r w:rsidR="009F0965">
        <w:rPr>
          <w:lang w:val="en-GB"/>
        </w:rPr>
        <w:t>-</w:t>
      </w:r>
      <w:r w:rsidRPr="009D1068">
        <w:rPr>
          <w:lang w:val="en-GB"/>
        </w:rPr>
        <w:t xml:space="preserve">reaching. </w:t>
      </w:r>
      <w:r w:rsidR="009F0965">
        <w:rPr>
          <w:lang w:val="en-GB"/>
        </w:rPr>
        <w:t xml:space="preserve">Van Kersbergen and Verbeek </w:t>
      </w:r>
      <w:r w:rsidRPr="009D1068">
        <w:rPr>
          <w:lang w:val="en-GB"/>
        </w:rPr>
        <w:t>have formulated a critique of the three stages norm framework of Finnemore and Sikkink. They argue that the framework is speaking about the very same norm throughout the three stages and do not take into account the possibility that a norm might change during its descend through the stages. When an international norm is in its (domestic) internalization stage, the exact meaning and interpretation can be altered.</w:t>
      </w:r>
    </w:p>
    <w:p w:rsidR="00797BB5" w:rsidRPr="009D1068" w:rsidRDefault="00797BB5" w:rsidP="00797BB5">
      <w:pPr>
        <w:pStyle w:val="NoSpacing"/>
        <w:ind w:left="142" w:right="334"/>
        <w:rPr>
          <w:lang w:val="en-GB"/>
        </w:rPr>
      </w:pPr>
      <w:r w:rsidRPr="009D1068">
        <w:rPr>
          <w:lang w:val="en-GB"/>
        </w:rPr>
        <w:t xml:space="preserve">A </w:t>
      </w:r>
      <w:r w:rsidR="009F0965">
        <w:rPr>
          <w:lang w:val="en-GB"/>
        </w:rPr>
        <w:t>shift</w:t>
      </w:r>
      <w:r w:rsidR="009F0965" w:rsidRPr="009D1068">
        <w:rPr>
          <w:lang w:val="en-GB"/>
        </w:rPr>
        <w:t xml:space="preserve"> </w:t>
      </w:r>
      <w:r w:rsidRPr="009D1068">
        <w:rPr>
          <w:lang w:val="en-GB"/>
        </w:rPr>
        <w:t>of this kind has not happened in the U</w:t>
      </w:r>
      <w:r w:rsidR="008F6D6D">
        <w:rPr>
          <w:lang w:val="en-GB"/>
        </w:rPr>
        <w:t>K. The European Round Table of I</w:t>
      </w:r>
      <w:r w:rsidRPr="009D1068">
        <w:rPr>
          <w:lang w:val="en-GB"/>
        </w:rPr>
        <w:t>ndustrialists</w:t>
      </w:r>
      <w:r w:rsidR="00BB0932" w:rsidRPr="009D1068">
        <w:rPr>
          <w:lang w:val="en-GB"/>
        </w:rPr>
        <w:t xml:space="preserve"> and the European Commission, both</w:t>
      </w:r>
      <w:r w:rsidRPr="009D1068">
        <w:rPr>
          <w:lang w:val="en-GB"/>
        </w:rPr>
        <w:t xml:space="preserve"> being entrepreneur</w:t>
      </w:r>
      <w:r w:rsidR="009F0965">
        <w:rPr>
          <w:lang w:val="en-GB"/>
        </w:rPr>
        <w:t xml:space="preserve">s of this </w:t>
      </w:r>
      <w:r w:rsidR="009F0965" w:rsidRPr="009D1068">
        <w:rPr>
          <w:lang w:val="en-GB"/>
        </w:rPr>
        <w:t>norm</w:t>
      </w:r>
      <w:r w:rsidRPr="009D1068">
        <w:rPr>
          <w:lang w:val="en-GB"/>
        </w:rPr>
        <w:t xml:space="preserve">, formulated advice and organized meetings with the </w:t>
      </w:r>
      <w:r w:rsidR="00BB0932" w:rsidRPr="009D1068">
        <w:rPr>
          <w:lang w:val="en-GB"/>
        </w:rPr>
        <w:t>member states (and the Commission itself)</w:t>
      </w:r>
      <w:r w:rsidRPr="009D1068">
        <w:rPr>
          <w:lang w:val="en-GB"/>
        </w:rPr>
        <w:t xml:space="preserve"> that has functioned as a platform for the eventual cascade of the norm. the UK, being a liberal market economy, was much more likely to adopt the norm as it was formulated by the ERT</w:t>
      </w:r>
      <w:r w:rsidR="00BB0932" w:rsidRPr="009D1068">
        <w:rPr>
          <w:lang w:val="en-GB"/>
        </w:rPr>
        <w:t xml:space="preserve"> and the EC</w:t>
      </w:r>
      <w:r w:rsidRPr="009D1068">
        <w:rPr>
          <w:lang w:val="en-GB"/>
        </w:rPr>
        <w:t xml:space="preserve"> for it focused on more internationalization and, more importantly, more cooperation with the industries rendering the university more of an economic actor than it was before. </w:t>
      </w:r>
      <w:r w:rsidR="009F0965">
        <w:rPr>
          <w:lang w:val="en-GB"/>
        </w:rPr>
        <w:t>T</w:t>
      </w:r>
      <w:r w:rsidRPr="009D1068">
        <w:rPr>
          <w:lang w:val="en-GB"/>
        </w:rPr>
        <w:t xml:space="preserve">he </w:t>
      </w:r>
      <w:r w:rsidR="00145A6D">
        <w:rPr>
          <w:lang w:val="en-GB"/>
        </w:rPr>
        <w:t>United Kingdkom</w:t>
      </w:r>
      <w:r w:rsidRPr="009D1068">
        <w:rPr>
          <w:lang w:val="en-GB"/>
        </w:rPr>
        <w:t xml:space="preserve">, already an economy based more on competition and market coordination in </w:t>
      </w:r>
      <w:r w:rsidR="00BB0932" w:rsidRPr="009D1068">
        <w:rPr>
          <w:lang w:val="en-GB"/>
        </w:rPr>
        <w:t>compared</w:t>
      </w:r>
      <w:r w:rsidRPr="009D1068">
        <w:rPr>
          <w:lang w:val="en-GB"/>
        </w:rPr>
        <w:t xml:space="preserve"> to a coordinated market economy such as the Netherlands, was quite eager to adopt the norm</w:t>
      </w:r>
      <w:r w:rsidR="009F0965">
        <w:rPr>
          <w:lang w:val="en-GB"/>
        </w:rPr>
        <w:t>. This is made evident</w:t>
      </w:r>
      <w:r w:rsidRPr="009D1068">
        <w:rPr>
          <w:lang w:val="en-GB"/>
        </w:rPr>
        <w:t xml:space="preserve"> by the rapid changes in higher education in the UK</w:t>
      </w:r>
      <w:r w:rsidR="009F0965">
        <w:rPr>
          <w:lang w:val="en-GB"/>
        </w:rPr>
        <w:t>:</w:t>
      </w:r>
      <w:r w:rsidRPr="009D1068">
        <w:rPr>
          <w:lang w:val="en-GB"/>
        </w:rPr>
        <w:t xml:space="preserve"> higher tuition fees, less participant, more focus on scientific output than on the teaching and researching. Furthermore, the UK was also supported by the fact that their degree structure was adopted (</w:t>
      </w:r>
      <w:r w:rsidR="009F0965">
        <w:rPr>
          <w:lang w:val="en-GB"/>
        </w:rPr>
        <w:t>as a result of</w:t>
      </w:r>
      <w:r w:rsidR="009F0965" w:rsidRPr="009D1068">
        <w:rPr>
          <w:lang w:val="en-GB"/>
        </w:rPr>
        <w:t xml:space="preserve"> </w:t>
      </w:r>
      <w:r w:rsidRPr="009D1068">
        <w:rPr>
          <w:lang w:val="en-GB"/>
        </w:rPr>
        <w:t xml:space="preserve">the Bologna Process) by the other European states </w:t>
      </w:r>
    </w:p>
    <w:p w:rsidR="00797BB5" w:rsidRPr="009D1068" w:rsidRDefault="00797BB5" w:rsidP="00797BB5">
      <w:pPr>
        <w:pStyle w:val="NoSpacing"/>
        <w:ind w:left="142" w:right="334"/>
        <w:rPr>
          <w:lang w:val="en-GB"/>
        </w:rPr>
      </w:pPr>
      <w:r w:rsidRPr="009D1068">
        <w:rPr>
          <w:lang w:val="en-GB"/>
        </w:rPr>
        <w:t xml:space="preserve">To illustrate the above, consider the following example of the changing tuition fees in the UK and the Netherlands. According to Dearden (2011) the UK has witnessed three dramatic changes in tuition fees in the recent years. First, in the late 1990s, the ‘Teaching and Higher Education act’ raised the tuition fees with 1.200 pounds per year and abolished the maintenance grants and replaced them with loans. The second set of changes occurred in the year 2007. The tuition fees were increased to more than 3.000 pounds per student, regardless of a student’s background. The most rigorous change, however, occurred in 2010 (implemented in 2012). The tuition fees where, on 3 November 2011, increased to more than 9.000 pounds per year. </w:t>
      </w:r>
      <w:r w:rsidR="004F77E1">
        <w:rPr>
          <w:lang w:val="en-GB"/>
        </w:rPr>
        <w:t>On</w:t>
      </w:r>
      <w:r w:rsidR="004F77E1" w:rsidRPr="009D1068">
        <w:rPr>
          <w:lang w:val="en-GB"/>
        </w:rPr>
        <w:t xml:space="preserve"> </w:t>
      </w:r>
      <w:r w:rsidRPr="009D1068">
        <w:rPr>
          <w:lang w:val="en-GB"/>
        </w:rPr>
        <w:t>November 10</w:t>
      </w:r>
      <w:r w:rsidRPr="009D1068">
        <w:rPr>
          <w:vertAlign w:val="superscript"/>
          <w:lang w:val="en-GB"/>
        </w:rPr>
        <w:t>th</w:t>
      </w:r>
      <w:r w:rsidRPr="009D1068">
        <w:rPr>
          <w:lang w:val="en-GB"/>
        </w:rPr>
        <w:t xml:space="preserve"> of </w:t>
      </w:r>
      <w:r w:rsidR="003D4EBB">
        <w:rPr>
          <w:lang w:val="en-GB"/>
        </w:rPr>
        <w:t>that year, the infamous London student r</w:t>
      </w:r>
      <w:r w:rsidRPr="009D1068">
        <w:rPr>
          <w:lang w:val="en-GB"/>
        </w:rPr>
        <w:t>iots broke out in opposition to this new measure (BBC, 2011). This policy was defended with the argument that universities should cooperate with industries and that universities should pursue more funds from the private sector, enabling them to reduce the tuition fees. This would lead to more compe</w:t>
      </w:r>
      <w:r w:rsidR="004F77E1">
        <w:rPr>
          <w:lang w:val="en-GB"/>
        </w:rPr>
        <w:t>ti</w:t>
      </w:r>
      <w:r w:rsidRPr="009D1068">
        <w:rPr>
          <w:lang w:val="en-GB"/>
        </w:rPr>
        <w:t xml:space="preserve">tion between universities; something that was seen as desirable. Furthermore, as Lea (2014) argues, </w:t>
      </w:r>
      <w:r w:rsidR="004F77E1">
        <w:rPr>
          <w:lang w:val="en-GB"/>
        </w:rPr>
        <w:t xml:space="preserve">the </w:t>
      </w:r>
      <w:r w:rsidRPr="009D1068">
        <w:rPr>
          <w:i/>
          <w:lang w:val="en-GB"/>
        </w:rPr>
        <w:t>Securing a Sustainable Future for Higher Education</w:t>
      </w:r>
      <w:r w:rsidR="007D3907" w:rsidRPr="009D1068">
        <w:rPr>
          <w:lang w:val="en-GB"/>
        </w:rPr>
        <w:t>-</w:t>
      </w:r>
      <w:r w:rsidR="004F77E1">
        <w:rPr>
          <w:lang w:val="en-GB"/>
        </w:rPr>
        <w:t>report</w:t>
      </w:r>
      <w:r w:rsidR="007D3907" w:rsidRPr="009D1068">
        <w:rPr>
          <w:lang w:val="en-GB"/>
        </w:rPr>
        <w:t xml:space="preserve"> suggested</w:t>
      </w:r>
      <w:r w:rsidRPr="009D1068">
        <w:rPr>
          <w:lang w:val="en-GB"/>
        </w:rPr>
        <w:t xml:space="preserve"> raising the tuition fees to 9.000 pounds and forcing universities to become more and more involved in the market, would usher in the demise of the humanities. The humanities do not have a (direct) measurable economic value. At least not in comparison to applied physics or another beta study of that kind. Universities in a system based on competition have a hard time reducing the tuition fees for </w:t>
      </w:r>
      <w:r w:rsidR="00BB0932" w:rsidRPr="009D1068">
        <w:rPr>
          <w:lang w:val="en-GB"/>
        </w:rPr>
        <w:t>studies</w:t>
      </w:r>
      <w:r w:rsidRPr="009D1068">
        <w:rPr>
          <w:lang w:val="en-GB"/>
        </w:rPr>
        <w:t xml:space="preserve"> that </w:t>
      </w:r>
      <w:r w:rsidR="00BB0932" w:rsidRPr="009D1068">
        <w:rPr>
          <w:lang w:val="en-GB"/>
        </w:rPr>
        <w:t>are not directly as profitable.</w:t>
      </w:r>
    </w:p>
    <w:p w:rsidR="00797BB5" w:rsidRPr="009D1068" w:rsidRDefault="004F77E1" w:rsidP="00797BB5">
      <w:pPr>
        <w:pStyle w:val="NoSpacing"/>
        <w:ind w:left="142" w:right="334"/>
        <w:rPr>
          <w:lang w:val="en-GB"/>
        </w:rPr>
      </w:pPr>
      <w:r>
        <w:rPr>
          <w:lang w:val="en-GB"/>
        </w:rPr>
        <w:t>T</w:t>
      </w:r>
      <w:r w:rsidR="00797BB5" w:rsidRPr="009D1068">
        <w:rPr>
          <w:lang w:val="en-GB"/>
        </w:rPr>
        <w:t>he Netherlands</w:t>
      </w:r>
      <w:r>
        <w:rPr>
          <w:lang w:val="en-GB"/>
        </w:rPr>
        <w:t xml:space="preserve"> saw</w:t>
      </w:r>
      <w:r w:rsidR="00797BB5" w:rsidRPr="009D1068">
        <w:rPr>
          <w:lang w:val="en-GB"/>
        </w:rPr>
        <w:t xml:space="preserve"> similar tendenc</w:t>
      </w:r>
      <w:r>
        <w:rPr>
          <w:lang w:val="en-GB"/>
        </w:rPr>
        <w:t>ies,</w:t>
      </w:r>
      <w:r w:rsidR="00797BB5" w:rsidRPr="009D1068">
        <w:rPr>
          <w:lang w:val="en-GB"/>
        </w:rPr>
        <w:t xml:space="preserve"> but</w:t>
      </w:r>
      <w:r>
        <w:rPr>
          <w:lang w:val="en-GB"/>
        </w:rPr>
        <w:t xml:space="preserve"> they unravelled at </w:t>
      </w:r>
      <w:r w:rsidR="00797BB5" w:rsidRPr="009D1068">
        <w:rPr>
          <w:lang w:val="en-GB"/>
        </w:rPr>
        <w:t xml:space="preserve">a much slower pace. Tuition fees in the Netherlands have not (yet) risen that much in the last years, however, considerable changes were proposed that eventually, were never adopted. There was for instance the increase of tuition fees for slow students. </w:t>
      </w:r>
      <w:r>
        <w:rPr>
          <w:lang w:val="en-GB"/>
        </w:rPr>
        <w:t xml:space="preserve">Students </w:t>
      </w:r>
      <w:r w:rsidR="00797BB5" w:rsidRPr="009D1068">
        <w:rPr>
          <w:lang w:val="en-GB"/>
        </w:rPr>
        <w:t xml:space="preserve">perceived </w:t>
      </w:r>
      <w:r>
        <w:rPr>
          <w:lang w:val="en-GB"/>
        </w:rPr>
        <w:t>this € 3.0</w:t>
      </w:r>
      <w:r w:rsidR="003126D6">
        <w:rPr>
          <w:lang w:val="en-GB"/>
        </w:rPr>
        <w:t>63</w:t>
      </w:r>
      <w:r>
        <w:rPr>
          <w:lang w:val="en-GB"/>
        </w:rPr>
        <w:t xml:space="preserve"> </w:t>
      </w:r>
      <w:r w:rsidR="00737D1D">
        <w:rPr>
          <w:lang w:val="en-GB"/>
        </w:rPr>
        <w:t xml:space="preserve">increase </w:t>
      </w:r>
      <w:r>
        <w:rPr>
          <w:lang w:val="en-GB"/>
        </w:rPr>
        <w:t xml:space="preserve">as a </w:t>
      </w:r>
      <w:r w:rsidR="00797BB5" w:rsidRPr="009D1068">
        <w:rPr>
          <w:lang w:val="en-GB"/>
        </w:rPr>
        <w:t>‘penalty</w:t>
      </w:r>
      <w:r>
        <w:rPr>
          <w:lang w:val="en-GB"/>
        </w:rPr>
        <w:t xml:space="preserve"> </w:t>
      </w:r>
      <w:r w:rsidR="00797BB5" w:rsidRPr="009D1068">
        <w:rPr>
          <w:lang w:val="en-GB"/>
        </w:rPr>
        <w:t xml:space="preserve">for doing </w:t>
      </w:r>
      <w:r>
        <w:rPr>
          <w:lang w:val="en-GB"/>
        </w:rPr>
        <w:t>extracurricular</w:t>
      </w:r>
      <w:r w:rsidR="00737D1D">
        <w:rPr>
          <w:lang w:val="en-GB"/>
        </w:rPr>
        <w:t xml:space="preserve"> activities</w:t>
      </w:r>
      <w:r w:rsidR="00797BB5" w:rsidRPr="009D1068">
        <w:rPr>
          <w:lang w:val="en-GB"/>
        </w:rPr>
        <w:t>. This led to a massive</w:t>
      </w:r>
      <w:r w:rsidR="00737D1D" w:rsidRPr="009D1068" w:rsidDel="00737D1D">
        <w:rPr>
          <w:lang w:val="en-GB"/>
        </w:rPr>
        <w:t xml:space="preserve"> </w:t>
      </w:r>
      <w:r w:rsidR="00797BB5" w:rsidRPr="009D1068">
        <w:rPr>
          <w:lang w:val="en-GB"/>
        </w:rPr>
        <w:t xml:space="preserve">, demonstration of more than 20.000 student at the </w:t>
      </w:r>
      <w:r w:rsidR="00797BB5" w:rsidRPr="009D1068">
        <w:rPr>
          <w:i/>
          <w:lang w:val="en-GB"/>
        </w:rPr>
        <w:t xml:space="preserve">Malieveld </w:t>
      </w:r>
      <w:r w:rsidR="00797BB5" w:rsidRPr="009D1068">
        <w:rPr>
          <w:lang w:val="en-GB"/>
        </w:rPr>
        <w:t>in The Hague</w:t>
      </w:r>
      <w:r w:rsidR="00737D1D">
        <w:rPr>
          <w:lang w:val="en-GB"/>
        </w:rPr>
        <w:t xml:space="preserve">, although it was </w:t>
      </w:r>
      <w:r w:rsidR="00737D1D" w:rsidRPr="009D1068">
        <w:rPr>
          <w:lang w:val="en-GB"/>
        </w:rPr>
        <w:t>much less violent than the 2010 UK student riots</w:t>
      </w:r>
      <w:r w:rsidR="00797BB5" w:rsidRPr="009D1068">
        <w:rPr>
          <w:lang w:val="en-GB"/>
        </w:rPr>
        <w:t xml:space="preserve">. This tuition increase was eventually cut during the negotiations of the Cabinet Rutte II. Another example is the very recently adopted change of the funding of higher education. Students in the Netherlands </w:t>
      </w:r>
      <w:r w:rsidR="00737D1D">
        <w:rPr>
          <w:lang w:val="en-GB"/>
        </w:rPr>
        <w:t>have always received</w:t>
      </w:r>
      <w:r w:rsidR="00737D1D" w:rsidRPr="009D1068">
        <w:rPr>
          <w:lang w:val="en-GB"/>
        </w:rPr>
        <w:t xml:space="preserve"> </w:t>
      </w:r>
      <w:r w:rsidR="00797BB5" w:rsidRPr="009D1068">
        <w:rPr>
          <w:lang w:val="en-GB"/>
        </w:rPr>
        <w:t xml:space="preserve">receive a </w:t>
      </w:r>
      <w:r w:rsidR="00737D1D">
        <w:rPr>
          <w:lang w:val="en-GB"/>
        </w:rPr>
        <w:t xml:space="preserve">government </w:t>
      </w:r>
      <w:r w:rsidR="00797BB5" w:rsidRPr="009D1068">
        <w:rPr>
          <w:lang w:val="en-GB"/>
        </w:rPr>
        <w:t>loan that is converted into a gift if and only if the student graduates</w:t>
      </w:r>
      <w:r w:rsidR="00737D1D">
        <w:rPr>
          <w:lang w:val="en-GB"/>
        </w:rPr>
        <w:t xml:space="preserve"> within a set amount of years</w:t>
      </w:r>
      <w:r w:rsidR="00797BB5" w:rsidRPr="009D1068">
        <w:rPr>
          <w:lang w:val="en-GB"/>
        </w:rPr>
        <w:t xml:space="preserve">. This will change as of academic year 2015-2016. From then on, students can loan money of the government, but this will no longer be converted into a gift after graduation. Student will </w:t>
      </w:r>
      <w:r w:rsidR="00737D1D" w:rsidRPr="009D1068">
        <w:rPr>
          <w:lang w:val="en-GB"/>
        </w:rPr>
        <w:t>have to pay back everything</w:t>
      </w:r>
      <w:r w:rsidR="00797BB5" w:rsidRPr="009D1068">
        <w:rPr>
          <w:lang w:val="en-GB"/>
        </w:rPr>
        <w:t xml:space="preserve">, albeit over a </w:t>
      </w:r>
      <w:r w:rsidR="00737D1D">
        <w:rPr>
          <w:lang w:val="en-GB"/>
        </w:rPr>
        <w:t xml:space="preserve">35-year </w:t>
      </w:r>
      <w:r w:rsidR="00797BB5" w:rsidRPr="009D1068">
        <w:rPr>
          <w:lang w:val="en-GB"/>
        </w:rPr>
        <w:t xml:space="preserve">time </w:t>
      </w:r>
      <w:r w:rsidR="00737D1D">
        <w:rPr>
          <w:lang w:val="en-GB"/>
        </w:rPr>
        <w:t>period</w:t>
      </w:r>
      <w:r w:rsidR="00797BB5" w:rsidRPr="009D1068">
        <w:rPr>
          <w:lang w:val="en-GB"/>
        </w:rPr>
        <w:t xml:space="preserve">. This measure also faced tremendous opposition and even at this very moment, </w:t>
      </w:r>
      <w:r w:rsidR="00737D1D">
        <w:rPr>
          <w:lang w:val="en-GB"/>
        </w:rPr>
        <w:t>nothing is certain</w:t>
      </w:r>
      <w:r w:rsidR="00797BB5" w:rsidRPr="009D1068">
        <w:rPr>
          <w:lang w:val="en-GB"/>
        </w:rPr>
        <w:t xml:space="preserve">. </w:t>
      </w:r>
    </w:p>
    <w:p w:rsidR="00797BB5" w:rsidRPr="009D1068" w:rsidRDefault="00797BB5" w:rsidP="00797BB5">
      <w:pPr>
        <w:pStyle w:val="NoSpacing"/>
        <w:ind w:left="142" w:right="334"/>
        <w:rPr>
          <w:lang w:val="en-GB"/>
        </w:rPr>
      </w:pPr>
      <w:r w:rsidRPr="009D1068">
        <w:rPr>
          <w:lang w:val="en-GB"/>
        </w:rPr>
        <w:t xml:space="preserve">The increase of tuition fees can be seen as a result of the adoption of the norm that universities should be focused more on internationalization and on playing a more important part in the market economy for the increase of tuition forces universities to cooperate more with the private sector. An international norm, as argued by </w:t>
      </w:r>
      <w:r w:rsidR="00737D1D">
        <w:rPr>
          <w:lang w:val="en-GB"/>
        </w:rPr>
        <w:t>V</w:t>
      </w:r>
      <w:r w:rsidRPr="009D1068">
        <w:rPr>
          <w:lang w:val="en-GB"/>
        </w:rPr>
        <w:t xml:space="preserve">an Kersbergen and Verbeek (2007) faces a new battle in the domestic arena because it is often formulated rather vague with room for interpretation. The strategies and processes such as Bologna and Lisbon did not force governments </w:t>
      </w:r>
      <w:r w:rsidR="00737D1D">
        <w:rPr>
          <w:lang w:val="en-GB"/>
        </w:rPr>
        <w:t>in</w:t>
      </w:r>
      <w:r w:rsidRPr="009D1068">
        <w:rPr>
          <w:lang w:val="en-GB"/>
        </w:rPr>
        <w:t>to action</w:t>
      </w:r>
      <w:r w:rsidR="00737D1D">
        <w:rPr>
          <w:lang w:val="en-GB"/>
        </w:rPr>
        <w:t>.</w:t>
      </w:r>
      <w:r w:rsidR="003126D6">
        <w:rPr>
          <w:lang w:val="en-GB"/>
        </w:rPr>
        <w:t xml:space="preserve"> </w:t>
      </w:r>
      <w:r w:rsidR="00737D1D">
        <w:rPr>
          <w:lang w:val="en-GB"/>
        </w:rPr>
        <w:t>T</w:t>
      </w:r>
      <w:r w:rsidRPr="009D1068">
        <w:rPr>
          <w:lang w:val="en-GB"/>
        </w:rPr>
        <w:t>herefore, it can be concluded that, the norm faced more opposition in the Netherlands than in the UK</w:t>
      </w:r>
      <w:r w:rsidR="00737D1D">
        <w:rPr>
          <w:lang w:val="en-GB"/>
        </w:rPr>
        <w:t>. After all</w:t>
      </w:r>
      <w:r w:rsidRPr="009D1068">
        <w:rPr>
          <w:lang w:val="en-GB"/>
        </w:rPr>
        <w:t xml:space="preserve"> the university system of the UK was already focused more on competition and was already more coordinated by the market, where</w:t>
      </w:r>
      <w:r w:rsidR="00737D1D">
        <w:rPr>
          <w:lang w:val="en-GB"/>
        </w:rPr>
        <w:t>as</w:t>
      </w:r>
      <w:r w:rsidRPr="009D1068">
        <w:rPr>
          <w:lang w:val="en-GB"/>
        </w:rPr>
        <w:t xml:space="preserve"> in the Netherlands, universities are more strategically governed and less focused on competition. Furthermore</w:t>
      </w:r>
      <w:r w:rsidR="002A4F9C">
        <w:rPr>
          <w:lang w:val="en-GB"/>
        </w:rPr>
        <w:t xml:space="preserve"> and</w:t>
      </w:r>
      <w:r w:rsidR="003126D6">
        <w:rPr>
          <w:lang w:val="en-GB"/>
        </w:rPr>
        <w:t xml:space="preserve"> </w:t>
      </w:r>
      <w:r w:rsidRPr="009D1068">
        <w:rPr>
          <w:lang w:val="en-GB"/>
        </w:rPr>
        <w:t>important</w:t>
      </w:r>
      <w:r w:rsidR="002A4F9C">
        <w:rPr>
          <w:lang w:val="en-GB"/>
        </w:rPr>
        <w:t>ly</w:t>
      </w:r>
      <w:r w:rsidRPr="009D1068">
        <w:rPr>
          <w:lang w:val="en-GB"/>
        </w:rPr>
        <w:t xml:space="preserve">, institutional constraints make the adoption of radical measures in for instance higher education much less likely </w:t>
      </w:r>
      <w:r w:rsidR="002A4F9C" w:rsidRPr="009D1068">
        <w:rPr>
          <w:lang w:val="en-GB"/>
        </w:rPr>
        <w:t xml:space="preserve">in the Netherlands </w:t>
      </w:r>
      <w:r w:rsidRPr="009D1068">
        <w:rPr>
          <w:lang w:val="en-GB"/>
        </w:rPr>
        <w:t xml:space="preserve">than in the </w:t>
      </w:r>
      <w:r w:rsidR="003126D6">
        <w:rPr>
          <w:lang w:val="en-GB"/>
        </w:rPr>
        <w:t>United Kingdom</w:t>
      </w:r>
      <w:r w:rsidRPr="009D1068">
        <w:rPr>
          <w:lang w:val="en-GB"/>
        </w:rPr>
        <w:t xml:space="preserve">. In this case, the norm faces much more opposition for a larger support base should be found. First, the several parties in the coalition must find a common ground and often, the opposition is consulted. In the UK, one party can push legislation through while only facing a toothless opposition. </w:t>
      </w:r>
      <w:r w:rsidR="00BB0932" w:rsidRPr="009D1068">
        <w:rPr>
          <w:lang w:val="en-GB"/>
        </w:rPr>
        <w:t>The Netherlands has a much more consensual democracy than the United Kingdom. These are</w:t>
      </w:r>
      <w:r w:rsidRPr="009D1068">
        <w:rPr>
          <w:lang w:val="en-GB"/>
        </w:rPr>
        <w:t xml:space="preserve"> </w:t>
      </w:r>
      <w:r w:rsidR="00BB0932" w:rsidRPr="009D1068">
        <w:rPr>
          <w:lang w:val="en-GB"/>
        </w:rPr>
        <w:t>a few</w:t>
      </w:r>
      <w:r w:rsidRPr="009D1068">
        <w:rPr>
          <w:lang w:val="en-GB"/>
        </w:rPr>
        <w:t xml:space="preserve"> of the reasons why the international norm was adopted much faster in the UK than in the Netherlands. The Netherlands is, however, on the same track as the UK but is a few stations behind; the changes </w:t>
      </w:r>
      <w:r w:rsidR="002A4F9C">
        <w:rPr>
          <w:lang w:val="en-GB"/>
        </w:rPr>
        <w:t>in both countries are similar</w:t>
      </w:r>
      <w:r w:rsidRPr="009D1068">
        <w:rPr>
          <w:lang w:val="en-GB"/>
        </w:rPr>
        <w:t xml:space="preserve">, but less radical and </w:t>
      </w:r>
      <w:r w:rsidR="002A4F9C">
        <w:rPr>
          <w:lang w:val="en-GB"/>
        </w:rPr>
        <w:t xml:space="preserve">more slowly </w:t>
      </w:r>
      <w:r w:rsidRPr="009D1068">
        <w:rPr>
          <w:lang w:val="en-GB"/>
        </w:rPr>
        <w:t xml:space="preserve">adopted and implemented </w:t>
      </w:r>
      <w:r w:rsidR="002A4F9C">
        <w:rPr>
          <w:lang w:val="en-GB"/>
        </w:rPr>
        <w:t>in the Netherlands. This is a result of the fact that</w:t>
      </w:r>
      <w:r w:rsidRPr="009D1068">
        <w:rPr>
          <w:lang w:val="en-GB"/>
        </w:rPr>
        <w:t xml:space="preserve"> the norm faces much more battles in the domestic arena of</w:t>
      </w:r>
      <w:r w:rsidR="003126D6">
        <w:rPr>
          <w:lang w:val="en-GB"/>
        </w:rPr>
        <w:t>, in the words of</w:t>
      </w:r>
      <w:r w:rsidRPr="009D1068">
        <w:rPr>
          <w:lang w:val="en-GB"/>
        </w:rPr>
        <w:t xml:space="preserve"> van Kersbergen and Verbeek (ibid.: 222) ‘a new battle over meaning’</w:t>
      </w:r>
      <w:r w:rsidR="003126D6">
        <w:rPr>
          <w:lang w:val="en-GB"/>
        </w:rPr>
        <w:t xml:space="preserve"> commences</w:t>
      </w:r>
      <w:r w:rsidRPr="009D1068">
        <w:rPr>
          <w:lang w:val="en-GB"/>
        </w:rPr>
        <w:t xml:space="preserve">. This battle can even change the norm in its entirety. </w:t>
      </w:r>
    </w:p>
    <w:p w:rsidR="00797BB5" w:rsidRPr="009D1068" w:rsidRDefault="00797BB5" w:rsidP="00797BB5">
      <w:pPr>
        <w:pStyle w:val="NoSpacing"/>
        <w:ind w:left="142" w:right="334"/>
        <w:rPr>
          <w:lang w:val="en-GB"/>
        </w:rPr>
      </w:pPr>
      <w:r w:rsidRPr="009D1068">
        <w:rPr>
          <w:lang w:val="en-GB"/>
        </w:rPr>
        <w:t>Other examples such as tuition fees are for instance the cooperation of universities and industries. In the UK, this has already gotten a lot of footing whereas the Netherlands is slowly creating</w:t>
      </w:r>
      <w:r w:rsidR="003126D6">
        <w:rPr>
          <w:lang w:val="en-GB"/>
        </w:rPr>
        <w:t xml:space="preserve"> </w:t>
      </w:r>
      <w:r w:rsidR="002A4F9C">
        <w:rPr>
          <w:lang w:val="en-GB"/>
        </w:rPr>
        <w:t xml:space="preserve">increasingly many </w:t>
      </w:r>
      <w:r w:rsidRPr="009D1068">
        <w:rPr>
          <w:lang w:val="en-GB"/>
        </w:rPr>
        <w:t xml:space="preserve">successful projects such as Eindhoven Brainport. </w:t>
      </w:r>
    </w:p>
    <w:p w:rsidR="00797BB5" w:rsidRPr="009D1068" w:rsidRDefault="00797BB5" w:rsidP="00797BB5">
      <w:pPr>
        <w:pStyle w:val="NoSpacing"/>
        <w:rPr>
          <w:lang w:val="en-GB"/>
        </w:rPr>
      </w:pPr>
      <w:r w:rsidRPr="009D1068">
        <w:rPr>
          <w:lang w:val="en-GB"/>
        </w:rPr>
        <w:t>As argued by for instance van Kerbergen and Verbeek (2008), and Wiener (2004) and Sandholtz (2006), international norms face a new battle in the domestic arena. They are often formulated in a vague and elusive manner and are therefore, open to interpretation by domestic actors that can frame them in all kinds of manners and thus, slowly deviate from the initial meaning of the norm. The higher education norm internalized slower in the Netherlands than in the United kingdom due to for instance institutional constraints. Exactly this has been stated by Leisyte (2011). She argued that in the Netherlands the Valorization Agenda had only been adopted in 2008. Valorization is the utilization of the results of scientific research (ibid.: 441). The agenda, consisting of twelve concrete steps towards utilizing the knowledge ‘developed’ at higher education institutes, has been signed by a wide range of stakeholders and was pushed by the already mentioned innovation platform. Leisyte (ibid) argues that this ‘knowledge commercialization policy’, was initiated by intermediary organizations and representatives of the university and not by the national parliament. She argues that, given the consensual democracy in the Netherlands, the valorization agenda, and the wide support for institutions such as the HBO</w:t>
      </w:r>
      <w:r w:rsidR="00B0512C" w:rsidRPr="009D1068">
        <w:rPr>
          <w:lang w:val="en-GB"/>
        </w:rPr>
        <w:t>-R</w:t>
      </w:r>
      <w:r w:rsidRPr="009D1068">
        <w:rPr>
          <w:lang w:val="en-GB"/>
        </w:rPr>
        <w:t xml:space="preserve">aad and the </w:t>
      </w:r>
      <w:r w:rsidRPr="009D1068">
        <w:rPr>
          <w:i/>
          <w:lang w:val="en-GB"/>
        </w:rPr>
        <w:t>Koninklijke Nederlandse Akademie van wetenschappen</w:t>
      </w:r>
      <w:r w:rsidRPr="009D1068">
        <w:rPr>
          <w:lang w:val="en-GB"/>
        </w:rPr>
        <w:t xml:space="preserve">, should not be underestimated. In the </w:t>
      </w:r>
      <w:r w:rsidR="00B0512C" w:rsidRPr="009D1068">
        <w:rPr>
          <w:lang w:val="en-GB"/>
        </w:rPr>
        <w:t>United Kingdom</w:t>
      </w:r>
      <w:r w:rsidRPr="009D1068">
        <w:rPr>
          <w:lang w:val="en-GB"/>
        </w:rPr>
        <w:t>, valorization has been institutionalized much earlier. Andersen &amp; Rossi (2011: 703), argue that since the 1980s universities in the UK have emphasized the economic role of the universities besides the research and the teaching role.</w:t>
      </w:r>
      <w:r w:rsidR="008F6921" w:rsidRPr="009D1068">
        <w:rPr>
          <w:lang w:val="en-GB"/>
        </w:rPr>
        <w:t xml:space="preserve"> </w:t>
      </w:r>
      <w:r w:rsidRPr="009D1068">
        <w:rPr>
          <w:lang w:val="en-GB"/>
        </w:rPr>
        <w:t>Some (e.g. Henderson, Jaffe &amp; Trajtenberg) even argue that the focus on adding economic value in liberal market economies had been initiated in the 1960s. Since the adoption of the Bologna Process, and the European</w:t>
      </w:r>
      <w:r w:rsidR="00B0512C" w:rsidRPr="009D1068">
        <w:rPr>
          <w:lang w:val="en-GB"/>
        </w:rPr>
        <w:t>-level education</w:t>
      </w:r>
      <w:r w:rsidRPr="009D1068">
        <w:rPr>
          <w:lang w:val="en-GB"/>
        </w:rPr>
        <w:t xml:space="preserve"> agreements after that, the amount of patents by U</w:t>
      </w:r>
      <w:r w:rsidR="00B0512C" w:rsidRPr="009D1068">
        <w:rPr>
          <w:lang w:val="en-GB"/>
        </w:rPr>
        <w:t xml:space="preserve">nited </w:t>
      </w:r>
      <w:r w:rsidRPr="009D1068">
        <w:rPr>
          <w:lang w:val="en-GB"/>
        </w:rPr>
        <w:t>K</w:t>
      </w:r>
      <w:r w:rsidR="00B0512C" w:rsidRPr="009D1068">
        <w:rPr>
          <w:lang w:val="en-GB"/>
        </w:rPr>
        <w:t>ingdom</w:t>
      </w:r>
      <w:r w:rsidRPr="009D1068">
        <w:rPr>
          <w:lang w:val="en-GB"/>
        </w:rPr>
        <w:t xml:space="preserve">-based universities has </w:t>
      </w:r>
      <w:r w:rsidR="00B0512C" w:rsidRPr="009D1068">
        <w:rPr>
          <w:lang w:val="en-GB"/>
        </w:rPr>
        <w:t xml:space="preserve">increased </w:t>
      </w:r>
      <w:r w:rsidRPr="009D1068">
        <w:rPr>
          <w:lang w:val="en-GB"/>
        </w:rPr>
        <w:t>even more (Andersen &amp; Rossi, 2011). Furthermore</w:t>
      </w:r>
      <w:r w:rsidR="00BD3F37">
        <w:rPr>
          <w:lang w:val="en-GB"/>
        </w:rPr>
        <w:t>,</w:t>
      </w:r>
      <w:r w:rsidRPr="009D1068">
        <w:rPr>
          <w:lang w:val="en-GB"/>
        </w:rPr>
        <w:t xml:space="preserve"> it should be noted that, compar</w:t>
      </w:r>
      <w:r w:rsidR="00B0512C" w:rsidRPr="009D1068">
        <w:rPr>
          <w:lang w:val="en-GB"/>
        </w:rPr>
        <w:t>ed</w:t>
      </w:r>
      <w:r w:rsidRPr="009D1068">
        <w:rPr>
          <w:lang w:val="en-GB"/>
        </w:rPr>
        <w:t xml:space="preserve"> to the Netherlands, the </w:t>
      </w:r>
      <w:r w:rsidR="00B0512C" w:rsidRPr="009D1068">
        <w:rPr>
          <w:lang w:val="en-GB"/>
        </w:rPr>
        <w:t>United Kingdom</w:t>
      </w:r>
      <w:r w:rsidR="003126D6">
        <w:rPr>
          <w:lang w:val="en-GB"/>
        </w:rPr>
        <w:t xml:space="preserve"> </w:t>
      </w:r>
      <w:r w:rsidRPr="009D1068">
        <w:rPr>
          <w:lang w:val="en-GB"/>
        </w:rPr>
        <w:t xml:space="preserve">does not have a consensual democracy. One dominant party is able to implement changes for the opposition in the national parliament is rather weak compared to the opposition in the Netherlands. The new norm in higher education has internalized much faster by the United Kingdom on the one hand because of the fact that universities in the UK were already focused on adding economic value to the economy compared to Dutch universities that focused on teaching and creating knowledge regardless of the commercial value. Leisyste (2011: 438) argues that one can distinguish two research governance models: the Anglo-Saxon model (the LME variant) and the Continental model (the CME variant). In the latter, science funding and budgets are allocated on a historical basis. In the former, budgets are allocated on a competitive basis. </w:t>
      </w:r>
    </w:p>
    <w:p w:rsidR="00797BB5" w:rsidRPr="009D1068" w:rsidRDefault="00797BB5" w:rsidP="00883DBD">
      <w:pPr>
        <w:pStyle w:val="NoSpacing"/>
        <w:rPr>
          <w:lang w:val="en-GB"/>
        </w:rPr>
      </w:pPr>
      <w:r w:rsidRPr="009D1068">
        <w:rPr>
          <w:lang w:val="en-GB"/>
        </w:rPr>
        <w:t xml:space="preserve">The norm of more internationalization in higher education and of a greater focus on economic value of universities has not yet fully internalized in the Netherland. The ERT </w:t>
      </w:r>
      <w:r w:rsidR="00BB0932" w:rsidRPr="009D1068">
        <w:rPr>
          <w:lang w:val="en-GB"/>
        </w:rPr>
        <w:t xml:space="preserve">and the European Commission </w:t>
      </w:r>
      <w:r w:rsidRPr="009D1068">
        <w:rPr>
          <w:lang w:val="en-GB"/>
        </w:rPr>
        <w:t>functioned as the entrepreneur for this norm and the cascade of the norm was evident given the numerous declarations, strategies and agenda’s formulated by government officials and the European Commission. However, the internalization phase differed between the UK and the Netherlands</w:t>
      </w:r>
      <w:r w:rsidR="00AD4667" w:rsidRPr="009D1068">
        <w:rPr>
          <w:lang w:val="en-GB"/>
        </w:rPr>
        <w:t xml:space="preserve">. </w:t>
      </w:r>
    </w:p>
    <w:p w:rsidR="00797BB5" w:rsidRPr="009D1068" w:rsidRDefault="00797BB5">
      <w:pPr>
        <w:rPr>
          <w:lang w:val="en-GB"/>
        </w:rPr>
      </w:pPr>
      <w:r w:rsidRPr="009D1068">
        <w:rPr>
          <w:lang w:val="en-GB"/>
        </w:rPr>
        <w:br w:type="page"/>
      </w:r>
    </w:p>
    <w:p w:rsidR="008E6309" w:rsidRPr="009D1068" w:rsidRDefault="003D3DEC" w:rsidP="00EF39A1">
      <w:pPr>
        <w:pStyle w:val="Heading1"/>
        <w:numPr>
          <w:ilvl w:val="0"/>
          <w:numId w:val="3"/>
        </w:numPr>
        <w:rPr>
          <w:lang w:val="en-GB"/>
        </w:rPr>
      </w:pPr>
      <w:bookmarkStart w:id="62" w:name="_Toc391510191"/>
      <w:bookmarkStart w:id="63" w:name="_Toc396045612"/>
      <w:r w:rsidRPr="009D1068">
        <w:rPr>
          <w:lang w:val="en-GB"/>
        </w:rPr>
        <w:t>Conclusion</w:t>
      </w:r>
      <w:bookmarkEnd w:id="62"/>
      <w:bookmarkEnd w:id="63"/>
    </w:p>
    <w:p w:rsidR="00E5094B" w:rsidRPr="009D1068" w:rsidRDefault="003D3DEC" w:rsidP="00E5094B">
      <w:pPr>
        <w:pStyle w:val="NoSpacing"/>
        <w:ind w:firstLine="0"/>
        <w:rPr>
          <w:lang w:val="en-GB"/>
        </w:rPr>
      </w:pPr>
      <w:r w:rsidRPr="009D1068">
        <w:rPr>
          <w:lang w:val="en-GB"/>
        </w:rPr>
        <w:t>T</w:t>
      </w:r>
      <w:r w:rsidR="00E5094B" w:rsidRPr="009D1068">
        <w:rPr>
          <w:lang w:val="en-GB"/>
        </w:rPr>
        <w:t>his thesis has delved deeper into the developments in the domain of higher education in the Netherlands and in the UK. The changes in higher education over the past two decades have been unprecedented. Higher education has always been a domain that was almost exclusively steered by the nation state. This has changed in the last several years. The European Commission and the European member states have committed themselves to several economic goals. The fundaments of these goals</w:t>
      </w:r>
      <w:r w:rsidR="00171700" w:rsidRPr="009D1068">
        <w:rPr>
          <w:lang w:val="en-GB"/>
        </w:rPr>
        <w:t xml:space="preserve"> –</w:t>
      </w:r>
      <w:r w:rsidR="00E5094B" w:rsidRPr="009D1068">
        <w:rPr>
          <w:lang w:val="en-GB"/>
        </w:rPr>
        <w:t xml:space="preserve"> goals such as creating a sustainable competitive and dynamic, capitalist knowledge based European economy lay in a well organized, European higher education organization (of which the European Higher Education Area is one of the results); a convergence of the different European higher education systems towards a single, best practice</w:t>
      </w:r>
      <w:r w:rsidR="00D91870" w:rsidRPr="00D91870">
        <w:rPr>
          <w:lang w:val="en-GB"/>
        </w:rPr>
        <w:t xml:space="preserve">. The convergence of the degree structure towards a Bachelors and Masters degree is an example of this. This single best practice, with a focus on internationalization of universities and on the so-called third mission of universities (adding value to a state’s economy) has slowly become the norm in the last two and a half decades. This norm has been articulated for the first time by the European Round Table of Industrialists and the European Commission that were able to formulate their visions of a European economy capable of competing with the rest of the world to for instance the European Commission. The norm eventually cascaded, which can be concluded when looking at the several declarations, strategies and processes reshaping the higher educational landscape of Europe. </w:t>
      </w:r>
    </w:p>
    <w:p w:rsidR="00E5094B" w:rsidRPr="009D1068" w:rsidRDefault="00D91870" w:rsidP="00E5094B">
      <w:pPr>
        <w:pStyle w:val="NoSpacing"/>
        <w:rPr>
          <w:lang w:val="en-GB"/>
        </w:rPr>
      </w:pPr>
      <w:r w:rsidRPr="00D91870">
        <w:rPr>
          <w:lang w:val="en-GB"/>
        </w:rPr>
        <w:t>One can, however, easily see that there are variances between states in respect to the manner of which it adopted, or is adopting, this new higher education norm. The UK, with its much more competitive higher education system with renowned institutes such as Cambridge, Oxford and the London School of Economics was ‘miles’ ahead of the Netherlands, the other state subject to inquiry in this thesis. In the UK, there is much more cooperation between universities and industries in comparison to the Netherlands, where these Triple Helix cooperation structures between the government, the industries and the universities have been realized only in the last several years. Another example is, especially in the UK, a significant increase of tuition fees that forces universities to cooperate with the private sector. This goes, as argued by many scholars, at the expense of for instance the humanities; studies such as anthropology or philosophy that do not have a direct economic impact.</w:t>
      </w:r>
    </w:p>
    <w:p w:rsidR="00E5094B" w:rsidRPr="009D1068" w:rsidRDefault="00D91870" w:rsidP="00E5094B">
      <w:pPr>
        <w:pStyle w:val="NoSpacing"/>
        <w:rPr>
          <w:lang w:val="en-GB"/>
        </w:rPr>
      </w:pPr>
      <w:r w:rsidRPr="00D91870">
        <w:rPr>
          <w:lang w:val="en-GB"/>
        </w:rPr>
        <w:t xml:space="preserve">One of the reasons that the UK adopted the norm much more easily could lay in the fact that it has a liberal market economy, an economy already based on competition and short term profit making. This in contrast to the Netherlands that, apart from parts of its financial system, is considered a CME that is much more focused on the long term and on strategic cooperation between the (economic) institutes. According to the varieties of capitalism approach, these institutions would not converge towards a single best practice because of the institutional complementarities. Globalization and internationalization do pose a threat to the explanatory power of this rather heuristic approach. It considers the capitalist economies it deals with as rather static and can therefore not easily explain what the implications of globalization are on domains such as higher education. The varieties of capitalism approach would ‘expect’ that the higher education institutions of a coordinated market economy would deal with such global trends in its own way in respect to a liberal market economy. This is, however, untrue for the Netherlands </w:t>
      </w:r>
      <w:r w:rsidRPr="00D91870">
        <w:rPr>
          <w:lang w:val="en-GB"/>
        </w:rPr>
        <w:softHyphen/>
        <w:t xml:space="preserve">– a CME – which is making alterations that are similar to the alterations made several years ago in the UK, which is a liberal market economy. Therefore this deviates from the expectations of the varieties of capitalism approach. The norm lifecycle of Finnemore and Sikkink (2001), with additions of Van Kersbergen and Verbeek (2007), is better able to explain why there is a variance in pace between the Netherlands and the UK in the way they change their respective higher education organization. The third stage of Finnemore and Sikkink’s norm lifecycle framework has not yet been completed in the Netherlands, while it has been completed in the UK. The reason why the Netherlands is still in the middle of the internationalization process may lie in the fact that an international norm, which is often quite vague and elusively formulated, can be interpreted differently in the domestic arena. When implementing (for instance) higher tuition caps, the Dutch government faced massive opposition from parties that disagreed with this increase. This resulted in first postponing the measure, and eventually even cancellation of the measure on the whole. However, the changes do get through every now and then. In May 2014, the </w:t>
      </w:r>
      <w:r w:rsidRPr="00D91870">
        <w:rPr>
          <w:i/>
          <w:lang w:val="en-GB"/>
        </w:rPr>
        <w:t>basisbeurs</w:t>
      </w:r>
      <w:r w:rsidRPr="00D91870">
        <w:rPr>
          <w:lang w:val="en-GB"/>
        </w:rPr>
        <w:t xml:space="preserve"> was repealed, paving the way for the introduction of a loan system as of 2015-2016, potentially scaring away numerous (poorer) students. </w:t>
      </w:r>
    </w:p>
    <w:p w:rsidR="00E5094B" w:rsidRPr="009D1068" w:rsidRDefault="00D91870" w:rsidP="005D5E5A">
      <w:pPr>
        <w:pStyle w:val="NoSpacing"/>
        <w:tabs>
          <w:tab w:val="left" w:pos="4536"/>
        </w:tabs>
        <w:rPr>
          <w:lang w:val="en-GB"/>
        </w:rPr>
      </w:pPr>
      <w:r w:rsidRPr="00D91870">
        <w:rPr>
          <w:lang w:val="en-GB"/>
        </w:rPr>
        <w:t>If European education systems are indeed all converting towards the Anglo-Saxon system, the future of higher education does not look at all like the past of European higher education. Competition between universities might be the rule that defines the structure. Private investments will likely increase, making the universities and other higher education institutes more and more an economic player. This might go at the expense of (for instance) the humanities, but also, on an entire different level, at the expense of poor or below average students because the top tier universities, will only educate those students that are excellent; not wasting money or time on less than excellent students. It appears that the coordinated market economy higher education organization, as can be found in continental Europe, will converge towards the Anglo-Saxon organization of higher education.</w:t>
      </w:r>
    </w:p>
    <w:p w:rsidR="00294041" w:rsidRPr="009D1068" w:rsidRDefault="00D91870" w:rsidP="00E5094B">
      <w:pPr>
        <w:pStyle w:val="NoSpacing"/>
        <w:rPr>
          <w:lang w:val="en-GB"/>
        </w:rPr>
      </w:pPr>
      <w:r w:rsidRPr="00D91870">
        <w:rPr>
          <w:lang w:val="en-GB"/>
        </w:rPr>
        <w:t>In the theoretical chapter, several expectations were formulated. Below, these expectations will be addressed. First, it was expected that, in the case of higher education restructuring, the norm entrepreneur would have to be a rather influential group or individual. The norm of a more internationalized and economically driven university needed to be pushed hard in order to set in motion a domain that has always been primarily steered by the individual states. The European Round Table of Industrialists and the European Commission are both known to be very influential. It can even be argued that the ERT is one of Europe’s most influential and powerful nongovernmental actors. This expectation has therefore been fulfilled</w:t>
      </w:r>
      <w:r w:rsidR="003126D6">
        <w:rPr>
          <w:lang w:val="en-GB"/>
        </w:rPr>
        <w:t>.</w:t>
      </w:r>
      <w:r w:rsidRPr="00D91870">
        <w:rPr>
          <w:rStyle w:val="FootnoteReference"/>
          <w:lang w:val="en-GB"/>
        </w:rPr>
        <w:footnoteReference w:id="22"/>
      </w:r>
    </w:p>
    <w:p w:rsidR="00294041" w:rsidRPr="009D1068" w:rsidRDefault="00D91870" w:rsidP="00E5094B">
      <w:pPr>
        <w:pStyle w:val="NoSpacing"/>
        <w:rPr>
          <w:lang w:val="en-GB"/>
        </w:rPr>
      </w:pPr>
      <w:r w:rsidRPr="00D91870">
        <w:rPr>
          <w:lang w:val="en-GB"/>
        </w:rPr>
        <w:t xml:space="preserve">The second expectation was that the more the norm was in line with what students, and the private sector in particular, want, the faster the norm will cascade. On the one hand, it can be argued that this is the case for the private sector did stand behind the reforms of higher education. This was the case for the Netherlands as for the United Kingdom. However, the protest in the UK did not have any impact on the new policies. In the Netherlands, the demonstrations of students did not yield results either. Furthermore, there have been little or no demonstrations on the broader issues such as internationalization, or the more towards the market oriented university. These changes were met with approval of the majority of public. </w:t>
      </w:r>
    </w:p>
    <w:p w:rsidR="00294041" w:rsidRPr="009D1068" w:rsidRDefault="00D91870" w:rsidP="00E5094B">
      <w:pPr>
        <w:pStyle w:val="NoSpacing"/>
        <w:rPr>
          <w:lang w:val="en-GB"/>
        </w:rPr>
      </w:pPr>
      <w:r w:rsidRPr="00D91870">
        <w:rPr>
          <w:lang w:val="en-GB"/>
        </w:rPr>
        <w:t xml:space="preserve">The third expectation predicted that the more an international norm deviates from an already existing domestic norm, the slower this norm will be internalized by higher education institutes. This expectation has been fulfilled. In fact, the reason why the international norm was not internalized in the Netherlands as fast as it was internalized in the UK, is that the Netherlands was much less focused on internationalization and on seeking economic added value of universities than the UK. The organization of the Dutch higher education institutes differed more from the international norm than the organization of the British higher education institutes. </w:t>
      </w:r>
    </w:p>
    <w:p w:rsidR="00294041" w:rsidRPr="009D1068" w:rsidRDefault="00D91870" w:rsidP="00E5094B">
      <w:pPr>
        <w:pStyle w:val="NoSpacing"/>
        <w:rPr>
          <w:lang w:val="en-GB"/>
        </w:rPr>
      </w:pPr>
      <w:r w:rsidRPr="00D91870">
        <w:rPr>
          <w:lang w:val="en-GB"/>
        </w:rPr>
        <w:t xml:space="preserve">Fourthly, it was expected that if a state has less institutional barriers, a norm will internalize much faster than in a state with more institutional barriers. This expectation turned out to be correct. In the Netherlands, where the higher education norm internalized slower than in the UK, there are more institutional barriers. For instance the fact that the Netherlands has a more consensus based democracy in comparison to the UK where the vote-winning majority can, and often will ignore the minority. </w:t>
      </w:r>
    </w:p>
    <w:p w:rsidR="002B4C8A" w:rsidRPr="009D1068" w:rsidRDefault="00D91870" w:rsidP="00E5094B">
      <w:pPr>
        <w:pStyle w:val="NoSpacing"/>
        <w:rPr>
          <w:lang w:val="en-GB"/>
        </w:rPr>
      </w:pPr>
      <w:r w:rsidRPr="00D91870">
        <w:rPr>
          <w:lang w:val="en-GB"/>
        </w:rPr>
        <w:t>Fifthly, from the varieties of capitalism approach, one would expect that if a state has a coordinated market economy, then its higher education system will not grow to be more like a liberal market economy’s education system. This is not the case. As depicted in chapter four, the Dutch higher education system (the Netherlands being a coordinated market economy) is slowly diverging towards a liberal market economy type of organization. The higher education institutes are forced (via funding cuts and so forth) to cooperate with the private sector and are increasingly market orientated instead of strategically oriented. This poses a problem for the varieties of capitalism-approach on the whole. After all, given the institutional co</w:t>
      </w:r>
      <w:r w:rsidR="008F6D6D">
        <w:rPr>
          <w:lang w:val="en-GB"/>
        </w:rPr>
        <w:t xml:space="preserve">mplementarities it recognizes, </w:t>
      </w:r>
      <w:r w:rsidRPr="00D91870">
        <w:rPr>
          <w:lang w:val="en-GB"/>
        </w:rPr>
        <w:t xml:space="preserve">it expects that single institutional realms, or the whole capitalist logic of a state in general, will not divert towards a different logic. </w:t>
      </w:r>
    </w:p>
    <w:p w:rsidR="00E5094B" w:rsidRPr="009D1068" w:rsidRDefault="00D91870" w:rsidP="00E5094B">
      <w:pPr>
        <w:pStyle w:val="NoSpacing"/>
        <w:rPr>
          <w:lang w:val="en-GB"/>
        </w:rPr>
      </w:pPr>
      <w:r w:rsidRPr="00D91870">
        <w:rPr>
          <w:lang w:val="en-GB"/>
        </w:rPr>
        <w:t xml:space="preserve">Finally, an expectation about the implications of globalization in respect to higher education was formulated. It was expected that higher education institutes located in a coordinated market economy would be less effected by globalization than their counterparts located in a liberal market economy. This expectation was fulfilled. Because skills in a coordinated market economy are (industry of firm) specific, it is not as interesting for a CME-based higher education organization to change its structure as for an LME-based higher education organization. Liberal markets are more prone to offshore than coordinated markets.  </w:t>
      </w:r>
    </w:p>
    <w:p w:rsidR="00E5094B" w:rsidRPr="009D1068" w:rsidRDefault="00D91870" w:rsidP="00E5094B">
      <w:pPr>
        <w:pStyle w:val="NoSpacing"/>
        <w:rPr>
          <w:lang w:val="en-GB"/>
        </w:rPr>
      </w:pPr>
      <w:r w:rsidRPr="00D91870">
        <w:rPr>
          <w:lang w:val="en-GB"/>
        </w:rPr>
        <w:t>This research about the changes in higher education in the Netherlands and in the United Kingdom, changes that originate from the European level, is not completely comprehensive. The main shortcoming is the shortage of empirical data: without it, the answers this thesis gives lack strong proof.. The analysis is therefore somewhat limited and sometimes even shallow, which prevents the formulation of a conclusive answer. The reason for this lack of information is on the one hand that the changes are still implemented at this very moment and therefore no definitive conclusions can be drawn about the end results of the changes in the Dutch higher education system. Furthermore, only limited or even no attention has been paid to applying the constructivist approach to the new higher education norm. Therefore, the arguments provided in this research are often based on studies on other issues. Furthermore, there is no abundance of objective primary sources on higher education systems and their changing natures. Of course, articles and reports have been published on this issue, but these were often of a normative nature, stemming from for instance the European union or, on the other end of the spectrum, critical theorists arguing that the changes cannot lead to anything else but the erosion of the education systems towards a privatized institute focused on capitalizing all knowledge.</w:t>
      </w:r>
    </w:p>
    <w:p w:rsidR="00E5094B" w:rsidRPr="009D1068" w:rsidRDefault="00D91870" w:rsidP="00E5094B">
      <w:pPr>
        <w:pStyle w:val="NoSpacing"/>
        <w:rPr>
          <w:lang w:val="en-GB"/>
        </w:rPr>
      </w:pPr>
      <w:r w:rsidRPr="00D91870">
        <w:rPr>
          <w:lang w:val="en-GB"/>
        </w:rPr>
        <w:t xml:space="preserve">Future research on this topic should focus on the implications of the changing higher education structure in Europe. What happens to the overall </w:t>
      </w:r>
      <w:r w:rsidR="003D4EBB" w:rsidRPr="00D91870">
        <w:rPr>
          <w:lang w:val="en-GB"/>
        </w:rPr>
        <w:t>enrolment</w:t>
      </w:r>
      <w:r w:rsidRPr="00D91870">
        <w:rPr>
          <w:lang w:val="en-GB"/>
        </w:rPr>
        <w:t xml:space="preserve"> if the tuition fees will keep increasing in the coming decades? What will happen to the humanities and to other studies that do not directly have an economic value? Furthermore, on a more scientific level, future research should also address the question whether the varieties of capitalism approach is able to cope with the perceived convergence of the economic logics. The slow convergence of the Dutch higher education system towards the British system, or in general, a system that functions within a liberal market economy, must have implications for varieties of capitalism on the whole and the institutional complementarities in particular.</w:t>
      </w:r>
    </w:p>
    <w:p w:rsidR="003D5612" w:rsidRDefault="00D91870">
      <w:pPr>
        <w:pStyle w:val="NoSpacing"/>
        <w:rPr>
          <w:lang w:val="en-GB"/>
        </w:rPr>
      </w:pPr>
      <w:r w:rsidRPr="00D91870">
        <w:rPr>
          <w:lang w:val="en-GB"/>
        </w:rPr>
        <w:t>Next to these rather concrete questions, future research should also address the implications of scientific research focused on (short-term) economic added value. Is there a chance that this will stand in the way of scientific process? Or the exact opposite: would it lead to more radical innovation? And what are the implications for society when incremental innovation becomes marginalized and, knowledge becomes commoditized? Higher education is the cornerstone of economic and societal progress. Is that something that can be left to the whims of the free market?</w:t>
      </w:r>
      <w:r w:rsidRPr="00D91870">
        <w:rPr>
          <w:lang w:val="en-GB"/>
        </w:rPr>
        <w:br w:type="page"/>
      </w:r>
    </w:p>
    <w:p w:rsidR="00BC4F44" w:rsidRPr="009D1068" w:rsidRDefault="00D91870" w:rsidP="009F28A9">
      <w:pPr>
        <w:pStyle w:val="Heading1"/>
        <w:ind w:firstLine="0"/>
        <w:rPr>
          <w:lang w:val="en-GB"/>
        </w:rPr>
      </w:pPr>
      <w:bookmarkStart w:id="64" w:name="_Toc391510192"/>
      <w:bookmarkStart w:id="65" w:name="_Toc396045613"/>
      <w:r w:rsidRPr="00D91870">
        <w:rPr>
          <w:lang w:val="en-GB"/>
        </w:rPr>
        <w:t>References</w:t>
      </w:r>
      <w:bookmarkEnd w:id="64"/>
      <w:bookmarkEnd w:id="65"/>
    </w:p>
    <w:p w:rsidR="004905B3" w:rsidRPr="009D1068" w:rsidRDefault="00D91870" w:rsidP="004905B3">
      <w:pPr>
        <w:pStyle w:val="NoSpacing"/>
        <w:spacing w:line="240" w:lineRule="auto"/>
        <w:rPr>
          <w:szCs w:val="20"/>
          <w:lang w:val="en-GB"/>
        </w:rPr>
      </w:pPr>
      <w:r w:rsidRPr="00D91870">
        <w:rPr>
          <w:szCs w:val="20"/>
          <w:lang w:val="en-GB"/>
        </w:rPr>
        <w:t>Amable, B. (2003). </w:t>
      </w:r>
      <w:r w:rsidRPr="00D91870">
        <w:rPr>
          <w:i/>
          <w:iCs/>
          <w:szCs w:val="20"/>
          <w:lang w:val="en-GB"/>
        </w:rPr>
        <w:t>The diversity of modern capitalism</w:t>
      </w:r>
      <w:r w:rsidRPr="00D91870">
        <w:rPr>
          <w:szCs w:val="20"/>
          <w:lang w:val="en-GB"/>
        </w:rPr>
        <w:t>. Oxford University Press.</w:t>
      </w:r>
    </w:p>
    <w:p w:rsidR="004905B3" w:rsidRPr="009D1068" w:rsidRDefault="004905B3"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Anckar, C. (2008). On the applicability of the most similar systems design and the most different systems design in comparative research. </w:t>
      </w:r>
      <w:r w:rsidRPr="00D91870">
        <w:rPr>
          <w:i/>
          <w:iCs/>
          <w:szCs w:val="20"/>
          <w:lang w:val="en-GB"/>
        </w:rPr>
        <w:t>International Journal of Social Research Methodology</w:t>
      </w:r>
      <w:r w:rsidRPr="00D91870">
        <w:rPr>
          <w:szCs w:val="20"/>
          <w:lang w:val="en-GB"/>
        </w:rPr>
        <w:t>, </w:t>
      </w:r>
      <w:r w:rsidRPr="00D91870">
        <w:rPr>
          <w:i/>
          <w:iCs/>
          <w:szCs w:val="20"/>
          <w:lang w:val="en-GB"/>
        </w:rPr>
        <w:t>11</w:t>
      </w:r>
      <w:r w:rsidRPr="00D91870">
        <w:rPr>
          <w:szCs w:val="20"/>
          <w:lang w:val="en-GB"/>
        </w:rPr>
        <w:t>(5), 389-401.</w:t>
      </w:r>
    </w:p>
    <w:p w:rsidR="004905B3" w:rsidRPr="009D1068" w:rsidRDefault="004905B3" w:rsidP="004905B3">
      <w:pPr>
        <w:pStyle w:val="NoSpacing"/>
        <w:spacing w:line="240" w:lineRule="auto"/>
        <w:rPr>
          <w:szCs w:val="20"/>
          <w:lang w:val="en-GB"/>
        </w:rPr>
      </w:pPr>
    </w:p>
    <w:p w:rsidR="00797BB5" w:rsidRPr="009D1068" w:rsidRDefault="00D91870" w:rsidP="00797BB5">
      <w:pPr>
        <w:pStyle w:val="NoSpacing"/>
        <w:spacing w:line="240" w:lineRule="auto"/>
        <w:rPr>
          <w:szCs w:val="20"/>
          <w:lang w:val="en-GB"/>
        </w:rPr>
      </w:pPr>
      <w:r w:rsidRPr="00D91870">
        <w:rPr>
          <w:szCs w:val="20"/>
          <w:lang w:val="en-GB"/>
        </w:rPr>
        <w:t>Andersen, B., &amp; Rossi, F. (2011). Intellectual property governance and knowledge creation in UK universities. </w:t>
      </w:r>
      <w:r w:rsidRPr="00D91870">
        <w:rPr>
          <w:i/>
          <w:iCs/>
          <w:szCs w:val="20"/>
          <w:lang w:val="en-GB"/>
        </w:rPr>
        <w:t>Economics of Innovation and New Technology</w:t>
      </w:r>
      <w:r w:rsidRPr="00D91870">
        <w:rPr>
          <w:szCs w:val="20"/>
          <w:lang w:val="en-GB"/>
        </w:rPr>
        <w:t>, </w:t>
      </w:r>
      <w:r w:rsidRPr="00D91870">
        <w:rPr>
          <w:i/>
          <w:iCs/>
          <w:szCs w:val="20"/>
          <w:lang w:val="en-GB"/>
        </w:rPr>
        <w:t>20</w:t>
      </w:r>
      <w:r w:rsidRPr="00D91870">
        <w:rPr>
          <w:szCs w:val="20"/>
          <w:lang w:val="en-GB"/>
        </w:rPr>
        <w:t>(8), 701-725.</w:t>
      </w:r>
    </w:p>
    <w:p w:rsidR="00797BB5" w:rsidRPr="009D1068" w:rsidRDefault="00797BB5"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Ansell, B. (2008). UNIVERSITY CHALLENGES Explaining Institutional change in Higher Education. </w:t>
      </w:r>
      <w:r w:rsidRPr="00D91870">
        <w:rPr>
          <w:i/>
          <w:iCs/>
          <w:szCs w:val="20"/>
          <w:lang w:val="en-GB"/>
        </w:rPr>
        <w:t>World Politics</w:t>
      </w:r>
      <w:r w:rsidRPr="00D91870">
        <w:rPr>
          <w:szCs w:val="20"/>
          <w:lang w:val="en-GB"/>
        </w:rPr>
        <w:t>, </w:t>
      </w:r>
      <w:r w:rsidRPr="00D91870">
        <w:rPr>
          <w:i/>
          <w:iCs/>
          <w:szCs w:val="20"/>
          <w:lang w:val="en-GB"/>
        </w:rPr>
        <w:t>60</w:t>
      </w:r>
      <w:r w:rsidRPr="00D91870">
        <w:rPr>
          <w:szCs w:val="20"/>
          <w:lang w:val="en-GB"/>
        </w:rPr>
        <w:t>, 189-230.</w:t>
      </w:r>
    </w:p>
    <w:p w:rsidR="00797BB5" w:rsidRPr="009D1068" w:rsidRDefault="00797BB5" w:rsidP="004905B3">
      <w:pPr>
        <w:pStyle w:val="NoSpacing"/>
        <w:spacing w:line="240" w:lineRule="auto"/>
        <w:rPr>
          <w:szCs w:val="20"/>
          <w:lang w:val="en-GB"/>
        </w:rPr>
      </w:pPr>
    </w:p>
    <w:p w:rsidR="004905B3" w:rsidRPr="003D5612" w:rsidRDefault="00D91870" w:rsidP="004905B3">
      <w:pPr>
        <w:pStyle w:val="NoSpacing"/>
        <w:spacing w:line="240" w:lineRule="auto"/>
        <w:rPr>
          <w:szCs w:val="20"/>
          <w:lang w:val="nl-NL"/>
        </w:rPr>
      </w:pPr>
      <w:r w:rsidRPr="00D91870">
        <w:rPr>
          <w:szCs w:val="20"/>
          <w:lang w:val="en-GB"/>
        </w:rPr>
        <w:t xml:space="preserve">Apeldoorn, B. 2002. Transnational Capitalism and the Struggle over European Integration. </w:t>
      </w:r>
      <w:r w:rsidRPr="003D5612">
        <w:rPr>
          <w:szCs w:val="20"/>
          <w:lang w:val="nl-NL"/>
        </w:rPr>
        <w:t>London: Routledge.</w:t>
      </w:r>
    </w:p>
    <w:p w:rsidR="00797BB5" w:rsidRPr="003D5612" w:rsidRDefault="00797BB5" w:rsidP="004905B3">
      <w:pPr>
        <w:pStyle w:val="NoSpacing"/>
        <w:spacing w:line="240" w:lineRule="auto"/>
        <w:rPr>
          <w:szCs w:val="20"/>
          <w:lang w:val="nl-NL"/>
        </w:rPr>
      </w:pPr>
    </w:p>
    <w:p w:rsidR="004905B3" w:rsidRPr="003D5612" w:rsidRDefault="00D91870" w:rsidP="004905B3">
      <w:pPr>
        <w:pStyle w:val="NoSpacing"/>
        <w:spacing w:line="240" w:lineRule="auto"/>
        <w:rPr>
          <w:szCs w:val="20"/>
          <w:lang w:val="nl-NL"/>
        </w:rPr>
      </w:pPr>
      <w:r w:rsidRPr="003D5612">
        <w:rPr>
          <w:szCs w:val="20"/>
          <w:lang w:val="nl-NL"/>
        </w:rPr>
        <w:t>Balkenende , J . P . (2003) . ‘ Toespraak van de minister-president bij de opening van het Academisch Jaar van de Universiteit Leiden ’ , 1 September, Leiden .</w:t>
      </w:r>
    </w:p>
    <w:p w:rsidR="004905B3" w:rsidRPr="003D5612" w:rsidRDefault="004905B3" w:rsidP="004905B3">
      <w:pPr>
        <w:pStyle w:val="NoSpacing"/>
        <w:spacing w:line="240" w:lineRule="auto"/>
        <w:rPr>
          <w:szCs w:val="20"/>
          <w:lang w:val="nl-NL"/>
        </w:rPr>
      </w:pPr>
    </w:p>
    <w:p w:rsidR="00797BB5" w:rsidRPr="009D1068" w:rsidRDefault="00D91870" w:rsidP="004905B3">
      <w:pPr>
        <w:pStyle w:val="NoSpacing"/>
        <w:spacing w:line="240" w:lineRule="auto"/>
        <w:rPr>
          <w:szCs w:val="20"/>
          <w:lang w:val="en-GB"/>
        </w:rPr>
      </w:pPr>
      <w:r w:rsidRPr="00D91870">
        <w:rPr>
          <w:szCs w:val="20"/>
          <w:lang w:val="en-GB"/>
        </w:rPr>
        <w:t>Barroso, J. M. (2005) Speech at the Open Forum for Commission Staff (September 12), Brussels, Belgium</w:t>
      </w:r>
    </w:p>
    <w:p w:rsidR="00797BB5" w:rsidRPr="009D1068" w:rsidRDefault="00797BB5" w:rsidP="004905B3">
      <w:pPr>
        <w:pStyle w:val="NoSpacing"/>
        <w:spacing w:line="240" w:lineRule="auto"/>
        <w:rPr>
          <w:szCs w:val="20"/>
          <w:lang w:val="en-GB"/>
        </w:rPr>
      </w:pPr>
    </w:p>
    <w:p w:rsidR="00DC1032" w:rsidRPr="009D1068" w:rsidRDefault="00D91870" w:rsidP="004905B3">
      <w:pPr>
        <w:pStyle w:val="NoSpacing"/>
        <w:spacing w:line="240" w:lineRule="auto"/>
        <w:rPr>
          <w:szCs w:val="20"/>
          <w:lang w:val="en-GB"/>
        </w:rPr>
      </w:pPr>
      <w:r w:rsidRPr="00D91870">
        <w:rPr>
          <w:szCs w:val="20"/>
          <w:lang w:val="en-GB"/>
        </w:rPr>
        <w:t xml:space="preserve">BBC.co.uk. (2011) </w:t>
      </w:r>
      <w:r w:rsidRPr="00D91870">
        <w:rPr>
          <w:i/>
          <w:szCs w:val="20"/>
          <w:lang w:val="en-GB"/>
        </w:rPr>
        <w:t xml:space="preserve">Tuition fees Q&amp;A- </w:t>
      </w:r>
      <w:r w:rsidRPr="00D91870">
        <w:rPr>
          <w:szCs w:val="20"/>
          <w:lang w:val="en-GB"/>
        </w:rPr>
        <w:t>Found on 15-06-2011. Published on 14 september 2011. URL:     http://www.bbc.co.uk/news/education-11483638</w:t>
      </w:r>
    </w:p>
    <w:p w:rsidR="00DC1032" w:rsidRPr="009D1068" w:rsidRDefault="00DC1032" w:rsidP="004905B3">
      <w:pPr>
        <w:pStyle w:val="NoSpacing"/>
        <w:spacing w:line="240" w:lineRule="auto"/>
        <w:rPr>
          <w:szCs w:val="20"/>
          <w:lang w:val="en-GB"/>
        </w:rPr>
      </w:pPr>
    </w:p>
    <w:p w:rsidR="008E124E" w:rsidRPr="009D1068" w:rsidRDefault="00D91870" w:rsidP="004905B3">
      <w:pPr>
        <w:pStyle w:val="NoSpacing"/>
        <w:spacing w:line="240" w:lineRule="auto"/>
        <w:rPr>
          <w:szCs w:val="20"/>
          <w:lang w:val="en-GB"/>
        </w:rPr>
      </w:pPr>
      <w:r w:rsidRPr="00D91870">
        <w:rPr>
          <w:szCs w:val="20"/>
          <w:lang w:val="en-GB"/>
        </w:rPr>
        <w:t xml:space="preserve">BBC.co.uk. (2012) </w:t>
      </w:r>
      <w:r w:rsidRPr="00D91870">
        <w:rPr>
          <w:bCs/>
          <w:szCs w:val="20"/>
          <w:lang w:val="en-GB"/>
        </w:rPr>
        <w:t xml:space="preserve">Viewpoint: The Cambridge Phenomenon, five decades of success. Published on 8-5-2012. URL: </w:t>
      </w:r>
      <w:r w:rsidRPr="00D91870">
        <w:rPr>
          <w:szCs w:val="20"/>
          <w:lang w:val="en-GB"/>
        </w:rPr>
        <w:t xml:space="preserve"> http://www.bbc.com/news/technology-17982595</w:t>
      </w:r>
    </w:p>
    <w:p w:rsidR="008E124E" w:rsidRPr="009D1068" w:rsidRDefault="008E124E" w:rsidP="004905B3">
      <w:pPr>
        <w:pStyle w:val="NoSpacing"/>
        <w:spacing w:line="240" w:lineRule="auto"/>
        <w:rPr>
          <w:szCs w:val="20"/>
          <w:lang w:val="en-GB"/>
        </w:rPr>
      </w:pPr>
    </w:p>
    <w:p w:rsidR="004905B3" w:rsidRPr="009D1068" w:rsidRDefault="00D91870" w:rsidP="004905B3">
      <w:pPr>
        <w:pStyle w:val="NoSpacing"/>
        <w:spacing w:line="240" w:lineRule="auto"/>
        <w:rPr>
          <w:bCs/>
          <w:szCs w:val="20"/>
          <w:lang w:val="en-GB"/>
        </w:rPr>
      </w:pPr>
      <w:r w:rsidRPr="00D91870">
        <w:rPr>
          <w:bCs/>
          <w:szCs w:val="20"/>
          <w:lang w:val="en-GB"/>
        </w:rPr>
        <w:t xml:space="preserve">Bologna Working Group (2005) </w:t>
      </w:r>
      <w:r w:rsidRPr="00D91870">
        <w:rPr>
          <w:bCs/>
          <w:i/>
          <w:szCs w:val="20"/>
          <w:lang w:val="en-GB"/>
        </w:rPr>
        <w:t xml:space="preserve">Bologna Process Stocktaking. </w:t>
      </w:r>
      <w:r w:rsidRPr="00D91870">
        <w:rPr>
          <w:bCs/>
          <w:szCs w:val="20"/>
          <w:lang w:val="en-GB"/>
        </w:rPr>
        <w:t>Working Group Report for the Bologna Follow up Group, Bergen, Norway</w:t>
      </w:r>
    </w:p>
    <w:p w:rsidR="004905B3" w:rsidRPr="009D1068" w:rsidRDefault="004905B3" w:rsidP="004905B3">
      <w:pPr>
        <w:pStyle w:val="NoSpacing"/>
        <w:spacing w:line="240" w:lineRule="auto"/>
        <w:rPr>
          <w:bCs/>
          <w:szCs w:val="20"/>
          <w:lang w:val="en-GB"/>
        </w:rPr>
      </w:pPr>
    </w:p>
    <w:p w:rsidR="004905B3" w:rsidRPr="009D1068" w:rsidRDefault="00D91870" w:rsidP="004905B3">
      <w:pPr>
        <w:pStyle w:val="NoSpacing"/>
        <w:spacing w:line="240" w:lineRule="auto"/>
        <w:rPr>
          <w:szCs w:val="20"/>
          <w:lang w:val="en-GB"/>
        </w:rPr>
      </w:pPr>
      <w:r w:rsidRPr="00D91870">
        <w:rPr>
          <w:szCs w:val="20"/>
          <w:lang w:val="en-GB"/>
        </w:rPr>
        <w:t>Busemeyer, M. R. (2009). Asset specificity, institutional complementarities and the variety of skill regimes in coordinated market economies. </w:t>
      </w:r>
      <w:r w:rsidRPr="00D91870">
        <w:rPr>
          <w:i/>
          <w:iCs/>
          <w:szCs w:val="20"/>
          <w:lang w:val="en-GB"/>
        </w:rPr>
        <w:t>Socio-Economic Review</w:t>
      </w:r>
      <w:r w:rsidRPr="00D91870">
        <w:rPr>
          <w:szCs w:val="20"/>
          <w:lang w:val="en-GB"/>
        </w:rPr>
        <w:t>, </w:t>
      </w:r>
      <w:r w:rsidRPr="00D91870">
        <w:rPr>
          <w:i/>
          <w:iCs/>
          <w:szCs w:val="20"/>
          <w:lang w:val="en-GB"/>
        </w:rPr>
        <w:t>7</w:t>
      </w:r>
      <w:r w:rsidRPr="00D91870">
        <w:rPr>
          <w:szCs w:val="20"/>
          <w:lang w:val="en-GB"/>
        </w:rPr>
        <w:t>(3), 375-406.</w:t>
      </w:r>
    </w:p>
    <w:p w:rsidR="004905B3" w:rsidRPr="009D1068" w:rsidRDefault="004905B3"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Checkel, J. (1998). The Constructive Turn in International Relations Theory.</w:t>
      </w:r>
      <w:r w:rsidRPr="00D91870">
        <w:rPr>
          <w:i/>
          <w:iCs/>
          <w:szCs w:val="20"/>
          <w:lang w:val="en-GB"/>
        </w:rPr>
        <w:t>World politics</w:t>
      </w:r>
      <w:r w:rsidRPr="00D91870">
        <w:rPr>
          <w:szCs w:val="20"/>
          <w:lang w:val="en-GB"/>
        </w:rPr>
        <w:t>, </w:t>
      </w:r>
      <w:r w:rsidRPr="00D91870">
        <w:rPr>
          <w:i/>
          <w:iCs/>
          <w:szCs w:val="20"/>
          <w:lang w:val="en-GB"/>
        </w:rPr>
        <w:t>50</w:t>
      </w:r>
      <w:r w:rsidRPr="00D91870">
        <w:rPr>
          <w:szCs w:val="20"/>
          <w:lang w:val="en-GB"/>
        </w:rPr>
        <w:t>(2), 324-348.</w:t>
      </w:r>
    </w:p>
    <w:p w:rsidR="004905B3" w:rsidRPr="009D1068" w:rsidRDefault="004905B3" w:rsidP="004905B3">
      <w:pPr>
        <w:pStyle w:val="NoSpacing"/>
        <w:spacing w:line="240" w:lineRule="auto"/>
        <w:rPr>
          <w:szCs w:val="20"/>
          <w:lang w:val="en-GB"/>
        </w:rPr>
      </w:pPr>
    </w:p>
    <w:p w:rsidR="00797BB5" w:rsidRPr="009D1068" w:rsidRDefault="00D91870" w:rsidP="00797BB5">
      <w:pPr>
        <w:pStyle w:val="NoSpacing"/>
        <w:spacing w:line="240" w:lineRule="auto"/>
        <w:rPr>
          <w:szCs w:val="20"/>
          <w:lang w:val="en-GB"/>
        </w:rPr>
      </w:pPr>
      <w:r w:rsidRPr="00D91870">
        <w:rPr>
          <w:szCs w:val="20"/>
          <w:lang w:val="en-GB"/>
        </w:rPr>
        <w:t>Coate, K. &amp; Williams, G. (2004): The United Kingdkom – in Huisman, J., &amp; van der Wende, M. (2004). On cooperation and competition: National and European policies for the internationalisation of higher education.</w:t>
      </w:r>
    </w:p>
    <w:p w:rsidR="00797BB5" w:rsidRPr="009D1068" w:rsidRDefault="00797BB5"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Coates, D. (Ed.). (2005). </w:t>
      </w:r>
      <w:r w:rsidRPr="00D91870">
        <w:rPr>
          <w:i/>
          <w:iCs/>
          <w:szCs w:val="20"/>
          <w:lang w:val="en-GB"/>
        </w:rPr>
        <w:t>Varieties of capitalism, varieties of approaches</w:t>
      </w:r>
      <w:r w:rsidRPr="00D91870">
        <w:rPr>
          <w:szCs w:val="20"/>
          <w:lang w:val="en-GB"/>
        </w:rPr>
        <w:t>. Palgrave Macmillan.</w:t>
      </w:r>
    </w:p>
    <w:p w:rsidR="004905B3" w:rsidRPr="009D1068" w:rsidRDefault="004905B3" w:rsidP="004905B3">
      <w:pPr>
        <w:pStyle w:val="NoSpacing"/>
        <w:spacing w:line="240" w:lineRule="auto"/>
        <w:rPr>
          <w:szCs w:val="20"/>
          <w:lang w:val="en-GB"/>
        </w:rPr>
      </w:pPr>
    </w:p>
    <w:p w:rsidR="00797BB5" w:rsidRPr="009D1068" w:rsidRDefault="00D91870" w:rsidP="00797BB5">
      <w:pPr>
        <w:pStyle w:val="NoSpacing"/>
        <w:spacing w:line="240" w:lineRule="auto"/>
        <w:rPr>
          <w:szCs w:val="20"/>
          <w:lang w:val="en-GB"/>
        </w:rPr>
      </w:pPr>
      <w:r w:rsidRPr="00D91870">
        <w:rPr>
          <w:szCs w:val="20"/>
          <w:lang w:val="en-GB"/>
        </w:rPr>
        <w:t>Corbett, A. (2003). Ideas, Institutions and Policy Entrepreneurs: towards a new history of higher education in the European Community. </w:t>
      </w:r>
      <w:r w:rsidRPr="00D91870">
        <w:rPr>
          <w:i/>
          <w:iCs/>
          <w:szCs w:val="20"/>
          <w:lang w:val="en-GB"/>
        </w:rPr>
        <w:t>European Journal of Education</w:t>
      </w:r>
      <w:r w:rsidRPr="00D91870">
        <w:rPr>
          <w:szCs w:val="20"/>
          <w:lang w:val="en-GB"/>
        </w:rPr>
        <w:t>, </w:t>
      </w:r>
      <w:r w:rsidRPr="00D91870">
        <w:rPr>
          <w:i/>
          <w:iCs/>
          <w:szCs w:val="20"/>
          <w:lang w:val="en-GB"/>
        </w:rPr>
        <w:t>38</w:t>
      </w:r>
      <w:r w:rsidRPr="00D91870">
        <w:rPr>
          <w:szCs w:val="20"/>
          <w:lang w:val="en-GB"/>
        </w:rPr>
        <w:t>(3), 315-330.</w:t>
      </w:r>
    </w:p>
    <w:p w:rsidR="00797BB5" w:rsidRPr="009D1068" w:rsidRDefault="00797BB5"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Cortell, A. P., &amp; Davis Jr, J. W. (1996). How do international institutions matter? The domestic impact of international rules and norms. </w:t>
      </w:r>
      <w:r w:rsidRPr="00D91870">
        <w:rPr>
          <w:i/>
          <w:iCs/>
          <w:szCs w:val="20"/>
          <w:lang w:val="en-GB"/>
        </w:rPr>
        <w:t>International Studies Quarterly</w:t>
      </w:r>
      <w:r w:rsidRPr="00D91870">
        <w:rPr>
          <w:szCs w:val="20"/>
          <w:lang w:val="en-GB"/>
        </w:rPr>
        <w:t>, 451-478.</w:t>
      </w:r>
    </w:p>
    <w:p w:rsidR="004905B3" w:rsidRPr="009D1068" w:rsidRDefault="004905B3"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Cortell, A. P., &amp; Davis Jr, J. W. (2000). Understanding the domestic impact of international norms: A research agenda. </w:t>
      </w:r>
      <w:r w:rsidRPr="00D91870">
        <w:rPr>
          <w:i/>
          <w:iCs/>
          <w:szCs w:val="20"/>
          <w:lang w:val="en-GB"/>
        </w:rPr>
        <w:t>International Studies Review</w:t>
      </w:r>
      <w:r w:rsidRPr="00D91870">
        <w:rPr>
          <w:szCs w:val="20"/>
          <w:lang w:val="en-GB"/>
        </w:rPr>
        <w:t>, </w:t>
      </w:r>
      <w:r w:rsidRPr="00D91870">
        <w:rPr>
          <w:i/>
          <w:iCs/>
          <w:szCs w:val="20"/>
          <w:lang w:val="en-GB"/>
        </w:rPr>
        <w:t>2</w:t>
      </w:r>
      <w:r w:rsidRPr="00D91870">
        <w:rPr>
          <w:szCs w:val="20"/>
          <w:lang w:val="en-GB"/>
        </w:rPr>
        <w:t>(1), 65-87.</w:t>
      </w:r>
    </w:p>
    <w:p w:rsidR="004905B3" w:rsidRPr="009D1068" w:rsidRDefault="004905B3" w:rsidP="004905B3">
      <w:pPr>
        <w:pStyle w:val="NoSpacing"/>
        <w:spacing w:line="240" w:lineRule="auto"/>
        <w:rPr>
          <w:szCs w:val="20"/>
          <w:lang w:val="en-GB"/>
        </w:rPr>
      </w:pPr>
    </w:p>
    <w:p w:rsidR="004905B3" w:rsidRPr="009D1068" w:rsidRDefault="00D91870" w:rsidP="004905B3">
      <w:pPr>
        <w:pStyle w:val="NoSpacing"/>
        <w:spacing w:line="240" w:lineRule="auto"/>
        <w:rPr>
          <w:bCs/>
          <w:szCs w:val="20"/>
          <w:lang w:val="en-GB"/>
        </w:rPr>
      </w:pPr>
      <w:r w:rsidRPr="00D91870">
        <w:rPr>
          <w:bCs/>
          <w:szCs w:val="20"/>
          <w:lang w:val="en-GB"/>
        </w:rPr>
        <w:t>Council conclusions of 12 May 2009 on a strategic framework for European cooperation in education and training ( ET 2020 ) </w:t>
      </w:r>
    </w:p>
    <w:p w:rsidR="00215701" w:rsidRPr="009D1068" w:rsidRDefault="00215701" w:rsidP="004905B3">
      <w:pPr>
        <w:pStyle w:val="NoSpacing"/>
        <w:spacing w:line="240" w:lineRule="auto"/>
        <w:rPr>
          <w:bCs/>
          <w:szCs w:val="20"/>
          <w:lang w:val="en-GB"/>
        </w:rPr>
      </w:pPr>
    </w:p>
    <w:p w:rsidR="00797BB5" w:rsidRPr="009D1068" w:rsidRDefault="00D91870" w:rsidP="00797BB5">
      <w:pPr>
        <w:pStyle w:val="NoSpacing"/>
        <w:spacing w:line="240" w:lineRule="auto"/>
        <w:rPr>
          <w:bCs/>
          <w:szCs w:val="20"/>
          <w:lang w:val="en-GB"/>
        </w:rPr>
      </w:pPr>
      <w:r w:rsidRPr="00D91870">
        <w:rPr>
          <w:bCs/>
          <w:szCs w:val="20"/>
          <w:lang w:val="en-GB"/>
        </w:rPr>
        <w:t>Cowles, M. G. 1995. “Setting the Agenda for a New Europe: The ERT and EC 1992.”Journal of Common Market Studies 33 (4): 501–526.</w:t>
      </w:r>
    </w:p>
    <w:p w:rsidR="00797BB5" w:rsidRPr="009D1068" w:rsidRDefault="00797BB5" w:rsidP="004905B3">
      <w:pPr>
        <w:pStyle w:val="NoSpacing"/>
        <w:spacing w:line="240" w:lineRule="auto"/>
        <w:rPr>
          <w:bCs/>
          <w:szCs w:val="20"/>
          <w:lang w:val="en-GB"/>
        </w:rPr>
      </w:pPr>
    </w:p>
    <w:p w:rsidR="00307363" w:rsidRPr="009D1068" w:rsidRDefault="00D91870" w:rsidP="00307363">
      <w:pPr>
        <w:pStyle w:val="NoSpacing"/>
        <w:rPr>
          <w:szCs w:val="20"/>
          <w:lang w:val="en-GB"/>
        </w:rPr>
      </w:pPr>
      <w:r w:rsidRPr="00D91870">
        <w:rPr>
          <w:szCs w:val="20"/>
          <w:lang w:val="en-GB"/>
        </w:rPr>
        <w:t xml:space="preserve">Christiansen, T. J. (1999). The social construction of Europe. </w:t>
      </w:r>
      <w:r w:rsidRPr="00D91870">
        <w:rPr>
          <w:i/>
          <w:iCs/>
          <w:szCs w:val="20"/>
          <w:lang w:val="en-GB"/>
        </w:rPr>
        <w:t>Journal of European Public Policy</w:t>
      </w:r>
      <w:r w:rsidRPr="00D91870">
        <w:rPr>
          <w:szCs w:val="20"/>
          <w:lang w:val="en-GB"/>
        </w:rPr>
        <w:t>, 528-544.</w:t>
      </w:r>
    </w:p>
    <w:p w:rsidR="00797BB5" w:rsidRPr="009D1068" w:rsidRDefault="00D91870" w:rsidP="008C643D">
      <w:pPr>
        <w:pStyle w:val="NoSpacing"/>
        <w:spacing w:line="240" w:lineRule="auto"/>
        <w:rPr>
          <w:szCs w:val="20"/>
          <w:lang w:val="en-GB"/>
        </w:rPr>
      </w:pPr>
      <w:r w:rsidRPr="00D91870">
        <w:rPr>
          <w:szCs w:val="20"/>
          <w:lang w:val="en-GB"/>
        </w:rPr>
        <w:t>Council of Europe (2014) Bologna for Pedestrians. Found on 3 august 2014. URL: http://www.coe.int/t/ dg4/highereducation/EHEA2010/BolognaPedestrians_en.asp#P132_13851</w:t>
      </w:r>
    </w:p>
    <w:p w:rsidR="008C643D" w:rsidRPr="009D1068" w:rsidRDefault="008C643D"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Crouch, C. (2005). Models of capitalism. </w:t>
      </w:r>
      <w:r w:rsidRPr="00D91870">
        <w:rPr>
          <w:i/>
          <w:iCs/>
          <w:szCs w:val="20"/>
          <w:lang w:val="en-GB"/>
        </w:rPr>
        <w:t>New Political Economy</w:t>
      </w:r>
      <w:r w:rsidRPr="00D91870">
        <w:rPr>
          <w:szCs w:val="20"/>
          <w:lang w:val="en-GB"/>
        </w:rPr>
        <w:t>, </w:t>
      </w:r>
      <w:r w:rsidRPr="00D91870">
        <w:rPr>
          <w:i/>
          <w:iCs/>
          <w:szCs w:val="20"/>
          <w:lang w:val="en-GB"/>
        </w:rPr>
        <w:t>10</w:t>
      </w:r>
      <w:r w:rsidRPr="00D91870">
        <w:rPr>
          <w:szCs w:val="20"/>
          <w:lang w:val="en-GB"/>
        </w:rPr>
        <w:t>(4), 439-456.</w:t>
      </w:r>
    </w:p>
    <w:p w:rsidR="004905B3" w:rsidRPr="009D1068" w:rsidRDefault="004905B3"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 xml:space="preserve">De Boer, H. F., Enders, J., &amp; Leisyte, L. (2007). </w:t>
      </w:r>
      <w:r w:rsidRPr="00D91870">
        <w:rPr>
          <w:i/>
          <w:szCs w:val="20"/>
          <w:lang w:val="en-GB"/>
        </w:rPr>
        <w:t>Public sector reform in Dutch higher education: The organizational transformation of the university</w:t>
      </w:r>
      <w:r w:rsidRPr="00D91870">
        <w:rPr>
          <w:szCs w:val="20"/>
          <w:lang w:val="en-GB"/>
        </w:rPr>
        <w:t>. Public Administration, 85(1), 27-46.</w:t>
      </w:r>
    </w:p>
    <w:p w:rsidR="004905B3" w:rsidRPr="009D1068" w:rsidRDefault="004905B3"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Dearden, L., Fitzsimons, E., &amp; Wyness, G. (2011). </w:t>
      </w:r>
      <w:r w:rsidRPr="00D91870">
        <w:rPr>
          <w:i/>
          <w:iCs/>
          <w:szCs w:val="20"/>
          <w:lang w:val="en-GB"/>
        </w:rPr>
        <w:t>The impact of tuition fees and support on university participation in the UK</w:t>
      </w:r>
      <w:r w:rsidRPr="00D91870">
        <w:rPr>
          <w:szCs w:val="20"/>
          <w:lang w:val="en-GB"/>
        </w:rPr>
        <w:t> (No. W11/17). IFS Working Papers.</w:t>
      </w:r>
    </w:p>
    <w:p w:rsidR="004905B3" w:rsidRPr="009D1068" w:rsidRDefault="004905B3" w:rsidP="004905B3">
      <w:pPr>
        <w:pStyle w:val="NoSpacing"/>
        <w:spacing w:line="240" w:lineRule="auto"/>
        <w:rPr>
          <w:szCs w:val="20"/>
          <w:lang w:val="en-GB"/>
        </w:rPr>
      </w:pPr>
    </w:p>
    <w:p w:rsidR="004905B3" w:rsidRPr="009D1068" w:rsidRDefault="00D91870" w:rsidP="004905B3">
      <w:pPr>
        <w:pStyle w:val="NoSpacing"/>
        <w:spacing w:line="240" w:lineRule="auto"/>
        <w:rPr>
          <w:i/>
          <w:iCs/>
          <w:szCs w:val="20"/>
          <w:lang w:val="en-GB"/>
        </w:rPr>
      </w:pPr>
      <w:r w:rsidRPr="00D91870">
        <w:rPr>
          <w:szCs w:val="20"/>
          <w:lang w:val="en-GB"/>
        </w:rPr>
        <w:t>DuBois, E. C. (1994). Woman Suffrage Around the World: Three Phases of Suffragist Internationalism  </w:t>
      </w:r>
      <w:r w:rsidRPr="00D91870">
        <w:rPr>
          <w:i/>
          <w:iCs/>
          <w:szCs w:val="20"/>
          <w:lang w:val="en-GB"/>
        </w:rPr>
        <w:t>Suffrage and Beyond: International Feminist Perspectives, Caroline Daley and Melanie Nolan.</w:t>
      </w:r>
    </w:p>
    <w:p w:rsidR="004905B3" w:rsidRPr="009D1068" w:rsidRDefault="004905B3" w:rsidP="004905B3">
      <w:pPr>
        <w:pStyle w:val="NoSpacing"/>
        <w:spacing w:line="240" w:lineRule="auto"/>
        <w:rPr>
          <w:i/>
          <w:iCs/>
          <w:szCs w:val="20"/>
          <w:lang w:val="en-GB"/>
        </w:rPr>
      </w:pPr>
    </w:p>
    <w:p w:rsidR="004905B3" w:rsidRPr="009D1068" w:rsidRDefault="00D91870" w:rsidP="004905B3">
      <w:pPr>
        <w:pStyle w:val="NoSpacing"/>
        <w:spacing w:line="240" w:lineRule="auto"/>
        <w:rPr>
          <w:szCs w:val="20"/>
          <w:lang w:val="en-GB"/>
        </w:rPr>
      </w:pPr>
      <w:r w:rsidRPr="00D91870">
        <w:rPr>
          <w:szCs w:val="20"/>
          <w:lang w:val="en-GB"/>
        </w:rPr>
        <w:t>Ebbinghaus, B., &amp; Manow, P. (2001). Comparing Welfare Capitalisms. </w:t>
      </w:r>
      <w:r w:rsidRPr="00D91870">
        <w:rPr>
          <w:i/>
          <w:iCs/>
          <w:szCs w:val="20"/>
          <w:lang w:val="en-GB"/>
        </w:rPr>
        <w:t>Social Policy and Political Economy in Europe, Japan and the USA</w:t>
      </w:r>
      <w:r w:rsidRPr="00D91870">
        <w:rPr>
          <w:szCs w:val="20"/>
          <w:lang w:val="en-GB"/>
        </w:rPr>
        <w:t>.</w:t>
      </w:r>
    </w:p>
    <w:p w:rsidR="004905B3" w:rsidRPr="009D1068" w:rsidRDefault="004905B3" w:rsidP="004905B3">
      <w:pPr>
        <w:pStyle w:val="NoSpacing"/>
        <w:spacing w:line="240" w:lineRule="auto"/>
        <w:rPr>
          <w:szCs w:val="20"/>
          <w:lang w:val="en-GB"/>
        </w:rPr>
      </w:pPr>
    </w:p>
    <w:p w:rsidR="004905B3" w:rsidRPr="003D5612" w:rsidRDefault="00D91870" w:rsidP="004905B3">
      <w:pPr>
        <w:pStyle w:val="NoSpacing"/>
        <w:spacing w:line="240" w:lineRule="auto"/>
        <w:rPr>
          <w:rFonts w:cs="Arial"/>
          <w:szCs w:val="20"/>
          <w:shd w:val="clear" w:color="auto" w:fill="FFFFFF"/>
          <w:lang w:val="nl-NL"/>
        </w:rPr>
      </w:pPr>
      <w:r w:rsidRPr="003D5612">
        <w:rPr>
          <w:rFonts w:cs="Arial"/>
          <w:szCs w:val="20"/>
          <w:shd w:val="clear" w:color="auto" w:fill="FFFFFF"/>
          <w:lang w:val="nl-NL"/>
        </w:rPr>
        <w:t>Eindhoven, S. R. (2009). Ruimtelijk Programma Brainport.</w:t>
      </w:r>
      <w:r w:rsidRPr="003D5612">
        <w:rPr>
          <w:rStyle w:val="apple-converted-space"/>
          <w:rFonts w:cs="Arial"/>
          <w:szCs w:val="20"/>
          <w:shd w:val="clear" w:color="auto" w:fill="FFFFFF"/>
          <w:lang w:val="nl-NL"/>
        </w:rPr>
        <w:t> </w:t>
      </w:r>
      <w:r w:rsidRPr="003D5612">
        <w:rPr>
          <w:rFonts w:cs="Arial"/>
          <w:i/>
          <w:iCs/>
          <w:szCs w:val="20"/>
          <w:shd w:val="clear" w:color="auto" w:fill="FFFFFF"/>
          <w:lang w:val="nl-NL"/>
        </w:rPr>
        <w:t>Eindhoven: Samenwerkingsverband Regio Eindhoven</w:t>
      </w:r>
      <w:r w:rsidRPr="003D5612">
        <w:rPr>
          <w:rFonts w:cs="Arial"/>
          <w:szCs w:val="20"/>
          <w:shd w:val="clear" w:color="auto" w:fill="FFFFFF"/>
          <w:lang w:val="nl-NL"/>
        </w:rPr>
        <w:t>.</w:t>
      </w:r>
    </w:p>
    <w:p w:rsidR="004905B3" w:rsidRPr="003D5612" w:rsidRDefault="004905B3" w:rsidP="004905B3">
      <w:pPr>
        <w:pStyle w:val="NoSpacing"/>
        <w:spacing w:line="240" w:lineRule="auto"/>
        <w:rPr>
          <w:rFonts w:ascii="Arial" w:hAnsi="Arial" w:cs="Arial"/>
          <w:szCs w:val="20"/>
          <w:shd w:val="clear" w:color="auto" w:fill="FFFFFF"/>
          <w:lang w:val="nl-NL"/>
        </w:rPr>
      </w:pPr>
    </w:p>
    <w:p w:rsidR="004905B3" w:rsidRPr="009D1068" w:rsidRDefault="00D91870" w:rsidP="004905B3">
      <w:pPr>
        <w:pStyle w:val="NoSpacing"/>
        <w:spacing w:line="240" w:lineRule="auto"/>
        <w:rPr>
          <w:szCs w:val="20"/>
          <w:lang w:val="en-GB"/>
        </w:rPr>
      </w:pPr>
      <w:r w:rsidRPr="003D5612">
        <w:rPr>
          <w:szCs w:val="20"/>
          <w:lang w:val="nl-NL"/>
        </w:rPr>
        <w:t xml:space="preserve">Estevez-Abe, M., Iversen, T., &amp; Soskice, D. (2001). </w:t>
      </w:r>
      <w:r w:rsidRPr="00D91870">
        <w:rPr>
          <w:szCs w:val="20"/>
          <w:lang w:val="en-GB"/>
        </w:rPr>
        <w:t>Social protection and the formation of skills: a reinterpretation of the welfare state. </w:t>
      </w:r>
      <w:r w:rsidRPr="00D91870">
        <w:rPr>
          <w:i/>
          <w:iCs/>
          <w:szCs w:val="20"/>
          <w:lang w:val="en-GB"/>
        </w:rPr>
        <w:t>Varieties of capitalism: The institutional foundations of comparative advantage</w:t>
      </w:r>
      <w:r w:rsidRPr="00D91870">
        <w:rPr>
          <w:szCs w:val="20"/>
          <w:lang w:val="en-GB"/>
        </w:rPr>
        <w:t>, 145-83.</w:t>
      </w:r>
    </w:p>
    <w:p w:rsidR="004905B3" w:rsidRPr="009D1068" w:rsidRDefault="004905B3"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European commission (2001)</w:t>
      </w:r>
      <w:r w:rsidRPr="00D91870">
        <w:rPr>
          <w:i/>
          <w:szCs w:val="20"/>
          <w:lang w:val="en-GB"/>
        </w:rPr>
        <w:t xml:space="preserve"> Making the European Area of Lifelong Learning a </w:t>
      </w:r>
      <w:r w:rsidRPr="00D91870">
        <w:rPr>
          <w:szCs w:val="20"/>
          <w:lang w:val="en-GB"/>
        </w:rPr>
        <w:t xml:space="preserve">European Commission (2003) </w:t>
      </w:r>
      <w:r w:rsidRPr="00D91870">
        <w:rPr>
          <w:i/>
          <w:szCs w:val="20"/>
          <w:lang w:val="en-GB"/>
        </w:rPr>
        <w:t>Investing in Research: An Action plan for Europe</w:t>
      </w:r>
      <w:r w:rsidRPr="00D91870">
        <w:rPr>
          <w:szCs w:val="20"/>
          <w:lang w:val="en-GB"/>
        </w:rPr>
        <w:t xml:space="preserve">, Communication, (COM(2003) 226), and annexed Commission Staff Working Paper. </w:t>
      </w:r>
    </w:p>
    <w:p w:rsidR="004905B3" w:rsidRPr="009D1068" w:rsidRDefault="004905B3"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European commission (2004)</w:t>
      </w:r>
      <w:r w:rsidRPr="00D91870">
        <w:rPr>
          <w:i/>
          <w:szCs w:val="20"/>
          <w:lang w:val="en-GB"/>
        </w:rPr>
        <w:t xml:space="preserve"> Proposal for a Recommendation of the Council and of the European Parliament on further European Cooperation in Quality Assurance in Higher Education (October), Communication, (</w:t>
      </w:r>
      <w:r w:rsidRPr="00D91870">
        <w:rPr>
          <w:szCs w:val="20"/>
          <w:lang w:val="en-GB"/>
        </w:rPr>
        <w:t>COM (2004) 0642) / (COD2004/0239).</w:t>
      </w:r>
    </w:p>
    <w:p w:rsidR="00797BB5" w:rsidRPr="009D1068" w:rsidRDefault="00797BB5"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 xml:space="preserve">European Commission (2005a) </w:t>
      </w:r>
      <w:r w:rsidRPr="00D91870">
        <w:rPr>
          <w:i/>
          <w:szCs w:val="20"/>
          <w:lang w:val="en-GB"/>
        </w:rPr>
        <w:t>European Universities: Enhancing Europe’s Research Base.</w:t>
      </w:r>
      <w:r w:rsidRPr="00D91870">
        <w:rPr>
          <w:szCs w:val="20"/>
          <w:lang w:val="en-GB"/>
        </w:rPr>
        <w:t xml:space="preserve"> Forum on University based research for the European Commission. (Brussels, Directorate-General for Research)</w:t>
      </w:r>
    </w:p>
    <w:p w:rsidR="004905B3" w:rsidRPr="009D1068" w:rsidRDefault="004905B3"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European Commission (2005b) European Higher Education in a Worldwide Perspective (Staff Working Paper (SEC (2005) 152).</w:t>
      </w:r>
    </w:p>
    <w:p w:rsidR="004905B3" w:rsidRPr="009D1068" w:rsidRDefault="004905B3"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 xml:space="preserve">European Round Table of Industrialist (2014). </w:t>
      </w:r>
      <w:r w:rsidRPr="00D91870">
        <w:rPr>
          <w:i/>
          <w:szCs w:val="20"/>
          <w:lang w:val="en-GB"/>
        </w:rPr>
        <w:t>About ERT</w:t>
      </w:r>
      <w:r w:rsidRPr="00D91870">
        <w:rPr>
          <w:szCs w:val="20"/>
          <w:lang w:val="en-GB"/>
        </w:rPr>
        <w:t xml:space="preserve">: Found on 17-06-2014. URL: http://www.ert.eu/about </w:t>
      </w:r>
    </w:p>
    <w:p w:rsidR="004905B3" w:rsidRPr="009D1068" w:rsidRDefault="004905B3"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Fearon, J. D. (1999). What is identity (as we now use the word). </w:t>
      </w:r>
      <w:r w:rsidRPr="00D91870">
        <w:rPr>
          <w:i/>
          <w:iCs/>
          <w:szCs w:val="20"/>
          <w:lang w:val="en-GB"/>
        </w:rPr>
        <w:t>Unpublished manuscript, Stanford University, Stanford, Calif</w:t>
      </w:r>
      <w:r w:rsidRPr="00D91870">
        <w:rPr>
          <w:szCs w:val="20"/>
          <w:lang w:val="en-GB"/>
        </w:rPr>
        <w:t>.</w:t>
      </w:r>
    </w:p>
    <w:p w:rsidR="004905B3" w:rsidRPr="009D1068" w:rsidRDefault="004905B3"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Finnemore, M., &amp; Sikkink, K. (2001). Taking stock: the constructivist research program in international relations and comparative politics. </w:t>
      </w:r>
      <w:r w:rsidRPr="00D91870">
        <w:rPr>
          <w:i/>
          <w:iCs/>
          <w:szCs w:val="20"/>
          <w:lang w:val="en-GB"/>
        </w:rPr>
        <w:t>Annual review of political science</w:t>
      </w:r>
      <w:r w:rsidRPr="00D91870">
        <w:rPr>
          <w:szCs w:val="20"/>
          <w:lang w:val="en-GB"/>
        </w:rPr>
        <w:t>, </w:t>
      </w:r>
      <w:r w:rsidRPr="00D91870">
        <w:rPr>
          <w:i/>
          <w:iCs/>
          <w:szCs w:val="20"/>
          <w:lang w:val="en-GB"/>
        </w:rPr>
        <w:t>4</w:t>
      </w:r>
      <w:r w:rsidRPr="00D91870">
        <w:rPr>
          <w:szCs w:val="20"/>
          <w:lang w:val="en-GB"/>
        </w:rPr>
        <w:t>(1), 391-416.</w:t>
      </w:r>
    </w:p>
    <w:p w:rsidR="004905B3" w:rsidRPr="009D1068" w:rsidRDefault="004905B3"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Furlong, P. (2005). British Higher Education and the Bologna Process: An Interim Assessment1. </w:t>
      </w:r>
      <w:r w:rsidRPr="00D91870">
        <w:rPr>
          <w:i/>
          <w:iCs/>
          <w:szCs w:val="20"/>
          <w:lang w:val="en-GB"/>
        </w:rPr>
        <w:t>Politics</w:t>
      </w:r>
      <w:r w:rsidRPr="00D91870">
        <w:rPr>
          <w:szCs w:val="20"/>
          <w:lang w:val="en-GB"/>
        </w:rPr>
        <w:t>, </w:t>
      </w:r>
      <w:r w:rsidRPr="00D91870">
        <w:rPr>
          <w:i/>
          <w:iCs/>
          <w:szCs w:val="20"/>
          <w:lang w:val="en-GB"/>
        </w:rPr>
        <w:t>25</w:t>
      </w:r>
      <w:r w:rsidRPr="00D91870">
        <w:rPr>
          <w:szCs w:val="20"/>
          <w:lang w:val="en-GB"/>
        </w:rPr>
        <w:t>(1), 53-61.</w:t>
      </w:r>
    </w:p>
    <w:p w:rsidR="00307363" w:rsidRPr="009D1068" w:rsidRDefault="00307363" w:rsidP="004905B3">
      <w:pPr>
        <w:pStyle w:val="NoSpacing"/>
        <w:spacing w:line="240" w:lineRule="auto"/>
        <w:rPr>
          <w:szCs w:val="20"/>
          <w:lang w:val="en-GB"/>
        </w:rPr>
      </w:pPr>
    </w:p>
    <w:p w:rsidR="00307363" w:rsidRPr="009D1068" w:rsidRDefault="00D91870" w:rsidP="004905B3">
      <w:pPr>
        <w:pStyle w:val="NoSpacing"/>
        <w:spacing w:line="240" w:lineRule="auto"/>
        <w:rPr>
          <w:szCs w:val="20"/>
          <w:lang w:val="en-GB"/>
        </w:rPr>
      </w:pPr>
      <w:r w:rsidRPr="00D91870">
        <w:rPr>
          <w:szCs w:val="20"/>
          <w:lang w:val="en-GB"/>
        </w:rPr>
        <w:t>Giddens, A. (2002). </w:t>
      </w:r>
      <w:r w:rsidRPr="00D91870">
        <w:rPr>
          <w:i/>
          <w:iCs/>
          <w:szCs w:val="20"/>
          <w:lang w:val="en-GB"/>
        </w:rPr>
        <w:t>Runaway world: How globalisation is reshaping our lives</w:t>
      </w:r>
      <w:r w:rsidRPr="00D91870">
        <w:rPr>
          <w:szCs w:val="20"/>
          <w:lang w:val="en-GB"/>
        </w:rPr>
        <w:t>. Profile books.</w:t>
      </w:r>
    </w:p>
    <w:p w:rsidR="00307363" w:rsidRPr="009D1068" w:rsidRDefault="00307363" w:rsidP="004905B3">
      <w:pPr>
        <w:pStyle w:val="NoSpacing"/>
        <w:spacing w:line="240" w:lineRule="auto"/>
        <w:rPr>
          <w:szCs w:val="20"/>
          <w:lang w:val="en-GB"/>
        </w:rPr>
      </w:pPr>
    </w:p>
    <w:p w:rsidR="00240E86" w:rsidRPr="009D1068" w:rsidRDefault="00D91870" w:rsidP="004905B3">
      <w:pPr>
        <w:pStyle w:val="NoSpacing"/>
        <w:spacing w:line="240" w:lineRule="auto"/>
        <w:rPr>
          <w:szCs w:val="20"/>
          <w:lang w:val="en-GB"/>
        </w:rPr>
      </w:pPr>
      <w:r w:rsidRPr="00D91870">
        <w:rPr>
          <w:szCs w:val="20"/>
          <w:lang w:val="en-GB"/>
        </w:rPr>
        <w:t>Graf, L. (2009). Applying the Varieties of Capitalism Approach to Higher Education: comparing the internationalisation of German and British universities. </w:t>
      </w:r>
      <w:r w:rsidRPr="00D91870">
        <w:rPr>
          <w:i/>
          <w:iCs/>
          <w:szCs w:val="20"/>
          <w:lang w:val="en-GB"/>
        </w:rPr>
        <w:t>European Journal of Education</w:t>
      </w:r>
      <w:r w:rsidRPr="00D91870">
        <w:rPr>
          <w:szCs w:val="20"/>
          <w:lang w:val="en-GB"/>
        </w:rPr>
        <w:t>, </w:t>
      </w:r>
      <w:r w:rsidRPr="00D91870">
        <w:rPr>
          <w:i/>
          <w:iCs/>
          <w:szCs w:val="20"/>
          <w:lang w:val="en-GB"/>
        </w:rPr>
        <w:t>44</w:t>
      </w:r>
      <w:r w:rsidRPr="00D91870">
        <w:rPr>
          <w:szCs w:val="20"/>
          <w:lang w:val="en-GB"/>
        </w:rPr>
        <w:t>(4), 569-585.</w:t>
      </w:r>
    </w:p>
    <w:p w:rsidR="00240E86" w:rsidRPr="009D1068" w:rsidRDefault="00240E86"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Hall, P. A., &amp; Gingerich, D. W. (2009). Varieties of capitalism and institutional complementarities in the political economy: an empirical analysis. </w:t>
      </w:r>
      <w:r w:rsidRPr="00D91870">
        <w:rPr>
          <w:i/>
          <w:iCs/>
          <w:szCs w:val="20"/>
          <w:lang w:val="en-GB"/>
        </w:rPr>
        <w:t>British Journal of Political Science</w:t>
      </w:r>
      <w:r w:rsidRPr="00D91870">
        <w:rPr>
          <w:szCs w:val="20"/>
          <w:lang w:val="en-GB"/>
        </w:rPr>
        <w:t>, </w:t>
      </w:r>
      <w:r w:rsidRPr="00D91870">
        <w:rPr>
          <w:i/>
          <w:iCs/>
          <w:szCs w:val="20"/>
          <w:lang w:val="en-GB"/>
        </w:rPr>
        <w:t>39</w:t>
      </w:r>
      <w:r w:rsidRPr="00D91870">
        <w:rPr>
          <w:szCs w:val="20"/>
          <w:lang w:val="en-GB"/>
        </w:rPr>
        <w:t>(3), 449-482.</w:t>
      </w:r>
    </w:p>
    <w:p w:rsidR="004905B3" w:rsidRPr="009D1068" w:rsidRDefault="004905B3"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Hancké, B., &amp; Herrmann, A. M. (2007). Wage bargaining and comparative advantage in EMU. </w:t>
      </w:r>
      <w:r w:rsidRPr="00D91870">
        <w:rPr>
          <w:i/>
          <w:iCs/>
          <w:szCs w:val="20"/>
          <w:lang w:val="en-GB"/>
        </w:rPr>
        <w:t>Beyond Varieties of Capitalism</w:t>
      </w:r>
      <w:r w:rsidRPr="00D91870">
        <w:rPr>
          <w:szCs w:val="20"/>
          <w:lang w:val="en-GB"/>
        </w:rPr>
        <w:t>, 122-44.</w:t>
      </w:r>
    </w:p>
    <w:p w:rsidR="004905B3" w:rsidRPr="009D1068" w:rsidRDefault="004905B3"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 xml:space="preserve">Hanké, B. (2011). Varieties of European Capitalism and their Transformation. </w:t>
      </w:r>
      <w:r w:rsidRPr="00D91870">
        <w:rPr>
          <w:i/>
          <w:iCs/>
          <w:szCs w:val="20"/>
          <w:lang w:val="en-GB"/>
        </w:rPr>
        <w:t>Developments in European Politics Two</w:t>
      </w:r>
      <w:r w:rsidRPr="00D91870">
        <w:rPr>
          <w:szCs w:val="20"/>
          <w:lang w:val="en-GB"/>
        </w:rPr>
        <w:t>.</w:t>
      </w:r>
    </w:p>
    <w:p w:rsidR="00307363" w:rsidRPr="009D1068" w:rsidRDefault="00307363" w:rsidP="004905B3">
      <w:pPr>
        <w:pStyle w:val="NoSpacing"/>
        <w:spacing w:line="240" w:lineRule="auto"/>
        <w:rPr>
          <w:szCs w:val="20"/>
          <w:lang w:val="en-GB"/>
        </w:rPr>
      </w:pPr>
    </w:p>
    <w:p w:rsidR="00797BB5" w:rsidRPr="009D1068" w:rsidRDefault="00D91870" w:rsidP="00797BB5">
      <w:pPr>
        <w:pStyle w:val="NoSpacing"/>
        <w:spacing w:line="240" w:lineRule="auto"/>
        <w:rPr>
          <w:szCs w:val="20"/>
          <w:lang w:val="en-GB"/>
        </w:rPr>
      </w:pPr>
      <w:r w:rsidRPr="00D91870">
        <w:rPr>
          <w:szCs w:val="20"/>
          <w:lang w:val="en-GB"/>
        </w:rPr>
        <w:t>Henderson, R., Jaffe, A. B., &amp; Trajtenberg, M. (1998). Universities as a source of commercial technology: a detailed analysis of university patenting, 1965–1988. </w:t>
      </w:r>
      <w:r w:rsidRPr="00D91870">
        <w:rPr>
          <w:i/>
          <w:iCs/>
          <w:szCs w:val="20"/>
          <w:lang w:val="en-GB"/>
        </w:rPr>
        <w:t>Review of Economics and Statistics</w:t>
      </w:r>
      <w:r w:rsidRPr="00D91870">
        <w:rPr>
          <w:szCs w:val="20"/>
          <w:lang w:val="en-GB"/>
        </w:rPr>
        <w:t>, </w:t>
      </w:r>
      <w:r w:rsidRPr="00D91870">
        <w:rPr>
          <w:i/>
          <w:iCs/>
          <w:szCs w:val="20"/>
          <w:lang w:val="en-GB"/>
        </w:rPr>
        <w:t>80</w:t>
      </w:r>
      <w:r w:rsidRPr="00D91870">
        <w:rPr>
          <w:szCs w:val="20"/>
          <w:lang w:val="en-GB"/>
        </w:rPr>
        <w:t>(1), 119-127.</w:t>
      </w:r>
    </w:p>
    <w:p w:rsidR="00797BB5" w:rsidRPr="009D1068" w:rsidRDefault="00797BB5" w:rsidP="00307363">
      <w:pPr>
        <w:pStyle w:val="NoSpacing"/>
        <w:rPr>
          <w:szCs w:val="20"/>
          <w:lang w:val="en-GB"/>
        </w:rPr>
      </w:pPr>
    </w:p>
    <w:p w:rsidR="00307363" w:rsidRPr="003D5612" w:rsidRDefault="00D91870" w:rsidP="00307363">
      <w:pPr>
        <w:pStyle w:val="NoSpacing"/>
        <w:rPr>
          <w:szCs w:val="20"/>
          <w:lang w:val="nl-NL"/>
        </w:rPr>
      </w:pPr>
      <w:r w:rsidRPr="00D91870">
        <w:rPr>
          <w:szCs w:val="20"/>
          <w:lang w:val="en-GB"/>
        </w:rPr>
        <w:t xml:space="preserve">Henry, M. b. (2001). </w:t>
      </w:r>
      <w:r w:rsidRPr="00D91870">
        <w:rPr>
          <w:i/>
          <w:iCs/>
          <w:szCs w:val="20"/>
          <w:lang w:val="en-GB"/>
        </w:rPr>
        <w:t>The OECD, Globalization and Education policy.</w:t>
      </w:r>
      <w:r w:rsidRPr="00D91870">
        <w:rPr>
          <w:szCs w:val="20"/>
          <w:lang w:val="en-GB"/>
        </w:rPr>
        <w:t xml:space="preserve"> </w:t>
      </w:r>
      <w:r w:rsidRPr="003D5612">
        <w:rPr>
          <w:szCs w:val="20"/>
          <w:lang w:val="nl-NL"/>
        </w:rPr>
        <w:t>Oxford, UK: IAU Press.</w:t>
      </w:r>
    </w:p>
    <w:p w:rsidR="004905B3" w:rsidRPr="003D5612" w:rsidRDefault="004905B3" w:rsidP="004905B3">
      <w:pPr>
        <w:pStyle w:val="NoSpacing"/>
        <w:spacing w:line="240" w:lineRule="auto"/>
        <w:rPr>
          <w:szCs w:val="20"/>
          <w:lang w:val="nl-NL"/>
        </w:rPr>
      </w:pPr>
    </w:p>
    <w:p w:rsidR="004905B3" w:rsidRPr="009D1068" w:rsidRDefault="00D91870" w:rsidP="004905B3">
      <w:pPr>
        <w:pStyle w:val="NoSpacing"/>
        <w:spacing w:line="240" w:lineRule="auto"/>
        <w:rPr>
          <w:szCs w:val="20"/>
          <w:lang w:val="en-GB"/>
        </w:rPr>
      </w:pPr>
      <w:r w:rsidRPr="003D5612">
        <w:rPr>
          <w:szCs w:val="20"/>
          <w:lang w:val="nl-NL"/>
        </w:rPr>
        <w:t xml:space="preserve">Huisman, J., &amp; Van Der Wende, M. (2004). </w:t>
      </w:r>
      <w:r w:rsidRPr="00D91870">
        <w:rPr>
          <w:szCs w:val="20"/>
          <w:lang w:val="en-GB"/>
        </w:rPr>
        <w:t>The EU and Bologna: are supra‐and international initiatives threatening domestic agendas?*. </w:t>
      </w:r>
      <w:r w:rsidRPr="00D91870">
        <w:rPr>
          <w:i/>
          <w:iCs/>
          <w:szCs w:val="20"/>
          <w:lang w:val="en-GB"/>
        </w:rPr>
        <w:t>European Journal of Education</w:t>
      </w:r>
      <w:r w:rsidRPr="00D91870">
        <w:rPr>
          <w:szCs w:val="20"/>
          <w:lang w:val="en-GB"/>
        </w:rPr>
        <w:t>, </w:t>
      </w:r>
      <w:r w:rsidRPr="00D91870">
        <w:rPr>
          <w:i/>
          <w:iCs/>
          <w:szCs w:val="20"/>
          <w:lang w:val="en-GB"/>
        </w:rPr>
        <w:t>39</w:t>
      </w:r>
      <w:r w:rsidRPr="00D91870">
        <w:rPr>
          <w:szCs w:val="20"/>
          <w:lang w:val="en-GB"/>
        </w:rPr>
        <w:t>(3), 349-357.</w:t>
      </w:r>
    </w:p>
    <w:p w:rsidR="004905B3" w:rsidRPr="009D1068" w:rsidRDefault="004905B3"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Jackson, G., &amp; Deeg, R. (2006). </w:t>
      </w:r>
      <w:r w:rsidRPr="00D91870">
        <w:rPr>
          <w:i/>
          <w:iCs/>
          <w:szCs w:val="20"/>
          <w:lang w:val="en-GB"/>
        </w:rPr>
        <w:t>How many varieties of capitalism? Comparing the comparative institutional analyses of capitalist diversity</w:t>
      </w:r>
      <w:r w:rsidRPr="00D91870">
        <w:rPr>
          <w:szCs w:val="20"/>
          <w:lang w:val="en-GB"/>
        </w:rPr>
        <w:t> (No. 06/2). MPIfG Discussion Paper.</w:t>
      </w:r>
    </w:p>
    <w:p w:rsidR="00A63F36" w:rsidRPr="009D1068" w:rsidRDefault="00A63F36" w:rsidP="004905B3">
      <w:pPr>
        <w:pStyle w:val="NoSpacing"/>
        <w:spacing w:line="240" w:lineRule="auto"/>
        <w:rPr>
          <w:szCs w:val="20"/>
          <w:lang w:val="en-GB"/>
        </w:rPr>
      </w:pPr>
    </w:p>
    <w:p w:rsidR="00DC1032" w:rsidRPr="009D1068" w:rsidRDefault="00D91870" w:rsidP="004905B3">
      <w:pPr>
        <w:pStyle w:val="NoSpacing"/>
        <w:spacing w:line="240" w:lineRule="auto"/>
        <w:rPr>
          <w:szCs w:val="20"/>
          <w:lang w:val="en-GB"/>
        </w:rPr>
      </w:pPr>
      <w:r w:rsidRPr="00D91870">
        <w:rPr>
          <w:szCs w:val="20"/>
          <w:lang w:val="en-GB"/>
        </w:rPr>
        <w:t>Kauppinen, I. (2012). Towards transnational academic capitalism. </w:t>
      </w:r>
      <w:r w:rsidRPr="00D91870">
        <w:rPr>
          <w:i/>
          <w:iCs/>
          <w:szCs w:val="20"/>
          <w:lang w:val="en-GB"/>
        </w:rPr>
        <w:t>Higher Education</w:t>
      </w:r>
      <w:r w:rsidRPr="00D91870">
        <w:rPr>
          <w:szCs w:val="20"/>
          <w:lang w:val="en-GB"/>
        </w:rPr>
        <w:t>, </w:t>
      </w:r>
      <w:r w:rsidRPr="00D91870">
        <w:rPr>
          <w:i/>
          <w:iCs/>
          <w:szCs w:val="20"/>
          <w:lang w:val="en-GB"/>
        </w:rPr>
        <w:t>64</w:t>
      </w:r>
      <w:r w:rsidRPr="00D91870">
        <w:rPr>
          <w:szCs w:val="20"/>
          <w:lang w:val="en-GB"/>
        </w:rPr>
        <w:t>(4), 543-556.</w:t>
      </w:r>
    </w:p>
    <w:p w:rsidR="00A63F36" w:rsidRPr="009D1068" w:rsidRDefault="00A63F36"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Keck, M. E., &amp; Sikkink, K. (1999). Transnational advocacy networks in international and regional politics. </w:t>
      </w:r>
      <w:r w:rsidRPr="00D91870">
        <w:rPr>
          <w:i/>
          <w:iCs/>
          <w:szCs w:val="20"/>
          <w:lang w:val="en-GB"/>
        </w:rPr>
        <w:t>International Social Science Journal</w:t>
      </w:r>
      <w:r w:rsidRPr="00D91870">
        <w:rPr>
          <w:szCs w:val="20"/>
          <w:lang w:val="en-GB"/>
        </w:rPr>
        <w:t>, </w:t>
      </w:r>
      <w:r w:rsidRPr="00D91870">
        <w:rPr>
          <w:i/>
          <w:iCs/>
          <w:szCs w:val="20"/>
          <w:lang w:val="en-GB"/>
        </w:rPr>
        <w:t>51</w:t>
      </w:r>
      <w:r w:rsidRPr="00D91870">
        <w:rPr>
          <w:szCs w:val="20"/>
          <w:lang w:val="en-GB"/>
        </w:rPr>
        <w:t>(159), 89-101.</w:t>
      </w:r>
    </w:p>
    <w:p w:rsidR="004905B3" w:rsidRPr="009D1068" w:rsidRDefault="004905B3" w:rsidP="004905B3">
      <w:pPr>
        <w:pStyle w:val="NoSpacing"/>
        <w:spacing w:line="240" w:lineRule="auto"/>
        <w:rPr>
          <w:szCs w:val="20"/>
          <w:lang w:val="en-GB"/>
        </w:rPr>
      </w:pPr>
    </w:p>
    <w:p w:rsidR="008E124E" w:rsidRPr="009D1068" w:rsidRDefault="00D91870" w:rsidP="004905B3">
      <w:pPr>
        <w:pStyle w:val="NoSpacing"/>
        <w:spacing w:line="240" w:lineRule="auto"/>
        <w:rPr>
          <w:szCs w:val="20"/>
          <w:lang w:val="en-GB"/>
        </w:rPr>
      </w:pPr>
      <w:r w:rsidRPr="00D91870">
        <w:rPr>
          <w:szCs w:val="20"/>
          <w:lang w:val="en-GB"/>
        </w:rPr>
        <w:t>Keeble, D. E. (1989). High-technology industry and regional development in Britain: the case of the Cambridge phenomenon. </w:t>
      </w:r>
      <w:r w:rsidRPr="00D91870">
        <w:rPr>
          <w:i/>
          <w:iCs/>
          <w:szCs w:val="20"/>
          <w:lang w:val="en-GB"/>
        </w:rPr>
        <w:t>Environment and Planning C: Government and Policy</w:t>
      </w:r>
      <w:r w:rsidRPr="00D91870">
        <w:rPr>
          <w:szCs w:val="20"/>
          <w:lang w:val="en-GB"/>
        </w:rPr>
        <w:t>, </w:t>
      </w:r>
      <w:r w:rsidRPr="00D91870">
        <w:rPr>
          <w:i/>
          <w:iCs/>
          <w:szCs w:val="20"/>
          <w:lang w:val="en-GB"/>
        </w:rPr>
        <w:t>7</w:t>
      </w:r>
      <w:r w:rsidRPr="00D91870">
        <w:rPr>
          <w:szCs w:val="20"/>
          <w:lang w:val="en-GB"/>
        </w:rPr>
        <w:t>(2), 153-172.</w:t>
      </w:r>
    </w:p>
    <w:p w:rsidR="008E124E" w:rsidRPr="009D1068" w:rsidRDefault="008E124E" w:rsidP="004905B3">
      <w:pPr>
        <w:pStyle w:val="NoSpacing"/>
        <w:spacing w:line="240" w:lineRule="auto"/>
        <w:rPr>
          <w:szCs w:val="20"/>
          <w:lang w:val="en-GB"/>
        </w:rPr>
      </w:pPr>
    </w:p>
    <w:p w:rsidR="00A16477" w:rsidRPr="009D1068" w:rsidRDefault="00D91870" w:rsidP="004905B3">
      <w:pPr>
        <w:pStyle w:val="NoSpacing"/>
        <w:spacing w:line="240" w:lineRule="auto"/>
        <w:rPr>
          <w:szCs w:val="20"/>
          <w:lang w:val="en-GB"/>
        </w:rPr>
      </w:pPr>
      <w:r w:rsidRPr="00D91870">
        <w:rPr>
          <w:szCs w:val="20"/>
          <w:lang w:val="en-GB"/>
        </w:rPr>
        <w:t>Keeling, R. (2006). The Bologna Process and the Lisbon Research Agenda: the European Commission’s expanding role in higher education discourse.</w:t>
      </w:r>
      <w:r w:rsidRPr="00D91870">
        <w:rPr>
          <w:i/>
          <w:iCs/>
          <w:szCs w:val="20"/>
          <w:lang w:val="en-GB"/>
        </w:rPr>
        <w:t>European Journal of Education</w:t>
      </w:r>
      <w:r w:rsidRPr="00D91870">
        <w:rPr>
          <w:szCs w:val="20"/>
          <w:lang w:val="en-GB"/>
        </w:rPr>
        <w:t>, </w:t>
      </w:r>
      <w:r w:rsidRPr="00D91870">
        <w:rPr>
          <w:i/>
          <w:iCs/>
          <w:szCs w:val="20"/>
          <w:lang w:val="en-GB"/>
        </w:rPr>
        <w:t>41</w:t>
      </w:r>
      <w:r w:rsidRPr="00D91870">
        <w:rPr>
          <w:szCs w:val="20"/>
          <w:lang w:val="en-GB"/>
        </w:rPr>
        <w:t>(2), 203-223.</w:t>
      </w:r>
    </w:p>
    <w:p w:rsidR="00A16477" w:rsidRPr="009D1068" w:rsidRDefault="00A16477" w:rsidP="004905B3">
      <w:pPr>
        <w:pStyle w:val="NoSpacing"/>
        <w:spacing w:line="240" w:lineRule="auto"/>
        <w:rPr>
          <w:szCs w:val="20"/>
          <w:lang w:val="en-GB"/>
        </w:rPr>
      </w:pPr>
    </w:p>
    <w:p w:rsidR="00DC1032" w:rsidRPr="009D1068" w:rsidRDefault="00D91870" w:rsidP="004905B3">
      <w:pPr>
        <w:pStyle w:val="NoSpacing"/>
        <w:spacing w:line="240" w:lineRule="auto"/>
        <w:rPr>
          <w:szCs w:val="20"/>
          <w:lang w:val="en-GB"/>
        </w:rPr>
      </w:pPr>
      <w:r w:rsidRPr="003D5612">
        <w:rPr>
          <w:szCs w:val="20"/>
          <w:lang w:val="nl-NL"/>
        </w:rPr>
        <w:t xml:space="preserve">Van Kersbergen, K., &amp; Verbeek, B. (2007). </w:t>
      </w:r>
      <w:r w:rsidRPr="00D91870">
        <w:rPr>
          <w:szCs w:val="20"/>
          <w:lang w:val="en-GB"/>
        </w:rPr>
        <w:t>The politics of international norms: subsidiarity and the imperfect competence regime of the European Union.</w:t>
      </w:r>
      <w:r w:rsidRPr="00D91870">
        <w:rPr>
          <w:i/>
          <w:iCs/>
          <w:szCs w:val="20"/>
          <w:lang w:val="en-GB"/>
        </w:rPr>
        <w:t>European Journal of International Relations</w:t>
      </w:r>
      <w:r w:rsidRPr="00D91870">
        <w:rPr>
          <w:szCs w:val="20"/>
          <w:lang w:val="en-GB"/>
        </w:rPr>
        <w:t>, </w:t>
      </w:r>
      <w:r w:rsidRPr="00D91870">
        <w:rPr>
          <w:i/>
          <w:iCs/>
          <w:szCs w:val="20"/>
          <w:lang w:val="en-GB"/>
        </w:rPr>
        <w:t>13</w:t>
      </w:r>
      <w:r w:rsidRPr="00D91870">
        <w:rPr>
          <w:szCs w:val="20"/>
          <w:lang w:val="en-GB"/>
        </w:rPr>
        <w:t>(2), 217-238.</w:t>
      </w:r>
    </w:p>
    <w:p w:rsidR="00D71652" w:rsidRPr="009D1068" w:rsidRDefault="00D71652"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3D5612">
        <w:rPr>
          <w:szCs w:val="20"/>
          <w:lang w:val="nl-NL"/>
        </w:rPr>
        <w:t xml:space="preserve">Kleinman, D. L., &amp; Vallas, S. P. (2001). </w:t>
      </w:r>
      <w:r w:rsidRPr="00D91870">
        <w:rPr>
          <w:szCs w:val="20"/>
          <w:lang w:val="en-GB"/>
        </w:rPr>
        <w:t>Science, capitalism, and the rise of the “knowledge worker”: The changing structure of knowledge production in the United States. </w:t>
      </w:r>
      <w:r w:rsidRPr="00D91870">
        <w:rPr>
          <w:i/>
          <w:iCs/>
          <w:szCs w:val="20"/>
          <w:lang w:val="en-GB"/>
        </w:rPr>
        <w:t>Theory and Society</w:t>
      </w:r>
      <w:r w:rsidRPr="00D91870">
        <w:rPr>
          <w:szCs w:val="20"/>
          <w:lang w:val="en-GB"/>
        </w:rPr>
        <w:t>, </w:t>
      </w:r>
      <w:r w:rsidRPr="00D91870">
        <w:rPr>
          <w:i/>
          <w:iCs/>
          <w:szCs w:val="20"/>
          <w:lang w:val="en-GB"/>
        </w:rPr>
        <w:t>30</w:t>
      </w:r>
      <w:r w:rsidRPr="00D91870">
        <w:rPr>
          <w:szCs w:val="20"/>
          <w:lang w:val="en-GB"/>
        </w:rPr>
        <w:t>(4), 451-492.</w:t>
      </w:r>
    </w:p>
    <w:p w:rsidR="004905B3" w:rsidRPr="009D1068" w:rsidRDefault="004905B3"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Knetter, M. M. (1989). Price discrimination by US and German exporters.</w:t>
      </w:r>
      <w:r w:rsidRPr="00D91870">
        <w:rPr>
          <w:i/>
          <w:iCs/>
          <w:szCs w:val="20"/>
          <w:lang w:val="en-GB"/>
        </w:rPr>
        <w:t>American Economic Review</w:t>
      </w:r>
      <w:r w:rsidRPr="00D91870">
        <w:rPr>
          <w:szCs w:val="20"/>
          <w:lang w:val="en-GB"/>
        </w:rPr>
        <w:t>, </w:t>
      </w:r>
      <w:r w:rsidRPr="00D91870">
        <w:rPr>
          <w:i/>
          <w:iCs/>
          <w:szCs w:val="20"/>
          <w:lang w:val="en-GB"/>
        </w:rPr>
        <w:t>79</w:t>
      </w:r>
      <w:r w:rsidRPr="00D91870">
        <w:rPr>
          <w:szCs w:val="20"/>
          <w:lang w:val="en-GB"/>
        </w:rPr>
        <w:t>(1), 198-210.</w:t>
      </w:r>
    </w:p>
    <w:p w:rsidR="004905B3" w:rsidRPr="009D1068" w:rsidRDefault="004905B3"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 xml:space="preserve">Koike, K. (1981). </w:t>
      </w:r>
      <w:r w:rsidRPr="00D91870">
        <w:rPr>
          <w:i/>
          <w:iCs/>
          <w:szCs w:val="20"/>
          <w:lang w:val="en-GB"/>
        </w:rPr>
        <w:t xml:space="preserve">Nikon no Jukuren: Sugureta Jinzai Keisei Shisutemu </w:t>
      </w:r>
      <w:r w:rsidRPr="00D91870">
        <w:rPr>
          <w:szCs w:val="20"/>
          <w:lang w:val="en-GB"/>
        </w:rPr>
        <w:t>[Skills in Japan: An Effective Human Capital Formation System]. Tokyo: Yuhikaku.</w:t>
      </w:r>
    </w:p>
    <w:p w:rsidR="004905B3" w:rsidRPr="009D1068" w:rsidRDefault="004905B3"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Krook, M. L., &amp; True, J. (2012). Rethinking the life cycles of international norms: The United Nations and the global promotion of gender equality. </w:t>
      </w:r>
      <w:r w:rsidRPr="00D91870">
        <w:rPr>
          <w:i/>
          <w:iCs/>
          <w:szCs w:val="20"/>
          <w:lang w:val="en-GB"/>
        </w:rPr>
        <w:t>European Journal of International Relations</w:t>
      </w:r>
      <w:r w:rsidRPr="00D91870">
        <w:rPr>
          <w:szCs w:val="20"/>
          <w:lang w:val="en-GB"/>
        </w:rPr>
        <w:t>, </w:t>
      </w:r>
      <w:r w:rsidRPr="00D91870">
        <w:rPr>
          <w:i/>
          <w:iCs/>
          <w:szCs w:val="20"/>
          <w:lang w:val="en-GB"/>
        </w:rPr>
        <w:t>18</w:t>
      </w:r>
      <w:r w:rsidRPr="00D91870">
        <w:rPr>
          <w:szCs w:val="20"/>
          <w:lang w:val="en-GB"/>
        </w:rPr>
        <w:t>(1), 103-127.</w:t>
      </w:r>
    </w:p>
    <w:p w:rsidR="004905B3" w:rsidRPr="009D1068" w:rsidRDefault="004905B3"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Lauder, H., Brown, P., &amp; Ashton, D. (2008). Globalisation, skill formation and the varieties of capitalism approach. </w:t>
      </w:r>
      <w:r w:rsidRPr="00D91870">
        <w:rPr>
          <w:i/>
          <w:iCs/>
          <w:szCs w:val="20"/>
          <w:lang w:val="en-GB"/>
        </w:rPr>
        <w:t>New Political Economy</w:t>
      </w:r>
      <w:r w:rsidRPr="00D91870">
        <w:rPr>
          <w:szCs w:val="20"/>
          <w:lang w:val="en-GB"/>
        </w:rPr>
        <w:t>, </w:t>
      </w:r>
      <w:r w:rsidRPr="00D91870">
        <w:rPr>
          <w:i/>
          <w:iCs/>
          <w:szCs w:val="20"/>
          <w:lang w:val="en-GB"/>
        </w:rPr>
        <w:t>13</w:t>
      </w:r>
      <w:r w:rsidRPr="00D91870">
        <w:rPr>
          <w:szCs w:val="20"/>
          <w:lang w:val="en-GB"/>
        </w:rPr>
        <w:t>(1), 19-35.</w:t>
      </w:r>
    </w:p>
    <w:p w:rsidR="004905B3" w:rsidRPr="009D1068" w:rsidRDefault="004905B3"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Lazear, E. P., &amp; Freeman, R. B. (1996). </w:t>
      </w:r>
      <w:r w:rsidRPr="00D91870">
        <w:rPr>
          <w:i/>
          <w:iCs/>
          <w:szCs w:val="20"/>
          <w:lang w:val="en-GB"/>
        </w:rPr>
        <w:t>Relational investing: The worker's perspective</w:t>
      </w:r>
      <w:r w:rsidRPr="00D91870">
        <w:rPr>
          <w:szCs w:val="20"/>
          <w:lang w:val="en-GB"/>
        </w:rPr>
        <w:t> (No. w5436). National Bureau of Economic Research.</w:t>
      </w:r>
    </w:p>
    <w:p w:rsidR="004905B3" w:rsidRPr="009D1068" w:rsidRDefault="004905B3" w:rsidP="004905B3">
      <w:pPr>
        <w:pStyle w:val="NoSpacing"/>
        <w:spacing w:line="240" w:lineRule="auto"/>
        <w:rPr>
          <w:szCs w:val="20"/>
          <w:lang w:val="en-GB"/>
        </w:rPr>
      </w:pPr>
    </w:p>
    <w:p w:rsidR="00605C7A" w:rsidRPr="009D1068" w:rsidRDefault="00D91870" w:rsidP="004905B3">
      <w:pPr>
        <w:pStyle w:val="NoSpacing"/>
        <w:spacing w:line="240" w:lineRule="auto"/>
        <w:rPr>
          <w:szCs w:val="20"/>
          <w:lang w:val="en-GB"/>
        </w:rPr>
      </w:pPr>
      <w:r w:rsidRPr="00D91870">
        <w:rPr>
          <w:szCs w:val="20"/>
          <w:lang w:val="en-GB"/>
        </w:rPr>
        <w:t>Lea, D. (2014). The Future of the Humanities in Today's Financial Markets.</w:t>
      </w:r>
      <w:r w:rsidRPr="00D91870">
        <w:rPr>
          <w:i/>
          <w:iCs/>
          <w:szCs w:val="20"/>
          <w:lang w:val="en-GB"/>
        </w:rPr>
        <w:t>Educational Theory</w:t>
      </w:r>
      <w:r w:rsidRPr="00D91870">
        <w:rPr>
          <w:szCs w:val="20"/>
          <w:lang w:val="en-GB"/>
        </w:rPr>
        <w:t>, </w:t>
      </w:r>
      <w:r w:rsidRPr="00D91870">
        <w:rPr>
          <w:i/>
          <w:iCs/>
          <w:szCs w:val="20"/>
          <w:lang w:val="en-GB"/>
        </w:rPr>
        <w:t>64</w:t>
      </w:r>
      <w:r w:rsidRPr="00D91870">
        <w:rPr>
          <w:szCs w:val="20"/>
          <w:lang w:val="en-GB"/>
        </w:rPr>
        <w:t>(3), 261-283.</w:t>
      </w:r>
    </w:p>
    <w:p w:rsidR="00605C7A" w:rsidRPr="009D1068" w:rsidRDefault="00605C7A" w:rsidP="004905B3">
      <w:pPr>
        <w:pStyle w:val="NoSpacing"/>
        <w:spacing w:line="240" w:lineRule="auto"/>
        <w:rPr>
          <w:szCs w:val="20"/>
          <w:lang w:val="en-GB"/>
        </w:rPr>
      </w:pPr>
    </w:p>
    <w:p w:rsidR="00C45402" w:rsidRPr="009D1068" w:rsidRDefault="00D91870" w:rsidP="004905B3">
      <w:pPr>
        <w:pStyle w:val="NoSpacing"/>
        <w:spacing w:line="240" w:lineRule="auto"/>
        <w:rPr>
          <w:szCs w:val="20"/>
          <w:lang w:val="en-GB"/>
        </w:rPr>
      </w:pPr>
      <w:r w:rsidRPr="00D91870">
        <w:rPr>
          <w:szCs w:val="20"/>
          <w:lang w:val="en-GB"/>
        </w:rPr>
        <w:t>Legro, J. W. (1997). Which norms matter? Revisiting the “failure” of internationalism. </w:t>
      </w:r>
      <w:r w:rsidRPr="00D91870">
        <w:rPr>
          <w:i/>
          <w:iCs/>
          <w:szCs w:val="20"/>
          <w:lang w:val="en-GB"/>
        </w:rPr>
        <w:t>International Organization</w:t>
      </w:r>
      <w:r w:rsidRPr="00D91870">
        <w:rPr>
          <w:szCs w:val="20"/>
          <w:lang w:val="en-GB"/>
        </w:rPr>
        <w:t>, </w:t>
      </w:r>
      <w:r w:rsidRPr="00D91870">
        <w:rPr>
          <w:i/>
          <w:iCs/>
          <w:szCs w:val="20"/>
          <w:lang w:val="en-GB"/>
        </w:rPr>
        <w:t>51</w:t>
      </w:r>
      <w:r w:rsidRPr="00D91870">
        <w:rPr>
          <w:szCs w:val="20"/>
          <w:lang w:val="en-GB"/>
        </w:rPr>
        <w:t>(01), 31-63.</w:t>
      </w:r>
    </w:p>
    <w:p w:rsidR="00797BB5" w:rsidRPr="009D1068" w:rsidRDefault="00797BB5" w:rsidP="004905B3">
      <w:pPr>
        <w:pStyle w:val="NoSpacing"/>
        <w:spacing w:line="240" w:lineRule="auto"/>
        <w:rPr>
          <w:szCs w:val="20"/>
          <w:lang w:val="en-GB"/>
        </w:rPr>
      </w:pPr>
    </w:p>
    <w:p w:rsidR="00797BB5" w:rsidRPr="009D1068" w:rsidRDefault="00D91870" w:rsidP="00797BB5">
      <w:pPr>
        <w:pStyle w:val="NoSpacing"/>
        <w:spacing w:line="240" w:lineRule="auto"/>
        <w:rPr>
          <w:szCs w:val="20"/>
          <w:lang w:val="en-GB"/>
        </w:rPr>
      </w:pPr>
      <w:r w:rsidRPr="00D91870">
        <w:rPr>
          <w:szCs w:val="20"/>
          <w:lang w:val="en-GB"/>
        </w:rPr>
        <w:t>Leisyte, L. (2011). University commercialization policies and their implementation in the Netherlands and the United States. </w:t>
      </w:r>
      <w:r w:rsidRPr="00D91870">
        <w:rPr>
          <w:i/>
          <w:iCs/>
          <w:szCs w:val="20"/>
          <w:lang w:val="en-GB"/>
        </w:rPr>
        <w:t>Science and Public Policy</w:t>
      </w:r>
      <w:r w:rsidRPr="00D91870">
        <w:rPr>
          <w:szCs w:val="20"/>
          <w:lang w:val="en-GB"/>
        </w:rPr>
        <w:t>, </w:t>
      </w:r>
      <w:r w:rsidRPr="00D91870">
        <w:rPr>
          <w:i/>
          <w:iCs/>
          <w:szCs w:val="20"/>
          <w:lang w:val="en-GB"/>
        </w:rPr>
        <w:t>38</w:t>
      </w:r>
      <w:r w:rsidRPr="00D91870">
        <w:rPr>
          <w:szCs w:val="20"/>
          <w:lang w:val="en-GB"/>
        </w:rPr>
        <w:t>(6), 437-448.</w:t>
      </w:r>
    </w:p>
    <w:p w:rsidR="00C45402" w:rsidRPr="009D1068" w:rsidRDefault="00C45402"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Leydesdorff, L., &amp; Meyer, M. (2008). The triple helix model and the knowledge-based economy. </w:t>
      </w:r>
      <w:r w:rsidRPr="00D91870">
        <w:rPr>
          <w:i/>
          <w:iCs/>
          <w:szCs w:val="20"/>
          <w:lang w:val="en-GB"/>
        </w:rPr>
        <w:t>Scientometrics, forthcoming</w:t>
      </w:r>
      <w:r w:rsidRPr="00D91870">
        <w:rPr>
          <w:szCs w:val="20"/>
          <w:lang w:val="en-GB"/>
        </w:rPr>
        <w:t>.</w:t>
      </w:r>
    </w:p>
    <w:p w:rsidR="004905B3" w:rsidRPr="009D1068" w:rsidRDefault="004905B3" w:rsidP="004905B3">
      <w:pPr>
        <w:pStyle w:val="NoSpacing"/>
        <w:spacing w:line="240" w:lineRule="auto"/>
        <w:rPr>
          <w:szCs w:val="20"/>
          <w:lang w:val="en-GB"/>
        </w:rPr>
      </w:pPr>
    </w:p>
    <w:p w:rsidR="0049405C" w:rsidRPr="009D1068" w:rsidRDefault="00D91870" w:rsidP="004905B3">
      <w:pPr>
        <w:pStyle w:val="NoSpacing"/>
        <w:spacing w:line="240" w:lineRule="auto"/>
        <w:rPr>
          <w:szCs w:val="20"/>
          <w:lang w:val="en-GB"/>
        </w:rPr>
      </w:pPr>
      <w:r w:rsidRPr="00D91870">
        <w:rPr>
          <w:szCs w:val="20"/>
          <w:lang w:val="en-GB"/>
        </w:rPr>
        <w:t>Looy, B., Landoni, P., Callaert, J., van Pottelsberghe, B., Sapsalis, E., &amp; Debackere, K. (2011). Entrepreneurial effectiveness of European universities: An empirical assessment of antecedents and trade-offs. </w:t>
      </w:r>
      <w:r w:rsidRPr="00D91870">
        <w:rPr>
          <w:i/>
          <w:iCs/>
          <w:szCs w:val="20"/>
          <w:lang w:val="en-GB"/>
        </w:rPr>
        <w:t>Research Policy</w:t>
      </w:r>
      <w:r w:rsidRPr="00D91870">
        <w:rPr>
          <w:szCs w:val="20"/>
          <w:lang w:val="en-GB"/>
        </w:rPr>
        <w:t>, </w:t>
      </w:r>
      <w:r w:rsidRPr="00D91870">
        <w:rPr>
          <w:i/>
          <w:iCs/>
          <w:szCs w:val="20"/>
          <w:lang w:val="en-GB"/>
        </w:rPr>
        <w:t>40</w:t>
      </w:r>
      <w:r w:rsidRPr="00D91870">
        <w:rPr>
          <w:szCs w:val="20"/>
          <w:lang w:val="en-GB"/>
        </w:rPr>
        <w:t>(4), 553-564.</w:t>
      </w:r>
    </w:p>
    <w:p w:rsidR="0049405C" w:rsidRPr="009D1068" w:rsidRDefault="0049405C" w:rsidP="004905B3">
      <w:pPr>
        <w:pStyle w:val="NoSpacing"/>
        <w:spacing w:line="240" w:lineRule="auto"/>
        <w:rPr>
          <w:szCs w:val="20"/>
          <w:lang w:val="en-GB"/>
        </w:rPr>
      </w:pPr>
    </w:p>
    <w:p w:rsidR="00A21F7E" w:rsidRPr="003D5612" w:rsidRDefault="00D91870" w:rsidP="004905B3">
      <w:pPr>
        <w:pStyle w:val="NoSpacing"/>
        <w:spacing w:line="240" w:lineRule="auto"/>
        <w:rPr>
          <w:szCs w:val="20"/>
          <w:lang w:val="nl-NL"/>
        </w:rPr>
      </w:pPr>
      <w:r w:rsidRPr="00D91870">
        <w:rPr>
          <w:szCs w:val="20"/>
          <w:lang w:val="en-GB"/>
        </w:rPr>
        <w:t>Lorenz, C. (2006). Will the universities survive the European Integration? Higher education policies in the EU and in the Netherlands before and after the Bologna Declaration. </w:t>
      </w:r>
      <w:r w:rsidRPr="003D5612">
        <w:rPr>
          <w:i/>
          <w:iCs/>
          <w:szCs w:val="20"/>
          <w:lang w:val="nl-NL"/>
        </w:rPr>
        <w:t>Sociologia Internationalis</w:t>
      </w:r>
      <w:r w:rsidRPr="003D5612">
        <w:rPr>
          <w:szCs w:val="20"/>
          <w:lang w:val="nl-NL"/>
        </w:rPr>
        <w:t>, </w:t>
      </w:r>
      <w:r w:rsidRPr="003D5612">
        <w:rPr>
          <w:i/>
          <w:iCs/>
          <w:szCs w:val="20"/>
          <w:lang w:val="nl-NL"/>
        </w:rPr>
        <w:t>44</w:t>
      </w:r>
      <w:r w:rsidRPr="003D5612">
        <w:rPr>
          <w:szCs w:val="20"/>
          <w:lang w:val="nl-NL"/>
        </w:rPr>
        <w:t>(1), 123.</w:t>
      </w:r>
    </w:p>
    <w:p w:rsidR="00A21F7E" w:rsidRPr="003D5612" w:rsidRDefault="00A21F7E" w:rsidP="004905B3">
      <w:pPr>
        <w:pStyle w:val="NoSpacing"/>
        <w:spacing w:line="240" w:lineRule="auto"/>
        <w:rPr>
          <w:szCs w:val="20"/>
          <w:lang w:val="nl-NL"/>
        </w:rPr>
      </w:pPr>
    </w:p>
    <w:p w:rsidR="004905B3" w:rsidRPr="009D1068" w:rsidRDefault="00D91870" w:rsidP="004905B3">
      <w:pPr>
        <w:pStyle w:val="NoSpacing"/>
        <w:spacing w:line="240" w:lineRule="auto"/>
        <w:rPr>
          <w:szCs w:val="20"/>
          <w:lang w:val="en-GB"/>
        </w:rPr>
      </w:pPr>
      <w:r w:rsidRPr="003D5612">
        <w:rPr>
          <w:szCs w:val="20"/>
          <w:lang w:val="nl-NL"/>
        </w:rPr>
        <w:t xml:space="preserve">Luijten-Lub, A., Van der Wende, M., &amp; Huisman, J. (2005). </w:t>
      </w:r>
      <w:r w:rsidRPr="00D91870">
        <w:rPr>
          <w:szCs w:val="20"/>
          <w:lang w:val="en-GB"/>
        </w:rPr>
        <w:t>On cooperation and competition: A comparative analysis of national policies for internationalisation of higher education in seven Western European countries. </w:t>
      </w:r>
      <w:r w:rsidRPr="00D91870">
        <w:rPr>
          <w:i/>
          <w:iCs/>
          <w:szCs w:val="20"/>
          <w:lang w:val="en-GB"/>
        </w:rPr>
        <w:t>Journal of Studies in International Education</w:t>
      </w:r>
      <w:r w:rsidRPr="00D91870">
        <w:rPr>
          <w:szCs w:val="20"/>
          <w:lang w:val="en-GB"/>
        </w:rPr>
        <w:t>, </w:t>
      </w:r>
      <w:r w:rsidRPr="00D91870">
        <w:rPr>
          <w:i/>
          <w:iCs/>
          <w:szCs w:val="20"/>
          <w:lang w:val="en-GB"/>
        </w:rPr>
        <w:t>9</w:t>
      </w:r>
      <w:r w:rsidRPr="00D91870">
        <w:rPr>
          <w:szCs w:val="20"/>
          <w:lang w:val="en-GB"/>
        </w:rPr>
        <w:t>(2), 147-163.</w:t>
      </w:r>
    </w:p>
    <w:p w:rsidR="004905B3" w:rsidRPr="009D1068" w:rsidRDefault="004905B3" w:rsidP="004905B3">
      <w:pPr>
        <w:pStyle w:val="NoSpacing"/>
        <w:spacing w:line="240" w:lineRule="auto"/>
        <w:rPr>
          <w:szCs w:val="20"/>
          <w:lang w:val="en-GB"/>
        </w:rPr>
      </w:pPr>
    </w:p>
    <w:p w:rsidR="00BF279A" w:rsidRPr="009D1068" w:rsidRDefault="00D91870" w:rsidP="004905B3">
      <w:pPr>
        <w:pStyle w:val="NoSpacing"/>
        <w:spacing w:line="240" w:lineRule="auto"/>
        <w:rPr>
          <w:szCs w:val="20"/>
          <w:lang w:val="en-GB"/>
        </w:rPr>
      </w:pPr>
      <w:r w:rsidRPr="00D91870">
        <w:rPr>
          <w:szCs w:val="20"/>
          <w:lang w:val="en-GB"/>
        </w:rPr>
        <w:t>Maassen, P. (2009). The modernisation of European higher education. In </w:t>
      </w:r>
      <w:r w:rsidRPr="00D91870">
        <w:rPr>
          <w:i/>
          <w:iCs/>
          <w:szCs w:val="20"/>
          <w:lang w:val="en-GB"/>
        </w:rPr>
        <w:t>From governance to identity</w:t>
      </w:r>
      <w:r w:rsidRPr="00D91870">
        <w:rPr>
          <w:szCs w:val="20"/>
          <w:lang w:val="en-GB"/>
        </w:rPr>
        <w:t> (pp. 95-112). Springer Netherlands.</w:t>
      </w:r>
    </w:p>
    <w:p w:rsidR="00BF279A" w:rsidRPr="009D1068" w:rsidRDefault="00BF279A"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Mahoney, J. (2000). Strategies of causal inference in small-N analysis.</w:t>
      </w:r>
      <w:r w:rsidRPr="00D91870">
        <w:rPr>
          <w:i/>
          <w:iCs/>
          <w:szCs w:val="20"/>
          <w:lang w:val="en-GB"/>
        </w:rPr>
        <w:t>Sociological Methods &amp; Research</w:t>
      </w:r>
      <w:r w:rsidRPr="00D91870">
        <w:rPr>
          <w:szCs w:val="20"/>
          <w:lang w:val="en-GB"/>
        </w:rPr>
        <w:t>, </w:t>
      </w:r>
      <w:r w:rsidRPr="00D91870">
        <w:rPr>
          <w:i/>
          <w:iCs/>
          <w:szCs w:val="20"/>
          <w:lang w:val="en-GB"/>
        </w:rPr>
        <w:t>28</w:t>
      </w:r>
      <w:r w:rsidRPr="00D91870">
        <w:rPr>
          <w:szCs w:val="20"/>
          <w:lang w:val="en-GB"/>
        </w:rPr>
        <w:t>(4), 387-424.</w:t>
      </w:r>
    </w:p>
    <w:p w:rsidR="00307363" w:rsidRPr="009D1068" w:rsidRDefault="00307363" w:rsidP="004905B3">
      <w:pPr>
        <w:pStyle w:val="NoSpacing"/>
        <w:spacing w:line="240" w:lineRule="auto"/>
        <w:rPr>
          <w:szCs w:val="20"/>
          <w:lang w:val="en-GB"/>
        </w:rPr>
      </w:pPr>
    </w:p>
    <w:p w:rsidR="00797BB5" w:rsidRPr="009D1068" w:rsidRDefault="00D91870" w:rsidP="00797BB5">
      <w:pPr>
        <w:pStyle w:val="NoSpacing"/>
        <w:spacing w:line="240" w:lineRule="auto"/>
        <w:rPr>
          <w:szCs w:val="20"/>
          <w:lang w:val="en-GB"/>
        </w:rPr>
      </w:pPr>
      <w:r w:rsidRPr="00D91870">
        <w:rPr>
          <w:szCs w:val="20"/>
          <w:lang w:val="en-GB"/>
        </w:rPr>
        <w:t>McCreevy, C. 2008. “Making the Single Market Work Better for Business.” Speech at the “Economist Conference – 2nd Business Roundtable with the European Commission ‘Securing Europe’s Place in the Global Economy’”, Brussels, January 29. Speech 08/49</w:t>
      </w:r>
    </w:p>
    <w:p w:rsidR="00797BB5" w:rsidRPr="009D1068" w:rsidRDefault="00797BB5" w:rsidP="004905B3">
      <w:pPr>
        <w:pStyle w:val="NoSpacing"/>
        <w:spacing w:line="240" w:lineRule="auto"/>
        <w:rPr>
          <w:szCs w:val="20"/>
          <w:lang w:val="en-GB"/>
        </w:rPr>
      </w:pPr>
    </w:p>
    <w:p w:rsidR="00307363" w:rsidRPr="009D1068" w:rsidRDefault="00D91870" w:rsidP="004905B3">
      <w:pPr>
        <w:pStyle w:val="NoSpacing"/>
        <w:spacing w:line="240" w:lineRule="auto"/>
        <w:rPr>
          <w:szCs w:val="20"/>
          <w:lang w:val="en-GB"/>
        </w:rPr>
      </w:pPr>
      <w:r w:rsidRPr="00D91870">
        <w:rPr>
          <w:szCs w:val="20"/>
          <w:lang w:val="en-GB"/>
        </w:rPr>
        <w:t>Mittelman, J. H. (2006). Globalization and development: learning from debates in China. </w:t>
      </w:r>
      <w:r w:rsidRPr="00D91870">
        <w:rPr>
          <w:i/>
          <w:iCs/>
          <w:szCs w:val="20"/>
          <w:lang w:val="en-GB"/>
        </w:rPr>
        <w:t>Globalizations</w:t>
      </w:r>
      <w:r w:rsidRPr="00D91870">
        <w:rPr>
          <w:szCs w:val="20"/>
          <w:lang w:val="en-GB"/>
        </w:rPr>
        <w:t>, </w:t>
      </w:r>
      <w:r w:rsidRPr="00D91870">
        <w:rPr>
          <w:i/>
          <w:iCs/>
          <w:szCs w:val="20"/>
          <w:lang w:val="en-GB"/>
        </w:rPr>
        <w:t>3</w:t>
      </w:r>
      <w:r w:rsidRPr="00D91870">
        <w:rPr>
          <w:szCs w:val="20"/>
          <w:lang w:val="en-GB"/>
        </w:rPr>
        <w:t>(3), 377-391.</w:t>
      </w:r>
    </w:p>
    <w:p w:rsidR="00307363" w:rsidRPr="009D1068" w:rsidRDefault="00307363" w:rsidP="004905B3">
      <w:pPr>
        <w:pStyle w:val="NoSpacing"/>
        <w:spacing w:line="240" w:lineRule="auto"/>
        <w:rPr>
          <w:szCs w:val="20"/>
          <w:lang w:val="en-GB"/>
        </w:rPr>
      </w:pPr>
    </w:p>
    <w:p w:rsidR="00307363" w:rsidRPr="009D1068" w:rsidRDefault="00D91870" w:rsidP="004905B3">
      <w:pPr>
        <w:pStyle w:val="NoSpacing"/>
        <w:spacing w:line="240" w:lineRule="auto"/>
        <w:rPr>
          <w:szCs w:val="20"/>
          <w:lang w:val="en-GB"/>
        </w:rPr>
      </w:pPr>
      <w:r w:rsidRPr="00D91870">
        <w:rPr>
          <w:szCs w:val="20"/>
          <w:lang w:val="en-GB"/>
        </w:rPr>
        <w:t xml:space="preserve">Miyoshi, M. (1998). </w:t>
      </w:r>
      <w:r w:rsidRPr="00D91870">
        <w:rPr>
          <w:i/>
          <w:iCs/>
          <w:szCs w:val="20"/>
          <w:lang w:val="en-GB"/>
        </w:rPr>
        <w:t>Globalization, culture and the University In Jameson, F. and Miyoshi, M. eds., the Cultures of globalization (247-270).</w:t>
      </w:r>
      <w:r w:rsidRPr="00D91870">
        <w:rPr>
          <w:szCs w:val="20"/>
          <w:lang w:val="en-GB"/>
        </w:rPr>
        <w:t xml:space="preserve"> Durham &amp; London: Duke University Press.</w:t>
      </w:r>
    </w:p>
    <w:p w:rsidR="00307363" w:rsidRPr="009D1068" w:rsidRDefault="00307363"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Nölke, A., &amp; Taylor, H. (2007). A Varieties of Capitalism Perspective on the Rise of Challenger Companies-Tentative Exploration of the Case of" Multilatinas.</w:t>
      </w:r>
      <w:r w:rsidRPr="00D91870">
        <w:rPr>
          <w:i/>
          <w:iCs/>
          <w:szCs w:val="20"/>
          <w:lang w:val="en-GB"/>
        </w:rPr>
        <w:t>Frankfurt, Johann Wolfgang Goethe Universität</w:t>
      </w:r>
      <w:r w:rsidRPr="00D91870">
        <w:rPr>
          <w:szCs w:val="20"/>
          <w:lang w:val="en-GB"/>
        </w:rPr>
        <w:t>.</w:t>
      </w:r>
    </w:p>
    <w:p w:rsidR="004905B3" w:rsidRPr="009D1068" w:rsidRDefault="004905B3"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Nölke, A., &amp; Vliegenthart, A. (2009). Enlarging the varieties of capitalism: the emergence of dependent market economies in East Central Europe. </w:t>
      </w:r>
      <w:r w:rsidRPr="00D91870">
        <w:rPr>
          <w:i/>
          <w:iCs/>
          <w:szCs w:val="20"/>
          <w:lang w:val="en-GB"/>
        </w:rPr>
        <w:t>World Politics</w:t>
      </w:r>
      <w:r w:rsidRPr="00D91870">
        <w:rPr>
          <w:szCs w:val="20"/>
          <w:lang w:val="en-GB"/>
        </w:rPr>
        <w:t>, </w:t>
      </w:r>
      <w:r w:rsidRPr="00D91870">
        <w:rPr>
          <w:i/>
          <w:iCs/>
          <w:szCs w:val="20"/>
          <w:lang w:val="en-GB"/>
        </w:rPr>
        <w:t>61</w:t>
      </w:r>
      <w:r w:rsidRPr="00D91870">
        <w:rPr>
          <w:szCs w:val="20"/>
          <w:lang w:val="en-GB"/>
        </w:rPr>
        <w:t>(4), 670-702.</w:t>
      </w:r>
    </w:p>
    <w:p w:rsidR="004905B3" w:rsidRPr="009D1068" w:rsidRDefault="004905B3"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NRC.nl (2007) Plasterk overweegt hoger collegegeld masterstudie http://vorige.nrc.nl/binnenland/ article1856111.ece. Found on 04-06-2015.</w:t>
      </w:r>
    </w:p>
    <w:p w:rsidR="00443177" w:rsidRPr="009D1068" w:rsidRDefault="00443177" w:rsidP="004905B3">
      <w:pPr>
        <w:pStyle w:val="NoSpacing"/>
        <w:spacing w:line="240" w:lineRule="auto"/>
        <w:rPr>
          <w:szCs w:val="20"/>
          <w:lang w:val="en-GB"/>
        </w:rPr>
      </w:pPr>
    </w:p>
    <w:p w:rsidR="00443177" w:rsidRPr="009D1068" w:rsidRDefault="00D91870" w:rsidP="004905B3">
      <w:pPr>
        <w:pStyle w:val="NoSpacing"/>
        <w:spacing w:line="240" w:lineRule="auto"/>
        <w:rPr>
          <w:szCs w:val="20"/>
          <w:lang w:val="en-GB"/>
        </w:rPr>
      </w:pPr>
      <w:r w:rsidRPr="00D91870">
        <w:rPr>
          <w:szCs w:val="20"/>
          <w:lang w:val="en-GB"/>
        </w:rPr>
        <w:t>Olssen, M., Codd, J. A., &amp; O'Neill, A. M. (2004). </w:t>
      </w:r>
      <w:r w:rsidRPr="00D91870">
        <w:rPr>
          <w:i/>
          <w:iCs/>
          <w:szCs w:val="20"/>
          <w:lang w:val="en-GB"/>
        </w:rPr>
        <w:t>Education policy: Globalization, citizenship and democracy</w:t>
      </w:r>
      <w:r w:rsidRPr="00D91870">
        <w:rPr>
          <w:szCs w:val="20"/>
          <w:lang w:val="en-GB"/>
        </w:rPr>
        <w:t>. Sage.</w:t>
      </w:r>
    </w:p>
    <w:p w:rsidR="004905B3" w:rsidRPr="009D1068" w:rsidRDefault="004905B3" w:rsidP="004905B3">
      <w:pPr>
        <w:pStyle w:val="NoSpacing"/>
        <w:spacing w:line="240" w:lineRule="auto"/>
        <w:rPr>
          <w:szCs w:val="20"/>
          <w:lang w:val="en-GB"/>
        </w:rPr>
      </w:pPr>
    </w:p>
    <w:p w:rsidR="00797BB5" w:rsidRPr="009D1068" w:rsidRDefault="00D91870" w:rsidP="00797BB5">
      <w:pPr>
        <w:pStyle w:val="NoSpacing"/>
        <w:spacing w:line="240" w:lineRule="auto"/>
        <w:rPr>
          <w:szCs w:val="20"/>
          <w:lang w:val="en-GB"/>
        </w:rPr>
      </w:pPr>
      <w:r w:rsidRPr="00D91870">
        <w:rPr>
          <w:szCs w:val="20"/>
          <w:lang w:val="en-GB"/>
        </w:rPr>
        <w:t>Parsons, C. 2010. “Revisiting the Single European Act (and the Common Wisdom on Globalization).” Comparative Political Studies 43 (6): 706–734.</w:t>
      </w:r>
    </w:p>
    <w:p w:rsidR="00797BB5" w:rsidRPr="009D1068" w:rsidRDefault="00797BB5"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Peck, J., &amp; Theodore, N. (2007). Variegated capitalism. </w:t>
      </w:r>
      <w:r w:rsidRPr="00D91870">
        <w:rPr>
          <w:i/>
          <w:iCs/>
          <w:szCs w:val="20"/>
          <w:lang w:val="en-GB"/>
        </w:rPr>
        <w:t>Progress in human geography</w:t>
      </w:r>
      <w:r w:rsidRPr="00D91870">
        <w:rPr>
          <w:szCs w:val="20"/>
          <w:lang w:val="en-GB"/>
        </w:rPr>
        <w:t>, </w:t>
      </w:r>
      <w:r w:rsidRPr="00D91870">
        <w:rPr>
          <w:i/>
          <w:iCs/>
          <w:szCs w:val="20"/>
          <w:lang w:val="en-GB"/>
        </w:rPr>
        <w:t>31</w:t>
      </w:r>
      <w:r w:rsidRPr="00D91870">
        <w:rPr>
          <w:szCs w:val="20"/>
          <w:lang w:val="en-GB"/>
        </w:rPr>
        <w:t>(6), 731-772.</w:t>
      </w:r>
    </w:p>
    <w:p w:rsidR="004905B3" w:rsidRPr="009D1068" w:rsidRDefault="004905B3" w:rsidP="004905B3">
      <w:pPr>
        <w:pStyle w:val="NoSpacing"/>
        <w:spacing w:line="240" w:lineRule="auto"/>
        <w:rPr>
          <w:szCs w:val="20"/>
          <w:lang w:val="en-GB"/>
        </w:rPr>
      </w:pPr>
    </w:p>
    <w:p w:rsidR="00307363" w:rsidRPr="009D1068" w:rsidRDefault="00D91870" w:rsidP="00307363">
      <w:pPr>
        <w:pStyle w:val="NoSpacing"/>
        <w:rPr>
          <w:szCs w:val="20"/>
          <w:lang w:val="en-GB"/>
        </w:rPr>
      </w:pPr>
      <w:r w:rsidRPr="00D91870">
        <w:rPr>
          <w:szCs w:val="20"/>
          <w:lang w:val="en-GB"/>
        </w:rPr>
        <w:t xml:space="preserve">Pilger, J. (2002). </w:t>
      </w:r>
      <w:r w:rsidRPr="00D91870">
        <w:rPr>
          <w:i/>
          <w:iCs/>
          <w:szCs w:val="20"/>
          <w:lang w:val="en-GB"/>
        </w:rPr>
        <w:t>The new rulers of the World.</w:t>
      </w:r>
      <w:r w:rsidRPr="00D91870">
        <w:rPr>
          <w:szCs w:val="20"/>
          <w:lang w:val="en-GB"/>
        </w:rPr>
        <w:t xml:space="preserve"> London: Verso.</w:t>
      </w:r>
    </w:p>
    <w:p w:rsidR="00797BB5" w:rsidRPr="009D1068" w:rsidRDefault="00D91870" w:rsidP="00797BB5">
      <w:pPr>
        <w:pStyle w:val="NoSpacing"/>
        <w:spacing w:line="240" w:lineRule="auto"/>
        <w:rPr>
          <w:szCs w:val="20"/>
          <w:lang w:val="en-GB"/>
        </w:rPr>
      </w:pPr>
      <w:r w:rsidRPr="00D91870">
        <w:rPr>
          <w:szCs w:val="20"/>
          <w:lang w:val="en-GB"/>
        </w:rPr>
        <w:t>Powell, J. J., &amp; Solga, H. (2008). </w:t>
      </w:r>
      <w:r w:rsidRPr="00D91870">
        <w:rPr>
          <w:i/>
          <w:iCs/>
          <w:szCs w:val="20"/>
          <w:lang w:val="en-GB"/>
        </w:rPr>
        <w:t>Internationalization of vocational and higher education systems: a comparative-institutional approach</w:t>
      </w:r>
      <w:r w:rsidRPr="00D91870">
        <w:rPr>
          <w:szCs w:val="20"/>
          <w:lang w:val="en-GB"/>
        </w:rPr>
        <w:t> (No. SP I 2008-501). Discussion paper//Wissenschaftszentrum Berlin für Sozialforschung (WZB), Forschungsschwerpunkt Bildung, Arbeit und Lebenschancen, Abteilung Ausbildung und Arbeitsmarkt.</w:t>
      </w:r>
    </w:p>
    <w:p w:rsidR="009A3D6C" w:rsidRPr="009D1068" w:rsidRDefault="009A3D6C"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Price, R. (1998). Reversing the gun sights: transnational civil society targets land mines. </w:t>
      </w:r>
      <w:r w:rsidRPr="00D91870">
        <w:rPr>
          <w:i/>
          <w:iCs/>
          <w:szCs w:val="20"/>
          <w:lang w:val="en-GB"/>
        </w:rPr>
        <w:t>International Organization</w:t>
      </w:r>
      <w:r w:rsidRPr="00D91870">
        <w:rPr>
          <w:szCs w:val="20"/>
          <w:lang w:val="en-GB"/>
        </w:rPr>
        <w:t>, </w:t>
      </w:r>
      <w:r w:rsidRPr="00D91870">
        <w:rPr>
          <w:i/>
          <w:iCs/>
          <w:szCs w:val="20"/>
          <w:lang w:val="en-GB"/>
        </w:rPr>
        <w:t>52</w:t>
      </w:r>
      <w:r w:rsidRPr="00D91870">
        <w:rPr>
          <w:szCs w:val="20"/>
          <w:lang w:val="en-GB"/>
        </w:rPr>
        <w:t>(3), 613-644.</w:t>
      </w:r>
    </w:p>
    <w:p w:rsidR="0049405C" w:rsidRPr="009D1068" w:rsidRDefault="0049405C"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Rae, D. (2010). Universities and enterprise education: responding to the challenges of the new era. </w:t>
      </w:r>
      <w:r w:rsidRPr="00D91870">
        <w:rPr>
          <w:i/>
          <w:iCs/>
          <w:szCs w:val="20"/>
          <w:lang w:val="en-GB"/>
        </w:rPr>
        <w:t>Journal of Small Business and Enterprise Development</w:t>
      </w:r>
      <w:r w:rsidRPr="00D91870">
        <w:rPr>
          <w:szCs w:val="20"/>
          <w:lang w:val="en-GB"/>
        </w:rPr>
        <w:t>, </w:t>
      </w:r>
      <w:r w:rsidRPr="00D91870">
        <w:rPr>
          <w:i/>
          <w:iCs/>
          <w:szCs w:val="20"/>
          <w:lang w:val="en-GB"/>
        </w:rPr>
        <w:t>17</w:t>
      </w:r>
      <w:r w:rsidRPr="00D91870">
        <w:rPr>
          <w:szCs w:val="20"/>
          <w:lang w:val="en-GB"/>
        </w:rPr>
        <w:t>(4), 591-606.</w:t>
      </w:r>
    </w:p>
    <w:p w:rsidR="0049405C" w:rsidRPr="009D1068" w:rsidRDefault="0049405C" w:rsidP="004905B3">
      <w:pPr>
        <w:pStyle w:val="NoSpacing"/>
        <w:spacing w:line="240" w:lineRule="auto"/>
        <w:rPr>
          <w:szCs w:val="20"/>
          <w:lang w:val="en-GB"/>
        </w:rPr>
      </w:pPr>
    </w:p>
    <w:p w:rsidR="00307363" w:rsidRPr="009D1068" w:rsidRDefault="00D91870" w:rsidP="00307363">
      <w:pPr>
        <w:pStyle w:val="NoSpacing"/>
        <w:rPr>
          <w:szCs w:val="20"/>
          <w:lang w:val="en-GB"/>
        </w:rPr>
      </w:pPr>
      <w:r w:rsidRPr="00D91870">
        <w:rPr>
          <w:szCs w:val="20"/>
          <w:lang w:val="en-GB"/>
        </w:rPr>
        <w:t xml:space="preserve">Reich, R. (1991). </w:t>
      </w:r>
      <w:r w:rsidRPr="00D91870">
        <w:rPr>
          <w:i/>
          <w:iCs/>
          <w:szCs w:val="20"/>
          <w:lang w:val="en-GB"/>
        </w:rPr>
        <w:t>The work of nations: Preparing ourselves for the 21st century.</w:t>
      </w:r>
      <w:r w:rsidRPr="00D91870">
        <w:rPr>
          <w:szCs w:val="20"/>
          <w:lang w:val="en-GB"/>
        </w:rPr>
        <w:t xml:space="preserve"> New York, USA: Vintage.</w:t>
      </w:r>
    </w:p>
    <w:p w:rsidR="004905B3" w:rsidRPr="009D1068" w:rsidRDefault="00D91870" w:rsidP="004905B3">
      <w:pPr>
        <w:pStyle w:val="NoSpacing"/>
        <w:spacing w:line="240" w:lineRule="auto"/>
        <w:rPr>
          <w:szCs w:val="20"/>
          <w:lang w:val="en-GB"/>
        </w:rPr>
      </w:pPr>
      <w:r w:rsidRPr="00D91870">
        <w:rPr>
          <w:szCs w:val="20"/>
          <w:lang w:val="en-GB"/>
        </w:rPr>
        <w:t>Risse, T. (2004). Social constructivism and European integration. </w:t>
      </w:r>
      <w:r w:rsidRPr="00D91870">
        <w:rPr>
          <w:i/>
          <w:iCs/>
          <w:szCs w:val="20"/>
          <w:lang w:val="en-GB"/>
        </w:rPr>
        <w:t>European integration theory</w:t>
      </w:r>
      <w:r w:rsidRPr="00D91870">
        <w:rPr>
          <w:szCs w:val="20"/>
          <w:lang w:val="en-GB"/>
        </w:rPr>
        <w:t>, 159-176.</w:t>
      </w:r>
    </w:p>
    <w:p w:rsidR="004905B3" w:rsidRPr="009D1068" w:rsidRDefault="004905B3"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Risse, T., &amp; Sikkink, K. (1999). The socialization of international human rights norms into domestic practices: introduction. </w:t>
      </w:r>
      <w:r w:rsidRPr="00D91870">
        <w:rPr>
          <w:i/>
          <w:iCs/>
          <w:szCs w:val="20"/>
          <w:lang w:val="en-GB"/>
        </w:rPr>
        <w:t>CAMBRIDGE STUDIES IN INTERNATIONAL RELATIONS</w:t>
      </w:r>
      <w:r w:rsidRPr="00D91870">
        <w:rPr>
          <w:szCs w:val="20"/>
          <w:lang w:val="en-GB"/>
        </w:rPr>
        <w:t>, </w:t>
      </w:r>
      <w:r w:rsidRPr="00D91870">
        <w:rPr>
          <w:i/>
          <w:iCs/>
          <w:szCs w:val="20"/>
          <w:lang w:val="en-GB"/>
        </w:rPr>
        <w:t>66</w:t>
      </w:r>
      <w:r w:rsidRPr="00D91870">
        <w:rPr>
          <w:szCs w:val="20"/>
          <w:lang w:val="en-GB"/>
        </w:rPr>
        <w:t>, 1-38.</w:t>
      </w:r>
    </w:p>
    <w:p w:rsidR="004905B3" w:rsidRPr="009D1068" w:rsidRDefault="004905B3" w:rsidP="004905B3">
      <w:pPr>
        <w:pStyle w:val="NoSpacing"/>
        <w:spacing w:line="240" w:lineRule="auto"/>
        <w:rPr>
          <w:szCs w:val="20"/>
          <w:lang w:val="en-GB"/>
        </w:rPr>
      </w:pPr>
    </w:p>
    <w:p w:rsidR="00BF279A" w:rsidRPr="009D1068" w:rsidRDefault="00D91870" w:rsidP="004905B3">
      <w:pPr>
        <w:pStyle w:val="NoSpacing"/>
        <w:spacing w:line="240" w:lineRule="auto"/>
        <w:rPr>
          <w:szCs w:val="20"/>
          <w:lang w:val="en-GB"/>
        </w:rPr>
      </w:pPr>
      <w:r w:rsidRPr="00D91870">
        <w:rPr>
          <w:szCs w:val="20"/>
          <w:lang w:val="en-GB"/>
        </w:rPr>
        <w:t>Robertson, S. (2006). The politics of constructing (a competitive) Europe (an) through internationalising higher education: strategy, structures, subjects.</w:t>
      </w:r>
      <w:r w:rsidRPr="00D91870">
        <w:rPr>
          <w:i/>
          <w:iCs/>
          <w:szCs w:val="20"/>
          <w:lang w:val="en-GB"/>
        </w:rPr>
        <w:t>Perspectives in Education: Internationalisation of higher education: Global challenges, regional impacts and national responses: Special Issue 4</w:t>
      </w:r>
      <w:r w:rsidRPr="00D91870">
        <w:rPr>
          <w:szCs w:val="20"/>
          <w:lang w:val="en-GB"/>
        </w:rPr>
        <w:t>, </w:t>
      </w:r>
      <w:r w:rsidRPr="00D91870">
        <w:rPr>
          <w:i/>
          <w:iCs/>
          <w:szCs w:val="20"/>
          <w:lang w:val="en-GB"/>
        </w:rPr>
        <w:t>24</w:t>
      </w:r>
      <w:r w:rsidRPr="00D91870">
        <w:rPr>
          <w:szCs w:val="20"/>
          <w:lang w:val="en-GB"/>
        </w:rPr>
        <w:t>, p-29.</w:t>
      </w:r>
    </w:p>
    <w:p w:rsidR="00BF279A" w:rsidRPr="009D1068" w:rsidRDefault="00BF279A" w:rsidP="004905B3">
      <w:pPr>
        <w:pStyle w:val="NoSpacing"/>
        <w:spacing w:line="240" w:lineRule="auto"/>
        <w:rPr>
          <w:szCs w:val="20"/>
          <w:lang w:val="en-GB"/>
        </w:rPr>
      </w:pPr>
    </w:p>
    <w:p w:rsidR="004905B3" w:rsidRPr="003D5612" w:rsidRDefault="00D91870" w:rsidP="004905B3">
      <w:pPr>
        <w:pStyle w:val="NoSpacing"/>
        <w:spacing w:line="240" w:lineRule="auto"/>
        <w:rPr>
          <w:szCs w:val="20"/>
          <w:lang w:val="nl-NL"/>
        </w:rPr>
      </w:pPr>
      <w:r w:rsidRPr="00D91870">
        <w:rPr>
          <w:szCs w:val="20"/>
          <w:lang w:val="en-GB"/>
        </w:rPr>
        <w:t>Ruggie, J. G. (1998). What makes the world hang together? Neo-utilitarianism and the social constructivist challenge. </w:t>
      </w:r>
      <w:r w:rsidRPr="003D5612">
        <w:rPr>
          <w:i/>
          <w:iCs/>
          <w:szCs w:val="20"/>
          <w:lang w:val="nl-NL"/>
        </w:rPr>
        <w:t>International organization</w:t>
      </w:r>
      <w:r w:rsidRPr="003D5612">
        <w:rPr>
          <w:szCs w:val="20"/>
          <w:lang w:val="nl-NL"/>
        </w:rPr>
        <w:t>, </w:t>
      </w:r>
      <w:r w:rsidRPr="003D5612">
        <w:rPr>
          <w:i/>
          <w:iCs/>
          <w:szCs w:val="20"/>
          <w:lang w:val="nl-NL"/>
        </w:rPr>
        <w:t>52</w:t>
      </w:r>
      <w:r w:rsidRPr="003D5612">
        <w:rPr>
          <w:szCs w:val="20"/>
          <w:lang w:val="nl-NL"/>
        </w:rPr>
        <w:t>(4), 855-885.</w:t>
      </w:r>
    </w:p>
    <w:p w:rsidR="004905B3" w:rsidRPr="003D5612" w:rsidRDefault="004905B3" w:rsidP="004905B3">
      <w:pPr>
        <w:pStyle w:val="NoSpacing"/>
        <w:spacing w:line="240" w:lineRule="auto"/>
        <w:rPr>
          <w:szCs w:val="20"/>
          <w:lang w:val="nl-NL"/>
        </w:rPr>
      </w:pPr>
    </w:p>
    <w:p w:rsidR="004905B3" w:rsidRPr="003D5612" w:rsidRDefault="00D91870" w:rsidP="004905B3">
      <w:pPr>
        <w:pStyle w:val="NoSpacing"/>
        <w:spacing w:line="240" w:lineRule="auto"/>
        <w:rPr>
          <w:bCs/>
          <w:szCs w:val="20"/>
          <w:lang w:val="nl-NL"/>
        </w:rPr>
      </w:pPr>
      <w:r w:rsidRPr="003D5612">
        <w:rPr>
          <w:szCs w:val="20"/>
          <w:lang w:val="nl-NL"/>
        </w:rPr>
        <w:t xml:space="preserve">Rutte, M. (2011) </w:t>
      </w:r>
      <w:r w:rsidRPr="003D5612">
        <w:rPr>
          <w:bCs/>
          <w:szCs w:val="20"/>
          <w:lang w:val="nl-NL"/>
        </w:rPr>
        <w:t>Werkbezoek minister-president Rutte in het teken van innovatie en ondernemerschap aan de Universiteit Twente (4-4-2011)</w:t>
      </w:r>
    </w:p>
    <w:p w:rsidR="00443177" w:rsidRPr="003D5612" w:rsidRDefault="00443177" w:rsidP="004905B3">
      <w:pPr>
        <w:pStyle w:val="NoSpacing"/>
        <w:spacing w:line="240" w:lineRule="auto"/>
        <w:rPr>
          <w:bCs/>
          <w:szCs w:val="20"/>
          <w:lang w:val="nl-NL"/>
        </w:rPr>
      </w:pPr>
    </w:p>
    <w:p w:rsidR="00BF4586" w:rsidRPr="00725272" w:rsidRDefault="00D91870" w:rsidP="004905B3">
      <w:pPr>
        <w:pStyle w:val="NoSpacing"/>
        <w:spacing w:line="240" w:lineRule="auto"/>
        <w:rPr>
          <w:bCs/>
          <w:szCs w:val="20"/>
          <w:lang w:val="en-GB"/>
        </w:rPr>
      </w:pPr>
      <w:r w:rsidRPr="00D91870">
        <w:rPr>
          <w:bCs/>
          <w:szCs w:val="20"/>
          <w:lang w:val="en-GB"/>
        </w:rPr>
        <w:t>Sampat, B. N., Mowery, D. C., &amp; Ziedonis, A. A. (2003). Changes in university patent quality after the Bayh–Dole act: a re-examination. </w:t>
      </w:r>
      <w:r w:rsidR="00BF4586" w:rsidRPr="009D1068">
        <w:rPr>
          <w:bCs/>
          <w:i/>
          <w:iCs/>
          <w:szCs w:val="20"/>
          <w:lang w:val="en-GB"/>
        </w:rPr>
        <w:t>International Journal of Industrial Organization</w:t>
      </w:r>
      <w:r w:rsidR="00BF4586" w:rsidRPr="009D1068">
        <w:rPr>
          <w:bCs/>
          <w:szCs w:val="20"/>
          <w:lang w:val="en-GB"/>
        </w:rPr>
        <w:t>, </w:t>
      </w:r>
      <w:r w:rsidR="00BF4586" w:rsidRPr="00726C5F">
        <w:rPr>
          <w:bCs/>
          <w:i/>
          <w:iCs/>
          <w:szCs w:val="20"/>
          <w:lang w:val="en-GB"/>
        </w:rPr>
        <w:t>21</w:t>
      </w:r>
      <w:r w:rsidR="00BF4586" w:rsidRPr="00725272">
        <w:rPr>
          <w:bCs/>
          <w:szCs w:val="20"/>
          <w:lang w:val="en-GB"/>
        </w:rPr>
        <w:t>(9), 1371-1390.</w:t>
      </w:r>
    </w:p>
    <w:p w:rsidR="00BF4586" w:rsidRPr="00033187" w:rsidRDefault="00BF4586" w:rsidP="004905B3">
      <w:pPr>
        <w:pStyle w:val="NoSpacing"/>
        <w:spacing w:line="240" w:lineRule="auto"/>
        <w:rPr>
          <w:bCs/>
          <w:szCs w:val="20"/>
          <w:lang w:val="en-GB"/>
        </w:rPr>
      </w:pPr>
    </w:p>
    <w:p w:rsidR="00797BB5" w:rsidRPr="009D1068" w:rsidRDefault="00D91870" w:rsidP="00797BB5">
      <w:pPr>
        <w:pStyle w:val="NoSpacing"/>
        <w:spacing w:line="240" w:lineRule="auto"/>
        <w:rPr>
          <w:bCs/>
          <w:szCs w:val="20"/>
          <w:lang w:val="en-GB"/>
        </w:rPr>
      </w:pPr>
      <w:r w:rsidRPr="00D91870">
        <w:rPr>
          <w:bCs/>
          <w:szCs w:val="20"/>
          <w:lang w:val="en-GB"/>
        </w:rPr>
        <w:t>Sandholtz W (2008) Dynamics of international norm change. European Journal of International Relations 14(1): 101–131.</w:t>
      </w:r>
    </w:p>
    <w:p w:rsidR="00797BB5" w:rsidRPr="009D1068" w:rsidRDefault="00797BB5" w:rsidP="004905B3">
      <w:pPr>
        <w:pStyle w:val="NoSpacing"/>
        <w:spacing w:line="240" w:lineRule="auto"/>
        <w:rPr>
          <w:bCs/>
          <w:szCs w:val="20"/>
          <w:lang w:val="en-GB"/>
        </w:rPr>
      </w:pPr>
    </w:p>
    <w:p w:rsidR="00307363" w:rsidRPr="009D1068" w:rsidRDefault="00D91870" w:rsidP="008C643D">
      <w:pPr>
        <w:pStyle w:val="NoSpacing"/>
        <w:spacing w:line="240" w:lineRule="auto"/>
        <w:rPr>
          <w:bCs/>
          <w:szCs w:val="20"/>
          <w:lang w:val="en-GB"/>
        </w:rPr>
      </w:pPr>
      <w:r w:rsidRPr="00D91870">
        <w:rPr>
          <w:bCs/>
          <w:szCs w:val="20"/>
          <w:lang w:val="en-GB"/>
        </w:rPr>
        <w:t xml:space="preserve">Shore, C. (2010). Beyond the Multiversity: neoliberalism and the rise of the schizophrenic university. </w:t>
      </w:r>
      <w:r w:rsidRPr="00D91870">
        <w:rPr>
          <w:bCs/>
          <w:i/>
          <w:iCs/>
          <w:szCs w:val="20"/>
          <w:lang w:val="en-GB"/>
        </w:rPr>
        <w:t>Social anthropology</w:t>
      </w:r>
      <w:r w:rsidRPr="00D91870">
        <w:rPr>
          <w:bCs/>
          <w:szCs w:val="20"/>
          <w:lang w:val="en-GB"/>
        </w:rPr>
        <w:t>, 15-29.</w:t>
      </w:r>
    </w:p>
    <w:p w:rsidR="004905B3" w:rsidRPr="009D1068" w:rsidRDefault="004905B3" w:rsidP="004905B3">
      <w:pPr>
        <w:pStyle w:val="NoSpacing"/>
        <w:spacing w:line="240" w:lineRule="auto"/>
        <w:rPr>
          <w:b/>
          <w:bCs/>
          <w:szCs w:val="20"/>
          <w:lang w:val="en-GB"/>
        </w:rPr>
      </w:pPr>
    </w:p>
    <w:p w:rsidR="004905B3" w:rsidRPr="009D1068" w:rsidRDefault="00D91870" w:rsidP="004905B3">
      <w:pPr>
        <w:pStyle w:val="NoSpacing"/>
        <w:spacing w:line="240" w:lineRule="auto"/>
        <w:rPr>
          <w:szCs w:val="20"/>
          <w:lang w:val="en-GB"/>
        </w:rPr>
      </w:pPr>
      <w:r w:rsidRPr="00D91870">
        <w:rPr>
          <w:szCs w:val="20"/>
          <w:lang w:val="en-GB"/>
        </w:rPr>
        <w:t>Smith, S. (1999). Social constructivisms and European studies: a reflectivist critique. </w:t>
      </w:r>
      <w:r w:rsidRPr="00D91870">
        <w:rPr>
          <w:i/>
          <w:iCs/>
          <w:szCs w:val="20"/>
          <w:lang w:val="en-GB"/>
        </w:rPr>
        <w:t>Journal of European Public Policy</w:t>
      </w:r>
      <w:r w:rsidRPr="00D91870">
        <w:rPr>
          <w:szCs w:val="20"/>
          <w:lang w:val="en-GB"/>
        </w:rPr>
        <w:t>, </w:t>
      </w:r>
      <w:r w:rsidRPr="00D91870">
        <w:rPr>
          <w:i/>
          <w:iCs/>
          <w:szCs w:val="20"/>
          <w:lang w:val="en-GB"/>
        </w:rPr>
        <w:t>6</w:t>
      </w:r>
      <w:r w:rsidRPr="00D91870">
        <w:rPr>
          <w:szCs w:val="20"/>
          <w:lang w:val="en-GB"/>
        </w:rPr>
        <w:t>(4), 682-691.</w:t>
      </w:r>
    </w:p>
    <w:p w:rsidR="004905B3" w:rsidRPr="009D1068" w:rsidRDefault="004905B3" w:rsidP="004905B3">
      <w:pPr>
        <w:pStyle w:val="NoSpacing"/>
        <w:spacing w:line="240" w:lineRule="auto"/>
        <w:rPr>
          <w:szCs w:val="20"/>
          <w:lang w:val="en-GB"/>
        </w:rPr>
      </w:pPr>
    </w:p>
    <w:p w:rsidR="00307363" w:rsidRPr="009D1068" w:rsidRDefault="00D91870" w:rsidP="004905B3">
      <w:pPr>
        <w:pStyle w:val="NoSpacing"/>
        <w:spacing w:line="240" w:lineRule="auto"/>
        <w:rPr>
          <w:szCs w:val="20"/>
          <w:lang w:val="en-GB"/>
        </w:rPr>
      </w:pPr>
      <w:r w:rsidRPr="00D91870">
        <w:rPr>
          <w:szCs w:val="20"/>
          <w:lang w:val="en-GB"/>
        </w:rPr>
        <w:t>Stiglitz, J. E. (2002). Information and the Change in the Paradigm in Economics. </w:t>
      </w:r>
      <w:r w:rsidRPr="00D91870">
        <w:rPr>
          <w:i/>
          <w:iCs/>
          <w:szCs w:val="20"/>
          <w:lang w:val="en-GB"/>
        </w:rPr>
        <w:t>American Economic Review</w:t>
      </w:r>
      <w:r w:rsidRPr="00D91870">
        <w:rPr>
          <w:szCs w:val="20"/>
          <w:lang w:val="en-GB"/>
        </w:rPr>
        <w:t>, 460-501.</w:t>
      </w:r>
    </w:p>
    <w:p w:rsidR="00D71652" w:rsidRPr="009D1068" w:rsidRDefault="00D71652" w:rsidP="004905B3">
      <w:pPr>
        <w:pStyle w:val="NoSpacing"/>
        <w:spacing w:line="240" w:lineRule="auto"/>
        <w:rPr>
          <w:szCs w:val="20"/>
          <w:lang w:val="en-GB"/>
        </w:rPr>
      </w:pPr>
    </w:p>
    <w:p w:rsidR="004905B3" w:rsidRPr="009D1068" w:rsidRDefault="00D91870" w:rsidP="004905B3">
      <w:pPr>
        <w:pStyle w:val="NoSpacing"/>
        <w:spacing w:line="240" w:lineRule="auto"/>
        <w:rPr>
          <w:szCs w:val="20"/>
          <w:shd w:val="clear" w:color="auto" w:fill="FFFFFF"/>
          <w:lang w:val="en-GB"/>
        </w:rPr>
      </w:pPr>
      <w:r w:rsidRPr="00D91870">
        <w:rPr>
          <w:szCs w:val="20"/>
          <w:shd w:val="clear" w:color="auto" w:fill="FFFFFF"/>
          <w:lang w:val="en-GB"/>
        </w:rPr>
        <w:t>Sursock, A., Smidt, H., &amp; Davies, H. (2010).</w:t>
      </w:r>
      <w:r w:rsidRPr="00D91870">
        <w:rPr>
          <w:rStyle w:val="apple-converted-space"/>
          <w:szCs w:val="20"/>
          <w:shd w:val="clear" w:color="auto" w:fill="FFFFFF"/>
          <w:lang w:val="en-GB"/>
        </w:rPr>
        <w:t> </w:t>
      </w:r>
      <w:r w:rsidRPr="00D91870">
        <w:rPr>
          <w:szCs w:val="20"/>
          <w:shd w:val="clear" w:color="auto" w:fill="FFFFFF"/>
          <w:lang w:val="en-GB"/>
        </w:rPr>
        <w:t>Trends 2010: A decade of change in European Higher Education. Brussels: European University Association.</w:t>
      </w:r>
    </w:p>
    <w:p w:rsidR="00D71652" w:rsidRPr="009D1068" w:rsidRDefault="00D71652" w:rsidP="004905B3">
      <w:pPr>
        <w:pStyle w:val="NoSpacing"/>
        <w:spacing w:line="240" w:lineRule="auto"/>
        <w:rPr>
          <w:szCs w:val="20"/>
          <w:shd w:val="clear" w:color="auto" w:fill="FFFFFF"/>
          <w:lang w:val="en-GB"/>
        </w:rPr>
      </w:pPr>
    </w:p>
    <w:p w:rsidR="004905B3" w:rsidRPr="009D1068" w:rsidRDefault="00D91870" w:rsidP="004905B3">
      <w:pPr>
        <w:pStyle w:val="NoSpacing"/>
        <w:spacing w:line="240" w:lineRule="auto"/>
        <w:rPr>
          <w:szCs w:val="20"/>
          <w:lang w:val="en-GB"/>
        </w:rPr>
      </w:pPr>
      <w:r w:rsidRPr="00D91870">
        <w:rPr>
          <w:szCs w:val="20"/>
          <w:lang w:val="en-GB"/>
        </w:rPr>
        <w:t>Theodoropoulou, S. (2010). Skills and education for growth and well-being in Europe 2020: are we on the right path. </w:t>
      </w:r>
      <w:r w:rsidRPr="00D91870">
        <w:rPr>
          <w:i/>
          <w:iCs/>
          <w:szCs w:val="20"/>
          <w:lang w:val="en-GB"/>
        </w:rPr>
        <w:t>EPC Issue Paper</w:t>
      </w:r>
      <w:r w:rsidRPr="00D91870">
        <w:rPr>
          <w:szCs w:val="20"/>
          <w:lang w:val="en-GB"/>
        </w:rPr>
        <w:t>, (61).</w:t>
      </w:r>
    </w:p>
    <w:p w:rsidR="003573D5" w:rsidRPr="009D1068" w:rsidRDefault="003573D5" w:rsidP="004905B3">
      <w:pPr>
        <w:pStyle w:val="NoSpacing"/>
        <w:spacing w:line="240" w:lineRule="auto"/>
        <w:rPr>
          <w:szCs w:val="20"/>
          <w:lang w:val="en-GB"/>
        </w:rPr>
      </w:pPr>
    </w:p>
    <w:p w:rsidR="003573D5" w:rsidRPr="009D1068" w:rsidRDefault="00D91870" w:rsidP="004905B3">
      <w:pPr>
        <w:pStyle w:val="NoSpacing"/>
        <w:spacing w:line="240" w:lineRule="auto"/>
        <w:rPr>
          <w:szCs w:val="20"/>
          <w:lang w:val="en-GB"/>
        </w:rPr>
      </w:pPr>
      <w:r w:rsidRPr="00D91870">
        <w:rPr>
          <w:szCs w:val="20"/>
          <w:lang w:val="en-GB"/>
        </w:rPr>
        <w:t>Thelen, K. (2012). Varieties of capitalism: Trajectories of liberalization and the new politics of social solidarity. </w:t>
      </w:r>
      <w:r w:rsidRPr="00D91870">
        <w:rPr>
          <w:i/>
          <w:iCs/>
          <w:szCs w:val="20"/>
          <w:lang w:val="en-GB"/>
        </w:rPr>
        <w:t>Annual Review of Political Science</w:t>
      </w:r>
      <w:r w:rsidRPr="00D91870">
        <w:rPr>
          <w:szCs w:val="20"/>
          <w:lang w:val="en-GB"/>
        </w:rPr>
        <w:t>, </w:t>
      </w:r>
      <w:r w:rsidRPr="00D91870">
        <w:rPr>
          <w:i/>
          <w:iCs/>
          <w:szCs w:val="20"/>
          <w:lang w:val="en-GB"/>
        </w:rPr>
        <w:t>15</w:t>
      </w:r>
      <w:r w:rsidRPr="00D91870">
        <w:rPr>
          <w:szCs w:val="20"/>
          <w:lang w:val="en-GB"/>
        </w:rPr>
        <w:t>, 137-159.</w:t>
      </w:r>
    </w:p>
    <w:p w:rsidR="004905B3" w:rsidRPr="009D1068" w:rsidRDefault="004905B3"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Trampusch, C., &amp; Eichenberger, P. (2012). Skills and industrial relations in coordinated market economies—continuing vocational training in Denmark, the Netherlands, Austria and Switzerland. </w:t>
      </w:r>
      <w:r w:rsidRPr="00D91870">
        <w:rPr>
          <w:i/>
          <w:iCs/>
          <w:szCs w:val="20"/>
          <w:lang w:val="en-GB"/>
        </w:rPr>
        <w:t>British journal of industrial relations</w:t>
      </w:r>
      <w:r w:rsidRPr="00D91870">
        <w:rPr>
          <w:szCs w:val="20"/>
          <w:lang w:val="en-GB"/>
        </w:rPr>
        <w:t>,</w:t>
      </w:r>
      <w:r w:rsidRPr="00D91870">
        <w:rPr>
          <w:i/>
          <w:iCs/>
          <w:szCs w:val="20"/>
          <w:lang w:val="en-GB"/>
        </w:rPr>
        <w:t>50</w:t>
      </w:r>
      <w:r w:rsidRPr="00D91870">
        <w:rPr>
          <w:szCs w:val="20"/>
          <w:lang w:val="en-GB"/>
        </w:rPr>
        <w:t>(4), 644-666.</w:t>
      </w:r>
    </w:p>
    <w:p w:rsidR="004905B3" w:rsidRPr="009D1068" w:rsidRDefault="004905B3"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Van Apeldoorn, B. (2000). Transnational class agency and European governance: The case of the European Round Table of Industrialists. </w:t>
      </w:r>
      <w:r w:rsidRPr="00D91870">
        <w:rPr>
          <w:i/>
          <w:iCs/>
          <w:szCs w:val="20"/>
          <w:lang w:val="en-GB"/>
        </w:rPr>
        <w:t>New Political Economy</w:t>
      </w:r>
      <w:r w:rsidRPr="00D91870">
        <w:rPr>
          <w:szCs w:val="20"/>
          <w:lang w:val="en-GB"/>
        </w:rPr>
        <w:t>, </w:t>
      </w:r>
      <w:r w:rsidRPr="00D91870">
        <w:rPr>
          <w:i/>
          <w:iCs/>
          <w:szCs w:val="20"/>
          <w:lang w:val="en-GB"/>
        </w:rPr>
        <w:t>5</w:t>
      </w:r>
      <w:r w:rsidRPr="00D91870">
        <w:rPr>
          <w:szCs w:val="20"/>
          <w:lang w:val="en-GB"/>
        </w:rPr>
        <w:t>(2), 157-181.</w:t>
      </w:r>
    </w:p>
    <w:p w:rsidR="004905B3" w:rsidRPr="009D1068" w:rsidRDefault="004905B3"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Van der Wende, M. (2007). Internationalization of Higher Education in the oECD Countries: Challenges and opportunities for the Coming Decade. </w:t>
      </w:r>
      <w:r w:rsidRPr="00D91870">
        <w:rPr>
          <w:i/>
          <w:iCs/>
          <w:szCs w:val="20"/>
          <w:lang w:val="en-GB"/>
        </w:rPr>
        <w:t>Journal of Studies in International Education</w:t>
      </w:r>
      <w:r w:rsidRPr="00D91870">
        <w:rPr>
          <w:szCs w:val="20"/>
          <w:lang w:val="en-GB"/>
        </w:rPr>
        <w:t>, </w:t>
      </w:r>
      <w:r w:rsidRPr="00D91870">
        <w:rPr>
          <w:i/>
          <w:iCs/>
          <w:szCs w:val="20"/>
          <w:lang w:val="en-GB"/>
        </w:rPr>
        <w:t>11</w:t>
      </w:r>
      <w:r w:rsidRPr="00D91870">
        <w:rPr>
          <w:szCs w:val="20"/>
          <w:lang w:val="en-GB"/>
        </w:rPr>
        <w:t>(3-4), 274-289.</w:t>
      </w:r>
    </w:p>
    <w:p w:rsidR="004905B3" w:rsidRPr="009D1068" w:rsidRDefault="004905B3"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Van der Wende, M. (2007). Internationalization of Higher Education in the oECD Countries: Challenges and opportunities for the Coming Decade. </w:t>
      </w:r>
      <w:r w:rsidRPr="00D91870">
        <w:rPr>
          <w:i/>
          <w:iCs/>
          <w:szCs w:val="20"/>
          <w:lang w:val="en-GB"/>
        </w:rPr>
        <w:t>Journal of Studies in International Education</w:t>
      </w:r>
      <w:r w:rsidRPr="00D91870">
        <w:rPr>
          <w:szCs w:val="20"/>
          <w:lang w:val="en-GB"/>
        </w:rPr>
        <w:t>, </w:t>
      </w:r>
      <w:r w:rsidRPr="00D91870">
        <w:rPr>
          <w:i/>
          <w:iCs/>
          <w:szCs w:val="20"/>
          <w:lang w:val="en-GB"/>
        </w:rPr>
        <w:t>11</w:t>
      </w:r>
      <w:r w:rsidRPr="00D91870">
        <w:rPr>
          <w:szCs w:val="20"/>
          <w:lang w:val="en-GB"/>
        </w:rPr>
        <w:t>(3-4), 274-289.</w:t>
      </w:r>
    </w:p>
    <w:p w:rsidR="004905B3" w:rsidRPr="009D1068" w:rsidRDefault="004905B3"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 xml:space="preserve">Van Kersbergen, K., &amp; Verbeek, B. (2007). The politics of international norms: subsidiarity and the imperfect competence regime of the European Union. </w:t>
      </w:r>
      <w:r w:rsidRPr="00D91870">
        <w:rPr>
          <w:i/>
          <w:iCs/>
          <w:szCs w:val="20"/>
          <w:lang w:val="en-GB"/>
        </w:rPr>
        <w:t>European Journal of International Relations</w:t>
      </w:r>
      <w:r w:rsidRPr="00D91870">
        <w:rPr>
          <w:szCs w:val="20"/>
          <w:lang w:val="en-GB"/>
        </w:rPr>
        <w:t>, </w:t>
      </w:r>
      <w:r w:rsidRPr="00D91870">
        <w:rPr>
          <w:i/>
          <w:iCs/>
          <w:szCs w:val="20"/>
          <w:lang w:val="en-GB"/>
        </w:rPr>
        <w:t>13</w:t>
      </w:r>
      <w:r w:rsidRPr="00D91870">
        <w:rPr>
          <w:szCs w:val="20"/>
          <w:lang w:val="en-GB"/>
        </w:rPr>
        <w:t>(2), 217-238.</w:t>
      </w:r>
    </w:p>
    <w:p w:rsidR="004905B3" w:rsidRPr="009D1068" w:rsidRDefault="004905B3"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Vennesson, P. (2008). 12 Case studies and process tracing: theories and practices. </w:t>
      </w:r>
      <w:r w:rsidRPr="00D91870">
        <w:rPr>
          <w:i/>
          <w:iCs/>
          <w:szCs w:val="20"/>
          <w:lang w:val="en-GB"/>
        </w:rPr>
        <w:t>Approaches and methodologies in the social sciences</w:t>
      </w:r>
      <w:r w:rsidRPr="00D91870">
        <w:rPr>
          <w:szCs w:val="20"/>
          <w:lang w:val="en-GB"/>
        </w:rPr>
        <w:t>, 223.</w:t>
      </w:r>
    </w:p>
    <w:p w:rsidR="004905B3" w:rsidRPr="009D1068" w:rsidRDefault="004905B3" w:rsidP="004905B3">
      <w:pPr>
        <w:pStyle w:val="NoSpacing"/>
        <w:spacing w:line="240" w:lineRule="auto"/>
        <w:rPr>
          <w:szCs w:val="20"/>
          <w:lang w:val="en-GB"/>
        </w:rPr>
      </w:pPr>
    </w:p>
    <w:p w:rsidR="004905B3" w:rsidRPr="009D1068" w:rsidRDefault="00D91870" w:rsidP="004905B3">
      <w:pPr>
        <w:pStyle w:val="NoSpacing"/>
        <w:spacing w:line="240" w:lineRule="auto"/>
        <w:rPr>
          <w:szCs w:val="20"/>
          <w:lang w:val="en-GB"/>
        </w:rPr>
      </w:pPr>
      <w:r w:rsidRPr="00D91870">
        <w:rPr>
          <w:szCs w:val="20"/>
          <w:lang w:val="en-GB"/>
        </w:rPr>
        <w:t>Viale, R., &amp; Etzkowitz, H. (Eds.). (2010). </w:t>
      </w:r>
      <w:r w:rsidRPr="00D91870">
        <w:rPr>
          <w:i/>
          <w:iCs/>
          <w:szCs w:val="20"/>
          <w:lang w:val="en-GB"/>
        </w:rPr>
        <w:t>The capitalization of knowledge: a triple helix of university-industry-government</w:t>
      </w:r>
      <w:r w:rsidRPr="00D91870">
        <w:rPr>
          <w:szCs w:val="20"/>
          <w:lang w:val="en-GB"/>
        </w:rPr>
        <w:t>. Edward Elgar Publishing.</w:t>
      </w:r>
    </w:p>
    <w:p w:rsidR="00307363" w:rsidRPr="009D1068" w:rsidRDefault="00307363" w:rsidP="004905B3">
      <w:pPr>
        <w:pStyle w:val="NoSpacing"/>
        <w:spacing w:line="240" w:lineRule="auto"/>
        <w:rPr>
          <w:szCs w:val="20"/>
          <w:lang w:val="en-GB"/>
        </w:rPr>
      </w:pPr>
    </w:p>
    <w:p w:rsidR="00307363" w:rsidRPr="009D1068" w:rsidRDefault="00D91870" w:rsidP="00307363">
      <w:pPr>
        <w:pStyle w:val="NoSpacing"/>
        <w:rPr>
          <w:szCs w:val="20"/>
          <w:lang w:val="en-GB"/>
        </w:rPr>
      </w:pPr>
      <w:r w:rsidRPr="00D91870">
        <w:rPr>
          <w:szCs w:val="20"/>
          <w:lang w:val="en-GB"/>
        </w:rPr>
        <w:t xml:space="preserve">Waters, M. (1995). </w:t>
      </w:r>
      <w:r w:rsidRPr="00D91870">
        <w:rPr>
          <w:i/>
          <w:iCs/>
          <w:szCs w:val="20"/>
          <w:lang w:val="en-GB"/>
        </w:rPr>
        <w:t>Globalization.</w:t>
      </w:r>
      <w:r w:rsidRPr="00D91870">
        <w:rPr>
          <w:szCs w:val="20"/>
          <w:lang w:val="en-GB"/>
        </w:rPr>
        <w:t xml:space="preserve"> New York: Routledge.</w:t>
      </w:r>
    </w:p>
    <w:p w:rsidR="00797BB5" w:rsidRPr="009D1068" w:rsidRDefault="00D91870" w:rsidP="00797BB5">
      <w:pPr>
        <w:pStyle w:val="NoSpacing"/>
        <w:spacing w:line="240" w:lineRule="auto"/>
        <w:rPr>
          <w:szCs w:val="20"/>
          <w:lang w:val="en-GB"/>
        </w:rPr>
      </w:pPr>
      <w:r w:rsidRPr="00D91870">
        <w:rPr>
          <w:szCs w:val="20"/>
          <w:lang w:val="en-GB"/>
        </w:rPr>
        <w:t>Wiener A (2004) Contested compliance: Interventions on the normative structure of world politics. European Journal of International Relations 10(2): 189–234.</w:t>
      </w:r>
    </w:p>
    <w:p w:rsidR="00797BB5" w:rsidRPr="009D1068" w:rsidRDefault="00797BB5" w:rsidP="004905B3">
      <w:pPr>
        <w:pStyle w:val="NoSpacing"/>
        <w:spacing w:line="240" w:lineRule="auto"/>
        <w:rPr>
          <w:noProof/>
          <w:szCs w:val="20"/>
          <w:lang w:val="en-GB"/>
        </w:rPr>
      </w:pPr>
    </w:p>
    <w:p w:rsidR="009A3D6C" w:rsidRPr="009D1068" w:rsidRDefault="00D91870" w:rsidP="009A3D6C">
      <w:pPr>
        <w:pStyle w:val="NoSpacing"/>
        <w:spacing w:line="240" w:lineRule="auto"/>
        <w:rPr>
          <w:noProof/>
          <w:szCs w:val="20"/>
          <w:lang w:val="en-GB"/>
        </w:rPr>
      </w:pPr>
      <w:r w:rsidRPr="00D91870">
        <w:rPr>
          <w:noProof/>
          <w:szCs w:val="20"/>
          <w:lang w:val="en-GB"/>
        </w:rPr>
        <w:t>Wit, de H. (1995). </w:t>
      </w:r>
      <w:r w:rsidRPr="00D91870">
        <w:rPr>
          <w:i/>
          <w:iCs/>
          <w:noProof/>
          <w:szCs w:val="20"/>
          <w:lang w:val="en-GB"/>
        </w:rPr>
        <w:t>Strategies for the Internationalisation of Higher Education. A Comparative Study of Australia, Canada, Europe and the United States of America</w:t>
      </w:r>
      <w:r w:rsidRPr="00D91870">
        <w:rPr>
          <w:noProof/>
          <w:szCs w:val="20"/>
          <w:lang w:val="en-GB"/>
        </w:rPr>
        <w:t>. EAIE Secretariat</w:t>
      </w:r>
    </w:p>
    <w:p w:rsidR="009A3D6C" w:rsidRPr="009D1068" w:rsidRDefault="009A3D6C" w:rsidP="004905B3">
      <w:pPr>
        <w:pStyle w:val="NoSpacing"/>
        <w:spacing w:line="240" w:lineRule="auto"/>
        <w:rPr>
          <w:noProof/>
          <w:szCs w:val="20"/>
          <w:lang w:val="en-GB"/>
        </w:rPr>
      </w:pPr>
    </w:p>
    <w:p w:rsidR="00307363" w:rsidRPr="009D1068" w:rsidRDefault="00D91870" w:rsidP="004905B3">
      <w:pPr>
        <w:pStyle w:val="NoSpacing"/>
        <w:spacing w:line="240" w:lineRule="auto"/>
        <w:rPr>
          <w:noProof/>
          <w:szCs w:val="20"/>
          <w:lang w:val="en-GB"/>
        </w:rPr>
      </w:pPr>
      <w:r w:rsidRPr="00D91870">
        <w:rPr>
          <w:noProof/>
          <w:szCs w:val="20"/>
          <w:lang w:val="en-GB"/>
        </w:rPr>
        <w:t xml:space="preserve">Yang, R. (2003). Globalization and higher education development: A critical Analysis. </w:t>
      </w:r>
      <w:r w:rsidRPr="00D91870">
        <w:rPr>
          <w:i/>
          <w:iCs/>
          <w:noProof/>
          <w:szCs w:val="20"/>
          <w:lang w:val="en-GB"/>
        </w:rPr>
        <w:t>International Review of Education</w:t>
      </w:r>
      <w:r w:rsidRPr="00D91870">
        <w:rPr>
          <w:noProof/>
          <w:szCs w:val="20"/>
          <w:lang w:val="en-GB"/>
        </w:rPr>
        <w:t>, 269-291.</w:t>
      </w:r>
    </w:p>
    <w:p w:rsidR="00235AA1" w:rsidRPr="009D1068" w:rsidRDefault="00235AA1" w:rsidP="004905B3">
      <w:pPr>
        <w:pStyle w:val="NoSpacing"/>
        <w:spacing w:line="240" w:lineRule="auto"/>
        <w:rPr>
          <w:noProof/>
          <w:szCs w:val="20"/>
          <w:lang w:val="en-GB"/>
        </w:rPr>
      </w:pPr>
    </w:p>
    <w:p w:rsidR="00797BB5" w:rsidRPr="009D1068" w:rsidRDefault="00D91870" w:rsidP="00797BB5">
      <w:pPr>
        <w:pStyle w:val="NoSpacing"/>
        <w:spacing w:line="240" w:lineRule="auto"/>
        <w:rPr>
          <w:noProof/>
          <w:szCs w:val="20"/>
          <w:lang w:val="en-GB"/>
        </w:rPr>
      </w:pPr>
      <w:r w:rsidRPr="00D91870">
        <w:rPr>
          <w:noProof/>
          <w:szCs w:val="20"/>
          <w:lang w:val="en-GB"/>
        </w:rPr>
        <w:t>Ziltener, P. 2004. “The Economic Effects of the European Single Market Project: Projections, Simulations – and the Reality.” Review of International Political Economy 11 (5): 953–979.</w:t>
      </w:r>
    </w:p>
    <w:p w:rsidR="00797BB5" w:rsidRPr="009D1068" w:rsidRDefault="00797BB5" w:rsidP="004905B3">
      <w:pPr>
        <w:pStyle w:val="NoSpacing"/>
        <w:spacing w:line="240" w:lineRule="auto"/>
        <w:rPr>
          <w:noProof/>
          <w:szCs w:val="20"/>
          <w:lang w:val="en-GB"/>
        </w:rPr>
      </w:pPr>
    </w:p>
    <w:p w:rsidR="00235AA1" w:rsidRPr="009D1068" w:rsidRDefault="00D91870" w:rsidP="004905B3">
      <w:pPr>
        <w:pStyle w:val="NoSpacing"/>
        <w:spacing w:line="240" w:lineRule="auto"/>
        <w:rPr>
          <w:szCs w:val="20"/>
          <w:lang w:val="en-GB"/>
        </w:rPr>
      </w:pPr>
      <w:r w:rsidRPr="00D91870">
        <w:rPr>
          <w:szCs w:val="20"/>
          <w:lang w:val="en-GB"/>
        </w:rPr>
        <w:t>Zumeta, W. (2010). The great recession: Implications for higher education. </w:t>
      </w:r>
      <w:r w:rsidRPr="00D91870">
        <w:rPr>
          <w:i/>
          <w:iCs/>
          <w:szCs w:val="20"/>
          <w:lang w:val="en-GB"/>
        </w:rPr>
        <w:t>NEA 2010 almanac of higher education</w:t>
      </w:r>
      <w:r w:rsidRPr="00D91870">
        <w:rPr>
          <w:szCs w:val="20"/>
          <w:lang w:val="en-GB"/>
        </w:rPr>
        <w:t>, 29-42.</w:t>
      </w:r>
    </w:p>
    <w:p w:rsidR="00443177" w:rsidRPr="009D1068" w:rsidRDefault="00443177" w:rsidP="00797BB5">
      <w:pPr>
        <w:rPr>
          <w:rFonts w:ascii="Calibri Light" w:hAnsi="Calibri Light"/>
          <w:lang w:val="en-GB"/>
        </w:rPr>
      </w:pPr>
    </w:p>
    <w:sectPr w:rsidR="00443177" w:rsidRPr="009D1068" w:rsidSect="006467B4">
      <w:footerReference w:type="default" r:id="rId8"/>
      <w:pgSz w:w="12240" w:h="15840"/>
      <w:pgMar w:top="1417" w:right="1417" w:bottom="1417" w:left="1417" w:header="708" w:footer="708" w:gutter="0"/>
      <w:cols w:space="708"/>
      <w:titlePg/>
      <w:docGrid w:linePitch="29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E0C5D22" w15:done="0"/>
  <w15:commentEx w15:paraId="0B5DAB16" w15:done="0"/>
  <w15:commentEx w15:paraId="209BC3B3" w15:done="0"/>
  <w15:commentEx w15:paraId="32F3AE77" w15:done="0"/>
  <w15:commentEx w15:paraId="4C8A927D" w15:done="0"/>
  <w15:commentEx w15:paraId="40379AFC" w15:done="0"/>
  <w15:commentEx w15:paraId="051A5933" w15:done="0"/>
  <w15:commentEx w15:paraId="5BF4140A" w15:done="0"/>
  <w15:commentEx w15:paraId="18CD96CD" w15:done="0"/>
  <w15:commentEx w15:paraId="10F1A49E" w15:done="0"/>
  <w15:commentEx w15:paraId="716F2A4B" w15:done="0"/>
  <w15:commentEx w15:paraId="0F54D741" w15:done="0"/>
  <w15:commentEx w15:paraId="05D489B2" w15:done="0"/>
  <w15:commentEx w15:paraId="5952557A" w15:done="0"/>
  <w15:commentEx w15:paraId="7C1D6960" w15:done="0"/>
  <w15:commentEx w15:paraId="477A3EB7" w15:done="0"/>
  <w15:commentEx w15:paraId="24856359" w15:done="0"/>
  <w15:commentEx w15:paraId="7514F9B3" w15:done="0"/>
  <w15:commentEx w15:paraId="28D685BE" w15:done="0"/>
  <w15:commentEx w15:paraId="7555D975" w15:done="0"/>
  <w15:commentEx w15:paraId="31E09E95" w15:done="0"/>
  <w15:commentEx w15:paraId="414ECEC8" w15:done="0"/>
  <w15:commentEx w15:paraId="02BF2965" w15:done="0"/>
  <w15:commentEx w15:paraId="5415460C" w15:done="0"/>
  <w15:commentEx w15:paraId="684FFEFA" w15:done="0"/>
  <w15:commentEx w15:paraId="71CBDDCB" w15:done="0"/>
  <w15:commentEx w15:paraId="70C11D66" w15:done="0"/>
  <w15:commentEx w15:paraId="1C27E35A" w15:done="0"/>
  <w15:commentEx w15:paraId="2396FE79" w15:done="0"/>
  <w15:commentEx w15:paraId="09717D3D" w15:done="0"/>
  <w15:commentEx w15:paraId="73CC5681" w15:done="0"/>
  <w15:commentEx w15:paraId="433A49D3" w15:done="0"/>
  <w15:commentEx w15:paraId="63522697" w15:done="0"/>
  <w15:commentEx w15:paraId="53C388DB" w15:done="0"/>
  <w15:commentEx w15:paraId="5AC648A7" w15:done="0"/>
  <w15:commentEx w15:paraId="42C17723" w15:done="0"/>
  <w15:commentEx w15:paraId="2FF6766B" w15:done="0"/>
  <w15:commentEx w15:paraId="251D7BFB" w15:done="0"/>
  <w15:commentEx w15:paraId="39CB0F1F" w15:done="0"/>
  <w15:commentEx w15:paraId="65AB7BF9" w15:done="0"/>
  <w15:commentEx w15:paraId="4B17CDAE" w15:done="0"/>
  <w15:commentEx w15:paraId="6545683B" w15:done="0"/>
  <w15:commentEx w15:paraId="1F5BBE45" w15:done="0"/>
  <w15:commentEx w15:paraId="45A74452" w15:done="0"/>
  <w15:commentEx w15:paraId="08941160" w15:done="0"/>
  <w15:commentEx w15:paraId="01C83879" w15:done="0"/>
  <w15:commentEx w15:paraId="5EF16C4D" w15:done="0"/>
  <w15:commentEx w15:paraId="3E8E262B" w15:done="0"/>
  <w15:commentEx w15:paraId="00746821" w15:done="0"/>
  <w15:commentEx w15:paraId="38B5A362" w15:done="0"/>
  <w15:commentEx w15:paraId="6B2330CD" w15:done="0"/>
  <w15:commentEx w15:paraId="4E8FEB39" w15:done="0"/>
  <w15:commentEx w15:paraId="70D39D84"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B0EAF" w:rsidRDefault="007B0EAF" w:rsidP="00A76C59">
      <w:pPr>
        <w:spacing w:after="0" w:line="240" w:lineRule="auto"/>
      </w:pPr>
      <w:r>
        <w:separator/>
      </w:r>
    </w:p>
  </w:endnote>
  <w:endnote w:type="continuationSeparator" w:id="0">
    <w:p w:rsidR="007B0EAF" w:rsidRDefault="007B0EAF" w:rsidP="00A76C5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Roman">
    <w:panose1 w:val="00000000000000000000"/>
    <w:charset w:val="00"/>
    <w:family w:val="roman"/>
    <w:notTrueType/>
    <w:pitch w:val="default"/>
    <w:sig w:usb0="00000003" w:usb1="00000000" w:usb2="00000000" w:usb3="00000000" w:csb0="00000001" w:csb1="00000000"/>
  </w:font>
  <w:font w:name="Sylfaen">
    <w:panose1 w:val="010A0502050306030303"/>
    <w:charset w:val="00"/>
    <w:family w:val="roman"/>
    <w:pitch w:val="variable"/>
    <w:sig w:usb0="04000687" w:usb1="00000000" w:usb2="00000000" w:usb3="00000000" w:csb0="0000009F" w:csb1="00000000"/>
  </w:font>
  <w:font w:name="Arial">
    <w:panose1 w:val="020B0604020202020204"/>
    <w:charset w:val="00"/>
    <w:family w:val="swiss"/>
    <w:pitch w:val="variable"/>
    <w:sig w:usb0="20002A87" w:usb1="00000000" w:usb2="00000000"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0867004"/>
      <w:docPartObj>
        <w:docPartGallery w:val="Page Numbers (Bottom of Page)"/>
        <w:docPartUnique/>
      </w:docPartObj>
    </w:sdtPr>
    <w:sdtContent>
      <w:p w:rsidR="005B4A97" w:rsidRDefault="001E19BB">
        <w:pPr>
          <w:pStyle w:val="Footer"/>
          <w:jc w:val="center"/>
        </w:pPr>
        <w:r>
          <w:fldChar w:fldCharType="begin"/>
        </w:r>
        <w:r w:rsidR="007B0EAF">
          <w:instrText xml:space="preserve"> PAGE   \* MERGEFORMAT </w:instrText>
        </w:r>
        <w:r>
          <w:fldChar w:fldCharType="separate"/>
        </w:r>
        <w:r w:rsidR="004D255A">
          <w:rPr>
            <w:noProof/>
          </w:rPr>
          <w:t>4</w:t>
        </w:r>
        <w:r>
          <w:rPr>
            <w:noProof/>
          </w:rPr>
          <w:fldChar w:fldCharType="end"/>
        </w:r>
      </w:p>
    </w:sdtContent>
  </w:sdt>
  <w:p w:rsidR="005B4A97" w:rsidRDefault="005B4A9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B0EAF" w:rsidRDefault="007B0EAF" w:rsidP="00A76C59">
      <w:pPr>
        <w:spacing w:after="0" w:line="240" w:lineRule="auto"/>
      </w:pPr>
      <w:r>
        <w:separator/>
      </w:r>
    </w:p>
  </w:footnote>
  <w:footnote w:type="continuationSeparator" w:id="0">
    <w:p w:rsidR="007B0EAF" w:rsidRDefault="007B0EAF" w:rsidP="00A76C59">
      <w:pPr>
        <w:spacing w:after="0" w:line="240" w:lineRule="auto"/>
      </w:pPr>
      <w:r>
        <w:continuationSeparator/>
      </w:r>
    </w:p>
  </w:footnote>
  <w:footnote w:id="1">
    <w:p w:rsidR="005B4A97" w:rsidRPr="007B238A" w:rsidRDefault="005B4A97" w:rsidP="007B238A">
      <w:pPr>
        <w:pStyle w:val="FootnoteText"/>
        <w:ind w:firstLine="0"/>
        <w:rPr>
          <w:rFonts w:ascii="Calibri Light" w:hAnsi="Calibri Light"/>
          <w:sz w:val="18"/>
          <w:szCs w:val="18"/>
          <w:lang w:val="en-US"/>
        </w:rPr>
      </w:pPr>
      <w:r w:rsidRPr="007B238A">
        <w:rPr>
          <w:rStyle w:val="FootnoteReference"/>
          <w:rFonts w:ascii="Calibri Light" w:hAnsi="Calibri Light"/>
          <w:sz w:val="18"/>
          <w:szCs w:val="18"/>
        </w:rPr>
        <w:footnoteRef/>
      </w:r>
      <w:r w:rsidRPr="007B238A">
        <w:rPr>
          <w:rFonts w:ascii="Calibri Light" w:hAnsi="Calibri Light"/>
          <w:sz w:val="18"/>
          <w:szCs w:val="18"/>
          <w:lang w:val="en-US"/>
        </w:rPr>
        <w:t xml:space="preserve"> Viale &amp; Etzkowitz (2010) even go as far as calling this trend the </w:t>
      </w:r>
      <w:r w:rsidRPr="007B238A">
        <w:rPr>
          <w:rFonts w:ascii="Calibri Light" w:hAnsi="Calibri Light" w:cs="Times-Roman"/>
          <w:sz w:val="18"/>
          <w:szCs w:val="18"/>
          <w:lang w:val="en-US"/>
        </w:rPr>
        <w:t xml:space="preserve">commodification </w:t>
      </w:r>
      <w:r w:rsidRPr="007B238A">
        <w:rPr>
          <w:rFonts w:ascii="Calibri Light" w:hAnsi="Calibri Light"/>
          <w:sz w:val="18"/>
          <w:szCs w:val="18"/>
          <w:lang w:val="en-US"/>
        </w:rPr>
        <w:t>of knowledge.</w:t>
      </w:r>
    </w:p>
  </w:footnote>
  <w:footnote w:id="2">
    <w:p w:rsidR="005B4A97" w:rsidRPr="00082F44" w:rsidRDefault="005B4A97" w:rsidP="007B238A">
      <w:pPr>
        <w:pStyle w:val="FootnoteText"/>
        <w:ind w:firstLine="0"/>
        <w:rPr>
          <w:rFonts w:ascii="Calibri Light" w:hAnsi="Calibri Light"/>
          <w:sz w:val="18"/>
          <w:szCs w:val="18"/>
          <w:lang w:val="en-US"/>
        </w:rPr>
      </w:pPr>
      <w:r w:rsidRPr="00082F44">
        <w:rPr>
          <w:rStyle w:val="FootnoteReference"/>
          <w:rFonts w:ascii="Calibri Light" w:hAnsi="Calibri Light"/>
          <w:sz w:val="18"/>
          <w:szCs w:val="18"/>
        </w:rPr>
        <w:footnoteRef/>
      </w:r>
      <w:r w:rsidRPr="00082F44">
        <w:rPr>
          <w:rFonts w:ascii="Calibri Light" w:hAnsi="Calibri Light"/>
          <w:sz w:val="18"/>
          <w:szCs w:val="18"/>
          <w:lang w:val="en-US"/>
        </w:rPr>
        <w:t xml:space="preserve"> As of 2006, in the UK, the state is no longer the primary funder of higher education (Maasen, 2006: 19)</w:t>
      </w:r>
    </w:p>
  </w:footnote>
  <w:footnote w:id="3">
    <w:p w:rsidR="005B4A97" w:rsidRPr="001D6613" w:rsidRDefault="005B4A97" w:rsidP="00723F19">
      <w:pPr>
        <w:pStyle w:val="FootnoteText"/>
        <w:ind w:firstLine="0"/>
        <w:rPr>
          <w:rFonts w:ascii="Calibri Light" w:hAnsi="Calibri Light"/>
          <w:sz w:val="18"/>
          <w:szCs w:val="18"/>
          <w:lang w:val="en-US"/>
        </w:rPr>
      </w:pPr>
      <w:r w:rsidRPr="001D6613">
        <w:rPr>
          <w:rStyle w:val="FootnoteReference"/>
          <w:rFonts w:ascii="Calibri Light" w:hAnsi="Calibri Light"/>
          <w:sz w:val="18"/>
          <w:szCs w:val="18"/>
        </w:rPr>
        <w:footnoteRef/>
      </w:r>
      <w:r w:rsidRPr="001D6613">
        <w:rPr>
          <w:rFonts w:ascii="Calibri Light" w:hAnsi="Calibri Light"/>
          <w:sz w:val="18"/>
          <w:szCs w:val="18"/>
          <w:lang w:val="en-US"/>
        </w:rPr>
        <w:t xml:space="preserve"> Eventually, this measure was retrospectively cut during the negotiations of the in 2012 instated new coalition cabinet Rutte II </w:t>
      </w:r>
    </w:p>
  </w:footnote>
  <w:footnote w:id="4">
    <w:p w:rsidR="005B4A97" w:rsidRPr="00A05E17" w:rsidRDefault="005B4A97" w:rsidP="007B238A">
      <w:pPr>
        <w:pStyle w:val="FootnoteText"/>
        <w:ind w:firstLine="0"/>
        <w:rPr>
          <w:rFonts w:ascii="Calibri Light" w:hAnsi="Calibri Light"/>
          <w:sz w:val="18"/>
          <w:szCs w:val="18"/>
          <w:lang w:val="en-US"/>
        </w:rPr>
      </w:pPr>
      <w:r w:rsidRPr="00A05E17">
        <w:rPr>
          <w:rStyle w:val="FootnoteReference"/>
          <w:rFonts w:ascii="Calibri Light" w:hAnsi="Calibri Light"/>
          <w:sz w:val="18"/>
          <w:szCs w:val="18"/>
        </w:rPr>
        <w:footnoteRef/>
      </w:r>
      <w:r w:rsidRPr="00A05E17">
        <w:rPr>
          <w:rFonts w:ascii="Calibri Light" w:hAnsi="Calibri Light"/>
          <w:sz w:val="18"/>
          <w:szCs w:val="18"/>
          <w:lang w:val="en-US"/>
        </w:rPr>
        <w:t xml:space="preserve"> Since the Bahl-Dole act of 1980, which facilitated universities to exploit their patent rights, universities were able to make profits on their patents by selling or licensing them (Sampat et al. 2003: 1371)</w:t>
      </w:r>
    </w:p>
  </w:footnote>
  <w:footnote w:id="5">
    <w:p w:rsidR="005B4A97" w:rsidRPr="00082F44" w:rsidRDefault="005B4A97" w:rsidP="007B238A">
      <w:pPr>
        <w:pStyle w:val="FootnoteText"/>
        <w:ind w:firstLine="0"/>
        <w:rPr>
          <w:rFonts w:ascii="Calibri Light" w:hAnsi="Calibri Light"/>
          <w:sz w:val="18"/>
          <w:szCs w:val="18"/>
          <w:lang w:val="en-US"/>
        </w:rPr>
      </w:pPr>
      <w:r w:rsidRPr="00A05E17">
        <w:rPr>
          <w:rStyle w:val="FootnoteReference"/>
          <w:rFonts w:ascii="Calibri Light" w:hAnsi="Calibri Light"/>
          <w:sz w:val="18"/>
          <w:szCs w:val="18"/>
        </w:rPr>
        <w:footnoteRef/>
      </w:r>
      <w:r w:rsidRPr="00A05E17">
        <w:rPr>
          <w:rFonts w:ascii="Calibri Light" w:hAnsi="Calibri Light"/>
          <w:sz w:val="18"/>
          <w:szCs w:val="18"/>
          <w:lang w:val="en-US"/>
        </w:rPr>
        <w:t xml:space="preserve"> </w:t>
      </w:r>
      <w:r w:rsidRPr="00082F44">
        <w:rPr>
          <w:rFonts w:ascii="Calibri Light" w:hAnsi="Calibri Light"/>
          <w:sz w:val="18"/>
          <w:szCs w:val="18"/>
          <w:lang w:val="en-US"/>
        </w:rPr>
        <w:t xml:space="preserve">Van Kersbergen and Verbeek are not regarded as constructivist theorist . The critique that they have formulated on the norm lifecycle is nonetheless useful for their ‘out of the box’ perspective on the framework of Finnemore and Sikkink can help understanding why international norms tend to change in the domestic arena.  </w:t>
      </w:r>
    </w:p>
  </w:footnote>
  <w:footnote w:id="6">
    <w:p w:rsidR="005B4A97" w:rsidRPr="00082F44" w:rsidRDefault="005B4A97" w:rsidP="007B238A">
      <w:pPr>
        <w:pStyle w:val="FootnoteText"/>
        <w:ind w:firstLine="0"/>
        <w:rPr>
          <w:rFonts w:ascii="Calibri Light" w:hAnsi="Calibri Light"/>
          <w:sz w:val="18"/>
          <w:szCs w:val="18"/>
          <w:lang w:val="en-US"/>
        </w:rPr>
      </w:pPr>
      <w:r w:rsidRPr="00082F44">
        <w:rPr>
          <w:rStyle w:val="FootnoteReference"/>
          <w:rFonts w:ascii="Calibri Light" w:hAnsi="Calibri Light"/>
          <w:sz w:val="18"/>
          <w:szCs w:val="18"/>
        </w:rPr>
        <w:footnoteRef/>
      </w:r>
      <w:r w:rsidRPr="00082F44">
        <w:rPr>
          <w:rFonts w:ascii="Calibri Light" w:hAnsi="Calibri Light"/>
          <w:sz w:val="18"/>
          <w:szCs w:val="18"/>
          <w:lang w:val="en-US"/>
        </w:rPr>
        <w:t xml:space="preserve"> A good example is that in the Netherlands, there is high (un)employment protection and therefore, the education system is organized in a way that promotes the acquirement of specific skills for individuals because for them, it is worth the costs to become a specialist in a particular domain because they are likely to be able to stay at a firm for a long period. This is less the case in for instance the UK where it is more rational for an individual to acquire general skills for he could easily loose his or her job (less employment protection); specific skills would render him or her less likely to find a new job quickly.  </w:t>
      </w:r>
    </w:p>
  </w:footnote>
  <w:footnote w:id="7">
    <w:p w:rsidR="005B4A97" w:rsidRPr="00082F44" w:rsidRDefault="005B4A97" w:rsidP="007B238A">
      <w:pPr>
        <w:pStyle w:val="FootnoteText"/>
        <w:ind w:firstLine="0"/>
        <w:rPr>
          <w:rFonts w:ascii="Calibri Light" w:hAnsi="Calibri Light"/>
          <w:sz w:val="18"/>
          <w:szCs w:val="18"/>
          <w:lang w:val="en-US"/>
        </w:rPr>
      </w:pPr>
      <w:r w:rsidRPr="00082F44">
        <w:rPr>
          <w:rStyle w:val="FootnoteReference"/>
          <w:rFonts w:ascii="Calibri Light" w:hAnsi="Calibri Light"/>
          <w:sz w:val="18"/>
          <w:szCs w:val="18"/>
        </w:rPr>
        <w:footnoteRef/>
      </w:r>
      <w:r w:rsidRPr="00082F44">
        <w:rPr>
          <w:rFonts w:ascii="Calibri Light" w:hAnsi="Calibri Light"/>
          <w:sz w:val="18"/>
          <w:szCs w:val="18"/>
          <w:lang w:val="en-US"/>
        </w:rPr>
        <w:t xml:space="preserve"> Hall and Soskice (2001: 6) argue that: ‘we see firms as actors seeking to develop and exploit </w:t>
      </w:r>
      <w:r w:rsidRPr="00082F44">
        <w:rPr>
          <w:rFonts w:ascii="Calibri Light" w:hAnsi="Calibri Light"/>
          <w:i/>
          <w:iCs/>
          <w:sz w:val="18"/>
          <w:szCs w:val="18"/>
          <w:lang w:val="en-US"/>
        </w:rPr>
        <w:t xml:space="preserve">core competencies </w:t>
      </w:r>
      <w:r w:rsidRPr="00082F44">
        <w:rPr>
          <w:rFonts w:ascii="Calibri Light" w:hAnsi="Calibri Light"/>
          <w:sz w:val="18"/>
          <w:szCs w:val="18"/>
          <w:lang w:val="en-US"/>
        </w:rPr>
        <w:t xml:space="preserve">or </w:t>
      </w:r>
      <w:r w:rsidRPr="00082F44">
        <w:rPr>
          <w:rFonts w:ascii="Calibri Light" w:hAnsi="Calibri Light"/>
          <w:i/>
          <w:iCs/>
          <w:sz w:val="18"/>
          <w:szCs w:val="18"/>
          <w:lang w:val="en-US"/>
        </w:rPr>
        <w:t xml:space="preserve">dynamic capabilities </w:t>
      </w:r>
      <w:r w:rsidRPr="00082F44">
        <w:rPr>
          <w:rFonts w:ascii="Calibri Light" w:hAnsi="Calibri Light"/>
          <w:sz w:val="18"/>
          <w:szCs w:val="18"/>
          <w:lang w:val="en-US"/>
        </w:rPr>
        <w:t>understood as capacities for developing, producing, and distributing goods and services profitably (Teece and Pisano 1998).’</w:t>
      </w:r>
    </w:p>
  </w:footnote>
  <w:footnote w:id="8">
    <w:p w:rsidR="005B4A97" w:rsidRPr="00082F44" w:rsidRDefault="005B4A97" w:rsidP="0098469B">
      <w:pPr>
        <w:pStyle w:val="NoSpacing"/>
        <w:spacing w:line="240" w:lineRule="auto"/>
        <w:ind w:firstLine="0"/>
        <w:rPr>
          <w:sz w:val="18"/>
          <w:szCs w:val="18"/>
        </w:rPr>
      </w:pPr>
      <w:r w:rsidRPr="00082F44">
        <w:rPr>
          <w:rStyle w:val="FootnoteReference"/>
          <w:sz w:val="18"/>
          <w:szCs w:val="18"/>
        </w:rPr>
        <w:footnoteRef/>
      </w:r>
      <w:r w:rsidRPr="007B238A">
        <w:rPr>
          <w:sz w:val="18"/>
          <w:szCs w:val="18"/>
        </w:rPr>
        <w:t xml:space="preserve"> To illustrate this: imagine a coordinated market economy. As will be described in the next pages, employees are better protected in a CME in comparison with a LME. It is therefore worth the while of an individual living in a CME to acquire a certain </w:t>
      </w:r>
      <w:r w:rsidRPr="00723F19">
        <w:rPr>
          <w:i/>
          <w:sz w:val="18"/>
          <w:szCs w:val="18"/>
        </w:rPr>
        <w:t>specific</w:t>
      </w:r>
      <w:r w:rsidRPr="00A05E17">
        <w:rPr>
          <w:sz w:val="18"/>
          <w:szCs w:val="18"/>
        </w:rPr>
        <w:t xml:space="preserve"> skill that makes him valuable for a company. It is profitable for him to do that for he knows he cannot be fired easily. If</w:t>
      </w:r>
      <w:r w:rsidRPr="004D2DFF">
        <w:rPr>
          <w:sz w:val="18"/>
          <w:szCs w:val="18"/>
        </w:rPr>
        <w:t xml:space="preserve"> this individual would have lived in a LME, he would do no such thing for he can more easily be let go by the company he works for (because in an LME, as will be described in the next pages, there is less employment protection) and enter the </w:t>
      </w:r>
      <w:r>
        <w:rPr>
          <w:sz w:val="18"/>
          <w:szCs w:val="18"/>
        </w:rPr>
        <w:t>labour</w:t>
      </w:r>
      <w:r w:rsidRPr="004D2DFF">
        <w:rPr>
          <w:sz w:val="18"/>
          <w:szCs w:val="18"/>
        </w:rPr>
        <w:t xml:space="preserve"> market only with one particular, very specific skill. Because it makes good sense to specialize yourself in a CME, the public policy makers have an incentive to create a higher education and vocational training system that facilitates a more specific training (Est</w:t>
      </w:r>
      <w:r w:rsidRPr="00D45D66">
        <w:rPr>
          <w:sz w:val="18"/>
          <w:szCs w:val="18"/>
        </w:rPr>
        <w:t xml:space="preserve">evez-Abe, </w:t>
      </w:r>
      <w:r>
        <w:rPr>
          <w:sz w:val="18"/>
          <w:szCs w:val="18"/>
        </w:rPr>
        <w:t xml:space="preserve">Iversen &amp; Soskice, 2001: 145). </w:t>
      </w:r>
    </w:p>
  </w:footnote>
  <w:footnote w:id="9">
    <w:p w:rsidR="005B4A97" w:rsidRPr="00082F44" w:rsidRDefault="005B4A97" w:rsidP="007B238A">
      <w:pPr>
        <w:pStyle w:val="FootnoteText"/>
        <w:ind w:firstLine="0"/>
        <w:rPr>
          <w:rFonts w:ascii="Calibri Light" w:hAnsi="Calibri Light"/>
          <w:sz w:val="18"/>
          <w:szCs w:val="18"/>
          <w:lang w:val="en-US"/>
        </w:rPr>
      </w:pPr>
      <w:r w:rsidRPr="00082F44">
        <w:rPr>
          <w:rStyle w:val="FootnoteReference"/>
          <w:rFonts w:ascii="Calibri Light" w:hAnsi="Calibri Light"/>
          <w:sz w:val="18"/>
          <w:szCs w:val="18"/>
        </w:rPr>
        <w:footnoteRef/>
      </w:r>
      <w:r w:rsidRPr="00082F44">
        <w:rPr>
          <w:rFonts w:ascii="Calibri Light" w:hAnsi="Calibri Light"/>
          <w:sz w:val="18"/>
          <w:szCs w:val="18"/>
          <w:lang w:val="en-US"/>
        </w:rPr>
        <w:t xml:space="preserve"> Nolke and Vliegenthart (2009) ascribe these states to the Dependent Market Economy (DME). They state about DME’s that: ‘DME’s have comparative advantages in the assembly and production of relatively complex and durable consumer goods. These comparative advantages are based on institutional complementarities between skilled, but cheap, </w:t>
      </w:r>
      <w:r>
        <w:rPr>
          <w:rFonts w:ascii="Calibri Light" w:hAnsi="Calibri Light"/>
          <w:sz w:val="18"/>
          <w:szCs w:val="18"/>
          <w:lang w:val="en-US"/>
        </w:rPr>
        <w:t>labour</w:t>
      </w:r>
      <w:r w:rsidRPr="00082F44">
        <w:rPr>
          <w:rFonts w:ascii="Calibri Light" w:hAnsi="Calibri Light"/>
          <w:sz w:val="18"/>
          <w:szCs w:val="18"/>
          <w:lang w:val="en-US"/>
        </w:rPr>
        <w:t>; the transfer of technological innovations within transnational enterprises; and the provision of capital via foreign direct investment. Given these complementarities, the superior performance […], becomes understandable’ (ibid: 672)</w:t>
      </w:r>
    </w:p>
  </w:footnote>
  <w:footnote w:id="10">
    <w:p w:rsidR="005B4A97" w:rsidRPr="00082F44" w:rsidRDefault="005B4A97" w:rsidP="007B238A">
      <w:pPr>
        <w:pStyle w:val="NoSpacing"/>
        <w:spacing w:line="240" w:lineRule="auto"/>
        <w:ind w:firstLine="0"/>
        <w:rPr>
          <w:sz w:val="18"/>
          <w:szCs w:val="18"/>
        </w:rPr>
      </w:pPr>
      <w:r w:rsidRPr="00082F44">
        <w:rPr>
          <w:rStyle w:val="FootnoteReference"/>
          <w:sz w:val="18"/>
          <w:szCs w:val="18"/>
        </w:rPr>
        <w:footnoteRef/>
      </w:r>
      <w:r w:rsidRPr="004434B4">
        <w:rPr>
          <w:sz w:val="18"/>
          <w:szCs w:val="18"/>
        </w:rPr>
        <w:t xml:space="preserve"> </w:t>
      </w:r>
      <w:r w:rsidRPr="007B238A">
        <w:rPr>
          <w:sz w:val="18"/>
          <w:szCs w:val="18"/>
        </w:rPr>
        <w:t>Firms in a LME face large equity market with rather high levels of transparency and, with very dispersed shareholding. The access firms have to external financing is depending on criteria that are publicly assessable. For instance the market valuation of another company. Hostile takeovers are allowed (more easily than in coordinated economies) by regulatory regimes and depend on the price of the s</w:t>
      </w:r>
      <w:r w:rsidRPr="00723F19">
        <w:rPr>
          <w:sz w:val="18"/>
          <w:szCs w:val="18"/>
        </w:rPr>
        <w:t>hares and the executives sensitivity to current profitability. There is little employment protection and trading unions are rather weak. The wage setting is a matter of contract between employers and the workers and the labor markets are therefore, quite f</w:t>
      </w:r>
      <w:r w:rsidRPr="004D2DFF">
        <w:rPr>
          <w:sz w:val="18"/>
          <w:szCs w:val="18"/>
        </w:rPr>
        <w:t xml:space="preserve">luid. Because of these fluid </w:t>
      </w:r>
      <w:r>
        <w:rPr>
          <w:sz w:val="18"/>
          <w:szCs w:val="18"/>
        </w:rPr>
        <w:t>labour</w:t>
      </w:r>
      <w:r w:rsidRPr="004D2DFF">
        <w:rPr>
          <w:sz w:val="18"/>
          <w:szCs w:val="18"/>
        </w:rPr>
        <w:t xml:space="preserve"> markets, workers have an incentive to obtain more general skills instead of more specified skills: these general skills can be taken to other possible jobs to which a worker may transfer. Industry associations are weak an</w:t>
      </w:r>
      <w:r w:rsidRPr="00907BAD">
        <w:rPr>
          <w:sz w:val="18"/>
          <w:szCs w:val="18"/>
        </w:rPr>
        <w:t xml:space="preserve">d there are little collaborative training programs where industry specific skills can </w:t>
      </w:r>
      <w:r w:rsidRPr="00082F44">
        <w:rPr>
          <w:sz w:val="18"/>
          <w:szCs w:val="18"/>
        </w:rPr>
        <w:t xml:space="preserve">be learned. The transfer of technology is usually accomplished via licensing or the hiring of expert personnel. Furthermore, the strategy is defined by the top managers that have a substantial amount of authority on the strategy of the company on the whole. This includes the layoffs. This all leads to the fact that the relationships that firms in a LME have with other actors should always be seen in a competitive market perspective (Hall </w:t>
      </w:r>
      <w:r>
        <w:rPr>
          <w:sz w:val="18"/>
          <w:szCs w:val="18"/>
        </w:rPr>
        <w:t>and</w:t>
      </w:r>
      <w:r w:rsidRPr="00082F44">
        <w:rPr>
          <w:sz w:val="18"/>
          <w:szCs w:val="18"/>
        </w:rPr>
        <w:t xml:space="preserve"> Gingerich, 2009).</w:t>
      </w:r>
    </w:p>
    <w:p w:rsidR="005B4A97" w:rsidRPr="00082F44" w:rsidRDefault="008F6D6D" w:rsidP="007B238A">
      <w:pPr>
        <w:pStyle w:val="NoSpacing"/>
        <w:spacing w:line="240" w:lineRule="auto"/>
        <w:ind w:firstLine="0"/>
        <w:rPr>
          <w:sz w:val="18"/>
          <w:szCs w:val="18"/>
        </w:rPr>
      </w:pPr>
      <w:r>
        <w:rPr>
          <w:sz w:val="18"/>
          <w:szCs w:val="18"/>
        </w:rPr>
        <w:t xml:space="preserve">    </w:t>
      </w:r>
      <w:r w:rsidR="005B4A97" w:rsidRPr="00082F44">
        <w:rPr>
          <w:sz w:val="18"/>
          <w:szCs w:val="18"/>
        </w:rPr>
        <w:t xml:space="preserve">Firms in a coordinated market economy are all connected via cross-shareholding and dense networks and are all member of large employers organizations. The networks in which they act provide a platform for the exchange of for instance private information, the development of intra firm relations, it allows firms to develop trustworthy reputations that can be instrumental for the access to capital which, in a CME, depends more on reputation than on the value of the (combined) shares. The </w:t>
      </w:r>
      <w:r w:rsidR="005B4A97">
        <w:rPr>
          <w:sz w:val="18"/>
          <w:szCs w:val="18"/>
        </w:rPr>
        <w:t>labour</w:t>
      </w:r>
      <w:r w:rsidR="005B4A97" w:rsidRPr="00082F44">
        <w:rPr>
          <w:sz w:val="18"/>
          <w:szCs w:val="18"/>
        </w:rPr>
        <w:t xml:space="preserve"> markets are far less fluid compared to the </w:t>
      </w:r>
      <w:r w:rsidR="005B4A97">
        <w:rPr>
          <w:sz w:val="18"/>
          <w:szCs w:val="18"/>
        </w:rPr>
        <w:t>labour</w:t>
      </w:r>
      <w:r w:rsidR="005B4A97" w:rsidRPr="00082F44">
        <w:rPr>
          <w:sz w:val="18"/>
          <w:szCs w:val="18"/>
        </w:rPr>
        <w:t xml:space="preserve"> markets in a LME. There are strong </w:t>
      </w:r>
      <w:r w:rsidR="005B4A97">
        <w:rPr>
          <w:sz w:val="18"/>
          <w:szCs w:val="18"/>
        </w:rPr>
        <w:t>labour</w:t>
      </w:r>
      <w:r w:rsidR="005B4A97" w:rsidRPr="00082F44">
        <w:rPr>
          <w:sz w:val="18"/>
          <w:szCs w:val="18"/>
        </w:rPr>
        <w:t xml:space="preserve"> unions and trading unions and the protection of employment is much better facilitated. This leads to substantially longer job tenures. Accordingly, the managers of firms in a CME usually cannot be focused on current profitability and are forced to look more at the future. Collective </w:t>
      </w:r>
      <w:r w:rsidR="005B4A97">
        <w:rPr>
          <w:sz w:val="18"/>
          <w:szCs w:val="18"/>
        </w:rPr>
        <w:t>labour</w:t>
      </w:r>
      <w:r w:rsidR="005B4A97" w:rsidRPr="00082F44">
        <w:rPr>
          <w:sz w:val="18"/>
          <w:szCs w:val="18"/>
        </w:rPr>
        <w:t xml:space="preserve"> agreements are often mediated by employers associations. These associations also facilitate and supervise the coordination of industry specific skill training schemes and the assurance of a position if a worker is willing to invest in those specific skills. Associations within an industry are playing an important role in for instance legal endorsements and standard-setting. Furthermore, transfer of technology takes often place through collaborations between firms in the same industry. Therefore, the top managers of firms are usually seeking consensus because the existence of powerful industrial networks and employers unions provides them with al smaller scope for unilateral actions. Decision making is therefore much more based on mutual agreement (Hall and Gingerich, 2009).</w:t>
      </w:r>
    </w:p>
    <w:p w:rsidR="005B4A97" w:rsidRPr="00082F44" w:rsidRDefault="005B4A97" w:rsidP="007B238A">
      <w:pPr>
        <w:pStyle w:val="FootnoteText"/>
        <w:ind w:firstLine="0"/>
        <w:rPr>
          <w:rFonts w:ascii="Calibri Light" w:hAnsi="Calibri Light"/>
          <w:sz w:val="18"/>
          <w:szCs w:val="18"/>
          <w:lang w:val="en-US"/>
        </w:rPr>
      </w:pPr>
    </w:p>
  </w:footnote>
  <w:footnote w:id="11">
    <w:p w:rsidR="005B4A97" w:rsidRPr="00082F44" w:rsidRDefault="005B4A97" w:rsidP="007B238A">
      <w:pPr>
        <w:pStyle w:val="FootnoteText"/>
        <w:ind w:firstLine="0"/>
        <w:rPr>
          <w:rFonts w:ascii="Calibri Light" w:hAnsi="Calibri Light"/>
          <w:sz w:val="18"/>
          <w:szCs w:val="18"/>
          <w:lang w:val="en-US"/>
        </w:rPr>
      </w:pPr>
      <w:r w:rsidRPr="00082F44">
        <w:rPr>
          <w:rStyle w:val="FootnoteReference"/>
          <w:rFonts w:ascii="Calibri Light" w:hAnsi="Calibri Light"/>
          <w:sz w:val="18"/>
          <w:szCs w:val="18"/>
        </w:rPr>
        <w:footnoteRef/>
      </w:r>
      <w:r w:rsidRPr="00082F44">
        <w:rPr>
          <w:rFonts w:ascii="Calibri Light" w:hAnsi="Calibri Light"/>
          <w:sz w:val="18"/>
          <w:szCs w:val="18"/>
          <w:lang w:val="en-US"/>
        </w:rPr>
        <w:t xml:space="preserve"> </w:t>
      </w:r>
      <w:r>
        <w:rPr>
          <w:rFonts w:ascii="Calibri Light" w:hAnsi="Calibri Light"/>
          <w:sz w:val="18"/>
          <w:szCs w:val="18"/>
          <w:lang w:val="en-US"/>
        </w:rPr>
        <w:t>S</w:t>
      </w:r>
      <w:r w:rsidRPr="00082F44">
        <w:rPr>
          <w:rFonts w:ascii="Calibri Light" w:hAnsi="Calibri Light"/>
          <w:sz w:val="18"/>
          <w:szCs w:val="18"/>
          <w:lang w:val="en-US"/>
        </w:rPr>
        <w:t xml:space="preserve">everal hybrid skill formations </w:t>
      </w:r>
      <w:r>
        <w:rPr>
          <w:rFonts w:ascii="Calibri Light" w:hAnsi="Calibri Light"/>
          <w:sz w:val="18"/>
          <w:szCs w:val="18"/>
          <w:lang w:val="en-US"/>
        </w:rPr>
        <w:t xml:space="preserve">can be </w:t>
      </w:r>
      <w:r w:rsidRPr="00082F44">
        <w:rPr>
          <w:rFonts w:ascii="Calibri Light" w:hAnsi="Calibri Light"/>
          <w:sz w:val="18"/>
          <w:szCs w:val="18"/>
          <w:lang w:val="en-US"/>
        </w:rPr>
        <w:t>distinguished. For instance in Japan, where industries like automobile and other goods are produced by the same firm (e.g. Mitsubishi). Changes in production line occur every few years and this requires not only industry specific skills, but also firm specific skills and the production strategy depends on the ability of the workers to perform a wide range of tasks (Koike, 1981). Germany in this case (see table. 2.2) is also a hybrid economy when it comes to skill formation. It has, on the one hand, very high quality product production facilities (e.g. high end cars) and has also been able to get the production out of the smaller scale production facilities. Streeck (1999) calls this production type a diversified quality production: it requires both industry and firm specific skills.</w:t>
      </w:r>
    </w:p>
  </w:footnote>
  <w:footnote w:id="12">
    <w:p w:rsidR="005B4A97" w:rsidRPr="00082F44" w:rsidRDefault="005B4A97" w:rsidP="007B238A">
      <w:pPr>
        <w:pStyle w:val="FootnoteText"/>
        <w:ind w:firstLine="0"/>
        <w:rPr>
          <w:rFonts w:ascii="Calibri Light" w:hAnsi="Calibri Light"/>
          <w:sz w:val="18"/>
          <w:szCs w:val="18"/>
          <w:lang w:val="en-US"/>
        </w:rPr>
      </w:pPr>
      <w:r w:rsidRPr="00082F44">
        <w:rPr>
          <w:rStyle w:val="FootnoteReference"/>
          <w:rFonts w:ascii="Calibri Light" w:hAnsi="Calibri Light"/>
          <w:sz w:val="18"/>
          <w:szCs w:val="18"/>
        </w:rPr>
        <w:footnoteRef/>
      </w:r>
      <w:r w:rsidRPr="00082F44">
        <w:rPr>
          <w:rFonts w:ascii="Calibri Light" w:hAnsi="Calibri Light"/>
          <w:sz w:val="18"/>
          <w:szCs w:val="18"/>
          <w:lang w:val="en-US"/>
        </w:rPr>
        <w:t xml:space="preserve"> For these reasons, the varieties of capitalism approach has been described as rational choice institutionalism (Coates, 2005; in Lauder, Brown and Ashton, 2008)</w:t>
      </w:r>
    </w:p>
  </w:footnote>
  <w:footnote w:id="13">
    <w:p w:rsidR="005B4A97" w:rsidRPr="00082F44" w:rsidRDefault="005B4A97" w:rsidP="007B238A">
      <w:pPr>
        <w:pStyle w:val="FootnoteText"/>
        <w:ind w:firstLine="0"/>
        <w:rPr>
          <w:rFonts w:ascii="Calibri Light" w:hAnsi="Calibri Light"/>
          <w:sz w:val="18"/>
          <w:szCs w:val="18"/>
          <w:lang w:val="en-US"/>
        </w:rPr>
      </w:pPr>
      <w:r w:rsidRPr="00082F44">
        <w:rPr>
          <w:rStyle w:val="FootnoteReference"/>
          <w:rFonts w:ascii="Calibri Light" w:hAnsi="Calibri Light"/>
          <w:sz w:val="18"/>
          <w:szCs w:val="18"/>
        </w:rPr>
        <w:footnoteRef/>
      </w:r>
      <w:r w:rsidRPr="00082F44">
        <w:rPr>
          <w:rFonts w:ascii="Calibri Light" w:hAnsi="Calibri Light"/>
          <w:sz w:val="18"/>
          <w:szCs w:val="18"/>
          <w:lang w:val="en-US"/>
        </w:rPr>
        <w:t xml:space="preserve">It should be noted that academic education can also be of this general skill type. </w:t>
      </w:r>
      <w:r>
        <w:rPr>
          <w:rFonts w:ascii="Calibri Light" w:hAnsi="Calibri Light"/>
          <w:sz w:val="18"/>
          <w:szCs w:val="18"/>
          <w:lang w:val="en-US"/>
        </w:rPr>
        <w:t>Take</w:t>
      </w:r>
      <w:r w:rsidRPr="00082F44">
        <w:rPr>
          <w:rFonts w:ascii="Calibri Light" w:hAnsi="Calibri Light"/>
          <w:sz w:val="18"/>
          <w:szCs w:val="18"/>
          <w:lang w:val="en-US"/>
        </w:rPr>
        <w:t xml:space="preserve"> an MBA title, or a public administration master. </w:t>
      </w:r>
    </w:p>
  </w:footnote>
  <w:footnote w:id="14">
    <w:p w:rsidR="005B4A97" w:rsidRPr="00082F44" w:rsidRDefault="005B4A97" w:rsidP="00A55CD8">
      <w:pPr>
        <w:pStyle w:val="NoSpacing"/>
        <w:spacing w:line="240" w:lineRule="auto"/>
        <w:ind w:firstLine="0"/>
        <w:rPr>
          <w:sz w:val="18"/>
          <w:szCs w:val="18"/>
        </w:rPr>
      </w:pPr>
      <w:r w:rsidRPr="00082F44">
        <w:rPr>
          <w:rStyle w:val="FootnoteReference"/>
          <w:sz w:val="18"/>
          <w:szCs w:val="18"/>
        </w:rPr>
        <w:footnoteRef/>
      </w:r>
      <w:r w:rsidRPr="00082F44">
        <w:rPr>
          <w:sz w:val="18"/>
          <w:szCs w:val="18"/>
        </w:rPr>
        <w:t xml:space="preserve"> </w:t>
      </w:r>
      <w:r w:rsidRPr="00076742">
        <w:rPr>
          <w:sz w:val="18"/>
          <w:szCs w:val="18"/>
        </w:rPr>
        <w:t>At first hand, one would assume that the best organized wage bargaining systems can be found in the specific training economies. This is true however, one should see wage protection in two ways: wage protecti</w:t>
      </w:r>
      <w:r w:rsidRPr="00723F19">
        <w:rPr>
          <w:sz w:val="18"/>
          <w:szCs w:val="18"/>
        </w:rPr>
        <w:t>on for the employed and wage protection for the unemployed. For the employed workers, the relevant protection is the protection of their wages in contrast to other industries. For the unemployed, wage protection means the assurance that, when they find a n</w:t>
      </w:r>
      <w:r w:rsidRPr="004D2DFF">
        <w:rPr>
          <w:sz w:val="18"/>
          <w:szCs w:val="18"/>
        </w:rPr>
        <w:t>ew job, they will be hired for the same wage they earned at their previous job. In a general skills economy, both the employment wage protection and the unemployment  wage protection are both low for if they were high, there would be a disincentive to leav</w:t>
      </w:r>
      <w:r w:rsidRPr="00907BAD">
        <w:rPr>
          <w:sz w:val="18"/>
          <w:szCs w:val="18"/>
        </w:rPr>
        <w:t>e the company. The other way around is true for the industry or firm specific skills. Both the unemployment and the employment wage protection are high (Estevez et al, 2001).</w:t>
      </w:r>
      <w:r>
        <w:rPr>
          <w:sz w:val="18"/>
          <w:szCs w:val="18"/>
        </w:rPr>
        <w:t xml:space="preserve"> </w:t>
      </w:r>
    </w:p>
  </w:footnote>
  <w:footnote w:id="15">
    <w:p w:rsidR="005B4A97" w:rsidRPr="00082F44" w:rsidRDefault="005B4A97" w:rsidP="007B238A">
      <w:pPr>
        <w:pStyle w:val="FootnoteText"/>
        <w:ind w:firstLine="0"/>
        <w:rPr>
          <w:rFonts w:ascii="Calibri Light" w:hAnsi="Calibri Light"/>
          <w:sz w:val="18"/>
          <w:szCs w:val="18"/>
          <w:lang w:val="en-US"/>
        </w:rPr>
      </w:pPr>
      <w:r w:rsidRPr="00082F44">
        <w:rPr>
          <w:rStyle w:val="FootnoteReference"/>
          <w:rFonts w:ascii="Calibri Light" w:hAnsi="Calibri Light"/>
          <w:sz w:val="18"/>
          <w:szCs w:val="18"/>
        </w:rPr>
        <w:footnoteRef/>
      </w:r>
      <w:r w:rsidRPr="00082F44">
        <w:rPr>
          <w:rFonts w:ascii="Calibri Light" w:hAnsi="Calibri Light"/>
          <w:sz w:val="18"/>
          <w:szCs w:val="18"/>
          <w:lang w:val="en-US"/>
        </w:rPr>
        <w:t xml:space="preserve"> This ‘convergence theory’ is based on much older theories of industrialism (Hall and Soskice, 2001: 56)</w:t>
      </w:r>
    </w:p>
  </w:footnote>
  <w:footnote w:id="16">
    <w:p w:rsidR="005B4A97" w:rsidRPr="00082F44" w:rsidRDefault="005B4A97" w:rsidP="007B238A">
      <w:pPr>
        <w:pStyle w:val="FootnoteText"/>
        <w:ind w:firstLine="0"/>
        <w:rPr>
          <w:rFonts w:ascii="Calibri Light" w:hAnsi="Calibri Light"/>
          <w:sz w:val="18"/>
          <w:szCs w:val="18"/>
          <w:lang w:val="en-US"/>
        </w:rPr>
      </w:pPr>
      <w:r w:rsidRPr="00082F44">
        <w:rPr>
          <w:rStyle w:val="FootnoteReference"/>
          <w:rFonts w:ascii="Calibri Light" w:hAnsi="Calibri Light"/>
          <w:sz w:val="18"/>
          <w:szCs w:val="18"/>
        </w:rPr>
        <w:footnoteRef/>
      </w:r>
      <w:r w:rsidRPr="00082F44">
        <w:rPr>
          <w:rFonts w:ascii="Calibri Light" w:hAnsi="Calibri Light"/>
          <w:sz w:val="18"/>
          <w:szCs w:val="18"/>
          <w:lang w:val="en-US"/>
        </w:rPr>
        <w:t xml:space="preserve"> Hall and Soskice give the example of Nissan, A Japanese company that therefore operates in a CME-like economy, locates its design studios in the United States in order to gain the support of the institutions that facilitate radical innovation; something that can be useful for an automobile manufacturer with a rather dull image. The example also works the other way around. General Motors, a United States bases company, </w:t>
      </w:r>
      <w:r>
        <w:rPr>
          <w:rFonts w:ascii="Calibri Light" w:hAnsi="Calibri Light"/>
          <w:sz w:val="18"/>
          <w:szCs w:val="18"/>
          <w:lang w:val="en-US"/>
        </w:rPr>
        <w:t>re</w:t>
      </w:r>
      <w:r w:rsidRPr="00082F44">
        <w:rPr>
          <w:rFonts w:ascii="Calibri Light" w:hAnsi="Calibri Light"/>
          <w:sz w:val="18"/>
          <w:szCs w:val="18"/>
          <w:lang w:val="en-US"/>
        </w:rPr>
        <w:t xml:space="preserve">located its engine plant in Germany. The high skilled </w:t>
      </w:r>
      <w:r>
        <w:rPr>
          <w:rFonts w:ascii="Calibri Light" w:hAnsi="Calibri Light"/>
          <w:sz w:val="18"/>
          <w:szCs w:val="18"/>
          <w:lang w:val="en-US"/>
        </w:rPr>
        <w:t>labour</w:t>
      </w:r>
      <w:r w:rsidRPr="00082F44">
        <w:rPr>
          <w:rFonts w:ascii="Calibri Light" w:hAnsi="Calibri Light"/>
          <w:sz w:val="18"/>
          <w:szCs w:val="18"/>
          <w:lang w:val="en-US"/>
        </w:rPr>
        <w:t xml:space="preserve"> force in Germany might, via incremental innovation,</w:t>
      </w:r>
      <w:r>
        <w:rPr>
          <w:rFonts w:ascii="Calibri Light" w:hAnsi="Calibri Light"/>
          <w:sz w:val="18"/>
          <w:szCs w:val="18"/>
          <w:lang w:val="en-US"/>
        </w:rPr>
        <w:t xml:space="preserve"> </w:t>
      </w:r>
      <w:r w:rsidRPr="00082F44">
        <w:rPr>
          <w:rFonts w:ascii="Calibri Light" w:hAnsi="Calibri Light"/>
          <w:sz w:val="18"/>
          <w:szCs w:val="18"/>
          <w:lang w:val="en-US"/>
        </w:rPr>
        <w:t>be able to improve the engines in a way that would be hard to achieve if they were produced (and designed) in the United States.</w:t>
      </w:r>
    </w:p>
  </w:footnote>
  <w:footnote w:id="17">
    <w:p w:rsidR="005B4A97" w:rsidRPr="004D2DFF" w:rsidRDefault="005B4A97" w:rsidP="007B238A">
      <w:pPr>
        <w:pStyle w:val="NoSpacing"/>
        <w:spacing w:line="240" w:lineRule="auto"/>
        <w:ind w:firstLine="0"/>
        <w:rPr>
          <w:sz w:val="18"/>
          <w:szCs w:val="18"/>
        </w:rPr>
      </w:pPr>
      <w:r w:rsidRPr="00082F44">
        <w:rPr>
          <w:rStyle w:val="FootnoteReference"/>
          <w:sz w:val="18"/>
          <w:szCs w:val="18"/>
        </w:rPr>
        <w:footnoteRef/>
      </w:r>
      <w:r w:rsidRPr="00082F44">
        <w:rPr>
          <w:sz w:val="18"/>
          <w:szCs w:val="18"/>
        </w:rPr>
        <w:t xml:space="preserve"> </w:t>
      </w:r>
      <w:r w:rsidRPr="00076742">
        <w:rPr>
          <w:sz w:val="18"/>
          <w:szCs w:val="18"/>
        </w:rPr>
        <w:t>This can be illustrated by the 24 hours cycle several MNC’s nowadays h</w:t>
      </w:r>
      <w:r w:rsidRPr="00723F19">
        <w:rPr>
          <w:sz w:val="18"/>
          <w:szCs w:val="18"/>
        </w:rPr>
        <w:t>ave: the production lines start in India and end in the West of the United States. People start working in India when Europe is still asleep. When the Europeans start, The USA is still asleep and when they start, the people in India are reloading their bat</w:t>
      </w:r>
      <w:r w:rsidRPr="004D2DFF">
        <w:rPr>
          <w:sz w:val="18"/>
          <w:szCs w:val="18"/>
        </w:rPr>
        <w:t>teries for the new day.</w:t>
      </w:r>
    </w:p>
    <w:p w:rsidR="005B4A97" w:rsidRPr="00082F44" w:rsidRDefault="005B4A97" w:rsidP="007B238A">
      <w:pPr>
        <w:pStyle w:val="FootnoteText"/>
        <w:ind w:firstLine="0"/>
        <w:rPr>
          <w:rFonts w:ascii="Calibri Light" w:hAnsi="Calibri Light"/>
          <w:sz w:val="18"/>
          <w:szCs w:val="18"/>
          <w:lang w:val="en-US"/>
        </w:rPr>
      </w:pPr>
    </w:p>
  </w:footnote>
  <w:footnote w:id="18">
    <w:p w:rsidR="005B4A97" w:rsidRPr="00082F44" w:rsidRDefault="005B4A97" w:rsidP="007B238A">
      <w:pPr>
        <w:pStyle w:val="FootnoteText"/>
        <w:ind w:firstLine="0"/>
        <w:rPr>
          <w:rFonts w:ascii="Calibri Light" w:hAnsi="Calibri Light"/>
          <w:sz w:val="18"/>
          <w:szCs w:val="18"/>
          <w:lang w:val="en-US"/>
        </w:rPr>
      </w:pPr>
      <w:r w:rsidRPr="00082F44">
        <w:rPr>
          <w:rStyle w:val="FootnoteReference"/>
          <w:rFonts w:ascii="Calibri Light" w:hAnsi="Calibri Light"/>
          <w:sz w:val="18"/>
          <w:szCs w:val="18"/>
        </w:rPr>
        <w:footnoteRef/>
      </w:r>
      <w:r w:rsidRPr="00082F44">
        <w:rPr>
          <w:rFonts w:ascii="Calibri Light" w:hAnsi="Calibri Light"/>
          <w:sz w:val="18"/>
          <w:szCs w:val="18"/>
          <w:lang w:val="en-US"/>
        </w:rPr>
        <w:t xml:space="preserve"> </w:t>
      </w:r>
      <w:r>
        <w:rPr>
          <w:rFonts w:ascii="Calibri Light" w:hAnsi="Calibri Light"/>
          <w:sz w:val="18"/>
          <w:szCs w:val="18"/>
          <w:lang w:val="en-US"/>
        </w:rPr>
        <w:t xml:space="preserve">The </w:t>
      </w:r>
      <w:r w:rsidRPr="00082F44">
        <w:rPr>
          <w:rFonts w:ascii="Calibri Light" w:hAnsi="Calibri Light"/>
          <w:sz w:val="18"/>
          <w:szCs w:val="18"/>
          <w:lang w:val="en-US"/>
        </w:rPr>
        <w:t xml:space="preserve">Erasmus program </w:t>
      </w:r>
      <w:r>
        <w:rPr>
          <w:rFonts w:ascii="Calibri Light" w:hAnsi="Calibri Light"/>
          <w:sz w:val="18"/>
          <w:szCs w:val="18"/>
          <w:lang w:val="en-US"/>
        </w:rPr>
        <w:t>had</w:t>
      </w:r>
      <w:r w:rsidRPr="00082F44">
        <w:rPr>
          <w:rFonts w:ascii="Calibri Light" w:hAnsi="Calibri Light"/>
          <w:sz w:val="18"/>
          <w:szCs w:val="18"/>
          <w:lang w:val="en-US"/>
        </w:rPr>
        <w:t xml:space="preserve"> already </w:t>
      </w:r>
      <w:r>
        <w:rPr>
          <w:rFonts w:ascii="Calibri Light" w:hAnsi="Calibri Light"/>
          <w:sz w:val="18"/>
          <w:szCs w:val="18"/>
          <w:lang w:val="en-US"/>
        </w:rPr>
        <w:t xml:space="preserve">been </w:t>
      </w:r>
      <w:r w:rsidRPr="00082F44">
        <w:rPr>
          <w:rFonts w:ascii="Calibri Light" w:hAnsi="Calibri Light"/>
          <w:sz w:val="18"/>
          <w:szCs w:val="18"/>
          <w:lang w:val="en-US"/>
        </w:rPr>
        <w:t>established in 1987.</w:t>
      </w:r>
    </w:p>
  </w:footnote>
  <w:footnote w:id="19">
    <w:p w:rsidR="005B4A97" w:rsidRPr="00082F44" w:rsidRDefault="005B4A97" w:rsidP="007B238A">
      <w:pPr>
        <w:pStyle w:val="FootnoteText"/>
        <w:ind w:firstLine="0"/>
        <w:rPr>
          <w:rFonts w:ascii="Calibri Light" w:hAnsi="Calibri Light"/>
          <w:sz w:val="18"/>
          <w:szCs w:val="18"/>
          <w:lang w:val="en-US"/>
        </w:rPr>
      </w:pPr>
      <w:r w:rsidRPr="00082F44">
        <w:rPr>
          <w:rStyle w:val="FootnoteReference"/>
          <w:rFonts w:ascii="Calibri Light" w:hAnsi="Calibri Light"/>
          <w:sz w:val="18"/>
          <w:szCs w:val="18"/>
        </w:rPr>
        <w:footnoteRef/>
      </w:r>
      <w:r w:rsidRPr="00082F44">
        <w:rPr>
          <w:rFonts w:ascii="Calibri Light" w:hAnsi="Calibri Light"/>
          <w:sz w:val="18"/>
          <w:szCs w:val="18"/>
          <w:lang w:val="en-US"/>
        </w:rPr>
        <w:t xml:space="preserve"> Launched together with the Bologna Process</w:t>
      </w:r>
    </w:p>
  </w:footnote>
  <w:footnote w:id="20">
    <w:p w:rsidR="005B4A97" w:rsidRPr="00082F44" w:rsidRDefault="005B4A97" w:rsidP="007B238A">
      <w:pPr>
        <w:pStyle w:val="FootnoteText"/>
        <w:ind w:firstLine="0"/>
        <w:rPr>
          <w:rFonts w:ascii="Calibri Light" w:hAnsi="Calibri Light"/>
          <w:sz w:val="18"/>
          <w:szCs w:val="18"/>
          <w:lang w:val="en-US"/>
        </w:rPr>
      </w:pPr>
      <w:r w:rsidRPr="00082F44">
        <w:rPr>
          <w:rStyle w:val="FootnoteReference"/>
          <w:rFonts w:ascii="Calibri Light" w:hAnsi="Calibri Light"/>
          <w:sz w:val="18"/>
          <w:szCs w:val="18"/>
        </w:rPr>
        <w:footnoteRef/>
      </w:r>
      <w:r w:rsidRPr="00082F44">
        <w:rPr>
          <w:rFonts w:ascii="Calibri Light" w:hAnsi="Calibri Light"/>
          <w:sz w:val="18"/>
          <w:szCs w:val="18"/>
          <w:lang w:val="en-US"/>
        </w:rPr>
        <w:t xml:space="preserve"> Research outputs such as quantities of patents, citations indices and international scientific awards.</w:t>
      </w:r>
    </w:p>
  </w:footnote>
  <w:footnote w:id="21">
    <w:p w:rsidR="005B4A97" w:rsidRPr="00082F44" w:rsidRDefault="005B4A97" w:rsidP="007B238A">
      <w:pPr>
        <w:pStyle w:val="FootnoteText"/>
        <w:ind w:firstLine="0"/>
        <w:rPr>
          <w:rFonts w:ascii="Calibri Light" w:hAnsi="Calibri Light"/>
          <w:sz w:val="18"/>
          <w:szCs w:val="18"/>
          <w:lang w:val="en-US"/>
        </w:rPr>
      </w:pPr>
      <w:r w:rsidRPr="00082F44">
        <w:rPr>
          <w:rStyle w:val="FootnoteReference"/>
          <w:rFonts w:ascii="Calibri Light" w:hAnsi="Calibri Light"/>
          <w:sz w:val="18"/>
          <w:szCs w:val="18"/>
        </w:rPr>
        <w:footnoteRef/>
      </w:r>
      <w:r w:rsidRPr="00082F44">
        <w:rPr>
          <w:rFonts w:ascii="Calibri Light" w:hAnsi="Calibri Light"/>
          <w:sz w:val="18"/>
          <w:szCs w:val="18"/>
          <w:lang w:val="en-US"/>
        </w:rPr>
        <w:t xml:space="preserve"> Ronald Plasterk, minister of Education, tried to significantly raise the tuition fees for MA studies in 2007 (NRC, 2007). H</w:t>
      </w:r>
    </w:p>
  </w:footnote>
  <w:footnote w:id="22">
    <w:p w:rsidR="005B4A97" w:rsidRPr="00082F44" w:rsidRDefault="005B4A97" w:rsidP="007B238A">
      <w:pPr>
        <w:pStyle w:val="FootnoteText"/>
        <w:ind w:firstLine="0"/>
        <w:rPr>
          <w:rFonts w:ascii="Calibri Light" w:hAnsi="Calibri Light"/>
          <w:sz w:val="18"/>
          <w:szCs w:val="18"/>
          <w:lang w:val="en-US"/>
        </w:rPr>
      </w:pPr>
      <w:r w:rsidRPr="00082F44">
        <w:rPr>
          <w:rStyle w:val="FootnoteReference"/>
          <w:rFonts w:ascii="Calibri Light" w:eastAsiaTheme="majorEastAsia" w:hAnsi="Calibri Light"/>
          <w:sz w:val="18"/>
          <w:szCs w:val="18"/>
        </w:rPr>
        <w:footnoteRef/>
      </w:r>
      <w:r w:rsidRPr="00082F44">
        <w:rPr>
          <w:rFonts w:ascii="Calibri Light" w:hAnsi="Calibri Light"/>
          <w:sz w:val="18"/>
          <w:szCs w:val="18"/>
          <w:lang w:val="en-US"/>
        </w:rPr>
        <w:t xml:space="preserve"> it is, of course, not clear whether a less powerful actor has tried and failed to articulate a norm and it can therefore be called some sort of self-fulfilling prophesy hypothesis. However, consider the example of the land mines. The norm entrepreneur that was able to articulate a norm in a domain where states are almost completely autonomous was in fact, not influential at all beforehand.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E821B4"/>
    <w:multiLevelType w:val="hybridMultilevel"/>
    <w:tmpl w:val="5778F200"/>
    <w:lvl w:ilvl="0" w:tplc="75AA68DC">
      <w:start w:val="1"/>
      <w:numFmt w:val="bullet"/>
      <w:lvlText w:val="-"/>
      <w:lvlJc w:val="left"/>
      <w:pPr>
        <w:ind w:left="644" w:hanging="360"/>
      </w:pPr>
      <w:rPr>
        <w:rFonts w:ascii="Calibri" w:eastAsiaTheme="minorEastAsia" w:hAnsi="Calibri" w:cstheme="minorBidi" w:hint="default"/>
      </w:rPr>
    </w:lvl>
    <w:lvl w:ilvl="1" w:tplc="04130003" w:tentative="1">
      <w:start w:val="1"/>
      <w:numFmt w:val="bullet"/>
      <w:lvlText w:val="o"/>
      <w:lvlJc w:val="left"/>
      <w:pPr>
        <w:ind w:left="1364" w:hanging="360"/>
      </w:pPr>
      <w:rPr>
        <w:rFonts w:ascii="Courier New" w:hAnsi="Courier New" w:cs="Courier New" w:hint="default"/>
      </w:rPr>
    </w:lvl>
    <w:lvl w:ilvl="2" w:tplc="04130005" w:tentative="1">
      <w:start w:val="1"/>
      <w:numFmt w:val="bullet"/>
      <w:lvlText w:val=""/>
      <w:lvlJc w:val="left"/>
      <w:pPr>
        <w:ind w:left="2084" w:hanging="360"/>
      </w:pPr>
      <w:rPr>
        <w:rFonts w:ascii="Wingdings" w:hAnsi="Wingdings" w:hint="default"/>
      </w:rPr>
    </w:lvl>
    <w:lvl w:ilvl="3" w:tplc="04130001" w:tentative="1">
      <w:start w:val="1"/>
      <w:numFmt w:val="bullet"/>
      <w:lvlText w:val=""/>
      <w:lvlJc w:val="left"/>
      <w:pPr>
        <w:ind w:left="2804" w:hanging="360"/>
      </w:pPr>
      <w:rPr>
        <w:rFonts w:ascii="Symbol" w:hAnsi="Symbol" w:hint="default"/>
      </w:rPr>
    </w:lvl>
    <w:lvl w:ilvl="4" w:tplc="04130003" w:tentative="1">
      <w:start w:val="1"/>
      <w:numFmt w:val="bullet"/>
      <w:lvlText w:val="o"/>
      <w:lvlJc w:val="left"/>
      <w:pPr>
        <w:ind w:left="3524" w:hanging="360"/>
      </w:pPr>
      <w:rPr>
        <w:rFonts w:ascii="Courier New" w:hAnsi="Courier New" w:cs="Courier New" w:hint="default"/>
      </w:rPr>
    </w:lvl>
    <w:lvl w:ilvl="5" w:tplc="04130005" w:tentative="1">
      <w:start w:val="1"/>
      <w:numFmt w:val="bullet"/>
      <w:lvlText w:val=""/>
      <w:lvlJc w:val="left"/>
      <w:pPr>
        <w:ind w:left="4244" w:hanging="360"/>
      </w:pPr>
      <w:rPr>
        <w:rFonts w:ascii="Wingdings" w:hAnsi="Wingdings" w:hint="default"/>
      </w:rPr>
    </w:lvl>
    <w:lvl w:ilvl="6" w:tplc="04130001" w:tentative="1">
      <w:start w:val="1"/>
      <w:numFmt w:val="bullet"/>
      <w:lvlText w:val=""/>
      <w:lvlJc w:val="left"/>
      <w:pPr>
        <w:ind w:left="4964" w:hanging="360"/>
      </w:pPr>
      <w:rPr>
        <w:rFonts w:ascii="Symbol" w:hAnsi="Symbol" w:hint="default"/>
      </w:rPr>
    </w:lvl>
    <w:lvl w:ilvl="7" w:tplc="04130003" w:tentative="1">
      <w:start w:val="1"/>
      <w:numFmt w:val="bullet"/>
      <w:lvlText w:val="o"/>
      <w:lvlJc w:val="left"/>
      <w:pPr>
        <w:ind w:left="5684" w:hanging="360"/>
      </w:pPr>
      <w:rPr>
        <w:rFonts w:ascii="Courier New" w:hAnsi="Courier New" w:cs="Courier New" w:hint="default"/>
      </w:rPr>
    </w:lvl>
    <w:lvl w:ilvl="8" w:tplc="04130005" w:tentative="1">
      <w:start w:val="1"/>
      <w:numFmt w:val="bullet"/>
      <w:lvlText w:val=""/>
      <w:lvlJc w:val="left"/>
      <w:pPr>
        <w:ind w:left="6404" w:hanging="360"/>
      </w:pPr>
      <w:rPr>
        <w:rFonts w:ascii="Wingdings" w:hAnsi="Wingdings" w:hint="default"/>
      </w:rPr>
    </w:lvl>
  </w:abstractNum>
  <w:abstractNum w:abstractNumId="1">
    <w:nsid w:val="04B3032A"/>
    <w:multiLevelType w:val="multilevel"/>
    <w:tmpl w:val="4E24143A"/>
    <w:lvl w:ilvl="0">
      <w:start w:val="1"/>
      <w:numFmt w:val="decimal"/>
      <w:lvlText w:val="%1."/>
      <w:lvlJc w:val="left"/>
      <w:pPr>
        <w:ind w:left="1004" w:hanging="360"/>
      </w:pPr>
    </w:lvl>
    <w:lvl w:ilvl="1">
      <w:start w:val="1"/>
      <w:numFmt w:val="decimal"/>
      <w:isLgl/>
      <w:lvlText w:val="%1.%2."/>
      <w:lvlJc w:val="left"/>
      <w:pPr>
        <w:ind w:left="1004" w:hanging="360"/>
      </w:pPr>
      <w:rPr>
        <w:rFonts w:hint="default"/>
      </w:rPr>
    </w:lvl>
    <w:lvl w:ilvl="2">
      <w:start w:val="1"/>
      <w:numFmt w:val="decimal"/>
      <w:isLgl/>
      <w:lvlText w:val="%1.%2.%3."/>
      <w:lvlJc w:val="left"/>
      <w:pPr>
        <w:ind w:left="1364" w:hanging="720"/>
      </w:pPr>
      <w:rPr>
        <w:rFonts w:hint="default"/>
      </w:rPr>
    </w:lvl>
    <w:lvl w:ilvl="3">
      <w:start w:val="1"/>
      <w:numFmt w:val="decimal"/>
      <w:isLgl/>
      <w:lvlText w:val="%1.%2.%3.%4."/>
      <w:lvlJc w:val="left"/>
      <w:pPr>
        <w:ind w:left="1364"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724" w:hanging="1080"/>
      </w:pPr>
      <w:rPr>
        <w:rFonts w:hint="default"/>
      </w:rPr>
    </w:lvl>
    <w:lvl w:ilvl="6">
      <w:start w:val="1"/>
      <w:numFmt w:val="decimal"/>
      <w:isLgl/>
      <w:lvlText w:val="%1.%2.%3.%4.%5.%6.%7."/>
      <w:lvlJc w:val="left"/>
      <w:pPr>
        <w:ind w:left="2084" w:hanging="1440"/>
      </w:pPr>
      <w:rPr>
        <w:rFonts w:hint="default"/>
      </w:rPr>
    </w:lvl>
    <w:lvl w:ilvl="7">
      <w:start w:val="1"/>
      <w:numFmt w:val="decimal"/>
      <w:isLgl/>
      <w:lvlText w:val="%1.%2.%3.%4.%5.%6.%7.%8."/>
      <w:lvlJc w:val="left"/>
      <w:pPr>
        <w:ind w:left="2084" w:hanging="1440"/>
      </w:pPr>
      <w:rPr>
        <w:rFonts w:hint="default"/>
      </w:rPr>
    </w:lvl>
    <w:lvl w:ilvl="8">
      <w:start w:val="1"/>
      <w:numFmt w:val="decimal"/>
      <w:isLgl/>
      <w:lvlText w:val="%1.%2.%3.%4.%5.%6.%7.%8.%9."/>
      <w:lvlJc w:val="left"/>
      <w:pPr>
        <w:ind w:left="2444" w:hanging="1800"/>
      </w:pPr>
      <w:rPr>
        <w:rFonts w:hint="default"/>
      </w:rPr>
    </w:lvl>
  </w:abstractNum>
  <w:abstractNum w:abstractNumId="2">
    <w:nsid w:val="14582F14"/>
    <w:multiLevelType w:val="hybridMultilevel"/>
    <w:tmpl w:val="986AC21A"/>
    <w:lvl w:ilvl="0" w:tplc="0413000F">
      <w:start w:val="1"/>
      <w:numFmt w:val="decimal"/>
      <w:lvlText w:val="%1."/>
      <w:lvlJc w:val="left"/>
      <w:pPr>
        <w:ind w:left="1364" w:hanging="360"/>
      </w:pPr>
    </w:lvl>
    <w:lvl w:ilvl="1" w:tplc="04130019" w:tentative="1">
      <w:start w:val="1"/>
      <w:numFmt w:val="lowerLetter"/>
      <w:lvlText w:val="%2."/>
      <w:lvlJc w:val="left"/>
      <w:pPr>
        <w:ind w:left="2084" w:hanging="360"/>
      </w:pPr>
    </w:lvl>
    <w:lvl w:ilvl="2" w:tplc="0413001B" w:tentative="1">
      <w:start w:val="1"/>
      <w:numFmt w:val="lowerRoman"/>
      <w:lvlText w:val="%3."/>
      <w:lvlJc w:val="right"/>
      <w:pPr>
        <w:ind w:left="2804" w:hanging="180"/>
      </w:pPr>
    </w:lvl>
    <w:lvl w:ilvl="3" w:tplc="0413000F" w:tentative="1">
      <w:start w:val="1"/>
      <w:numFmt w:val="decimal"/>
      <w:lvlText w:val="%4."/>
      <w:lvlJc w:val="left"/>
      <w:pPr>
        <w:ind w:left="3524" w:hanging="360"/>
      </w:pPr>
    </w:lvl>
    <w:lvl w:ilvl="4" w:tplc="04130019" w:tentative="1">
      <w:start w:val="1"/>
      <w:numFmt w:val="lowerLetter"/>
      <w:lvlText w:val="%5."/>
      <w:lvlJc w:val="left"/>
      <w:pPr>
        <w:ind w:left="4244" w:hanging="360"/>
      </w:pPr>
    </w:lvl>
    <w:lvl w:ilvl="5" w:tplc="0413001B" w:tentative="1">
      <w:start w:val="1"/>
      <w:numFmt w:val="lowerRoman"/>
      <w:lvlText w:val="%6."/>
      <w:lvlJc w:val="right"/>
      <w:pPr>
        <w:ind w:left="4964" w:hanging="180"/>
      </w:pPr>
    </w:lvl>
    <w:lvl w:ilvl="6" w:tplc="0413000F" w:tentative="1">
      <w:start w:val="1"/>
      <w:numFmt w:val="decimal"/>
      <w:lvlText w:val="%7."/>
      <w:lvlJc w:val="left"/>
      <w:pPr>
        <w:ind w:left="5684" w:hanging="360"/>
      </w:pPr>
    </w:lvl>
    <w:lvl w:ilvl="7" w:tplc="04130019" w:tentative="1">
      <w:start w:val="1"/>
      <w:numFmt w:val="lowerLetter"/>
      <w:lvlText w:val="%8."/>
      <w:lvlJc w:val="left"/>
      <w:pPr>
        <w:ind w:left="6404" w:hanging="360"/>
      </w:pPr>
    </w:lvl>
    <w:lvl w:ilvl="8" w:tplc="0413001B" w:tentative="1">
      <w:start w:val="1"/>
      <w:numFmt w:val="lowerRoman"/>
      <w:lvlText w:val="%9."/>
      <w:lvlJc w:val="right"/>
      <w:pPr>
        <w:ind w:left="7124" w:hanging="180"/>
      </w:pPr>
    </w:lvl>
  </w:abstractNum>
  <w:abstractNum w:abstractNumId="3">
    <w:nsid w:val="251437C9"/>
    <w:multiLevelType w:val="multilevel"/>
    <w:tmpl w:val="4E24143A"/>
    <w:lvl w:ilvl="0">
      <w:start w:val="1"/>
      <w:numFmt w:val="decimal"/>
      <w:lvlText w:val="%1."/>
      <w:lvlJc w:val="left"/>
      <w:pPr>
        <w:ind w:left="1004" w:hanging="360"/>
      </w:pPr>
    </w:lvl>
    <w:lvl w:ilvl="1">
      <w:start w:val="1"/>
      <w:numFmt w:val="decimal"/>
      <w:isLgl/>
      <w:lvlText w:val="%1.%2."/>
      <w:lvlJc w:val="left"/>
      <w:pPr>
        <w:ind w:left="1004" w:hanging="360"/>
      </w:pPr>
      <w:rPr>
        <w:rFonts w:hint="default"/>
      </w:rPr>
    </w:lvl>
    <w:lvl w:ilvl="2">
      <w:start w:val="1"/>
      <w:numFmt w:val="decimal"/>
      <w:isLgl/>
      <w:lvlText w:val="%1.%2.%3."/>
      <w:lvlJc w:val="left"/>
      <w:pPr>
        <w:ind w:left="1364" w:hanging="720"/>
      </w:pPr>
      <w:rPr>
        <w:rFonts w:hint="default"/>
      </w:rPr>
    </w:lvl>
    <w:lvl w:ilvl="3">
      <w:start w:val="1"/>
      <w:numFmt w:val="decimal"/>
      <w:isLgl/>
      <w:lvlText w:val="%1.%2.%3.%4."/>
      <w:lvlJc w:val="left"/>
      <w:pPr>
        <w:ind w:left="1364"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724" w:hanging="1080"/>
      </w:pPr>
      <w:rPr>
        <w:rFonts w:hint="default"/>
      </w:rPr>
    </w:lvl>
    <w:lvl w:ilvl="6">
      <w:start w:val="1"/>
      <w:numFmt w:val="decimal"/>
      <w:isLgl/>
      <w:lvlText w:val="%1.%2.%3.%4.%5.%6.%7."/>
      <w:lvlJc w:val="left"/>
      <w:pPr>
        <w:ind w:left="2084" w:hanging="1440"/>
      </w:pPr>
      <w:rPr>
        <w:rFonts w:hint="default"/>
      </w:rPr>
    </w:lvl>
    <w:lvl w:ilvl="7">
      <w:start w:val="1"/>
      <w:numFmt w:val="decimal"/>
      <w:isLgl/>
      <w:lvlText w:val="%1.%2.%3.%4.%5.%6.%7.%8."/>
      <w:lvlJc w:val="left"/>
      <w:pPr>
        <w:ind w:left="2084" w:hanging="1440"/>
      </w:pPr>
      <w:rPr>
        <w:rFonts w:hint="default"/>
      </w:rPr>
    </w:lvl>
    <w:lvl w:ilvl="8">
      <w:start w:val="1"/>
      <w:numFmt w:val="decimal"/>
      <w:isLgl/>
      <w:lvlText w:val="%1.%2.%3.%4.%5.%6.%7.%8.%9."/>
      <w:lvlJc w:val="left"/>
      <w:pPr>
        <w:ind w:left="2444" w:hanging="1800"/>
      </w:pPr>
      <w:rPr>
        <w:rFonts w:hint="default"/>
      </w:rPr>
    </w:lvl>
  </w:abstractNum>
  <w:abstractNum w:abstractNumId="4">
    <w:nsid w:val="266F3CCF"/>
    <w:multiLevelType w:val="hybridMultilevel"/>
    <w:tmpl w:val="7296417A"/>
    <w:lvl w:ilvl="0" w:tplc="9EBC392A">
      <w:start w:val="1"/>
      <w:numFmt w:val="decimal"/>
      <w:lvlText w:val="%1."/>
      <w:lvlJc w:val="left"/>
      <w:pPr>
        <w:ind w:left="720" w:hanging="360"/>
      </w:pPr>
      <w:rPr>
        <w:rFonts w:hint="default"/>
      </w:rPr>
    </w:lvl>
    <w:lvl w:ilvl="1" w:tplc="71D8021A" w:tentative="1">
      <w:start w:val="1"/>
      <w:numFmt w:val="lowerLetter"/>
      <w:lvlText w:val="%2."/>
      <w:lvlJc w:val="left"/>
      <w:pPr>
        <w:ind w:left="1440" w:hanging="360"/>
      </w:pPr>
    </w:lvl>
    <w:lvl w:ilvl="2" w:tplc="EF786EAE" w:tentative="1">
      <w:start w:val="1"/>
      <w:numFmt w:val="lowerRoman"/>
      <w:lvlText w:val="%3."/>
      <w:lvlJc w:val="right"/>
      <w:pPr>
        <w:ind w:left="2160" w:hanging="180"/>
      </w:pPr>
    </w:lvl>
    <w:lvl w:ilvl="3" w:tplc="78F012BA" w:tentative="1">
      <w:start w:val="1"/>
      <w:numFmt w:val="decimal"/>
      <w:lvlText w:val="%4."/>
      <w:lvlJc w:val="left"/>
      <w:pPr>
        <w:ind w:left="2880" w:hanging="360"/>
      </w:pPr>
    </w:lvl>
    <w:lvl w:ilvl="4" w:tplc="D3C85C02" w:tentative="1">
      <w:start w:val="1"/>
      <w:numFmt w:val="lowerLetter"/>
      <w:lvlText w:val="%5."/>
      <w:lvlJc w:val="left"/>
      <w:pPr>
        <w:ind w:left="3600" w:hanging="360"/>
      </w:pPr>
    </w:lvl>
    <w:lvl w:ilvl="5" w:tplc="24D6AA0A" w:tentative="1">
      <w:start w:val="1"/>
      <w:numFmt w:val="lowerRoman"/>
      <w:lvlText w:val="%6."/>
      <w:lvlJc w:val="right"/>
      <w:pPr>
        <w:ind w:left="4320" w:hanging="180"/>
      </w:pPr>
    </w:lvl>
    <w:lvl w:ilvl="6" w:tplc="DB50493A" w:tentative="1">
      <w:start w:val="1"/>
      <w:numFmt w:val="decimal"/>
      <w:lvlText w:val="%7."/>
      <w:lvlJc w:val="left"/>
      <w:pPr>
        <w:ind w:left="5040" w:hanging="360"/>
      </w:pPr>
    </w:lvl>
    <w:lvl w:ilvl="7" w:tplc="BBD0BF1E" w:tentative="1">
      <w:start w:val="1"/>
      <w:numFmt w:val="lowerLetter"/>
      <w:lvlText w:val="%8."/>
      <w:lvlJc w:val="left"/>
      <w:pPr>
        <w:ind w:left="5760" w:hanging="360"/>
      </w:pPr>
    </w:lvl>
    <w:lvl w:ilvl="8" w:tplc="57D0573A" w:tentative="1">
      <w:start w:val="1"/>
      <w:numFmt w:val="lowerRoman"/>
      <w:lvlText w:val="%9."/>
      <w:lvlJc w:val="right"/>
      <w:pPr>
        <w:ind w:left="6480" w:hanging="180"/>
      </w:pPr>
    </w:lvl>
  </w:abstractNum>
  <w:abstractNum w:abstractNumId="5">
    <w:nsid w:val="29CE6D1A"/>
    <w:multiLevelType w:val="hybridMultilevel"/>
    <w:tmpl w:val="3D962C46"/>
    <w:lvl w:ilvl="0" w:tplc="0413000F">
      <w:start w:val="1"/>
      <w:numFmt w:val="bullet"/>
      <w:lvlText w:val="-"/>
      <w:lvlJc w:val="left"/>
      <w:pPr>
        <w:ind w:left="720" w:hanging="360"/>
      </w:pPr>
      <w:rPr>
        <w:rFonts w:ascii="Calibri" w:eastAsiaTheme="minorEastAsia" w:hAnsi="Calibri" w:cstheme="minorBidi" w:hint="default"/>
      </w:rPr>
    </w:lvl>
    <w:lvl w:ilvl="1" w:tplc="04130019" w:tentative="1">
      <w:start w:val="1"/>
      <w:numFmt w:val="bullet"/>
      <w:lvlText w:val="o"/>
      <w:lvlJc w:val="left"/>
      <w:pPr>
        <w:ind w:left="1440" w:hanging="360"/>
      </w:pPr>
      <w:rPr>
        <w:rFonts w:ascii="Courier New" w:hAnsi="Courier New" w:cs="Courier New" w:hint="default"/>
      </w:rPr>
    </w:lvl>
    <w:lvl w:ilvl="2" w:tplc="0413001B" w:tentative="1">
      <w:start w:val="1"/>
      <w:numFmt w:val="bullet"/>
      <w:lvlText w:val=""/>
      <w:lvlJc w:val="left"/>
      <w:pPr>
        <w:ind w:left="2160" w:hanging="360"/>
      </w:pPr>
      <w:rPr>
        <w:rFonts w:ascii="Wingdings" w:hAnsi="Wingdings" w:hint="default"/>
      </w:rPr>
    </w:lvl>
    <w:lvl w:ilvl="3" w:tplc="0413000F" w:tentative="1">
      <w:start w:val="1"/>
      <w:numFmt w:val="bullet"/>
      <w:lvlText w:val=""/>
      <w:lvlJc w:val="left"/>
      <w:pPr>
        <w:ind w:left="2880" w:hanging="360"/>
      </w:pPr>
      <w:rPr>
        <w:rFonts w:ascii="Symbol" w:hAnsi="Symbol" w:hint="default"/>
      </w:rPr>
    </w:lvl>
    <w:lvl w:ilvl="4" w:tplc="04130019" w:tentative="1">
      <w:start w:val="1"/>
      <w:numFmt w:val="bullet"/>
      <w:lvlText w:val="o"/>
      <w:lvlJc w:val="left"/>
      <w:pPr>
        <w:ind w:left="3600" w:hanging="360"/>
      </w:pPr>
      <w:rPr>
        <w:rFonts w:ascii="Courier New" w:hAnsi="Courier New" w:cs="Courier New" w:hint="default"/>
      </w:rPr>
    </w:lvl>
    <w:lvl w:ilvl="5" w:tplc="0413001B" w:tentative="1">
      <w:start w:val="1"/>
      <w:numFmt w:val="bullet"/>
      <w:lvlText w:val=""/>
      <w:lvlJc w:val="left"/>
      <w:pPr>
        <w:ind w:left="4320" w:hanging="360"/>
      </w:pPr>
      <w:rPr>
        <w:rFonts w:ascii="Wingdings" w:hAnsi="Wingdings" w:hint="default"/>
      </w:rPr>
    </w:lvl>
    <w:lvl w:ilvl="6" w:tplc="0413000F" w:tentative="1">
      <w:start w:val="1"/>
      <w:numFmt w:val="bullet"/>
      <w:lvlText w:val=""/>
      <w:lvlJc w:val="left"/>
      <w:pPr>
        <w:ind w:left="5040" w:hanging="360"/>
      </w:pPr>
      <w:rPr>
        <w:rFonts w:ascii="Symbol" w:hAnsi="Symbol" w:hint="default"/>
      </w:rPr>
    </w:lvl>
    <w:lvl w:ilvl="7" w:tplc="04130019" w:tentative="1">
      <w:start w:val="1"/>
      <w:numFmt w:val="bullet"/>
      <w:lvlText w:val="o"/>
      <w:lvlJc w:val="left"/>
      <w:pPr>
        <w:ind w:left="5760" w:hanging="360"/>
      </w:pPr>
      <w:rPr>
        <w:rFonts w:ascii="Courier New" w:hAnsi="Courier New" w:cs="Courier New" w:hint="default"/>
      </w:rPr>
    </w:lvl>
    <w:lvl w:ilvl="8" w:tplc="0413001B" w:tentative="1">
      <w:start w:val="1"/>
      <w:numFmt w:val="bullet"/>
      <w:lvlText w:val=""/>
      <w:lvlJc w:val="left"/>
      <w:pPr>
        <w:ind w:left="6480" w:hanging="360"/>
      </w:pPr>
      <w:rPr>
        <w:rFonts w:ascii="Wingdings" w:hAnsi="Wingdings" w:hint="default"/>
      </w:rPr>
    </w:lvl>
  </w:abstractNum>
  <w:abstractNum w:abstractNumId="6">
    <w:nsid w:val="2C6D0F9F"/>
    <w:multiLevelType w:val="hybridMultilevel"/>
    <w:tmpl w:val="DE9A7260"/>
    <w:lvl w:ilvl="0" w:tplc="EEF82754">
      <w:start w:val="1"/>
      <w:numFmt w:val="bullet"/>
      <w:lvlText w:val="-"/>
      <w:lvlJc w:val="left"/>
      <w:pPr>
        <w:ind w:left="720" w:hanging="360"/>
      </w:pPr>
      <w:rPr>
        <w:rFonts w:ascii="Calibri" w:eastAsiaTheme="minorEastAsia"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nsid w:val="2D7219E8"/>
    <w:multiLevelType w:val="hybridMultilevel"/>
    <w:tmpl w:val="0A62CBFA"/>
    <w:lvl w:ilvl="0" w:tplc="0413000F">
      <w:start w:val="1"/>
      <w:numFmt w:val="decimal"/>
      <w:lvlText w:val="%1."/>
      <w:lvlJc w:val="left"/>
      <w:pPr>
        <w:ind w:left="1004" w:hanging="360"/>
      </w:pPr>
    </w:lvl>
    <w:lvl w:ilvl="1" w:tplc="04130019" w:tentative="1">
      <w:start w:val="1"/>
      <w:numFmt w:val="lowerLetter"/>
      <w:lvlText w:val="%2."/>
      <w:lvlJc w:val="left"/>
      <w:pPr>
        <w:ind w:left="1724" w:hanging="360"/>
      </w:pPr>
    </w:lvl>
    <w:lvl w:ilvl="2" w:tplc="0413001B" w:tentative="1">
      <w:start w:val="1"/>
      <w:numFmt w:val="lowerRoman"/>
      <w:lvlText w:val="%3."/>
      <w:lvlJc w:val="right"/>
      <w:pPr>
        <w:ind w:left="2444" w:hanging="180"/>
      </w:pPr>
    </w:lvl>
    <w:lvl w:ilvl="3" w:tplc="0413000F" w:tentative="1">
      <w:start w:val="1"/>
      <w:numFmt w:val="decimal"/>
      <w:lvlText w:val="%4."/>
      <w:lvlJc w:val="left"/>
      <w:pPr>
        <w:ind w:left="3164" w:hanging="360"/>
      </w:pPr>
    </w:lvl>
    <w:lvl w:ilvl="4" w:tplc="04130019" w:tentative="1">
      <w:start w:val="1"/>
      <w:numFmt w:val="lowerLetter"/>
      <w:lvlText w:val="%5."/>
      <w:lvlJc w:val="left"/>
      <w:pPr>
        <w:ind w:left="3884" w:hanging="360"/>
      </w:pPr>
    </w:lvl>
    <w:lvl w:ilvl="5" w:tplc="0413001B" w:tentative="1">
      <w:start w:val="1"/>
      <w:numFmt w:val="lowerRoman"/>
      <w:lvlText w:val="%6."/>
      <w:lvlJc w:val="right"/>
      <w:pPr>
        <w:ind w:left="4604" w:hanging="180"/>
      </w:pPr>
    </w:lvl>
    <w:lvl w:ilvl="6" w:tplc="0413000F" w:tentative="1">
      <w:start w:val="1"/>
      <w:numFmt w:val="decimal"/>
      <w:lvlText w:val="%7."/>
      <w:lvlJc w:val="left"/>
      <w:pPr>
        <w:ind w:left="5324" w:hanging="360"/>
      </w:pPr>
    </w:lvl>
    <w:lvl w:ilvl="7" w:tplc="04130019" w:tentative="1">
      <w:start w:val="1"/>
      <w:numFmt w:val="lowerLetter"/>
      <w:lvlText w:val="%8."/>
      <w:lvlJc w:val="left"/>
      <w:pPr>
        <w:ind w:left="6044" w:hanging="360"/>
      </w:pPr>
    </w:lvl>
    <w:lvl w:ilvl="8" w:tplc="0413001B" w:tentative="1">
      <w:start w:val="1"/>
      <w:numFmt w:val="lowerRoman"/>
      <w:lvlText w:val="%9."/>
      <w:lvlJc w:val="right"/>
      <w:pPr>
        <w:ind w:left="6764" w:hanging="180"/>
      </w:pPr>
    </w:lvl>
  </w:abstractNum>
  <w:abstractNum w:abstractNumId="8">
    <w:nsid w:val="35792AF6"/>
    <w:multiLevelType w:val="multilevel"/>
    <w:tmpl w:val="4E24143A"/>
    <w:lvl w:ilvl="0">
      <w:start w:val="1"/>
      <w:numFmt w:val="decimal"/>
      <w:lvlText w:val="%1."/>
      <w:lvlJc w:val="left"/>
      <w:pPr>
        <w:ind w:left="1004" w:hanging="360"/>
      </w:pPr>
    </w:lvl>
    <w:lvl w:ilvl="1">
      <w:start w:val="1"/>
      <w:numFmt w:val="decimal"/>
      <w:isLgl/>
      <w:lvlText w:val="%1.%2."/>
      <w:lvlJc w:val="left"/>
      <w:pPr>
        <w:ind w:left="1004" w:hanging="360"/>
      </w:pPr>
      <w:rPr>
        <w:rFonts w:hint="default"/>
      </w:rPr>
    </w:lvl>
    <w:lvl w:ilvl="2">
      <w:start w:val="1"/>
      <w:numFmt w:val="decimal"/>
      <w:isLgl/>
      <w:lvlText w:val="%1.%2.%3."/>
      <w:lvlJc w:val="left"/>
      <w:pPr>
        <w:ind w:left="1364" w:hanging="720"/>
      </w:pPr>
      <w:rPr>
        <w:rFonts w:hint="default"/>
      </w:rPr>
    </w:lvl>
    <w:lvl w:ilvl="3">
      <w:start w:val="1"/>
      <w:numFmt w:val="decimal"/>
      <w:isLgl/>
      <w:lvlText w:val="%1.%2.%3.%4."/>
      <w:lvlJc w:val="left"/>
      <w:pPr>
        <w:ind w:left="1364"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724" w:hanging="1080"/>
      </w:pPr>
      <w:rPr>
        <w:rFonts w:hint="default"/>
      </w:rPr>
    </w:lvl>
    <w:lvl w:ilvl="6">
      <w:start w:val="1"/>
      <w:numFmt w:val="decimal"/>
      <w:isLgl/>
      <w:lvlText w:val="%1.%2.%3.%4.%5.%6.%7."/>
      <w:lvlJc w:val="left"/>
      <w:pPr>
        <w:ind w:left="2084" w:hanging="1440"/>
      </w:pPr>
      <w:rPr>
        <w:rFonts w:hint="default"/>
      </w:rPr>
    </w:lvl>
    <w:lvl w:ilvl="7">
      <w:start w:val="1"/>
      <w:numFmt w:val="decimal"/>
      <w:isLgl/>
      <w:lvlText w:val="%1.%2.%3.%4.%5.%6.%7.%8."/>
      <w:lvlJc w:val="left"/>
      <w:pPr>
        <w:ind w:left="2084" w:hanging="1440"/>
      </w:pPr>
      <w:rPr>
        <w:rFonts w:hint="default"/>
      </w:rPr>
    </w:lvl>
    <w:lvl w:ilvl="8">
      <w:start w:val="1"/>
      <w:numFmt w:val="decimal"/>
      <w:isLgl/>
      <w:lvlText w:val="%1.%2.%3.%4.%5.%6.%7.%8.%9."/>
      <w:lvlJc w:val="left"/>
      <w:pPr>
        <w:ind w:left="2444" w:hanging="1800"/>
      </w:pPr>
      <w:rPr>
        <w:rFonts w:hint="default"/>
      </w:rPr>
    </w:lvl>
  </w:abstractNum>
  <w:abstractNum w:abstractNumId="9">
    <w:nsid w:val="4A6C4D6A"/>
    <w:multiLevelType w:val="hybridMultilevel"/>
    <w:tmpl w:val="BEAAFBB6"/>
    <w:lvl w:ilvl="0" w:tplc="1F4E655A">
      <w:start w:val="1"/>
      <w:numFmt w:val="decimal"/>
      <w:lvlText w:val="%1)"/>
      <w:lvlJc w:val="left"/>
      <w:pPr>
        <w:ind w:left="884" w:hanging="360"/>
      </w:pPr>
      <w:rPr>
        <w:rFonts w:hint="default"/>
      </w:rPr>
    </w:lvl>
    <w:lvl w:ilvl="1" w:tplc="04130019" w:tentative="1">
      <w:start w:val="1"/>
      <w:numFmt w:val="lowerLetter"/>
      <w:lvlText w:val="%2."/>
      <w:lvlJc w:val="left"/>
      <w:pPr>
        <w:ind w:left="1604" w:hanging="360"/>
      </w:pPr>
    </w:lvl>
    <w:lvl w:ilvl="2" w:tplc="0413001B" w:tentative="1">
      <w:start w:val="1"/>
      <w:numFmt w:val="lowerRoman"/>
      <w:lvlText w:val="%3."/>
      <w:lvlJc w:val="right"/>
      <w:pPr>
        <w:ind w:left="2324" w:hanging="180"/>
      </w:pPr>
    </w:lvl>
    <w:lvl w:ilvl="3" w:tplc="0413000F" w:tentative="1">
      <w:start w:val="1"/>
      <w:numFmt w:val="decimal"/>
      <w:lvlText w:val="%4."/>
      <w:lvlJc w:val="left"/>
      <w:pPr>
        <w:ind w:left="3044" w:hanging="360"/>
      </w:pPr>
    </w:lvl>
    <w:lvl w:ilvl="4" w:tplc="04130019" w:tentative="1">
      <w:start w:val="1"/>
      <w:numFmt w:val="lowerLetter"/>
      <w:lvlText w:val="%5."/>
      <w:lvlJc w:val="left"/>
      <w:pPr>
        <w:ind w:left="3764" w:hanging="360"/>
      </w:pPr>
    </w:lvl>
    <w:lvl w:ilvl="5" w:tplc="0413001B" w:tentative="1">
      <w:start w:val="1"/>
      <w:numFmt w:val="lowerRoman"/>
      <w:lvlText w:val="%6."/>
      <w:lvlJc w:val="right"/>
      <w:pPr>
        <w:ind w:left="4484" w:hanging="180"/>
      </w:pPr>
    </w:lvl>
    <w:lvl w:ilvl="6" w:tplc="0413000F" w:tentative="1">
      <w:start w:val="1"/>
      <w:numFmt w:val="decimal"/>
      <w:lvlText w:val="%7."/>
      <w:lvlJc w:val="left"/>
      <w:pPr>
        <w:ind w:left="5204" w:hanging="360"/>
      </w:pPr>
    </w:lvl>
    <w:lvl w:ilvl="7" w:tplc="04130019" w:tentative="1">
      <w:start w:val="1"/>
      <w:numFmt w:val="lowerLetter"/>
      <w:lvlText w:val="%8."/>
      <w:lvlJc w:val="left"/>
      <w:pPr>
        <w:ind w:left="5924" w:hanging="360"/>
      </w:pPr>
    </w:lvl>
    <w:lvl w:ilvl="8" w:tplc="0413001B" w:tentative="1">
      <w:start w:val="1"/>
      <w:numFmt w:val="lowerRoman"/>
      <w:lvlText w:val="%9."/>
      <w:lvlJc w:val="right"/>
      <w:pPr>
        <w:ind w:left="6644" w:hanging="180"/>
      </w:pPr>
    </w:lvl>
  </w:abstractNum>
  <w:abstractNum w:abstractNumId="10">
    <w:nsid w:val="4B4A0CE0"/>
    <w:multiLevelType w:val="hybridMultilevel"/>
    <w:tmpl w:val="4A8C47EA"/>
    <w:lvl w:ilvl="0" w:tplc="0413000F">
      <w:start w:val="1"/>
      <w:numFmt w:val="decimal"/>
      <w:lvlText w:val="%1."/>
      <w:lvlJc w:val="left"/>
      <w:pPr>
        <w:ind w:left="1004" w:hanging="360"/>
      </w:pPr>
    </w:lvl>
    <w:lvl w:ilvl="1" w:tplc="04130019" w:tentative="1">
      <w:start w:val="1"/>
      <w:numFmt w:val="lowerLetter"/>
      <w:lvlText w:val="%2."/>
      <w:lvlJc w:val="left"/>
      <w:pPr>
        <w:ind w:left="1724" w:hanging="360"/>
      </w:pPr>
    </w:lvl>
    <w:lvl w:ilvl="2" w:tplc="0413001B" w:tentative="1">
      <w:start w:val="1"/>
      <w:numFmt w:val="lowerRoman"/>
      <w:lvlText w:val="%3."/>
      <w:lvlJc w:val="right"/>
      <w:pPr>
        <w:ind w:left="2444" w:hanging="180"/>
      </w:pPr>
    </w:lvl>
    <w:lvl w:ilvl="3" w:tplc="0413000F" w:tentative="1">
      <w:start w:val="1"/>
      <w:numFmt w:val="decimal"/>
      <w:lvlText w:val="%4."/>
      <w:lvlJc w:val="left"/>
      <w:pPr>
        <w:ind w:left="3164" w:hanging="360"/>
      </w:pPr>
    </w:lvl>
    <w:lvl w:ilvl="4" w:tplc="04130019" w:tentative="1">
      <w:start w:val="1"/>
      <w:numFmt w:val="lowerLetter"/>
      <w:lvlText w:val="%5."/>
      <w:lvlJc w:val="left"/>
      <w:pPr>
        <w:ind w:left="3884" w:hanging="360"/>
      </w:pPr>
    </w:lvl>
    <w:lvl w:ilvl="5" w:tplc="0413001B" w:tentative="1">
      <w:start w:val="1"/>
      <w:numFmt w:val="lowerRoman"/>
      <w:lvlText w:val="%6."/>
      <w:lvlJc w:val="right"/>
      <w:pPr>
        <w:ind w:left="4604" w:hanging="180"/>
      </w:pPr>
    </w:lvl>
    <w:lvl w:ilvl="6" w:tplc="0413000F" w:tentative="1">
      <w:start w:val="1"/>
      <w:numFmt w:val="decimal"/>
      <w:lvlText w:val="%7."/>
      <w:lvlJc w:val="left"/>
      <w:pPr>
        <w:ind w:left="5324" w:hanging="360"/>
      </w:pPr>
    </w:lvl>
    <w:lvl w:ilvl="7" w:tplc="04130019" w:tentative="1">
      <w:start w:val="1"/>
      <w:numFmt w:val="lowerLetter"/>
      <w:lvlText w:val="%8."/>
      <w:lvlJc w:val="left"/>
      <w:pPr>
        <w:ind w:left="6044" w:hanging="360"/>
      </w:pPr>
    </w:lvl>
    <w:lvl w:ilvl="8" w:tplc="0413001B" w:tentative="1">
      <w:start w:val="1"/>
      <w:numFmt w:val="lowerRoman"/>
      <w:lvlText w:val="%9."/>
      <w:lvlJc w:val="right"/>
      <w:pPr>
        <w:ind w:left="6764" w:hanging="180"/>
      </w:pPr>
    </w:lvl>
  </w:abstractNum>
  <w:abstractNum w:abstractNumId="11">
    <w:nsid w:val="51446CC8"/>
    <w:multiLevelType w:val="hybridMultilevel"/>
    <w:tmpl w:val="2C7020C4"/>
    <w:lvl w:ilvl="0" w:tplc="3DBCBA96">
      <w:start w:val="1"/>
      <w:numFmt w:val="decimal"/>
      <w:lvlText w:val="%1."/>
      <w:lvlJc w:val="left"/>
      <w:pPr>
        <w:ind w:left="720" w:hanging="360"/>
      </w:pPr>
      <w:rPr>
        <w:rFonts w:hint="default"/>
      </w:rPr>
    </w:lvl>
    <w:lvl w:ilvl="1" w:tplc="9A680110" w:tentative="1">
      <w:start w:val="1"/>
      <w:numFmt w:val="lowerLetter"/>
      <w:lvlText w:val="%2."/>
      <w:lvlJc w:val="left"/>
      <w:pPr>
        <w:ind w:left="1440" w:hanging="360"/>
      </w:pPr>
    </w:lvl>
    <w:lvl w:ilvl="2" w:tplc="357645F6" w:tentative="1">
      <w:start w:val="1"/>
      <w:numFmt w:val="lowerRoman"/>
      <w:lvlText w:val="%3."/>
      <w:lvlJc w:val="right"/>
      <w:pPr>
        <w:ind w:left="2160" w:hanging="180"/>
      </w:pPr>
    </w:lvl>
    <w:lvl w:ilvl="3" w:tplc="755CB168" w:tentative="1">
      <w:start w:val="1"/>
      <w:numFmt w:val="decimal"/>
      <w:lvlText w:val="%4."/>
      <w:lvlJc w:val="left"/>
      <w:pPr>
        <w:ind w:left="2880" w:hanging="360"/>
      </w:pPr>
    </w:lvl>
    <w:lvl w:ilvl="4" w:tplc="7868883C" w:tentative="1">
      <w:start w:val="1"/>
      <w:numFmt w:val="lowerLetter"/>
      <w:lvlText w:val="%5."/>
      <w:lvlJc w:val="left"/>
      <w:pPr>
        <w:ind w:left="3600" w:hanging="360"/>
      </w:pPr>
    </w:lvl>
    <w:lvl w:ilvl="5" w:tplc="093EF368" w:tentative="1">
      <w:start w:val="1"/>
      <w:numFmt w:val="lowerRoman"/>
      <w:lvlText w:val="%6."/>
      <w:lvlJc w:val="right"/>
      <w:pPr>
        <w:ind w:left="4320" w:hanging="180"/>
      </w:pPr>
    </w:lvl>
    <w:lvl w:ilvl="6" w:tplc="9392AEE2" w:tentative="1">
      <w:start w:val="1"/>
      <w:numFmt w:val="decimal"/>
      <w:lvlText w:val="%7."/>
      <w:lvlJc w:val="left"/>
      <w:pPr>
        <w:ind w:left="5040" w:hanging="360"/>
      </w:pPr>
    </w:lvl>
    <w:lvl w:ilvl="7" w:tplc="874E2B3E" w:tentative="1">
      <w:start w:val="1"/>
      <w:numFmt w:val="lowerLetter"/>
      <w:lvlText w:val="%8."/>
      <w:lvlJc w:val="left"/>
      <w:pPr>
        <w:ind w:left="5760" w:hanging="360"/>
      </w:pPr>
    </w:lvl>
    <w:lvl w:ilvl="8" w:tplc="66D21274" w:tentative="1">
      <w:start w:val="1"/>
      <w:numFmt w:val="lowerRoman"/>
      <w:lvlText w:val="%9."/>
      <w:lvlJc w:val="right"/>
      <w:pPr>
        <w:ind w:left="6480" w:hanging="180"/>
      </w:pPr>
    </w:lvl>
  </w:abstractNum>
  <w:abstractNum w:abstractNumId="12">
    <w:nsid w:val="52C92E37"/>
    <w:multiLevelType w:val="multilevel"/>
    <w:tmpl w:val="4E24143A"/>
    <w:lvl w:ilvl="0">
      <w:start w:val="1"/>
      <w:numFmt w:val="decimal"/>
      <w:lvlText w:val="%1."/>
      <w:lvlJc w:val="left"/>
      <w:pPr>
        <w:ind w:left="1004" w:hanging="360"/>
      </w:pPr>
    </w:lvl>
    <w:lvl w:ilvl="1">
      <w:start w:val="1"/>
      <w:numFmt w:val="decimal"/>
      <w:isLgl/>
      <w:lvlText w:val="%1.%2."/>
      <w:lvlJc w:val="left"/>
      <w:pPr>
        <w:ind w:left="1004" w:hanging="360"/>
      </w:pPr>
      <w:rPr>
        <w:rFonts w:hint="default"/>
      </w:rPr>
    </w:lvl>
    <w:lvl w:ilvl="2">
      <w:start w:val="1"/>
      <w:numFmt w:val="decimal"/>
      <w:isLgl/>
      <w:lvlText w:val="%1.%2.%3."/>
      <w:lvlJc w:val="left"/>
      <w:pPr>
        <w:ind w:left="1364" w:hanging="720"/>
      </w:pPr>
      <w:rPr>
        <w:rFonts w:hint="default"/>
      </w:rPr>
    </w:lvl>
    <w:lvl w:ilvl="3">
      <w:start w:val="1"/>
      <w:numFmt w:val="decimal"/>
      <w:isLgl/>
      <w:lvlText w:val="%1.%2.%3.%4."/>
      <w:lvlJc w:val="left"/>
      <w:pPr>
        <w:ind w:left="1364"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724" w:hanging="1080"/>
      </w:pPr>
      <w:rPr>
        <w:rFonts w:hint="default"/>
      </w:rPr>
    </w:lvl>
    <w:lvl w:ilvl="6">
      <w:start w:val="1"/>
      <w:numFmt w:val="decimal"/>
      <w:isLgl/>
      <w:lvlText w:val="%1.%2.%3.%4.%5.%6.%7."/>
      <w:lvlJc w:val="left"/>
      <w:pPr>
        <w:ind w:left="2084" w:hanging="1440"/>
      </w:pPr>
      <w:rPr>
        <w:rFonts w:hint="default"/>
      </w:rPr>
    </w:lvl>
    <w:lvl w:ilvl="7">
      <w:start w:val="1"/>
      <w:numFmt w:val="decimal"/>
      <w:isLgl/>
      <w:lvlText w:val="%1.%2.%3.%4.%5.%6.%7.%8."/>
      <w:lvlJc w:val="left"/>
      <w:pPr>
        <w:ind w:left="2084" w:hanging="1440"/>
      </w:pPr>
      <w:rPr>
        <w:rFonts w:hint="default"/>
      </w:rPr>
    </w:lvl>
    <w:lvl w:ilvl="8">
      <w:start w:val="1"/>
      <w:numFmt w:val="decimal"/>
      <w:isLgl/>
      <w:lvlText w:val="%1.%2.%3.%4.%5.%6.%7.%8.%9."/>
      <w:lvlJc w:val="left"/>
      <w:pPr>
        <w:ind w:left="2444" w:hanging="1800"/>
      </w:pPr>
      <w:rPr>
        <w:rFonts w:hint="default"/>
      </w:rPr>
    </w:lvl>
  </w:abstractNum>
  <w:abstractNum w:abstractNumId="13">
    <w:nsid w:val="58FD295C"/>
    <w:multiLevelType w:val="multilevel"/>
    <w:tmpl w:val="4E24143A"/>
    <w:lvl w:ilvl="0">
      <w:start w:val="1"/>
      <w:numFmt w:val="decimal"/>
      <w:lvlText w:val="%1."/>
      <w:lvlJc w:val="left"/>
      <w:pPr>
        <w:ind w:left="1004" w:hanging="360"/>
      </w:pPr>
    </w:lvl>
    <w:lvl w:ilvl="1">
      <w:start w:val="1"/>
      <w:numFmt w:val="decimal"/>
      <w:isLgl/>
      <w:lvlText w:val="%1.%2."/>
      <w:lvlJc w:val="left"/>
      <w:pPr>
        <w:ind w:left="1004" w:hanging="360"/>
      </w:pPr>
      <w:rPr>
        <w:rFonts w:hint="default"/>
      </w:rPr>
    </w:lvl>
    <w:lvl w:ilvl="2">
      <w:start w:val="1"/>
      <w:numFmt w:val="decimal"/>
      <w:isLgl/>
      <w:lvlText w:val="%1.%2.%3."/>
      <w:lvlJc w:val="left"/>
      <w:pPr>
        <w:ind w:left="1364" w:hanging="720"/>
      </w:pPr>
      <w:rPr>
        <w:rFonts w:hint="default"/>
      </w:rPr>
    </w:lvl>
    <w:lvl w:ilvl="3">
      <w:start w:val="1"/>
      <w:numFmt w:val="decimal"/>
      <w:isLgl/>
      <w:lvlText w:val="%1.%2.%3.%4."/>
      <w:lvlJc w:val="left"/>
      <w:pPr>
        <w:ind w:left="1364"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724" w:hanging="1080"/>
      </w:pPr>
      <w:rPr>
        <w:rFonts w:hint="default"/>
      </w:rPr>
    </w:lvl>
    <w:lvl w:ilvl="6">
      <w:start w:val="1"/>
      <w:numFmt w:val="decimal"/>
      <w:isLgl/>
      <w:lvlText w:val="%1.%2.%3.%4.%5.%6.%7."/>
      <w:lvlJc w:val="left"/>
      <w:pPr>
        <w:ind w:left="2084" w:hanging="1440"/>
      </w:pPr>
      <w:rPr>
        <w:rFonts w:hint="default"/>
      </w:rPr>
    </w:lvl>
    <w:lvl w:ilvl="7">
      <w:start w:val="1"/>
      <w:numFmt w:val="decimal"/>
      <w:isLgl/>
      <w:lvlText w:val="%1.%2.%3.%4.%5.%6.%7.%8."/>
      <w:lvlJc w:val="left"/>
      <w:pPr>
        <w:ind w:left="2084" w:hanging="1440"/>
      </w:pPr>
      <w:rPr>
        <w:rFonts w:hint="default"/>
      </w:rPr>
    </w:lvl>
    <w:lvl w:ilvl="8">
      <w:start w:val="1"/>
      <w:numFmt w:val="decimal"/>
      <w:isLgl/>
      <w:lvlText w:val="%1.%2.%3.%4.%5.%6.%7.%8.%9."/>
      <w:lvlJc w:val="left"/>
      <w:pPr>
        <w:ind w:left="2444" w:hanging="1800"/>
      </w:pPr>
      <w:rPr>
        <w:rFonts w:hint="default"/>
      </w:rPr>
    </w:lvl>
  </w:abstractNum>
  <w:abstractNum w:abstractNumId="14">
    <w:nsid w:val="5B78651B"/>
    <w:multiLevelType w:val="multilevel"/>
    <w:tmpl w:val="4E24143A"/>
    <w:lvl w:ilvl="0">
      <w:start w:val="1"/>
      <w:numFmt w:val="decimal"/>
      <w:lvlText w:val="%1."/>
      <w:lvlJc w:val="left"/>
      <w:pPr>
        <w:ind w:left="1004" w:hanging="360"/>
      </w:pPr>
    </w:lvl>
    <w:lvl w:ilvl="1">
      <w:start w:val="1"/>
      <w:numFmt w:val="decimal"/>
      <w:isLgl/>
      <w:lvlText w:val="%1.%2."/>
      <w:lvlJc w:val="left"/>
      <w:pPr>
        <w:ind w:left="1004" w:hanging="360"/>
      </w:pPr>
      <w:rPr>
        <w:rFonts w:hint="default"/>
      </w:rPr>
    </w:lvl>
    <w:lvl w:ilvl="2">
      <w:start w:val="1"/>
      <w:numFmt w:val="decimal"/>
      <w:isLgl/>
      <w:lvlText w:val="%1.%2.%3."/>
      <w:lvlJc w:val="left"/>
      <w:pPr>
        <w:ind w:left="1364" w:hanging="720"/>
      </w:pPr>
      <w:rPr>
        <w:rFonts w:hint="default"/>
      </w:rPr>
    </w:lvl>
    <w:lvl w:ilvl="3">
      <w:start w:val="1"/>
      <w:numFmt w:val="decimal"/>
      <w:isLgl/>
      <w:lvlText w:val="%1.%2.%3.%4."/>
      <w:lvlJc w:val="left"/>
      <w:pPr>
        <w:ind w:left="1364"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724" w:hanging="1080"/>
      </w:pPr>
      <w:rPr>
        <w:rFonts w:hint="default"/>
      </w:rPr>
    </w:lvl>
    <w:lvl w:ilvl="6">
      <w:start w:val="1"/>
      <w:numFmt w:val="decimal"/>
      <w:isLgl/>
      <w:lvlText w:val="%1.%2.%3.%4.%5.%6.%7."/>
      <w:lvlJc w:val="left"/>
      <w:pPr>
        <w:ind w:left="2084" w:hanging="1440"/>
      </w:pPr>
      <w:rPr>
        <w:rFonts w:hint="default"/>
      </w:rPr>
    </w:lvl>
    <w:lvl w:ilvl="7">
      <w:start w:val="1"/>
      <w:numFmt w:val="decimal"/>
      <w:isLgl/>
      <w:lvlText w:val="%1.%2.%3.%4.%5.%6.%7.%8."/>
      <w:lvlJc w:val="left"/>
      <w:pPr>
        <w:ind w:left="2084" w:hanging="1440"/>
      </w:pPr>
      <w:rPr>
        <w:rFonts w:hint="default"/>
      </w:rPr>
    </w:lvl>
    <w:lvl w:ilvl="8">
      <w:start w:val="1"/>
      <w:numFmt w:val="decimal"/>
      <w:isLgl/>
      <w:lvlText w:val="%1.%2.%3.%4.%5.%6.%7.%8.%9."/>
      <w:lvlJc w:val="left"/>
      <w:pPr>
        <w:ind w:left="2444" w:hanging="1800"/>
      </w:pPr>
      <w:rPr>
        <w:rFonts w:hint="default"/>
      </w:rPr>
    </w:lvl>
  </w:abstractNum>
  <w:abstractNum w:abstractNumId="15">
    <w:nsid w:val="5E85627F"/>
    <w:multiLevelType w:val="multilevel"/>
    <w:tmpl w:val="4E24143A"/>
    <w:lvl w:ilvl="0">
      <w:start w:val="1"/>
      <w:numFmt w:val="decimal"/>
      <w:lvlText w:val="%1."/>
      <w:lvlJc w:val="left"/>
      <w:pPr>
        <w:ind w:left="1004" w:hanging="360"/>
      </w:pPr>
    </w:lvl>
    <w:lvl w:ilvl="1">
      <w:start w:val="1"/>
      <w:numFmt w:val="decimal"/>
      <w:isLgl/>
      <w:lvlText w:val="%1.%2."/>
      <w:lvlJc w:val="left"/>
      <w:pPr>
        <w:ind w:left="1004" w:hanging="360"/>
      </w:pPr>
      <w:rPr>
        <w:rFonts w:hint="default"/>
      </w:rPr>
    </w:lvl>
    <w:lvl w:ilvl="2">
      <w:start w:val="1"/>
      <w:numFmt w:val="decimal"/>
      <w:isLgl/>
      <w:lvlText w:val="%1.%2.%3."/>
      <w:lvlJc w:val="left"/>
      <w:pPr>
        <w:ind w:left="1364" w:hanging="720"/>
      </w:pPr>
      <w:rPr>
        <w:rFonts w:hint="default"/>
      </w:rPr>
    </w:lvl>
    <w:lvl w:ilvl="3">
      <w:start w:val="1"/>
      <w:numFmt w:val="decimal"/>
      <w:isLgl/>
      <w:lvlText w:val="%1.%2.%3.%4."/>
      <w:lvlJc w:val="left"/>
      <w:pPr>
        <w:ind w:left="1364"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724" w:hanging="1080"/>
      </w:pPr>
      <w:rPr>
        <w:rFonts w:hint="default"/>
      </w:rPr>
    </w:lvl>
    <w:lvl w:ilvl="6">
      <w:start w:val="1"/>
      <w:numFmt w:val="decimal"/>
      <w:isLgl/>
      <w:lvlText w:val="%1.%2.%3.%4.%5.%6.%7."/>
      <w:lvlJc w:val="left"/>
      <w:pPr>
        <w:ind w:left="2084" w:hanging="1440"/>
      </w:pPr>
      <w:rPr>
        <w:rFonts w:hint="default"/>
      </w:rPr>
    </w:lvl>
    <w:lvl w:ilvl="7">
      <w:start w:val="1"/>
      <w:numFmt w:val="decimal"/>
      <w:isLgl/>
      <w:lvlText w:val="%1.%2.%3.%4.%5.%6.%7.%8."/>
      <w:lvlJc w:val="left"/>
      <w:pPr>
        <w:ind w:left="2084" w:hanging="1440"/>
      </w:pPr>
      <w:rPr>
        <w:rFonts w:hint="default"/>
      </w:rPr>
    </w:lvl>
    <w:lvl w:ilvl="8">
      <w:start w:val="1"/>
      <w:numFmt w:val="decimal"/>
      <w:isLgl/>
      <w:lvlText w:val="%1.%2.%3.%4.%5.%6.%7.%8.%9."/>
      <w:lvlJc w:val="left"/>
      <w:pPr>
        <w:ind w:left="2444" w:hanging="1800"/>
      </w:pPr>
      <w:rPr>
        <w:rFonts w:hint="default"/>
      </w:rPr>
    </w:lvl>
  </w:abstractNum>
  <w:abstractNum w:abstractNumId="16">
    <w:nsid w:val="6CDA31F3"/>
    <w:multiLevelType w:val="hybridMultilevel"/>
    <w:tmpl w:val="189A41BC"/>
    <w:lvl w:ilvl="0" w:tplc="700C16A0">
      <w:start w:val="1"/>
      <w:numFmt w:val="bullet"/>
      <w:lvlText w:val="-"/>
      <w:lvlJc w:val="left"/>
      <w:pPr>
        <w:ind w:left="720" w:hanging="360"/>
      </w:pPr>
      <w:rPr>
        <w:rFonts w:ascii="Calibri" w:eastAsiaTheme="minorEastAsia" w:hAnsi="Calibri" w:cstheme="minorBidi" w:hint="default"/>
      </w:rPr>
    </w:lvl>
    <w:lvl w:ilvl="1" w:tplc="7B54C014" w:tentative="1">
      <w:start w:val="1"/>
      <w:numFmt w:val="bullet"/>
      <w:lvlText w:val="o"/>
      <w:lvlJc w:val="left"/>
      <w:pPr>
        <w:ind w:left="1440" w:hanging="360"/>
      </w:pPr>
      <w:rPr>
        <w:rFonts w:ascii="Courier New" w:hAnsi="Courier New" w:cs="Courier New" w:hint="default"/>
      </w:rPr>
    </w:lvl>
    <w:lvl w:ilvl="2" w:tplc="369201CA" w:tentative="1">
      <w:start w:val="1"/>
      <w:numFmt w:val="bullet"/>
      <w:lvlText w:val=""/>
      <w:lvlJc w:val="left"/>
      <w:pPr>
        <w:ind w:left="2160" w:hanging="360"/>
      </w:pPr>
      <w:rPr>
        <w:rFonts w:ascii="Wingdings" w:hAnsi="Wingdings" w:hint="default"/>
      </w:rPr>
    </w:lvl>
    <w:lvl w:ilvl="3" w:tplc="E0AA6B0E" w:tentative="1">
      <w:start w:val="1"/>
      <w:numFmt w:val="bullet"/>
      <w:lvlText w:val=""/>
      <w:lvlJc w:val="left"/>
      <w:pPr>
        <w:ind w:left="2880" w:hanging="360"/>
      </w:pPr>
      <w:rPr>
        <w:rFonts w:ascii="Symbol" w:hAnsi="Symbol" w:hint="default"/>
      </w:rPr>
    </w:lvl>
    <w:lvl w:ilvl="4" w:tplc="59DCA05C" w:tentative="1">
      <w:start w:val="1"/>
      <w:numFmt w:val="bullet"/>
      <w:lvlText w:val="o"/>
      <w:lvlJc w:val="left"/>
      <w:pPr>
        <w:ind w:left="3600" w:hanging="360"/>
      </w:pPr>
      <w:rPr>
        <w:rFonts w:ascii="Courier New" w:hAnsi="Courier New" w:cs="Courier New" w:hint="default"/>
      </w:rPr>
    </w:lvl>
    <w:lvl w:ilvl="5" w:tplc="76E80AFE" w:tentative="1">
      <w:start w:val="1"/>
      <w:numFmt w:val="bullet"/>
      <w:lvlText w:val=""/>
      <w:lvlJc w:val="left"/>
      <w:pPr>
        <w:ind w:left="4320" w:hanging="360"/>
      </w:pPr>
      <w:rPr>
        <w:rFonts w:ascii="Wingdings" w:hAnsi="Wingdings" w:hint="default"/>
      </w:rPr>
    </w:lvl>
    <w:lvl w:ilvl="6" w:tplc="0C2EAB56" w:tentative="1">
      <w:start w:val="1"/>
      <w:numFmt w:val="bullet"/>
      <w:lvlText w:val=""/>
      <w:lvlJc w:val="left"/>
      <w:pPr>
        <w:ind w:left="5040" w:hanging="360"/>
      </w:pPr>
      <w:rPr>
        <w:rFonts w:ascii="Symbol" w:hAnsi="Symbol" w:hint="default"/>
      </w:rPr>
    </w:lvl>
    <w:lvl w:ilvl="7" w:tplc="93FE11D8" w:tentative="1">
      <w:start w:val="1"/>
      <w:numFmt w:val="bullet"/>
      <w:lvlText w:val="o"/>
      <w:lvlJc w:val="left"/>
      <w:pPr>
        <w:ind w:left="5760" w:hanging="360"/>
      </w:pPr>
      <w:rPr>
        <w:rFonts w:ascii="Courier New" w:hAnsi="Courier New" w:cs="Courier New" w:hint="default"/>
      </w:rPr>
    </w:lvl>
    <w:lvl w:ilvl="8" w:tplc="E438B426" w:tentative="1">
      <w:start w:val="1"/>
      <w:numFmt w:val="bullet"/>
      <w:lvlText w:val=""/>
      <w:lvlJc w:val="left"/>
      <w:pPr>
        <w:ind w:left="6480" w:hanging="360"/>
      </w:pPr>
      <w:rPr>
        <w:rFonts w:ascii="Wingdings" w:hAnsi="Wingdings" w:hint="default"/>
      </w:rPr>
    </w:lvl>
  </w:abstractNum>
  <w:abstractNum w:abstractNumId="17">
    <w:nsid w:val="71A811AB"/>
    <w:multiLevelType w:val="hybridMultilevel"/>
    <w:tmpl w:val="E00A6806"/>
    <w:lvl w:ilvl="0" w:tplc="0413000F">
      <w:start w:val="1"/>
      <w:numFmt w:val="decimal"/>
      <w:lvlText w:val="%1."/>
      <w:lvlJc w:val="left"/>
      <w:pPr>
        <w:ind w:left="1004" w:hanging="360"/>
      </w:pPr>
    </w:lvl>
    <w:lvl w:ilvl="1" w:tplc="04130019" w:tentative="1">
      <w:start w:val="1"/>
      <w:numFmt w:val="lowerLetter"/>
      <w:lvlText w:val="%2."/>
      <w:lvlJc w:val="left"/>
      <w:pPr>
        <w:ind w:left="1724" w:hanging="360"/>
      </w:pPr>
    </w:lvl>
    <w:lvl w:ilvl="2" w:tplc="0413001B" w:tentative="1">
      <w:start w:val="1"/>
      <w:numFmt w:val="lowerRoman"/>
      <w:lvlText w:val="%3."/>
      <w:lvlJc w:val="right"/>
      <w:pPr>
        <w:ind w:left="2444" w:hanging="180"/>
      </w:pPr>
    </w:lvl>
    <w:lvl w:ilvl="3" w:tplc="0413000F" w:tentative="1">
      <w:start w:val="1"/>
      <w:numFmt w:val="decimal"/>
      <w:lvlText w:val="%4."/>
      <w:lvlJc w:val="left"/>
      <w:pPr>
        <w:ind w:left="3164" w:hanging="360"/>
      </w:pPr>
    </w:lvl>
    <w:lvl w:ilvl="4" w:tplc="04130019" w:tentative="1">
      <w:start w:val="1"/>
      <w:numFmt w:val="lowerLetter"/>
      <w:lvlText w:val="%5."/>
      <w:lvlJc w:val="left"/>
      <w:pPr>
        <w:ind w:left="3884" w:hanging="360"/>
      </w:pPr>
    </w:lvl>
    <w:lvl w:ilvl="5" w:tplc="0413001B" w:tentative="1">
      <w:start w:val="1"/>
      <w:numFmt w:val="lowerRoman"/>
      <w:lvlText w:val="%6."/>
      <w:lvlJc w:val="right"/>
      <w:pPr>
        <w:ind w:left="4604" w:hanging="180"/>
      </w:pPr>
    </w:lvl>
    <w:lvl w:ilvl="6" w:tplc="0413000F" w:tentative="1">
      <w:start w:val="1"/>
      <w:numFmt w:val="decimal"/>
      <w:lvlText w:val="%7."/>
      <w:lvlJc w:val="left"/>
      <w:pPr>
        <w:ind w:left="5324" w:hanging="360"/>
      </w:pPr>
    </w:lvl>
    <w:lvl w:ilvl="7" w:tplc="04130019" w:tentative="1">
      <w:start w:val="1"/>
      <w:numFmt w:val="lowerLetter"/>
      <w:lvlText w:val="%8."/>
      <w:lvlJc w:val="left"/>
      <w:pPr>
        <w:ind w:left="6044" w:hanging="360"/>
      </w:pPr>
    </w:lvl>
    <w:lvl w:ilvl="8" w:tplc="0413001B" w:tentative="1">
      <w:start w:val="1"/>
      <w:numFmt w:val="lowerRoman"/>
      <w:lvlText w:val="%9."/>
      <w:lvlJc w:val="right"/>
      <w:pPr>
        <w:ind w:left="6764" w:hanging="180"/>
      </w:pPr>
    </w:lvl>
  </w:abstractNum>
  <w:abstractNum w:abstractNumId="18">
    <w:nsid w:val="759E7974"/>
    <w:multiLevelType w:val="multilevel"/>
    <w:tmpl w:val="4E24143A"/>
    <w:lvl w:ilvl="0">
      <w:start w:val="1"/>
      <w:numFmt w:val="decimal"/>
      <w:lvlText w:val="%1."/>
      <w:lvlJc w:val="left"/>
      <w:pPr>
        <w:ind w:left="1004" w:hanging="360"/>
      </w:pPr>
    </w:lvl>
    <w:lvl w:ilvl="1">
      <w:start w:val="1"/>
      <w:numFmt w:val="decimal"/>
      <w:isLgl/>
      <w:lvlText w:val="%1.%2."/>
      <w:lvlJc w:val="left"/>
      <w:pPr>
        <w:ind w:left="1004" w:hanging="360"/>
      </w:pPr>
      <w:rPr>
        <w:rFonts w:hint="default"/>
      </w:rPr>
    </w:lvl>
    <w:lvl w:ilvl="2">
      <w:start w:val="1"/>
      <w:numFmt w:val="decimal"/>
      <w:isLgl/>
      <w:lvlText w:val="%1.%2.%3."/>
      <w:lvlJc w:val="left"/>
      <w:pPr>
        <w:ind w:left="1364" w:hanging="720"/>
      </w:pPr>
      <w:rPr>
        <w:rFonts w:hint="default"/>
      </w:rPr>
    </w:lvl>
    <w:lvl w:ilvl="3">
      <w:start w:val="1"/>
      <w:numFmt w:val="decimal"/>
      <w:isLgl/>
      <w:lvlText w:val="%1.%2.%3.%4."/>
      <w:lvlJc w:val="left"/>
      <w:pPr>
        <w:ind w:left="1364"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724" w:hanging="1080"/>
      </w:pPr>
      <w:rPr>
        <w:rFonts w:hint="default"/>
      </w:rPr>
    </w:lvl>
    <w:lvl w:ilvl="6">
      <w:start w:val="1"/>
      <w:numFmt w:val="decimal"/>
      <w:isLgl/>
      <w:lvlText w:val="%1.%2.%3.%4.%5.%6.%7."/>
      <w:lvlJc w:val="left"/>
      <w:pPr>
        <w:ind w:left="2084" w:hanging="1440"/>
      </w:pPr>
      <w:rPr>
        <w:rFonts w:hint="default"/>
      </w:rPr>
    </w:lvl>
    <w:lvl w:ilvl="7">
      <w:start w:val="1"/>
      <w:numFmt w:val="decimal"/>
      <w:isLgl/>
      <w:lvlText w:val="%1.%2.%3.%4.%5.%6.%7.%8."/>
      <w:lvlJc w:val="left"/>
      <w:pPr>
        <w:ind w:left="2084" w:hanging="1440"/>
      </w:pPr>
      <w:rPr>
        <w:rFonts w:hint="default"/>
      </w:rPr>
    </w:lvl>
    <w:lvl w:ilvl="8">
      <w:start w:val="1"/>
      <w:numFmt w:val="decimal"/>
      <w:isLgl/>
      <w:lvlText w:val="%1.%2.%3.%4.%5.%6.%7.%8.%9."/>
      <w:lvlJc w:val="left"/>
      <w:pPr>
        <w:ind w:left="2444" w:hanging="1800"/>
      </w:pPr>
      <w:rPr>
        <w:rFonts w:hint="default"/>
      </w:rPr>
    </w:lvl>
  </w:abstractNum>
  <w:num w:numId="1">
    <w:abstractNumId w:val="4"/>
  </w:num>
  <w:num w:numId="2">
    <w:abstractNumId w:val="11"/>
  </w:num>
  <w:num w:numId="3">
    <w:abstractNumId w:val="13"/>
  </w:num>
  <w:num w:numId="4">
    <w:abstractNumId w:val="8"/>
  </w:num>
  <w:num w:numId="5">
    <w:abstractNumId w:val="16"/>
  </w:num>
  <w:num w:numId="6">
    <w:abstractNumId w:val="6"/>
  </w:num>
  <w:num w:numId="7">
    <w:abstractNumId w:val="5"/>
  </w:num>
  <w:num w:numId="8">
    <w:abstractNumId w:val="0"/>
  </w:num>
  <w:num w:numId="9">
    <w:abstractNumId w:val="1"/>
  </w:num>
  <w:num w:numId="10">
    <w:abstractNumId w:val="10"/>
  </w:num>
  <w:num w:numId="11">
    <w:abstractNumId w:val="12"/>
  </w:num>
  <w:num w:numId="12">
    <w:abstractNumId w:val="2"/>
  </w:num>
  <w:num w:numId="13">
    <w:abstractNumId w:val="17"/>
  </w:num>
  <w:num w:numId="14">
    <w:abstractNumId w:val="3"/>
  </w:num>
  <w:num w:numId="15">
    <w:abstractNumId w:val="14"/>
  </w:num>
  <w:num w:numId="16">
    <w:abstractNumId w:val="15"/>
  </w:num>
  <w:num w:numId="17">
    <w:abstractNumId w:val="18"/>
  </w:num>
  <w:num w:numId="18">
    <w:abstractNumId w:val="7"/>
  </w:num>
  <w:num w:numId="19">
    <w:abstractNumId w:val="9"/>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oen Bakker">
    <w15:presenceInfo w15:providerId="Windows Live" w15:userId="99f4345ba56b3465"/>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autoHyphenation/>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
  <w:rsids>
    <w:rsidRoot w:val="00C71B71"/>
    <w:rsid w:val="00000B9D"/>
    <w:rsid w:val="00003B1A"/>
    <w:rsid w:val="0002181B"/>
    <w:rsid w:val="00030196"/>
    <w:rsid w:val="00032C01"/>
    <w:rsid w:val="00033187"/>
    <w:rsid w:val="00037DA2"/>
    <w:rsid w:val="00042F78"/>
    <w:rsid w:val="00044647"/>
    <w:rsid w:val="000510B0"/>
    <w:rsid w:val="00052DF3"/>
    <w:rsid w:val="00054C60"/>
    <w:rsid w:val="00054C7E"/>
    <w:rsid w:val="00055A57"/>
    <w:rsid w:val="00056601"/>
    <w:rsid w:val="00056C0D"/>
    <w:rsid w:val="00057688"/>
    <w:rsid w:val="00061C2A"/>
    <w:rsid w:val="00061E68"/>
    <w:rsid w:val="0006505E"/>
    <w:rsid w:val="000657DC"/>
    <w:rsid w:val="00067AC1"/>
    <w:rsid w:val="000743D1"/>
    <w:rsid w:val="00074FD1"/>
    <w:rsid w:val="00076742"/>
    <w:rsid w:val="000829AB"/>
    <w:rsid w:val="00082F44"/>
    <w:rsid w:val="00083564"/>
    <w:rsid w:val="00090E60"/>
    <w:rsid w:val="0009207D"/>
    <w:rsid w:val="00095AD2"/>
    <w:rsid w:val="000976C6"/>
    <w:rsid w:val="000A4553"/>
    <w:rsid w:val="000A4814"/>
    <w:rsid w:val="000B122E"/>
    <w:rsid w:val="000B30C8"/>
    <w:rsid w:val="000C1C02"/>
    <w:rsid w:val="000C78FC"/>
    <w:rsid w:val="000D26FF"/>
    <w:rsid w:val="000D50B1"/>
    <w:rsid w:val="000E59F6"/>
    <w:rsid w:val="000E6B50"/>
    <w:rsid w:val="000E726A"/>
    <w:rsid w:val="000E76BA"/>
    <w:rsid w:val="000F3110"/>
    <w:rsid w:val="000F59DC"/>
    <w:rsid w:val="00100238"/>
    <w:rsid w:val="00100422"/>
    <w:rsid w:val="00100D6D"/>
    <w:rsid w:val="0010207E"/>
    <w:rsid w:val="00103FFB"/>
    <w:rsid w:val="00104C61"/>
    <w:rsid w:val="001052F8"/>
    <w:rsid w:val="001070E3"/>
    <w:rsid w:val="001100DC"/>
    <w:rsid w:val="00116371"/>
    <w:rsid w:val="00116DBC"/>
    <w:rsid w:val="00120070"/>
    <w:rsid w:val="00120FF3"/>
    <w:rsid w:val="0012391E"/>
    <w:rsid w:val="00126449"/>
    <w:rsid w:val="001275FE"/>
    <w:rsid w:val="00137801"/>
    <w:rsid w:val="00144CA0"/>
    <w:rsid w:val="00145290"/>
    <w:rsid w:val="00145A6D"/>
    <w:rsid w:val="00151106"/>
    <w:rsid w:val="0015502D"/>
    <w:rsid w:val="001561A7"/>
    <w:rsid w:val="001568D6"/>
    <w:rsid w:val="00161073"/>
    <w:rsid w:val="00162E64"/>
    <w:rsid w:val="00166542"/>
    <w:rsid w:val="00171499"/>
    <w:rsid w:val="0017152C"/>
    <w:rsid w:val="00171700"/>
    <w:rsid w:val="00175005"/>
    <w:rsid w:val="001771E2"/>
    <w:rsid w:val="00183C82"/>
    <w:rsid w:val="0018671D"/>
    <w:rsid w:val="00186DA7"/>
    <w:rsid w:val="001904A0"/>
    <w:rsid w:val="00191153"/>
    <w:rsid w:val="00191290"/>
    <w:rsid w:val="0019332F"/>
    <w:rsid w:val="00194934"/>
    <w:rsid w:val="00194E45"/>
    <w:rsid w:val="00194F24"/>
    <w:rsid w:val="001A5D3B"/>
    <w:rsid w:val="001A631F"/>
    <w:rsid w:val="001B42EE"/>
    <w:rsid w:val="001B6DE1"/>
    <w:rsid w:val="001C22DC"/>
    <w:rsid w:val="001C7808"/>
    <w:rsid w:val="001C7E74"/>
    <w:rsid w:val="001D21DA"/>
    <w:rsid w:val="001E1504"/>
    <w:rsid w:val="001E19BB"/>
    <w:rsid w:val="001E48ED"/>
    <w:rsid w:val="001F0FFB"/>
    <w:rsid w:val="001F1795"/>
    <w:rsid w:val="001F2BEF"/>
    <w:rsid w:val="001F6AB7"/>
    <w:rsid w:val="001F773C"/>
    <w:rsid w:val="001F7D93"/>
    <w:rsid w:val="002039FC"/>
    <w:rsid w:val="00206FB6"/>
    <w:rsid w:val="00207666"/>
    <w:rsid w:val="00215701"/>
    <w:rsid w:val="00217C6C"/>
    <w:rsid w:val="00222D1E"/>
    <w:rsid w:val="002240F5"/>
    <w:rsid w:val="00225238"/>
    <w:rsid w:val="0023035F"/>
    <w:rsid w:val="00231D07"/>
    <w:rsid w:val="002346AF"/>
    <w:rsid w:val="00235AA1"/>
    <w:rsid w:val="00237040"/>
    <w:rsid w:val="002375B2"/>
    <w:rsid w:val="00240E86"/>
    <w:rsid w:val="002446C7"/>
    <w:rsid w:val="00245D09"/>
    <w:rsid w:val="00253E8F"/>
    <w:rsid w:val="00254208"/>
    <w:rsid w:val="00254CD2"/>
    <w:rsid w:val="002565C5"/>
    <w:rsid w:val="0026260A"/>
    <w:rsid w:val="00263973"/>
    <w:rsid w:val="00263DDA"/>
    <w:rsid w:val="002669A3"/>
    <w:rsid w:val="0027180D"/>
    <w:rsid w:val="0028001D"/>
    <w:rsid w:val="002833B1"/>
    <w:rsid w:val="00290E6D"/>
    <w:rsid w:val="002911CC"/>
    <w:rsid w:val="00291821"/>
    <w:rsid w:val="002926C8"/>
    <w:rsid w:val="00292D05"/>
    <w:rsid w:val="00294041"/>
    <w:rsid w:val="00294D72"/>
    <w:rsid w:val="00297DEA"/>
    <w:rsid w:val="002A0159"/>
    <w:rsid w:val="002A06C4"/>
    <w:rsid w:val="002A4720"/>
    <w:rsid w:val="002A4F9C"/>
    <w:rsid w:val="002A648E"/>
    <w:rsid w:val="002B40A2"/>
    <w:rsid w:val="002B4C8A"/>
    <w:rsid w:val="002B61B7"/>
    <w:rsid w:val="002B64FF"/>
    <w:rsid w:val="002B667B"/>
    <w:rsid w:val="002C25EF"/>
    <w:rsid w:val="002C442E"/>
    <w:rsid w:val="002C6571"/>
    <w:rsid w:val="002D08B2"/>
    <w:rsid w:val="002D577A"/>
    <w:rsid w:val="002E0B19"/>
    <w:rsid w:val="002E2243"/>
    <w:rsid w:val="002E313D"/>
    <w:rsid w:val="002E4552"/>
    <w:rsid w:val="002F19C7"/>
    <w:rsid w:val="002F2F1C"/>
    <w:rsid w:val="002F3372"/>
    <w:rsid w:val="002F6A70"/>
    <w:rsid w:val="002F725D"/>
    <w:rsid w:val="002F745C"/>
    <w:rsid w:val="00301DF1"/>
    <w:rsid w:val="00303823"/>
    <w:rsid w:val="003040F2"/>
    <w:rsid w:val="00307363"/>
    <w:rsid w:val="00311FA6"/>
    <w:rsid w:val="003126D6"/>
    <w:rsid w:val="003129D2"/>
    <w:rsid w:val="00316837"/>
    <w:rsid w:val="00324DBA"/>
    <w:rsid w:val="00327B56"/>
    <w:rsid w:val="00331C90"/>
    <w:rsid w:val="00334286"/>
    <w:rsid w:val="00335BF9"/>
    <w:rsid w:val="003421F4"/>
    <w:rsid w:val="0034379D"/>
    <w:rsid w:val="00356D5D"/>
    <w:rsid w:val="003573D5"/>
    <w:rsid w:val="00361DAA"/>
    <w:rsid w:val="0036568C"/>
    <w:rsid w:val="00367273"/>
    <w:rsid w:val="00371826"/>
    <w:rsid w:val="00374B53"/>
    <w:rsid w:val="003822DE"/>
    <w:rsid w:val="003826B8"/>
    <w:rsid w:val="00385133"/>
    <w:rsid w:val="003860FC"/>
    <w:rsid w:val="0039078A"/>
    <w:rsid w:val="00391527"/>
    <w:rsid w:val="003A0FA7"/>
    <w:rsid w:val="003A3B49"/>
    <w:rsid w:val="003A7624"/>
    <w:rsid w:val="003B6ADE"/>
    <w:rsid w:val="003C0503"/>
    <w:rsid w:val="003C0584"/>
    <w:rsid w:val="003C1C10"/>
    <w:rsid w:val="003D1561"/>
    <w:rsid w:val="003D3DEC"/>
    <w:rsid w:val="003D4EBB"/>
    <w:rsid w:val="003D5612"/>
    <w:rsid w:val="003E615E"/>
    <w:rsid w:val="003E7942"/>
    <w:rsid w:val="003F5477"/>
    <w:rsid w:val="003F7C8F"/>
    <w:rsid w:val="004005C0"/>
    <w:rsid w:val="004010E2"/>
    <w:rsid w:val="00421043"/>
    <w:rsid w:val="0042495B"/>
    <w:rsid w:val="00426497"/>
    <w:rsid w:val="00435199"/>
    <w:rsid w:val="004359FE"/>
    <w:rsid w:val="0044221E"/>
    <w:rsid w:val="00442E84"/>
    <w:rsid w:val="00443177"/>
    <w:rsid w:val="004434B4"/>
    <w:rsid w:val="00443D18"/>
    <w:rsid w:val="00445886"/>
    <w:rsid w:val="0044736F"/>
    <w:rsid w:val="00453949"/>
    <w:rsid w:val="00455958"/>
    <w:rsid w:val="00455C2E"/>
    <w:rsid w:val="004631CF"/>
    <w:rsid w:val="0047299C"/>
    <w:rsid w:val="004809CB"/>
    <w:rsid w:val="004810A1"/>
    <w:rsid w:val="00483713"/>
    <w:rsid w:val="004864D4"/>
    <w:rsid w:val="00486FCE"/>
    <w:rsid w:val="004905B3"/>
    <w:rsid w:val="00491BEF"/>
    <w:rsid w:val="0049405C"/>
    <w:rsid w:val="00494A1C"/>
    <w:rsid w:val="004A0967"/>
    <w:rsid w:val="004A4798"/>
    <w:rsid w:val="004B21AE"/>
    <w:rsid w:val="004B4DB6"/>
    <w:rsid w:val="004B794A"/>
    <w:rsid w:val="004C3C7C"/>
    <w:rsid w:val="004C6CB2"/>
    <w:rsid w:val="004D255A"/>
    <w:rsid w:val="004D2DFF"/>
    <w:rsid w:val="004D7440"/>
    <w:rsid w:val="004E2B5C"/>
    <w:rsid w:val="004E34F5"/>
    <w:rsid w:val="004E5E8C"/>
    <w:rsid w:val="004F088C"/>
    <w:rsid w:val="004F19E9"/>
    <w:rsid w:val="004F1C5C"/>
    <w:rsid w:val="004F5972"/>
    <w:rsid w:val="004F77E1"/>
    <w:rsid w:val="00501A7C"/>
    <w:rsid w:val="00504FD6"/>
    <w:rsid w:val="00505B73"/>
    <w:rsid w:val="00510D1E"/>
    <w:rsid w:val="00511FDE"/>
    <w:rsid w:val="0051469D"/>
    <w:rsid w:val="00514F7C"/>
    <w:rsid w:val="00515D48"/>
    <w:rsid w:val="00517554"/>
    <w:rsid w:val="005178A5"/>
    <w:rsid w:val="00524959"/>
    <w:rsid w:val="00525A63"/>
    <w:rsid w:val="005348DB"/>
    <w:rsid w:val="0054396C"/>
    <w:rsid w:val="00544B16"/>
    <w:rsid w:val="00544E8B"/>
    <w:rsid w:val="00546985"/>
    <w:rsid w:val="005472D8"/>
    <w:rsid w:val="00553FC0"/>
    <w:rsid w:val="00566708"/>
    <w:rsid w:val="005708D1"/>
    <w:rsid w:val="005725BD"/>
    <w:rsid w:val="005753FC"/>
    <w:rsid w:val="005773E6"/>
    <w:rsid w:val="00577672"/>
    <w:rsid w:val="00584EA5"/>
    <w:rsid w:val="00585A50"/>
    <w:rsid w:val="00590412"/>
    <w:rsid w:val="0059074D"/>
    <w:rsid w:val="00590F5C"/>
    <w:rsid w:val="00597914"/>
    <w:rsid w:val="005A13D5"/>
    <w:rsid w:val="005A1DD2"/>
    <w:rsid w:val="005A41ED"/>
    <w:rsid w:val="005A5CE0"/>
    <w:rsid w:val="005A5E61"/>
    <w:rsid w:val="005A7877"/>
    <w:rsid w:val="005B181A"/>
    <w:rsid w:val="005B1929"/>
    <w:rsid w:val="005B1F3D"/>
    <w:rsid w:val="005B4A97"/>
    <w:rsid w:val="005B7771"/>
    <w:rsid w:val="005C7FEE"/>
    <w:rsid w:val="005D0570"/>
    <w:rsid w:val="005D1ED2"/>
    <w:rsid w:val="005D2B1D"/>
    <w:rsid w:val="005D3DDE"/>
    <w:rsid w:val="005D508A"/>
    <w:rsid w:val="005D5E5A"/>
    <w:rsid w:val="005D64E1"/>
    <w:rsid w:val="005D6BCD"/>
    <w:rsid w:val="005D6DC6"/>
    <w:rsid w:val="005D7A92"/>
    <w:rsid w:val="005E2179"/>
    <w:rsid w:val="005E2AD5"/>
    <w:rsid w:val="005E32D4"/>
    <w:rsid w:val="005F6463"/>
    <w:rsid w:val="005F6851"/>
    <w:rsid w:val="005F6902"/>
    <w:rsid w:val="00600E29"/>
    <w:rsid w:val="00600E76"/>
    <w:rsid w:val="00601A05"/>
    <w:rsid w:val="0060278F"/>
    <w:rsid w:val="00605C7A"/>
    <w:rsid w:val="00606083"/>
    <w:rsid w:val="0061126F"/>
    <w:rsid w:val="00612BA4"/>
    <w:rsid w:val="006143FF"/>
    <w:rsid w:val="0061590B"/>
    <w:rsid w:val="00617173"/>
    <w:rsid w:val="006248D9"/>
    <w:rsid w:val="00625D3B"/>
    <w:rsid w:val="00627FA6"/>
    <w:rsid w:val="00636BFC"/>
    <w:rsid w:val="00637C25"/>
    <w:rsid w:val="00641068"/>
    <w:rsid w:val="00641CAB"/>
    <w:rsid w:val="00644613"/>
    <w:rsid w:val="006467B4"/>
    <w:rsid w:val="006573AE"/>
    <w:rsid w:val="006608B8"/>
    <w:rsid w:val="00662952"/>
    <w:rsid w:val="00662BED"/>
    <w:rsid w:val="00664F1E"/>
    <w:rsid w:val="0066622C"/>
    <w:rsid w:val="0067116C"/>
    <w:rsid w:val="00674F0B"/>
    <w:rsid w:val="0067607F"/>
    <w:rsid w:val="00676F14"/>
    <w:rsid w:val="00680213"/>
    <w:rsid w:val="00680D98"/>
    <w:rsid w:val="00681738"/>
    <w:rsid w:val="006832C3"/>
    <w:rsid w:val="0068468C"/>
    <w:rsid w:val="0068530A"/>
    <w:rsid w:val="006873EE"/>
    <w:rsid w:val="00687E93"/>
    <w:rsid w:val="006916DE"/>
    <w:rsid w:val="006A0B3F"/>
    <w:rsid w:val="006A1F9B"/>
    <w:rsid w:val="006A25FA"/>
    <w:rsid w:val="006B0404"/>
    <w:rsid w:val="006B26DB"/>
    <w:rsid w:val="006B3324"/>
    <w:rsid w:val="006B4369"/>
    <w:rsid w:val="006B689E"/>
    <w:rsid w:val="006C1F66"/>
    <w:rsid w:val="006C418C"/>
    <w:rsid w:val="006C657D"/>
    <w:rsid w:val="006D780A"/>
    <w:rsid w:val="006E18ED"/>
    <w:rsid w:val="006E6783"/>
    <w:rsid w:val="006F2E20"/>
    <w:rsid w:val="006F5EF5"/>
    <w:rsid w:val="00702CED"/>
    <w:rsid w:val="00703B35"/>
    <w:rsid w:val="007050E6"/>
    <w:rsid w:val="007107CC"/>
    <w:rsid w:val="00713355"/>
    <w:rsid w:val="00714FC1"/>
    <w:rsid w:val="00723668"/>
    <w:rsid w:val="00723F19"/>
    <w:rsid w:val="00725272"/>
    <w:rsid w:val="00726C5F"/>
    <w:rsid w:val="007310C5"/>
    <w:rsid w:val="007313F7"/>
    <w:rsid w:val="00732266"/>
    <w:rsid w:val="007322E4"/>
    <w:rsid w:val="0073511A"/>
    <w:rsid w:val="0073606D"/>
    <w:rsid w:val="00736360"/>
    <w:rsid w:val="00737C66"/>
    <w:rsid w:val="00737D1D"/>
    <w:rsid w:val="00740D1A"/>
    <w:rsid w:val="007420B4"/>
    <w:rsid w:val="00750075"/>
    <w:rsid w:val="0075111F"/>
    <w:rsid w:val="00751EC7"/>
    <w:rsid w:val="00753FFC"/>
    <w:rsid w:val="00757726"/>
    <w:rsid w:val="0076223F"/>
    <w:rsid w:val="007646C5"/>
    <w:rsid w:val="007746EB"/>
    <w:rsid w:val="00781D95"/>
    <w:rsid w:val="00782B93"/>
    <w:rsid w:val="0078546B"/>
    <w:rsid w:val="00785D04"/>
    <w:rsid w:val="00786D38"/>
    <w:rsid w:val="00790326"/>
    <w:rsid w:val="00796002"/>
    <w:rsid w:val="00797BB5"/>
    <w:rsid w:val="007A083E"/>
    <w:rsid w:val="007A144B"/>
    <w:rsid w:val="007A3957"/>
    <w:rsid w:val="007A4CC1"/>
    <w:rsid w:val="007A5A5D"/>
    <w:rsid w:val="007A7DE1"/>
    <w:rsid w:val="007B05E4"/>
    <w:rsid w:val="007B0EAF"/>
    <w:rsid w:val="007B238A"/>
    <w:rsid w:val="007B359C"/>
    <w:rsid w:val="007B6048"/>
    <w:rsid w:val="007B60C6"/>
    <w:rsid w:val="007B67AF"/>
    <w:rsid w:val="007C094D"/>
    <w:rsid w:val="007C1ED3"/>
    <w:rsid w:val="007C2409"/>
    <w:rsid w:val="007D3907"/>
    <w:rsid w:val="007D48BF"/>
    <w:rsid w:val="007D55A4"/>
    <w:rsid w:val="007E03AF"/>
    <w:rsid w:val="007E16E9"/>
    <w:rsid w:val="007E3BEC"/>
    <w:rsid w:val="007E7A73"/>
    <w:rsid w:val="007E7BAB"/>
    <w:rsid w:val="00800AB9"/>
    <w:rsid w:val="00803648"/>
    <w:rsid w:val="00803B29"/>
    <w:rsid w:val="00803C98"/>
    <w:rsid w:val="008048B9"/>
    <w:rsid w:val="008121EC"/>
    <w:rsid w:val="00813DCA"/>
    <w:rsid w:val="00815B20"/>
    <w:rsid w:val="00816184"/>
    <w:rsid w:val="00817770"/>
    <w:rsid w:val="008218D2"/>
    <w:rsid w:val="00821A59"/>
    <w:rsid w:val="00827371"/>
    <w:rsid w:val="00827DF8"/>
    <w:rsid w:val="00830F0D"/>
    <w:rsid w:val="00834135"/>
    <w:rsid w:val="00834346"/>
    <w:rsid w:val="00840464"/>
    <w:rsid w:val="00840687"/>
    <w:rsid w:val="00843733"/>
    <w:rsid w:val="00844A87"/>
    <w:rsid w:val="008452C0"/>
    <w:rsid w:val="00851475"/>
    <w:rsid w:val="008517D2"/>
    <w:rsid w:val="008518A7"/>
    <w:rsid w:val="00851C5B"/>
    <w:rsid w:val="0085327A"/>
    <w:rsid w:val="00860D75"/>
    <w:rsid w:val="00870BD8"/>
    <w:rsid w:val="00875C76"/>
    <w:rsid w:val="00881E39"/>
    <w:rsid w:val="00882CC4"/>
    <w:rsid w:val="00883DBD"/>
    <w:rsid w:val="00886372"/>
    <w:rsid w:val="008913CF"/>
    <w:rsid w:val="008919BB"/>
    <w:rsid w:val="00892AD1"/>
    <w:rsid w:val="00893AA3"/>
    <w:rsid w:val="008A0030"/>
    <w:rsid w:val="008A05AE"/>
    <w:rsid w:val="008A3DA7"/>
    <w:rsid w:val="008A4DED"/>
    <w:rsid w:val="008A60A0"/>
    <w:rsid w:val="008A775B"/>
    <w:rsid w:val="008B022D"/>
    <w:rsid w:val="008B0807"/>
    <w:rsid w:val="008B0CB9"/>
    <w:rsid w:val="008B6162"/>
    <w:rsid w:val="008C4F20"/>
    <w:rsid w:val="008C63B6"/>
    <w:rsid w:val="008C643D"/>
    <w:rsid w:val="008C66F4"/>
    <w:rsid w:val="008C68AD"/>
    <w:rsid w:val="008D3AB9"/>
    <w:rsid w:val="008D4151"/>
    <w:rsid w:val="008D7608"/>
    <w:rsid w:val="008E124E"/>
    <w:rsid w:val="008E2CA1"/>
    <w:rsid w:val="008E4030"/>
    <w:rsid w:val="008E5002"/>
    <w:rsid w:val="008E6309"/>
    <w:rsid w:val="008E63AA"/>
    <w:rsid w:val="008E71A0"/>
    <w:rsid w:val="008F5D39"/>
    <w:rsid w:val="008F6921"/>
    <w:rsid w:val="008F6D6D"/>
    <w:rsid w:val="009050AC"/>
    <w:rsid w:val="00907BAD"/>
    <w:rsid w:val="00910D30"/>
    <w:rsid w:val="00910EF7"/>
    <w:rsid w:val="00913ADA"/>
    <w:rsid w:val="00913FA7"/>
    <w:rsid w:val="00914967"/>
    <w:rsid w:val="00914C37"/>
    <w:rsid w:val="00915B09"/>
    <w:rsid w:val="00920A42"/>
    <w:rsid w:val="009244DE"/>
    <w:rsid w:val="00925858"/>
    <w:rsid w:val="00925ABB"/>
    <w:rsid w:val="0093348A"/>
    <w:rsid w:val="0093579A"/>
    <w:rsid w:val="00936430"/>
    <w:rsid w:val="00937B62"/>
    <w:rsid w:val="009421D4"/>
    <w:rsid w:val="00944C96"/>
    <w:rsid w:val="00947407"/>
    <w:rsid w:val="009507AD"/>
    <w:rsid w:val="00953699"/>
    <w:rsid w:val="009562CF"/>
    <w:rsid w:val="00956C96"/>
    <w:rsid w:val="009578CF"/>
    <w:rsid w:val="0096197D"/>
    <w:rsid w:val="00972265"/>
    <w:rsid w:val="0097595A"/>
    <w:rsid w:val="0097630A"/>
    <w:rsid w:val="00976819"/>
    <w:rsid w:val="0097788F"/>
    <w:rsid w:val="0098469B"/>
    <w:rsid w:val="00991B63"/>
    <w:rsid w:val="009926F6"/>
    <w:rsid w:val="00993B22"/>
    <w:rsid w:val="009A3D6C"/>
    <w:rsid w:val="009A4282"/>
    <w:rsid w:val="009A464D"/>
    <w:rsid w:val="009A4738"/>
    <w:rsid w:val="009B323B"/>
    <w:rsid w:val="009B3C09"/>
    <w:rsid w:val="009B4F51"/>
    <w:rsid w:val="009B69C7"/>
    <w:rsid w:val="009C438F"/>
    <w:rsid w:val="009C71E3"/>
    <w:rsid w:val="009D1068"/>
    <w:rsid w:val="009D141B"/>
    <w:rsid w:val="009D2CE1"/>
    <w:rsid w:val="009D4121"/>
    <w:rsid w:val="009D7B5E"/>
    <w:rsid w:val="009E5142"/>
    <w:rsid w:val="009E7D2E"/>
    <w:rsid w:val="009F0965"/>
    <w:rsid w:val="009F1D0E"/>
    <w:rsid w:val="009F28A9"/>
    <w:rsid w:val="009F48CF"/>
    <w:rsid w:val="009F5F58"/>
    <w:rsid w:val="009F6CA6"/>
    <w:rsid w:val="00A01707"/>
    <w:rsid w:val="00A0177F"/>
    <w:rsid w:val="00A01A5F"/>
    <w:rsid w:val="00A0361D"/>
    <w:rsid w:val="00A059A3"/>
    <w:rsid w:val="00A05E17"/>
    <w:rsid w:val="00A07530"/>
    <w:rsid w:val="00A10830"/>
    <w:rsid w:val="00A12390"/>
    <w:rsid w:val="00A130AF"/>
    <w:rsid w:val="00A16477"/>
    <w:rsid w:val="00A20845"/>
    <w:rsid w:val="00A21F7E"/>
    <w:rsid w:val="00A329F8"/>
    <w:rsid w:val="00A343D6"/>
    <w:rsid w:val="00A359DE"/>
    <w:rsid w:val="00A36212"/>
    <w:rsid w:val="00A36FB8"/>
    <w:rsid w:val="00A464D2"/>
    <w:rsid w:val="00A47079"/>
    <w:rsid w:val="00A47225"/>
    <w:rsid w:val="00A47408"/>
    <w:rsid w:val="00A4794C"/>
    <w:rsid w:val="00A50E0F"/>
    <w:rsid w:val="00A5100E"/>
    <w:rsid w:val="00A556CD"/>
    <w:rsid w:val="00A5586B"/>
    <w:rsid w:val="00A55CD8"/>
    <w:rsid w:val="00A57720"/>
    <w:rsid w:val="00A61B01"/>
    <w:rsid w:val="00A63F36"/>
    <w:rsid w:val="00A6434A"/>
    <w:rsid w:val="00A72D38"/>
    <w:rsid w:val="00A76C59"/>
    <w:rsid w:val="00A77202"/>
    <w:rsid w:val="00A772E5"/>
    <w:rsid w:val="00A8207C"/>
    <w:rsid w:val="00A87497"/>
    <w:rsid w:val="00A9167C"/>
    <w:rsid w:val="00A956FE"/>
    <w:rsid w:val="00AA0C3B"/>
    <w:rsid w:val="00AA3E06"/>
    <w:rsid w:val="00AA3EF1"/>
    <w:rsid w:val="00AA56A6"/>
    <w:rsid w:val="00AA5C43"/>
    <w:rsid w:val="00AB18C8"/>
    <w:rsid w:val="00AB275C"/>
    <w:rsid w:val="00AB3C39"/>
    <w:rsid w:val="00AB5FBB"/>
    <w:rsid w:val="00AC3014"/>
    <w:rsid w:val="00AC3876"/>
    <w:rsid w:val="00AD1424"/>
    <w:rsid w:val="00AD29C0"/>
    <w:rsid w:val="00AD2D68"/>
    <w:rsid w:val="00AD4250"/>
    <w:rsid w:val="00AD4590"/>
    <w:rsid w:val="00AD4667"/>
    <w:rsid w:val="00AD6BB0"/>
    <w:rsid w:val="00AE14D7"/>
    <w:rsid w:val="00AE25B7"/>
    <w:rsid w:val="00B001A4"/>
    <w:rsid w:val="00B011E2"/>
    <w:rsid w:val="00B02DB6"/>
    <w:rsid w:val="00B0512C"/>
    <w:rsid w:val="00B123BD"/>
    <w:rsid w:val="00B17154"/>
    <w:rsid w:val="00B22DFB"/>
    <w:rsid w:val="00B262BD"/>
    <w:rsid w:val="00B270AE"/>
    <w:rsid w:val="00B31812"/>
    <w:rsid w:val="00B31C91"/>
    <w:rsid w:val="00B32044"/>
    <w:rsid w:val="00B32D7C"/>
    <w:rsid w:val="00B45669"/>
    <w:rsid w:val="00B456C3"/>
    <w:rsid w:val="00B529AA"/>
    <w:rsid w:val="00B56DE1"/>
    <w:rsid w:val="00B61270"/>
    <w:rsid w:val="00B62F5E"/>
    <w:rsid w:val="00B632E1"/>
    <w:rsid w:val="00B65894"/>
    <w:rsid w:val="00B73E64"/>
    <w:rsid w:val="00B74190"/>
    <w:rsid w:val="00B75EF9"/>
    <w:rsid w:val="00B760BD"/>
    <w:rsid w:val="00B7762D"/>
    <w:rsid w:val="00B823CA"/>
    <w:rsid w:val="00B9173A"/>
    <w:rsid w:val="00B949B2"/>
    <w:rsid w:val="00BB04F3"/>
    <w:rsid w:val="00BB0932"/>
    <w:rsid w:val="00BB3A11"/>
    <w:rsid w:val="00BB6071"/>
    <w:rsid w:val="00BB75B8"/>
    <w:rsid w:val="00BC05C8"/>
    <w:rsid w:val="00BC2697"/>
    <w:rsid w:val="00BC4F44"/>
    <w:rsid w:val="00BC6EB1"/>
    <w:rsid w:val="00BD3F37"/>
    <w:rsid w:val="00BD45DC"/>
    <w:rsid w:val="00BD6145"/>
    <w:rsid w:val="00BE02EF"/>
    <w:rsid w:val="00BE20D5"/>
    <w:rsid w:val="00BE3378"/>
    <w:rsid w:val="00BF0BDE"/>
    <w:rsid w:val="00BF0D94"/>
    <w:rsid w:val="00BF2651"/>
    <w:rsid w:val="00BF279A"/>
    <w:rsid w:val="00BF359F"/>
    <w:rsid w:val="00BF4586"/>
    <w:rsid w:val="00BF5EC4"/>
    <w:rsid w:val="00BF631F"/>
    <w:rsid w:val="00C10A81"/>
    <w:rsid w:val="00C12428"/>
    <w:rsid w:val="00C12A20"/>
    <w:rsid w:val="00C17488"/>
    <w:rsid w:val="00C17E7F"/>
    <w:rsid w:val="00C20613"/>
    <w:rsid w:val="00C21258"/>
    <w:rsid w:val="00C35533"/>
    <w:rsid w:val="00C360AC"/>
    <w:rsid w:val="00C40307"/>
    <w:rsid w:val="00C42647"/>
    <w:rsid w:val="00C42724"/>
    <w:rsid w:val="00C440AF"/>
    <w:rsid w:val="00C44E3A"/>
    <w:rsid w:val="00C453DE"/>
    <w:rsid w:val="00C45402"/>
    <w:rsid w:val="00C46F85"/>
    <w:rsid w:val="00C5142D"/>
    <w:rsid w:val="00C51FBB"/>
    <w:rsid w:val="00C53B3C"/>
    <w:rsid w:val="00C53C46"/>
    <w:rsid w:val="00C53F21"/>
    <w:rsid w:val="00C63D8D"/>
    <w:rsid w:val="00C71B71"/>
    <w:rsid w:val="00C71E86"/>
    <w:rsid w:val="00C72587"/>
    <w:rsid w:val="00C75DBA"/>
    <w:rsid w:val="00C80190"/>
    <w:rsid w:val="00C80A8C"/>
    <w:rsid w:val="00C80AF4"/>
    <w:rsid w:val="00C83F39"/>
    <w:rsid w:val="00C841B9"/>
    <w:rsid w:val="00C90BF8"/>
    <w:rsid w:val="00C93765"/>
    <w:rsid w:val="00C9466C"/>
    <w:rsid w:val="00C94C10"/>
    <w:rsid w:val="00C9703E"/>
    <w:rsid w:val="00CA516D"/>
    <w:rsid w:val="00CA5ABC"/>
    <w:rsid w:val="00CA5B8C"/>
    <w:rsid w:val="00CA6496"/>
    <w:rsid w:val="00CB1BB4"/>
    <w:rsid w:val="00CB22E7"/>
    <w:rsid w:val="00CB2D99"/>
    <w:rsid w:val="00CB4091"/>
    <w:rsid w:val="00CB4558"/>
    <w:rsid w:val="00CD03F6"/>
    <w:rsid w:val="00CD0735"/>
    <w:rsid w:val="00CD0CB9"/>
    <w:rsid w:val="00CD3A27"/>
    <w:rsid w:val="00CD4E68"/>
    <w:rsid w:val="00CD7765"/>
    <w:rsid w:val="00CE0B49"/>
    <w:rsid w:val="00CE6E54"/>
    <w:rsid w:val="00CF153E"/>
    <w:rsid w:val="00CF2FDD"/>
    <w:rsid w:val="00D0662E"/>
    <w:rsid w:val="00D06788"/>
    <w:rsid w:val="00D1064F"/>
    <w:rsid w:val="00D23449"/>
    <w:rsid w:val="00D2595F"/>
    <w:rsid w:val="00D2718F"/>
    <w:rsid w:val="00D33EE3"/>
    <w:rsid w:val="00D354BD"/>
    <w:rsid w:val="00D40C0D"/>
    <w:rsid w:val="00D41058"/>
    <w:rsid w:val="00D41A3A"/>
    <w:rsid w:val="00D45D66"/>
    <w:rsid w:val="00D563CD"/>
    <w:rsid w:val="00D617CF"/>
    <w:rsid w:val="00D67C41"/>
    <w:rsid w:val="00D67D6E"/>
    <w:rsid w:val="00D71652"/>
    <w:rsid w:val="00D738B3"/>
    <w:rsid w:val="00D76A33"/>
    <w:rsid w:val="00D85338"/>
    <w:rsid w:val="00D917EA"/>
    <w:rsid w:val="00D91870"/>
    <w:rsid w:val="00D93B8D"/>
    <w:rsid w:val="00D94DA6"/>
    <w:rsid w:val="00D9542D"/>
    <w:rsid w:val="00D95981"/>
    <w:rsid w:val="00DA2049"/>
    <w:rsid w:val="00DB04D9"/>
    <w:rsid w:val="00DB12F6"/>
    <w:rsid w:val="00DC0649"/>
    <w:rsid w:val="00DC1032"/>
    <w:rsid w:val="00DC7151"/>
    <w:rsid w:val="00DD0DE1"/>
    <w:rsid w:val="00DD0EC2"/>
    <w:rsid w:val="00DD1C91"/>
    <w:rsid w:val="00DD366D"/>
    <w:rsid w:val="00DD3A40"/>
    <w:rsid w:val="00DD55EC"/>
    <w:rsid w:val="00DD7D0C"/>
    <w:rsid w:val="00DE059C"/>
    <w:rsid w:val="00DE10DF"/>
    <w:rsid w:val="00DE1463"/>
    <w:rsid w:val="00DE3249"/>
    <w:rsid w:val="00DE6129"/>
    <w:rsid w:val="00DE771C"/>
    <w:rsid w:val="00E03D5D"/>
    <w:rsid w:val="00E069C0"/>
    <w:rsid w:val="00E10BF7"/>
    <w:rsid w:val="00E14AA2"/>
    <w:rsid w:val="00E14D5C"/>
    <w:rsid w:val="00E1508B"/>
    <w:rsid w:val="00E17E37"/>
    <w:rsid w:val="00E21D53"/>
    <w:rsid w:val="00E24261"/>
    <w:rsid w:val="00E26CB4"/>
    <w:rsid w:val="00E32522"/>
    <w:rsid w:val="00E32E1D"/>
    <w:rsid w:val="00E41C63"/>
    <w:rsid w:val="00E45C1C"/>
    <w:rsid w:val="00E50305"/>
    <w:rsid w:val="00E5094B"/>
    <w:rsid w:val="00E51DDD"/>
    <w:rsid w:val="00E539CF"/>
    <w:rsid w:val="00E70A19"/>
    <w:rsid w:val="00E70AFE"/>
    <w:rsid w:val="00E84059"/>
    <w:rsid w:val="00E93598"/>
    <w:rsid w:val="00EB79A4"/>
    <w:rsid w:val="00EC27A7"/>
    <w:rsid w:val="00EC3E28"/>
    <w:rsid w:val="00EC5CB4"/>
    <w:rsid w:val="00ED0C38"/>
    <w:rsid w:val="00EF103C"/>
    <w:rsid w:val="00EF1362"/>
    <w:rsid w:val="00EF1B01"/>
    <w:rsid w:val="00EF39A1"/>
    <w:rsid w:val="00F00409"/>
    <w:rsid w:val="00F0352B"/>
    <w:rsid w:val="00F04904"/>
    <w:rsid w:val="00F04915"/>
    <w:rsid w:val="00F1188C"/>
    <w:rsid w:val="00F129A3"/>
    <w:rsid w:val="00F12B54"/>
    <w:rsid w:val="00F146DB"/>
    <w:rsid w:val="00F1761B"/>
    <w:rsid w:val="00F22215"/>
    <w:rsid w:val="00F227AF"/>
    <w:rsid w:val="00F24A31"/>
    <w:rsid w:val="00F26CA9"/>
    <w:rsid w:val="00F32532"/>
    <w:rsid w:val="00F33860"/>
    <w:rsid w:val="00F33B2C"/>
    <w:rsid w:val="00F44FB1"/>
    <w:rsid w:val="00F457C1"/>
    <w:rsid w:val="00F47B39"/>
    <w:rsid w:val="00F514DE"/>
    <w:rsid w:val="00F5345C"/>
    <w:rsid w:val="00F563AD"/>
    <w:rsid w:val="00F60875"/>
    <w:rsid w:val="00F62641"/>
    <w:rsid w:val="00F63B17"/>
    <w:rsid w:val="00F65BE9"/>
    <w:rsid w:val="00F676D2"/>
    <w:rsid w:val="00F70B01"/>
    <w:rsid w:val="00F71243"/>
    <w:rsid w:val="00F76755"/>
    <w:rsid w:val="00F77458"/>
    <w:rsid w:val="00F77628"/>
    <w:rsid w:val="00F77722"/>
    <w:rsid w:val="00F837F8"/>
    <w:rsid w:val="00F846D1"/>
    <w:rsid w:val="00F859DE"/>
    <w:rsid w:val="00F9007B"/>
    <w:rsid w:val="00F93625"/>
    <w:rsid w:val="00F9465B"/>
    <w:rsid w:val="00F950FC"/>
    <w:rsid w:val="00F957F4"/>
    <w:rsid w:val="00FA350B"/>
    <w:rsid w:val="00FB23FC"/>
    <w:rsid w:val="00FB386A"/>
    <w:rsid w:val="00FB4E90"/>
    <w:rsid w:val="00FC6E55"/>
    <w:rsid w:val="00FD245F"/>
    <w:rsid w:val="00FD4017"/>
    <w:rsid w:val="00FD6EB7"/>
    <w:rsid w:val="00FE45CD"/>
    <w:rsid w:val="00FE6776"/>
    <w:rsid w:val="00FF1DAD"/>
    <w:rsid w:val="00FF508D"/>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35"/>
    <o:shapelayout v:ext="edit">
      <o:idmap v:ext="edit" data="1"/>
      <o:rules v:ext="edit">
        <o:r id="V:Rule1" type="connector" idref="#AutoShape 8"/>
        <o:r id="V:Rule2" type="connector" idref="#_x0000_s1034"/>
        <o:r id="V:Rule3" type="connector" idref="#AutoShape 9"/>
        <o:r id="V:Rule4" type="connector" idref="#AutoShape 12"/>
        <o:r id="V:Rule5" type="connector" idref="#AutoShape 11"/>
        <o:r id="V:Rule6" type="connector" idref="#AutoShape 10"/>
        <o:r id="V:Rule7" type="connector" idref="#_x0000_s1029"/>
        <o:r id="V:Rule8" type="connector" idref="#_x0000_s1028"/>
        <o:r id="V:Rule9" type="connector" idref="#AutoShape 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1E19BB"/>
  </w:style>
  <w:style w:type="paragraph" w:styleId="Heading1">
    <w:name w:val="heading 1"/>
    <w:basedOn w:val="NoSpacing"/>
    <w:next w:val="Normal"/>
    <w:link w:val="Heading1Char"/>
    <w:uiPriority w:val="9"/>
    <w:qFormat/>
    <w:rsid w:val="00524959"/>
    <w:pPr>
      <w:keepNext/>
      <w:keepLines/>
      <w:spacing w:before="480"/>
      <w:outlineLvl w:val="0"/>
    </w:pPr>
    <w:rPr>
      <w:rFonts w:eastAsiaTheme="majorEastAsia" w:cstheme="majorBidi"/>
      <w:b/>
      <w:bCs/>
      <w:sz w:val="24"/>
      <w:szCs w:val="28"/>
    </w:rPr>
  </w:style>
  <w:style w:type="paragraph" w:styleId="Heading2">
    <w:name w:val="heading 2"/>
    <w:basedOn w:val="NoSpacing"/>
    <w:next w:val="Normal"/>
    <w:link w:val="Heading2Char"/>
    <w:uiPriority w:val="9"/>
    <w:unhideWhenUsed/>
    <w:qFormat/>
    <w:rsid w:val="00AD6BB0"/>
    <w:pPr>
      <w:keepNext/>
      <w:keepLines/>
      <w:spacing w:before="200"/>
      <w:outlineLvl w:val="1"/>
    </w:pPr>
    <w:rPr>
      <w:rFonts w:asciiTheme="majorHAnsi" w:eastAsiaTheme="majorEastAsia" w:hAnsiTheme="majorHAnsi" w:cstheme="majorBidi"/>
      <w:bCs/>
      <w:i/>
      <w:szCs w:val="26"/>
    </w:rPr>
  </w:style>
  <w:style w:type="paragraph" w:styleId="Heading3">
    <w:name w:val="heading 3"/>
    <w:basedOn w:val="Normal"/>
    <w:next w:val="Normal"/>
    <w:link w:val="Heading3Char"/>
    <w:uiPriority w:val="9"/>
    <w:unhideWhenUsed/>
    <w:qFormat/>
    <w:rsid w:val="008F6D6D"/>
    <w:pPr>
      <w:keepNext/>
      <w:keepLines/>
      <w:spacing w:before="200" w:after="0" w:line="360" w:lineRule="auto"/>
      <w:outlineLvl w:val="2"/>
    </w:pPr>
    <w:rPr>
      <w:rFonts w:eastAsiaTheme="majorEastAsia" w:cstheme="majorBidi"/>
      <w:bCs/>
      <w:i/>
      <w:color w:val="000000" w:themeColor="text1"/>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F5477"/>
    <w:pPr>
      <w:ind w:left="720"/>
      <w:contextualSpacing/>
    </w:pPr>
  </w:style>
  <w:style w:type="paragraph" w:styleId="NoSpacing">
    <w:name w:val="No Spacing"/>
    <w:aliases w:val="thesis"/>
    <w:uiPriority w:val="1"/>
    <w:qFormat/>
    <w:rsid w:val="009D2CE1"/>
    <w:pPr>
      <w:spacing w:after="0" w:line="360" w:lineRule="auto"/>
      <w:ind w:firstLine="284"/>
      <w:jc w:val="both"/>
    </w:pPr>
    <w:rPr>
      <w:rFonts w:ascii="Calibri Light" w:hAnsi="Calibri Light"/>
      <w:sz w:val="20"/>
      <w:lang w:val="en-US"/>
    </w:rPr>
  </w:style>
  <w:style w:type="character" w:customStyle="1" w:styleId="Heading1Char">
    <w:name w:val="Heading 1 Char"/>
    <w:basedOn w:val="DefaultParagraphFont"/>
    <w:link w:val="Heading1"/>
    <w:uiPriority w:val="9"/>
    <w:rsid w:val="00524959"/>
    <w:rPr>
      <w:rFonts w:eastAsiaTheme="majorEastAsia" w:cstheme="majorBidi"/>
      <w:b/>
      <w:bCs/>
      <w:sz w:val="24"/>
      <w:szCs w:val="28"/>
      <w:lang w:val="en-US"/>
    </w:rPr>
  </w:style>
  <w:style w:type="character" w:customStyle="1" w:styleId="Heading2Char">
    <w:name w:val="Heading 2 Char"/>
    <w:basedOn w:val="DefaultParagraphFont"/>
    <w:link w:val="Heading2"/>
    <w:uiPriority w:val="9"/>
    <w:rsid w:val="00AD6BB0"/>
    <w:rPr>
      <w:rFonts w:asciiTheme="majorHAnsi" w:eastAsiaTheme="majorEastAsia" w:hAnsiTheme="majorHAnsi" w:cstheme="majorBidi"/>
      <w:bCs/>
      <w:i/>
      <w:szCs w:val="26"/>
      <w:lang w:val="en-US"/>
    </w:rPr>
  </w:style>
  <w:style w:type="character" w:customStyle="1" w:styleId="Heading3Char">
    <w:name w:val="Heading 3 Char"/>
    <w:basedOn w:val="DefaultParagraphFont"/>
    <w:link w:val="Heading3"/>
    <w:uiPriority w:val="9"/>
    <w:rsid w:val="008F6D6D"/>
    <w:rPr>
      <w:rFonts w:eastAsiaTheme="majorEastAsia" w:cstheme="majorBidi"/>
      <w:bCs/>
      <w:i/>
      <w:color w:val="000000" w:themeColor="text1"/>
      <w:sz w:val="20"/>
    </w:rPr>
  </w:style>
  <w:style w:type="paragraph" w:styleId="FootnoteText">
    <w:name w:val="footnote text"/>
    <w:basedOn w:val="Normal"/>
    <w:link w:val="FootnoteTextChar"/>
    <w:rsid w:val="00A76C59"/>
    <w:pPr>
      <w:spacing w:after="0" w:line="240" w:lineRule="auto"/>
      <w:ind w:firstLine="510"/>
      <w:jc w:val="both"/>
    </w:pPr>
    <w:rPr>
      <w:rFonts w:eastAsia="Times New Roman" w:cs="Times New Roman"/>
      <w:sz w:val="20"/>
      <w:szCs w:val="20"/>
    </w:rPr>
  </w:style>
  <w:style w:type="character" w:customStyle="1" w:styleId="FootnoteTextChar">
    <w:name w:val="Footnote Text Char"/>
    <w:basedOn w:val="DefaultParagraphFont"/>
    <w:link w:val="FootnoteText"/>
    <w:rsid w:val="00A76C59"/>
    <w:rPr>
      <w:rFonts w:eastAsia="Times New Roman" w:cs="Times New Roman"/>
      <w:sz w:val="20"/>
      <w:szCs w:val="20"/>
      <w:lang w:val="en-US" w:eastAsia="nl-NL"/>
    </w:rPr>
  </w:style>
  <w:style w:type="character" w:styleId="FootnoteReference">
    <w:name w:val="footnote reference"/>
    <w:basedOn w:val="DefaultParagraphFont"/>
    <w:rsid w:val="00A76C59"/>
    <w:rPr>
      <w:vertAlign w:val="superscript"/>
    </w:rPr>
  </w:style>
  <w:style w:type="paragraph" w:styleId="BalloonText">
    <w:name w:val="Balloon Text"/>
    <w:basedOn w:val="Normal"/>
    <w:link w:val="BalloonTextChar"/>
    <w:uiPriority w:val="99"/>
    <w:semiHidden/>
    <w:unhideWhenUsed/>
    <w:rsid w:val="00BD45D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45DC"/>
    <w:rPr>
      <w:rFonts w:ascii="Tahoma" w:hAnsi="Tahoma" w:cs="Tahoma"/>
      <w:sz w:val="16"/>
      <w:szCs w:val="16"/>
      <w:lang w:val="en-US"/>
    </w:rPr>
  </w:style>
  <w:style w:type="character" w:customStyle="1" w:styleId="apple-converted-space">
    <w:name w:val="apple-converted-space"/>
    <w:basedOn w:val="DefaultParagraphFont"/>
    <w:rsid w:val="00BC4F44"/>
  </w:style>
  <w:style w:type="table" w:styleId="TableGrid">
    <w:name w:val="Table Grid"/>
    <w:basedOn w:val="TableNormal"/>
    <w:uiPriority w:val="59"/>
    <w:rsid w:val="007500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ediumList2-Accent1">
    <w:name w:val="Medium List 2 Accent 1"/>
    <w:basedOn w:val="TableNormal"/>
    <w:uiPriority w:val="66"/>
    <w:rsid w:val="00553FC0"/>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Lichtearcering-accent11">
    <w:name w:val="Lichte arcering - accent 11"/>
    <w:basedOn w:val="TableNormal"/>
    <w:uiPriority w:val="60"/>
    <w:rsid w:val="00834135"/>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Header">
    <w:name w:val="header"/>
    <w:basedOn w:val="Normal"/>
    <w:link w:val="HeaderChar"/>
    <w:uiPriority w:val="99"/>
    <w:unhideWhenUsed/>
    <w:rsid w:val="00834135"/>
    <w:pPr>
      <w:tabs>
        <w:tab w:val="center" w:pos="4536"/>
        <w:tab w:val="right" w:pos="9072"/>
      </w:tabs>
      <w:spacing w:after="0" w:line="240" w:lineRule="auto"/>
    </w:pPr>
  </w:style>
  <w:style w:type="character" w:customStyle="1" w:styleId="HeaderChar">
    <w:name w:val="Header Char"/>
    <w:basedOn w:val="DefaultParagraphFont"/>
    <w:link w:val="Header"/>
    <w:uiPriority w:val="99"/>
    <w:rsid w:val="00834135"/>
  </w:style>
  <w:style w:type="paragraph" w:styleId="Footer">
    <w:name w:val="footer"/>
    <w:basedOn w:val="Normal"/>
    <w:link w:val="FooterChar"/>
    <w:uiPriority w:val="99"/>
    <w:unhideWhenUsed/>
    <w:rsid w:val="00834135"/>
    <w:pPr>
      <w:tabs>
        <w:tab w:val="center" w:pos="4536"/>
        <w:tab w:val="right" w:pos="9072"/>
      </w:tabs>
      <w:spacing w:after="0" w:line="240" w:lineRule="auto"/>
    </w:pPr>
  </w:style>
  <w:style w:type="character" w:customStyle="1" w:styleId="FooterChar">
    <w:name w:val="Footer Char"/>
    <w:basedOn w:val="DefaultParagraphFont"/>
    <w:link w:val="Footer"/>
    <w:uiPriority w:val="99"/>
    <w:rsid w:val="00834135"/>
  </w:style>
  <w:style w:type="paragraph" w:styleId="TOCHeading">
    <w:name w:val="TOC Heading"/>
    <w:basedOn w:val="Heading1"/>
    <w:next w:val="Normal"/>
    <w:uiPriority w:val="39"/>
    <w:unhideWhenUsed/>
    <w:qFormat/>
    <w:rsid w:val="00AE14D7"/>
    <w:pPr>
      <w:spacing w:line="276" w:lineRule="auto"/>
      <w:ind w:firstLine="0"/>
      <w:jc w:val="left"/>
      <w:outlineLvl w:val="9"/>
    </w:pPr>
    <w:rPr>
      <w:rFonts w:asciiTheme="majorHAnsi" w:hAnsiTheme="majorHAnsi"/>
      <w:color w:val="365F91" w:themeColor="accent1" w:themeShade="BF"/>
      <w:sz w:val="28"/>
      <w:lang w:val="nl-NL"/>
    </w:rPr>
  </w:style>
  <w:style w:type="paragraph" w:styleId="TOC2">
    <w:name w:val="toc 2"/>
    <w:basedOn w:val="Normal"/>
    <w:next w:val="Normal"/>
    <w:autoRedefine/>
    <w:uiPriority w:val="39"/>
    <w:unhideWhenUsed/>
    <w:qFormat/>
    <w:rsid w:val="00AE14D7"/>
    <w:pPr>
      <w:spacing w:after="100"/>
      <w:ind w:left="220"/>
    </w:pPr>
  </w:style>
  <w:style w:type="paragraph" w:styleId="TOC1">
    <w:name w:val="toc 1"/>
    <w:basedOn w:val="Normal"/>
    <w:next w:val="Normal"/>
    <w:autoRedefine/>
    <w:uiPriority w:val="39"/>
    <w:unhideWhenUsed/>
    <w:qFormat/>
    <w:rsid w:val="00126449"/>
    <w:pPr>
      <w:tabs>
        <w:tab w:val="left" w:pos="440"/>
        <w:tab w:val="right" w:leader="dot" w:pos="9396"/>
      </w:tabs>
      <w:spacing w:after="100" w:line="240" w:lineRule="auto"/>
    </w:pPr>
    <w:rPr>
      <w:b/>
      <w:noProof/>
      <w:sz w:val="20"/>
      <w:lang w:val="en-GB"/>
    </w:rPr>
  </w:style>
  <w:style w:type="paragraph" w:styleId="TOC3">
    <w:name w:val="toc 3"/>
    <w:basedOn w:val="Normal"/>
    <w:next w:val="Normal"/>
    <w:autoRedefine/>
    <w:uiPriority w:val="39"/>
    <w:unhideWhenUsed/>
    <w:qFormat/>
    <w:rsid w:val="00AE14D7"/>
    <w:pPr>
      <w:spacing w:after="100"/>
      <w:ind w:left="440"/>
    </w:pPr>
  </w:style>
  <w:style w:type="character" w:styleId="Hyperlink">
    <w:name w:val="Hyperlink"/>
    <w:basedOn w:val="DefaultParagraphFont"/>
    <w:uiPriority w:val="99"/>
    <w:unhideWhenUsed/>
    <w:rsid w:val="00AE14D7"/>
    <w:rPr>
      <w:color w:val="0000FF" w:themeColor="hyperlink"/>
      <w:u w:val="single"/>
    </w:rPr>
  </w:style>
  <w:style w:type="character" w:styleId="Strong">
    <w:name w:val="Strong"/>
    <w:aliases w:val="subtitel 3"/>
    <w:rsid w:val="0097630A"/>
    <w:rPr>
      <w:rFonts w:ascii="Calibri" w:hAnsi="Calibri"/>
      <w:bCs/>
      <w:i/>
      <w:color w:val="4F81BD" w:themeColor="accent1"/>
      <w:sz w:val="22"/>
    </w:rPr>
  </w:style>
  <w:style w:type="character" w:styleId="CommentReference">
    <w:name w:val="annotation reference"/>
    <w:basedOn w:val="DefaultParagraphFont"/>
    <w:uiPriority w:val="99"/>
    <w:semiHidden/>
    <w:unhideWhenUsed/>
    <w:rsid w:val="00E41C63"/>
    <w:rPr>
      <w:sz w:val="16"/>
      <w:szCs w:val="16"/>
    </w:rPr>
  </w:style>
  <w:style w:type="paragraph" w:styleId="CommentText">
    <w:name w:val="annotation text"/>
    <w:basedOn w:val="Normal"/>
    <w:link w:val="CommentTextChar"/>
    <w:uiPriority w:val="99"/>
    <w:semiHidden/>
    <w:unhideWhenUsed/>
    <w:rsid w:val="00E41C63"/>
    <w:pPr>
      <w:spacing w:line="240" w:lineRule="auto"/>
    </w:pPr>
    <w:rPr>
      <w:sz w:val="20"/>
      <w:szCs w:val="20"/>
    </w:rPr>
  </w:style>
  <w:style w:type="character" w:customStyle="1" w:styleId="CommentTextChar">
    <w:name w:val="Comment Text Char"/>
    <w:basedOn w:val="DefaultParagraphFont"/>
    <w:link w:val="CommentText"/>
    <w:uiPriority w:val="99"/>
    <w:semiHidden/>
    <w:rsid w:val="00E41C63"/>
    <w:rPr>
      <w:sz w:val="20"/>
      <w:szCs w:val="20"/>
    </w:rPr>
  </w:style>
  <w:style w:type="paragraph" w:styleId="CommentSubject">
    <w:name w:val="annotation subject"/>
    <w:basedOn w:val="CommentText"/>
    <w:next w:val="CommentText"/>
    <w:link w:val="CommentSubjectChar"/>
    <w:uiPriority w:val="99"/>
    <w:semiHidden/>
    <w:unhideWhenUsed/>
    <w:rsid w:val="00E41C63"/>
    <w:rPr>
      <w:b/>
      <w:bCs/>
    </w:rPr>
  </w:style>
  <w:style w:type="character" w:customStyle="1" w:styleId="CommentSubjectChar">
    <w:name w:val="Comment Subject Char"/>
    <w:basedOn w:val="CommentTextChar"/>
    <w:link w:val="CommentSubject"/>
    <w:uiPriority w:val="99"/>
    <w:semiHidden/>
    <w:rsid w:val="00E41C63"/>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style>
  <w:style w:type="paragraph" w:styleId="Kop1">
    <w:name w:val="heading 1"/>
    <w:basedOn w:val="Geenafstand"/>
    <w:next w:val="Standaard"/>
    <w:link w:val="Kop1Char"/>
    <w:uiPriority w:val="9"/>
    <w:qFormat/>
    <w:rsid w:val="00524959"/>
    <w:pPr>
      <w:keepNext/>
      <w:keepLines/>
      <w:spacing w:before="480"/>
      <w:outlineLvl w:val="0"/>
    </w:pPr>
    <w:rPr>
      <w:rFonts w:eastAsiaTheme="majorEastAsia" w:cstheme="majorBidi"/>
      <w:b/>
      <w:bCs/>
      <w:sz w:val="24"/>
      <w:szCs w:val="28"/>
    </w:rPr>
  </w:style>
  <w:style w:type="paragraph" w:styleId="Kop2">
    <w:name w:val="heading 2"/>
    <w:basedOn w:val="Geenafstand"/>
    <w:next w:val="Standaard"/>
    <w:link w:val="Kop2Char"/>
    <w:uiPriority w:val="9"/>
    <w:unhideWhenUsed/>
    <w:qFormat/>
    <w:rsid w:val="00AD6BB0"/>
    <w:pPr>
      <w:keepNext/>
      <w:keepLines/>
      <w:spacing w:before="200"/>
      <w:outlineLvl w:val="1"/>
    </w:pPr>
    <w:rPr>
      <w:rFonts w:asciiTheme="majorHAnsi" w:eastAsiaTheme="majorEastAsia" w:hAnsiTheme="majorHAnsi" w:cstheme="majorBidi"/>
      <w:bCs/>
      <w:i/>
      <w:szCs w:val="26"/>
    </w:rPr>
  </w:style>
  <w:style w:type="paragraph" w:styleId="Kop3">
    <w:name w:val="heading 3"/>
    <w:basedOn w:val="Standaard"/>
    <w:next w:val="Standaard"/>
    <w:link w:val="Kop3Char"/>
    <w:uiPriority w:val="9"/>
    <w:unhideWhenUsed/>
    <w:qFormat/>
    <w:rsid w:val="008F6D6D"/>
    <w:pPr>
      <w:keepNext/>
      <w:keepLines/>
      <w:spacing w:before="200" w:after="0" w:line="360" w:lineRule="auto"/>
      <w:outlineLvl w:val="2"/>
    </w:pPr>
    <w:rPr>
      <w:rFonts w:eastAsiaTheme="majorEastAsia" w:cstheme="majorBidi"/>
      <w:bCs/>
      <w:i/>
      <w:color w:val="000000" w:themeColor="text1"/>
      <w:sz w:val="2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3F5477"/>
    <w:pPr>
      <w:ind w:left="720"/>
      <w:contextualSpacing/>
    </w:pPr>
  </w:style>
  <w:style w:type="paragraph" w:styleId="Geenafstand">
    <w:name w:val="No Spacing"/>
    <w:aliases w:val="thesis"/>
    <w:uiPriority w:val="1"/>
    <w:qFormat/>
    <w:rsid w:val="009D2CE1"/>
    <w:pPr>
      <w:spacing w:after="0" w:line="360" w:lineRule="auto"/>
      <w:ind w:firstLine="284"/>
      <w:jc w:val="both"/>
    </w:pPr>
    <w:rPr>
      <w:rFonts w:ascii="Calibri Light" w:hAnsi="Calibri Light"/>
      <w:sz w:val="20"/>
      <w:lang w:val="en-US"/>
    </w:rPr>
  </w:style>
  <w:style w:type="character" w:customStyle="1" w:styleId="Kop1Char">
    <w:name w:val="Kop 1 Char"/>
    <w:basedOn w:val="Standaardalinea-lettertype"/>
    <w:link w:val="Kop1"/>
    <w:uiPriority w:val="9"/>
    <w:rsid w:val="00524959"/>
    <w:rPr>
      <w:rFonts w:eastAsiaTheme="majorEastAsia" w:cstheme="majorBidi"/>
      <w:b/>
      <w:bCs/>
      <w:sz w:val="24"/>
      <w:szCs w:val="28"/>
      <w:lang w:val="en-US"/>
    </w:rPr>
  </w:style>
  <w:style w:type="character" w:customStyle="1" w:styleId="Kop2Char">
    <w:name w:val="Kop 2 Char"/>
    <w:basedOn w:val="Standaardalinea-lettertype"/>
    <w:link w:val="Kop2"/>
    <w:uiPriority w:val="9"/>
    <w:rsid w:val="00AD6BB0"/>
    <w:rPr>
      <w:rFonts w:asciiTheme="majorHAnsi" w:eastAsiaTheme="majorEastAsia" w:hAnsiTheme="majorHAnsi" w:cstheme="majorBidi"/>
      <w:bCs/>
      <w:i/>
      <w:szCs w:val="26"/>
      <w:lang w:val="en-US"/>
    </w:rPr>
  </w:style>
  <w:style w:type="character" w:customStyle="1" w:styleId="Kop3Char">
    <w:name w:val="Kop 3 Char"/>
    <w:basedOn w:val="Standaardalinea-lettertype"/>
    <w:link w:val="Kop3"/>
    <w:uiPriority w:val="9"/>
    <w:rsid w:val="008F6D6D"/>
    <w:rPr>
      <w:rFonts w:eastAsiaTheme="majorEastAsia" w:cstheme="majorBidi"/>
      <w:bCs/>
      <w:i/>
      <w:color w:val="000000" w:themeColor="text1"/>
      <w:sz w:val="20"/>
    </w:rPr>
  </w:style>
  <w:style w:type="paragraph" w:styleId="Voetnoottekst">
    <w:name w:val="footnote text"/>
    <w:basedOn w:val="Standaard"/>
    <w:link w:val="VoetnoottekstChar"/>
    <w:rsid w:val="00A76C59"/>
    <w:pPr>
      <w:spacing w:after="0" w:line="240" w:lineRule="auto"/>
      <w:ind w:firstLine="510"/>
      <w:jc w:val="both"/>
    </w:pPr>
    <w:rPr>
      <w:rFonts w:eastAsia="Times New Roman" w:cs="Times New Roman"/>
      <w:sz w:val="20"/>
      <w:szCs w:val="20"/>
    </w:rPr>
  </w:style>
  <w:style w:type="character" w:customStyle="1" w:styleId="VoetnoottekstChar">
    <w:name w:val="Voetnoottekst Char"/>
    <w:basedOn w:val="Standaardalinea-lettertype"/>
    <w:link w:val="Voetnoottekst"/>
    <w:rsid w:val="00A76C59"/>
    <w:rPr>
      <w:rFonts w:eastAsia="Times New Roman" w:cs="Times New Roman"/>
      <w:sz w:val="20"/>
      <w:szCs w:val="20"/>
      <w:lang w:val="en-US" w:eastAsia="nl-NL"/>
    </w:rPr>
  </w:style>
  <w:style w:type="character" w:styleId="Voetnootmarkering">
    <w:name w:val="footnote reference"/>
    <w:basedOn w:val="Standaardalinea-lettertype"/>
    <w:rsid w:val="00A76C59"/>
    <w:rPr>
      <w:vertAlign w:val="superscript"/>
    </w:rPr>
  </w:style>
  <w:style w:type="paragraph" w:styleId="Ballontekst">
    <w:name w:val="Balloon Text"/>
    <w:basedOn w:val="Standaard"/>
    <w:link w:val="BallontekstChar"/>
    <w:uiPriority w:val="99"/>
    <w:semiHidden/>
    <w:unhideWhenUsed/>
    <w:rsid w:val="00BD45DC"/>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BD45DC"/>
    <w:rPr>
      <w:rFonts w:ascii="Tahoma" w:hAnsi="Tahoma" w:cs="Tahoma"/>
      <w:sz w:val="16"/>
      <w:szCs w:val="16"/>
      <w:lang w:val="en-US"/>
    </w:rPr>
  </w:style>
  <w:style w:type="character" w:customStyle="1" w:styleId="apple-converted-space">
    <w:name w:val="apple-converted-space"/>
    <w:basedOn w:val="Standaardalinea-lettertype"/>
    <w:rsid w:val="00BC4F44"/>
  </w:style>
  <w:style w:type="table" w:styleId="Tabelraster">
    <w:name w:val="Table Grid"/>
    <w:basedOn w:val="Standaardtabel"/>
    <w:uiPriority w:val="59"/>
    <w:rsid w:val="0075007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emiddeldelijst2-accent1">
    <w:name w:val="Medium List 2 Accent 1"/>
    <w:basedOn w:val="Standaardtabel"/>
    <w:uiPriority w:val="66"/>
    <w:rsid w:val="00553FC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Lichtearcering-accent11">
    <w:name w:val="Lichte arcering - accent 11"/>
    <w:basedOn w:val="Standaardtabel"/>
    <w:uiPriority w:val="60"/>
    <w:rsid w:val="00834135"/>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Koptekst">
    <w:name w:val="header"/>
    <w:basedOn w:val="Standaard"/>
    <w:link w:val="KoptekstChar"/>
    <w:uiPriority w:val="99"/>
    <w:unhideWhenUsed/>
    <w:rsid w:val="00834135"/>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834135"/>
  </w:style>
  <w:style w:type="paragraph" w:styleId="Voettekst">
    <w:name w:val="footer"/>
    <w:basedOn w:val="Standaard"/>
    <w:link w:val="VoettekstChar"/>
    <w:uiPriority w:val="99"/>
    <w:unhideWhenUsed/>
    <w:rsid w:val="00834135"/>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834135"/>
  </w:style>
  <w:style w:type="paragraph" w:styleId="Kopvaninhoudsopgave">
    <w:name w:val="TOC Heading"/>
    <w:basedOn w:val="Kop1"/>
    <w:next w:val="Standaard"/>
    <w:uiPriority w:val="39"/>
    <w:unhideWhenUsed/>
    <w:qFormat/>
    <w:rsid w:val="00AE14D7"/>
    <w:pPr>
      <w:spacing w:line="276" w:lineRule="auto"/>
      <w:ind w:firstLine="0"/>
      <w:jc w:val="left"/>
      <w:outlineLvl w:val="9"/>
    </w:pPr>
    <w:rPr>
      <w:rFonts w:asciiTheme="majorHAnsi" w:hAnsiTheme="majorHAnsi"/>
      <w:color w:val="365F91" w:themeColor="accent1" w:themeShade="BF"/>
      <w:sz w:val="28"/>
      <w:lang w:val="nl-NL"/>
    </w:rPr>
  </w:style>
  <w:style w:type="paragraph" w:styleId="Inhopg2">
    <w:name w:val="toc 2"/>
    <w:basedOn w:val="Standaard"/>
    <w:next w:val="Standaard"/>
    <w:autoRedefine/>
    <w:uiPriority w:val="39"/>
    <w:unhideWhenUsed/>
    <w:qFormat/>
    <w:rsid w:val="00AE14D7"/>
    <w:pPr>
      <w:spacing w:after="100"/>
      <w:ind w:left="220"/>
    </w:pPr>
  </w:style>
  <w:style w:type="paragraph" w:styleId="Inhopg1">
    <w:name w:val="toc 1"/>
    <w:basedOn w:val="Standaard"/>
    <w:next w:val="Standaard"/>
    <w:autoRedefine/>
    <w:uiPriority w:val="39"/>
    <w:unhideWhenUsed/>
    <w:qFormat/>
    <w:rsid w:val="00126449"/>
    <w:pPr>
      <w:tabs>
        <w:tab w:val="left" w:pos="440"/>
        <w:tab w:val="right" w:leader="dot" w:pos="9396"/>
      </w:tabs>
      <w:spacing w:after="100" w:line="240" w:lineRule="auto"/>
    </w:pPr>
    <w:rPr>
      <w:b/>
      <w:noProof/>
      <w:sz w:val="20"/>
      <w:lang w:val="en-GB"/>
    </w:rPr>
  </w:style>
  <w:style w:type="paragraph" w:styleId="Inhopg3">
    <w:name w:val="toc 3"/>
    <w:basedOn w:val="Standaard"/>
    <w:next w:val="Standaard"/>
    <w:autoRedefine/>
    <w:uiPriority w:val="39"/>
    <w:unhideWhenUsed/>
    <w:qFormat/>
    <w:rsid w:val="00AE14D7"/>
    <w:pPr>
      <w:spacing w:after="100"/>
      <w:ind w:left="440"/>
    </w:pPr>
  </w:style>
  <w:style w:type="character" w:styleId="Hyperlink">
    <w:name w:val="Hyperlink"/>
    <w:basedOn w:val="Standaardalinea-lettertype"/>
    <w:uiPriority w:val="99"/>
    <w:unhideWhenUsed/>
    <w:rsid w:val="00AE14D7"/>
    <w:rPr>
      <w:color w:val="0000FF" w:themeColor="hyperlink"/>
      <w:u w:val="single"/>
    </w:rPr>
  </w:style>
  <w:style w:type="character" w:styleId="Zwaar">
    <w:name w:val="Strong"/>
    <w:aliases w:val="subtitel 3"/>
    <w:rsid w:val="0097630A"/>
    <w:rPr>
      <w:rFonts w:ascii="Calibri" w:hAnsi="Calibri"/>
      <w:bCs/>
      <w:i/>
      <w:color w:val="4F81BD" w:themeColor="accent1"/>
      <w:sz w:val="22"/>
    </w:rPr>
  </w:style>
  <w:style w:type="character" w:styleId="Verwijzingopmerking">
    <w:name w:val="annotation reference"/>
    <w:basedOn w:val="Standaardalinea-lettertype"/>
    <w:uiPriority w:val="99"/>
    <w:semiHidden/>
    <w:unhideWhenUsed/>
    <w:rsid w:val="00E41C63"/>
    <w:rPr>
      <w:sz w:val="16"/>
      <w:szCs w:val="16"/>
    </w:rPr>
  </w:style>
  <w:style w:type="paragraph" w:styleId="Tekstopmerking">
    <w:name w:val="annotation text"/>
    <w:basedOn w:val="Standaard"/>
    <w:link w:val="TekstopmerkingChar"/>
    <w:uiPriority w:val="99"/>
    <w:semiHidden/>
    <w:unhideWhenUsed/>
    <w:rsid w:val="00E41C63"/>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E41C63"/>
    <w:rPr>
      <w:sz w:val="20"/>
      <w:szCs w:val="20"/>
    </w:rPr>
  </w:style>
  <w:style w:type="paragraph" w:styleId="Onderwerpvanopmerking">
    <w:name w:val="annotation subject"/>
    <w:basedOn w:val="Tekstopmerking"/>
    <w:next w:val="Tekstopmerking"/>
    <w:link w:val="OnderwerpvanopmerkingChar"/>
    <w:uiPriority w:val="99"/>
    <w:semiHidden/>
    <w:unhideWhenUsed/>
    <w:rsid w:val="00E41C63"/>
    <w:rPr>
      <w:b/>
      <w:bCs/>
    </w:rPr>
  </w:style>
  <w:style w:type="character" w:customStyle="1" w:styleId="OnderwerpvanopmerkingChar">
    <w:name w:val="Onderwerp van opmerking Char"/>
    <w:basedOn w:val="TekstopmerkingChar"/>
    <w:link w:val="Onderwerpvanopmerking"/>
    <w:uiPriority w:val="99"/>
    <w:semiHidden/>
    <w:rsid w:val="00E41C63"/>
    <w:rPr>
      <w:b/>
      <w:bCs/>
      <w:sz w:val="20"/>
      <w:szCs w:val="20"/>
    </w:rPr>
  </w:style>
</w:styles>
</file>

<file path=word/webSettings.xml><?xml version="1.0" encoding="utf-8"?>
<w:webSettings xmlns:r="http://schemas.openxmlformats.org/officeDocument/2006/relationships" xmlns:w="http://schemas.openxmlformats.org/wordprocessingml/2006/main">
  <w:divs>
    <w:div w:id="252864050">
      <w:bodyDiv w:val="1"/>
      <w:marLeft w:val="0"/>
      <w:marRight w:val="0"/>
      <w:marTop w:val="0"/>
      <w:marBottom w:val="0"/>
      <w:divBdr>
        <w:top w:val="none" w:sz="0" w:space="0" w:color="auto"/>
        <w:left w:val="none" w:sz="0" w:space="0" w:color="auto"/>
        <w:bottom w:val="none" w:sz="0" w:space="0" w:color="auto"/>
        <w:right w:val="none" w:sz="0" w:space="0" w:color="auto"/>
      </w:divBdr>
    </w:div>
    <w:div w:id="296843459">
      <w:bodyDiv w:val="1"/>
      <w:marLeft w:val="0"/>
      <w:marRight w:val="0"/>
      <w:marTop w:val="0"/>
      <w:marBottom w:val="0"/>
      <w:divBdr>
        <w:top w:val="none" w:sz="0" w:space="0" w:color="auto"/>
        <w:left w:val="none" w:sz="0" w:space="0" w:color="auto"/>
        <w:bottom w:val="none" w:sz="0" w:space="0" w:color="auto"/>
        <w:right w:val="none" w:sz="0" w:space="0" w:color="auto"/>
      </w:divBdr>
    </w:div>
    <w:div w:id="309791645">
      <w:bodyDiv w:val="1"/>
      <w:marLeft w:val="0"/>
      <w:marRight w:val="0"/>
      <w:marTop w:val="0"/>
      <w:marBottom w:val="0"/>
      <w:divBdr>
        <w:top w:val="none" w:sz="0" w:space="0" w:color="auto"/>
        <w:left w:val="none" w:sz="0" w:space="0" w:color="auto"/>
        <w:bottom w:val="none" w:sz="0" w:space="0" w:color="auto"/>
        <w:right w:val="none" w:sz="0" w:space="0" w:color="auto"/>
      </w:divBdr>
    </w:div>
    <w:div w:id="325011429">
      <w:bodyDiv w:val="1"/>
      <w:marLeft w:val="0"/>
      <w:marRight w:val="0"/>
      <w:marTop w:val="0"/>
      <w:marBottom w:val="0"/>
      <w:divBdr>
        <w:top w:val="none" w:sz="0" w:space="0" w:color="auto"/>
        <w:left w:val="none" w:sz="0" w:space="0" w:color="auto"/>
        <w:bottom w:val="none" w:sz="0" w:space="0" w:color="auto"/>
        <w:right w:val="none" w:sz="0" w:space="0" w:color="auto"/>
      </w:divBdr>
    </w:div>
    <w:div w:id="377553205">
      <w:bodyDiv w:val="1"/>
      <w:marLeft w:val="0"/>
      <w:marRight w:val="0"/>
      <w:marTop w:val="0"/>
      <w:marBottom w:val="0"/>
      <w:divBdr>
        <w:top w:val="none" w:sz="0" w:space="0" w:color="auto"/>
        <w:left w:val="none" w:sz="0" w:space="0" w:color="auto"/>
        <w:bottom w:val="none" w:sz="0" w:space="0" w:color="auto"/>
        <w:right w:val="none" w:sz="0" w:space="0" w:color="auto"/>
      </w:divBdr>
    </w:div>
    <w:div w:id="804587073">
      <w:bodyDiv w:val="1"/>
      <w:marLeft w:val="0"/>
      <w:marRight w:val="0"/>
      <w:marTop w:val="0"/>
      <w:marBottom w:val="0"/>
      <w:divBdr>
        <w:top w:val="none" w:sz="0" w:space="0" w:color="auto"/>
        <w:left w:val="none" w:sz="0" w:space="0" w:color="auto"/>
        <w:bottom w:val="none" w:sz="0" w:space="0" w:color="auto"/>
        <w:right w:val="none" w:sz="0" w:space="0" w:color="auto"/>
      </w:divBdr>
    </w:div>
    <w:div w:id="1464618602">
      <w:bodyDiv w:val="1"/>
      <w:marLeft w:val="0"/>
      <w:marRight w:val="0"/>
      <w:marTop w:val="0"/>
      <w:marBottom w:val="0"/>
      <w:divBdr>
        <w:top w:val="none" w:sz="0" w:space="0" w:color="auto"/>
        <w:left w:val="none" w:sz="0" w:space="0" w:color="auto"/>
        <w:bottom w:val="none" w:sz="0" w:space="0" w:color="auto"/>
        <w:right w:val="none" w:sz="0" w:space="0" w:color="auto"/>
      </w:divBdr>
    </w:div>
    <w:div w:id="1546022492">
      <w:bodyDiv w:val="1"/>
      <w:marLeft w:val="0"/>
      <w:marRight w:val="0"/>
      <w:marTop w:val="0"/>
      <w:marBottom w:val="0"/>
      <w:divBdr>
        <w:top w:val="none" w:sz="0" w:space="0" w:color="auto"/>
        <w:left w:val="none" w:sz="0" w:space="0" w:color="auto"/>
        <w:bottom w:val="none" w:sz="0" w:space="0" w:color="auto"/>
        <w:right w:val="none" w:sz="0" w:space="0" w:color="auto"/>
      </w:divBdr>
    </w:div>
    <w:div w:id="1612740747">
      <w:bodyDiv w:val="1"/>
      <w:marLeft w:val="0"/>
      <w:marRight w:val="0"/>
      <w:marTop w:val="0"/>
      <w:marBottom w:val="0"/>
      <w:divBdr>
        <w:top w:val="none" w:sz="0" w:space="0" w:color="auto"/>
        <w:left w:val="none" w:sz="0" w:space="0" w:color="auto"/>
        <w:bottom w:val="none" w:sz="0" w:space="0" w:color="auto"/>
        <w:right w:val="none" w:sz="0" w:space="0" w:color="auto"/>
      </w:divBdr>
    </w:div>
    <w:div w:id="1786732763">
      <w:bodyDiv w:val="1"/>
      <w:marLeft w:val="0"/>
      <w:marRight w:val="0"/>
      <w:marTop w:val="0"/>
      <w:marBottom w:val="0"/>
      <w:divBdr>
        <w:top w:val="none" w:sz="0" w:space="0" w:color="auto"/>
        <w:left w:val="none" w:sz="0" w:space="0" w:color="auto"/>
        <w:bottom w:val="none" w:sz="0" w:space="0" w:color="auto"/>
        <w:right w:val="none" w:sz="0" w:space="0" w:color="auto"/>
      </w:divBdr>
    </w:div>
    <w:div w:id="1867131630">
      <w:bodyDiv w:val="1"/>
      <w:marLeft w:val="0"/>
      <w:marRight w:val="0"/>
      <w:marTop w:val="0"/>
      <w:marBottom w:val="0"/>
      <w:divBdr>
        <w:top w:val="none" w:sz="0" w:space="0" w:color="auto"/>
        <w:left w:val="none" w:sz="0" w:space="0" w:color="auto"/>
        <w:bottom w:val="none" w:sz="0" w:space="0" w:color="auto"/>
        <w:right w:val="none" w:sz="0" w:space="0" w:color="auto"/>
      </w:divBdr>
    </w:div>
    <w:div w:id="1979187499">
      <w:bodyDiv w:val="1"/>
      <w:marLeft w:val="0"/>
      <w:marRight w:val="0"/>
      <w:marTop w:val="0"/>
      <w:marBottom w:val="0"/>
      <w:divBdr>
        <w:top w:val="none" w:sz="0" w:space="0" w:color="auto"/>
        <w:left w:val="none" w:sz="0" w:space="0" w:color="auto"/>
        <w:bottom w:val="none" w:sz="0" w:space="0" w:color="auto"/>
        <w:right w:val="none" w:sz="0" w:space="0" w:color="auto"/>
      </w:divBdr>
    </w:div>
    <w:div w:id="2114472958">
      <w:bodyDiv w:val="1"/>
      <w:marLeft w:val="0"/>
      <w:marRight w:val="0"/>
      <w:marTop w:val="0"/>
      <w:marBottom w:val="0"/>
      <w:divBdr>
        <w:top w:val="none" w:sz="0" w:space="0" w:color="auto"/>
        <w:left w:val="none" w:sz="0" w:space="0" w:color="auto"/>
        <w:bottom w:val="none" w:sz="0" w:space="0" w:color="auto"/>
        <w:right w:val="none" w:sz="0" w:space="0" w:color="auto"/>
      </w:divBdr>
    </w:div>
    <w:div w:id="2120367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 Id="rId14" Type="http://schemas.microsoft.com/office/2007/relationships/stylesWithEffects" Target="stylesWithEffects.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9A6DCF3-1ABC-43FD-95F9-6E0F25D390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30354</Words>
  <Characters>166950</Characters>
  <Application>Microsoft Office Word</Application>
  <DocSecurity>0</DocSecurity>
  <Lines>1391</Lines>
  <Paragraphs>393</Paragraphs>
  <ScaleCrop>false</ScaleCrop>
  <HeadingPairs>
    <vt:vector size="2" baseType="variant">
      <vt:variant>
        <vt:lpstr>Titel</vt:lpstr>
      </vt:variant>
      <vt:variant>
        <vt:i4>1</vt:i4>
      </vt:variant>
    </vt:vector>
  </HeadingPairs>
  <TitlesOfParts>
    <vt:vector size="1" baseType="lpstr">
      <vt:lpstr/>
    </vt:vector>
  </TitlesOfParts>
  <Company>Provincie Utrecht</Company>
  <LinksUpToDate>false</LinksUpToDate>
  <CharactersWithSpaces>196911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 N53s</dc:creator>
  <cp:lastModifiedBy>u649231</cp:lastModifiedBy>
  <cp:revision>2</cp:revision>
  <cp:lastPrinted>2014-08-18T15:10:00Z</cp:lastPrinted>
  <dcterms:created xsi:type="dcterms:W3CDTF">2014-10-10T10:45:00Z</dcterms:created>
  <dcterms:modified xsi:type="dcterms:W3CDTF">2014-10-10T10:45:00Z</dcterms:modified>
</cp:coreProperties>
</file>