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24A9FD" w14:textId="449AF34E" w:rsidR="00B60492" w:rsidRPr="00623E36" w:rsidRDefault="00A90441" w:rsidP="00A90441">
      <w:pPr>
        <w:suppressLineNumbers/>
        <w:tabs>
          <w:tab w:val="left" w:pos="5414"/>
        </w:tabs>
        <w:rPr>
          <w:rFonts w:ascii="Open Sans" w:hAnsi="Open Sans" w:cs="Open Sans"/>
          <w:color w:val="FFFFFF" w:themeColor="background1"/>
          <w:sz w:val="80"/>
          <w:szCs w:val="80"/>
        </w:rPr>
      </w:pPr>
      <w:r w:rsidRPr="00623E36">
        <w:rPr>
          <w:noProof/>
        </w:rPr>
        <w:drawing>
          <wp:anchor distT="0" distB="0" distL="114300" distR="114300" simplePos="0" relativeHeight="251658239" behindDoc="1" locked="0" layoutInCell="1" allowOverlap="1" wp14:anchorId="1756E420" wp14:editId="00D1E264">
            <wp:simplePos x="0" y="0"/>
            <wp:positionH relativeFrom="column">
              <wp:posOffset>-1151890</wp:posOffset>
            </wp:positionH>
            <wp:positionV relativeFrom="page">
              <wp:posOffset>-382270</wp:posOffset>
            </wp:positionV>
            <wp:extent cx="8431200" cy="10580400"/>
            <wp:effectExtent l="0" t="0" r="8255" b="0"/>
            <wp:wrapNone/>
            <wp:docPr id="12" name="Background" descr="A red and black flag&#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ackground" descr="A red and black flag&#10;&#10;Description automatically generated with low confidence"/>
                    <pic:cNvPicPr/>
                  </pic:nvPicPr>
                  <pic:blipFill rotWithShape="1">
                    <a:blip r:embed="rId8"/>
                    <a:srcRect l="18498" t="31330" r="59472" b="29972"/>
                    <a:stretch/>
                  </pic:blipFill>
                  <pic:spPr bwMode="auto">
                    <a:xfrm>
                      <a:off x="0" y="0"/>
                      <a:ext cx="8431200" cy="10580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774BEE5" w14:textId="77777777" w:rsidR="00A90441" w:rsidRPr="00623E36" w:rsidRDefault="00A90441" w:rsidP="00A90441">
      <w:pPr>
        <w:suppressLineNumbers/>
        <w:tabs>
          <w:tab w:val="left" w:pos="5414"/>
        </w:tabs>
        <w:rPr>
          <w:rFonts w:ascii="Open Sans" w:hAnsi="Open Sans" w:cs="Open Sans"/>
          <w:color w:val="FFFFFF" w:themeColor="background1"/>
          <w:sz w:val="80"/>
          <w:szCs w:val="80"/>
        </w:rPr>
      </w:pPr>
    </w:p>
    <w:p w14:paraId="5B9A1AE3" w14:textId="09AD3F24" w:rsidR="00B60492" w:rsidRPr="00623E36" w:rsidRDefault="00B60492" w:rsidP="00B60492">
      <w:pPr>
        <w:suppressLineNumbers/>
        <w:spacing w:line="240" w:lineRule="auto"/>
        <w:ind w:firstLine="0"/>
        <w:jc w:val="left"/>
        <w:rPr>
          <w:rFonts w:ascii="Open Sans" w:hAnsi="Open Sans" w:cs="Open Sans"/>
          <w:b/>
          <w:color w:val="FFFFFF" w:themeColor="background1"/>
          <w:sz w:val="28"/>
          <w:szCs w:val="36"/>
          <w:lang w:eastAsia="en-GB"/>
        </w:rPr>
      </w:pPr>
      <w:r w:rsidRPr="00623E36">
        <w:rPr>
          <w:rFonts w:ascii="Open Sans" w:hAnsi="Open Sans" w:cs="Open Sans"/>
          <w:b/>
          <w:color w:val="FFFFFF" w:themeColor="background1"/>
          <w:sz w:val="28"/>
          <w:szCs w:val="36"/>
          <w:lang w:eastAsia="en-GB"/>
        </w:rPr>
        <w:t>Nijmegen School of Management</w:t>
      </w:r>
      <w:r w:rsidRPr="00623E36">
        <w:rPr>
          <w:rFonts w:ascii="Open Sans" w:hAnsi="Open Sans" w:cs="Open Sans"/>
          <w:b/>
          <w:color w:val="FFFFFF" w:themeColor="background1"/>
          <w:sz w:val="28"/>
          <w:szCs w:val="36"/>
          <w:lang w:eastAsia="en-GB"/>
        </w:rPr>
        <w:br/>
        <w:t>Department of Economics and Business Economics</w:t>
      </w:r>
      <w:r w:rsidRPr="00623E36">
        <w:rPr>
          <w:rFonts w:ascii="Open Sans" w:hAnsi="Open Sans" w:cs="Open Sans"/>
          <w:b/>
          <w:color w:val="FFFFFF" w:themeColor="background1"/>
          <w:sz w:val="28"/>
          <w:szCs w:val="36"/>
          <w:lang w:eastAsia="en-GB"/>
        </w:rPr>
        <w:br/>
        <w:t>Master</w:t>
      </w:r>
      <w:r w:rsidR="00E234B0" w:rsidRPr="00623E36">
        <w:rPr>
          <w:rFonts w:ascii="Open Sans" w:hAnsi="Open Sans" w:cs="Open Sans"/>
          <w:b/>
          <w:color w:val="FFFFFF" w:themeColor="background1"/>
          <w:sz w:val="28"/>
          <w:szCs w:val="36"/>
          <w:lang w:eastAsia="en-GB"/>
        </w:rPr>
        <w:t>’s</w:t>
      </w:r>
      <w:r w:rsidRPr="00623E36">
        <w:rPr>
          <w:rFonts w:ascii="Open Sans" w:hAnsi="Open Sans" w:cs="Open Sans"/>
          <w:b/>
          <w:color w:val="FFFFFF" w:themeColor="background1"/>
          <w:sz w:val="28"/>
          <w:szCs w:val="36"/>
          <w:lang w:eastAsia="en-GB"/>
        </w:rPr>
        <w:t xml:space="preserve"> Thesis</w:t>
      </w:r>
      <w:r w:rsidR="00E234B0" w:rsidRPr="00623E36">
        <w:rPr>
          <w:rFonts w:ascii="Open Sans" w:hAnsi="Open Sans" w:cs="Open Sans"/>
          <w:b/>
          <w:color w:val="FFFFFF" w:themeColor="background1"/>
          <w:sz w:val="28"/>
          <w:szCs w:val="36"/>
          <w:lang w:eastAsia="en-GB"/>
        </w:rPr>
        <w:t xml:space="preserve"> Economics (MAN-MTHEC)</w:t>
      </w:r>
    </w:p>
    <w:p w14:paraId="145A9065" w14:textId="77777777" w:rsidR="00B60492" w:rsidRPr="00623E36" w:rsidRDefault="00B60492" w:rsidP="00B60492">
      <w:pPr>
        <w:suppressLineNumbers/>
        <w:spacing w:line="240" w:lineRule="auto"/>
        <w:ind w:firstLine="0"/>
        <w:jc w:val="left"/>
        <w:rPr>
          <w:rFonts w:ascii="Open Sans" w:hAnsi="Open Sans" w:cs="Open Sans"/>
          <w:b/>
          <w:color w:val="FFFFFF" w:themeColor="background1"/>
          <w:sz w:val="28"/>
          <w:szCs w:val="36"/>
          <w:lang w:eastAsia="en-GB"/>
        </w:rPr>
      </w:pPr>
    </w:p>
    <w:p w14:paraId="65C70E54" w14:textId="77777777" w:rsidR="008C204A" w:rsidRPr="00623E36" w:rsidRDefault="008C204A" w:rsidP="008C204A">
      <w:pPr>
        <w:suppressLineNumbers/>
        <w:ind w:firstLine="0"/>
        <w:jc w:val="left"/>
        <w:rPr>
          <w:rFonts w:ascii="Open Sans" w:hAnsi="Open Sans" w:cs="Open Sans"/>
          <w:b/>
          <w:color w:val="FFFFFF" w:themeColor="background1"/>
          <w:sz w:val="28"/>
          <w:szCs w:val="40"/>
        </w:rPr>
      </w:pPr>
      <w:bookmarkStart w:id="0" w:name="_Hlk202213702"/>
      <w:r>
        <w:rPr>
          <w:rFonts w:ascii="Open Sans" w:hAnsi="Open Sans" w:cs="Open Sans"/>
          <w:b/>
          <w:color w:val="FFFFFF" w:themeColor="background1"/>
          <w:sz w:val="56"/>
          <w:szCs w:val="80"/>
          <w:lang w:eastAsia="en-GB"/>
        </w:rPr>
        <w:t>Mergers &amp; Acquisitions as a greenwashing strategy: Do acquiring firms improve ESG scores without real change?</w:t>
      </w:r>
    </w:p>
    <w:bookmarkEnd w:id="0"/>
    <w:p w14:paraId="0851C5DB" w14:textId="54602120" w:rsidR="00B60492" w:rsidRPr="00623E36" w:rsidRDefault="00B60492" w:rsidP="00B60492">
      <w:pPr>
        <w:suppressLineNumbers/>
        <w:spacing w:after="120" w:line="240" w:lineRule="auto"/>
        <w:ind w:firstLine="0"/>
        <w:jc w:val="left"/>
        <w:rPr>
          <w:rFonts w:ascii="Open Sans" w:hAnsi="Open Sans" w:cs="Open Sans"/>
          <w:color w:val="FFFFFF" w:themeColor="background1"/>
        </w:rPr>
      </w:pPr>
      <w:r w:rsidRPr="00623E36">
        <w:rPr>
          <w:rFonts w:ascii="Open Sans" w:hAnsi="Open Sans" w:cs="Open Sans"/>
          <w:color w:val="FFFFFF" w:themeColor="background1"/>
        </w:rPr>
        <w:t xml:space="preserve">By </w:t>
      </w:r>
      <w:r w:rsidR="00623E36" w:rsidRPr="00623E36">
        <w:rPr>
          <w:rFonts w:ascii="Open Sans" w:hAnsi="Open Sans" w:cs="Open Sans"/>
          <w:color w:val="FFFFFF" w:themeColor="background1"/>
        </w:rPr>
        <w:t>Luuk Hendriks</w:t>
      </w:r>
      <w:r w:rsidRPr="00623E36">
        <w:rPr>
          <w:rFonts w:ascii="Open Sans" w:hAnsi="Open Sans" w:cs="Open Sans"/>
          <w:color w:val="FFFFFF" w:themeColor="background1"/>
        </w:rPr>
        <w:t xml:space="preserve"> (S</w:t>
      </w:r>
      <w:r w:rsidR="00623E36" w:rsidRPr="00623E36">
        <w:rPr>
          <w:rFonts w:ascii="Open Sans" w:hAnsi="Open Sans" w:cs="Open Sans"/>
          <w:color w:val="FFFFFF" w:themeColor="background1"/>
        </w:rPr>
        <w:t>1036793</w:t>
      </w:r>
      <w:r w:rsidRPr="00623E36">
        <w:rPr>
          <w:rFonts w:ascii="Open Sans" w:hAnsi="Open Sans" w:cs="Open Sans"/>
          <w:color w:val="FFFFFF" w:themeColor="background1"/>
        </w:rPr>
        <w:t>)</w:t>
      </w:r>
    </w:p>
    <w:p w14:paraId="561F0F81" w14:textId="7FDDAFCE" w:rsidR="008C204A" w:rsidRPr="00623E36" w:rsidRDefault="00131C2B" w:rsidP="00131C2B">
      <w:pPr>
        <w:suppressLineNumbers/>
        <w:spacing w:after="120" w:line="240" w:lineRule="auto"/>
        <w:ind w:firstLine="0"/>
        <w:jc w:val="left"/>
        <w:rPr>
          <w:rFonts w:ascii="Open Sans" w:hAnsi="Open Sans" w:cs="Open Sans"/>
          <w:color w:val="FFFFFF" w:themeColor="background1"/>
        </w:rPr>
      </w:pPr>
      <w:r w:rsidRPr="00623E36">
        <w:rPr>
          <w:rFonts w:ascii="Open Sans" w:hAnsi="Open Sans" w:cs="Open Sans"/>
          <w:color w:val="FFFFFF" w:themeColor="background1"/>
        </w:rPr>
        <w:t xml:space="preserve">Nijmegen, </w:t>
      </w:r>
      <w:r w:rsidRPr="00623E36">
        <w:rPr>
          <w:rFonts w:ascii="Open Sans" w:hAnsi="Open Sans" w:cs="Open Sans"/>
          <w:color w:val="FFFFFF" w:themeColor="background1"/>
        </w:rPr>
        <w:fldChar w:fldCharType="begin"/>
      </w:r>
      <w:r w:rsidRPr="00623E36">
        <w:rPr>
          <w:rFonts w:ascii="Open Sans" w:hAnsi="Open Sans" w:cs="Open Sans"/>
          <w:color w:val="FFFFFF" w:themeColor="background1"/>
        </w:rPr>
        <w:instrText xml:space="preserve"> DATE \@ "d MMMM yyyy" </w:instrText>
      </w:r>
      <w:r w:rsidRPr="00623E36">
        <w:rPr>
          <w:rFonts w:ascii="Open Sans" w:hAnsi="Open Sans" w:cs="Open Sans"/>
          <w:color w:val="FFFFFF" w:themeColor="background1"/>
        </w:rPr>
        <w:fldChar w:fldCharType="separate"/>
      </w:r>
      <w:r w:rsidR="00761F3D">
        <w:rPr>
          <w:rFonts w:ascii="Open Sans" w:hAnsi="Open Sans" w:cs="Open Sans"/>
          <w:noProof/>
          <w:color w:val="FFFFFF" w:themeColor="background1"/>
        </w:rPr>
        <w:t>8 July 2025</w:t>
      </w:r>
      <w:r w:rsidRPr="00623E36">
        <w:rPr>
          <w:rFonts w:ascii="Open Sans" w:hAnsi="Open Sans" w:cs="Open Sans"/>
          <w:color w:val="FFFFFF" w:themeColor="background1"/>
        </w:rPr>
        <w:fldChar w:fldCharType="end"/>
      </w:r>
    </w:p>
    <w:p w14:paraId="6F5207B7" w14:textId="0B5E2883" w:rsidR="00B60492" w:rsidRPr="00623E36" w:rsidRDefault="00B60492" w:rsidP="00B60492">
      <w:pPr>
        <w:suppressLineNumbers/>
        <w:spacing w:after="120" w:line="240" w:lineRule="auto"/>
        <w:ind w:firstLine="0"/>
        <w:jc w:val="left"/>
        <w:rPr>
          <w:rFonts w:ascii="Open Sans" w:hAnsi="Open Sans" w:cs="Open Sans"/>
          <w:color w:val="FFFFFF" w:themeColor="background1"/>
        </w:rPr>
      </w:pPr>
      <w:r w:rsidRPr="00623E36">
        <w:rPr>
          <w:rFonts w:ascii="Open Sans" w:hAnsi="Open Sans" w:cs="Open Sans"/>
          <w:color w:val="FFFFFF" w:themeColor="background1"/>
        </w:rPr>
        <w:t>Program: Master’s Program in Economics</w:t>
      </w:r>
      <w:r w:rsidRPr="00623E36">
        <w:rPr>
          <w:rFonts w:ascii="Open Sans" w:hAnsi="Open Sans" w:cs="Open Sans"/>
          <w:color w:val="FFFFFF" w:themeColor="background1"/>
        </w:rPr>
        <w:br/>
        <w:t>Speciali</w:t>
      </w:r>
      <w:r w:rsidR="00BC2E42" w:rsidRPr="00623E36">
        <w:rPr>
          <w:rFonts w:ascii="Open Sans" w:hAnsi="Open Sans" w:cs="Open Sans"/>
          <w:color w:val="FFFFFF" w:themeColor="background1"/>
        </w:rPr>
        <w:t>s</w:t>
      </w:r>
      <w:r w:rsidRPr="00623E36">
        <w:rPr>
          <w:rFonts w:ascii="Open Sans" w:hAnsi="Open Sans" w:cs="Open Sans"/>
          <w:color w:val="FFFFFF" w:themeColor="background1"/>
        </w:rPr>
        <w:t xml:space="preserve">ation: </w:t>
      </w:r>
      <w:r w:rsidR="00623E36" w:rsidRPr="00623E36">
        <w:rPr>
          <w:rFonts w:ascii="Open Sans" w:hAnsi="Open Sans" w:cs="Open Sans"/>
          <w:color w:val="FFFFFF" w:themeColor="background1"/>
        </w:rPr>
        <w:t>Corporate Finance and Control</w:t>
      </w:r>
      <w:r w:rsidR="001E7671" w:rsidRPr="00623E36">
        <w:rPr>
          <w:rFonts w:ascii="Open Sans" w:hAnsi="Open Sans" w:cs="Open Sans"/>
          <w:color w:val="FFFFFF" w:themeColor="background1"/>
        </w:rPr>
        <w:t xml:space="preserve"> </w:t>
      </w:r>
      <w:r w:rsidR="00131C2B" w:rsidRPr="00623E36">
        <w:rPr>
          <w:rFonts w:ascii="Open Sans" w:hAnsi="Open Sans" w:cs="Open Sans"/>
          <w:color w:val="FFFFFF" w:themeColor="background1"/>
        </w:rPr>
        <w:br/>
        <w:t xml:space="preserve">Supervisor: </w:t>
      </w:r>
      <w:r w:rsidR="00623E36" w:rsidRPr="00623E36">
        <w:rPr>
          <w:rFonts w:ascii="Open Sans" w:hAnsi="Open Sans" w:cs="Open Sans"/>
          <w:color w:val="FFFFFF" w:themeColor="background1"/>
        </w:rPr>
        <w:t>Jan Schmitz</w:t>
      </w:r>
      <w:r w:rsidR="00131C2B" w:rsidRPr="00623E36">
        <w:rPr>
          <w:rFonts w:ascii="Open Sans" w:hAnsi="Open Sans" w:cs="Open Sans"/>
          <w:color w:val="FFFFFF" w:themeColor="background1"/>
        </w:rPr>
        <w:br/>
      </w:r>
      <w:r w:rsidRPr="00623E36">
        <w:rPr>
          <w:rFonts w:ascii="Open Sans" w:hAnsi="Open Sans" w:cs="Open Sans"/>
          <w:color w:val="FFFFFF" w:themeColor="background1"/>
        </w:rPr>
        <w:br/>
      </w:r>
    </w:p>
    <w:p w14:paraId="38FEDC69" w14:textId="17D419E3" w:rsidR="009D43F1" w:rsidRPr="00623E36" w:rsidRDefault="00B60492" w:rsidP="00B60492">
      <w:pPr>
        <w:suppressLineNumbers/>
        <w:rPr>
          <w:lang w:eastAsia="en-GB"/>
        </w:rPr>
      </w:pPr>
      <w:r w:rsidRPr="00623E36">
        <w:rPr>
          <w:rFonts w:ascii="Open Sans" w:hAnsi="Open Sans" w:cs="Open Sans"/>
          <w:noProof/>
          <w:color w:val="FFFFFF" w:themeColor="background1"/>
          <w:lang w:eastAsia="en-GB"/>
        </w:rPr>
        <w:drawing>
          <wp:anchor distT="0" distB="0" distL="114300" distR="114300" simplePos="0" relativeHeight="251659264" behindDoc="0" locked="0" layoutInCell="1" allowOverlap="1" wp14:anchorId="245A7566" wp14:editId="759BCA31">
            <wp:simplePos x="0" y="0"/>
            <wp:positionH relativeFrom="margin">
              <wp:align>right</wp:align>
            </wp:positionH>
            <wp:positionV relativeFrom="margin">
              <wp:align>bottom</wp:align>
            </wp:positionV>
            <wp:extent cx="2378922" cy="504000"/>
            <wp:effectExtent l="0" t="0" r="2540" b="0"/>
            <wp:wrapSquare wrapText="bothSides"/>
            <wp:docPr id="4" nam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pic:cNvPicPr/>
                  </pic:nvPicPr>
                  <pic:blipFill>
                    <a:blip r:embed="rId9" cstate="print">
                      <a:extLst>
                        <a:ext uri="{28A0092B-C50C-407E-A947-70E740481C1C}">
                          <a14:useLocalDpi xmlns:a14="http://schemas.microsoft.com/office/drawing/2010/main" val="0"/>
                        </a:ext>
                      </a:extLst>
                    </a:blip>
                    <a:stretch>
                      <a:fillRect/>
                    </a:stretch>
                  </pic:blipFill>
                  <pic:spPr>
                    <a:xfrm>
                      <a:off x="0" y="0"/>
                      <a:ext cx="2378922" cy="504000"/>
                    </a:xfrm>
                    <a:prstGeom prst="rect">
                      <a:avLst/>
                    </a:prstGeom>
                  </pic:spPr>
                </pic:pic>
              </a:graphicData>
            </a:graphic>
            <wp14:sizeRelH relativeFrom="margin">
              <wp14:pctWidth>0</wp14:pctWidth>
            </wp14:sizeRelH>
            <wp14:sizeRelV relativeFrom="margin">
              <wp14:pctHeight>0</wp14:pctHeight>
            </wp14:sizeRelV>
          </wp:anchor>
        </w:drawing>
      </w:r>
      <w:r w:rsidRPr="00623E36">
        <w:rPr>
          <w:lang w:eastAsia="en-GB"/>
        </w:rPr>
        <w:t xml:space="preserve"> </w:t>
      </w:r>
    </w:p>
    <w:p w14:paraId="3EF1D183" w14:textId="77777777" w:rsidR="009D43F1" w:rsidRPr="00623E36" w:rsidRDefault="009D43F1">
      <w:pPr>
        <w:spacing w:line="240" w:lineRule="auto"/>
        <w:ind w:firstLine="0"/>
        <w:jc w:val="left"/>
        <w:rPr>
          <w:lang w:eastAsia="en-GB"/>
        </w:rPr>
      </w:pPr>
      <w:r w:rsidRPr="00623E36">
        <w:rPr>
          <w:lang w:eastAsia="en-GB"/>
        </w:rPr>
        <w:br w:type="page"/>
      </w:r>
    </w:p>
    <w:p w14:paraId="42C3560F" w14:textId="77777777" w:rsidR="004B0B21" w:rsidRDefault="004B0B21">
      <w:pPr>
        <w:spacing w:line="240" w:lineRule="auto"/>
        <w:ind w:firstLine="0"/>
        <w:jc w:val="left"/>
        <w:rPr>
          <w:b/>
          <w:bCs/>
          <w:sz w:val="32"/>
          <w:szCs w:val="32"/>
        </w:rPr>
      </w:pPr>
      <w:r>
        <w:rPr>
          <w:b/>
          <w:bCs/>
          <w:sz w:val="32"/>
          <w:szCs w:val="32"/>
        </w:rPr>
        <w:lastRenderedPageBreak/>
        <w:t>Abstract</w:t>
      </w:r>
    </w:p>
    <w:p w14:paraId="0F0E5AC7" w14:textId="77777777" w:rsidR="004B0B21" w:rsidRDefault="004B0B21">
      <w:pPr>
        <w:spacing w:line="240" w:lineRule="auto"/>
        <w:ind w:firstLine="0"/>
        <w:jc w:val="left"/>
      </w:pPr>
    </w:p>
    <w:p w14:paraId="33188941" w14:textId="1EE0555D" w:rsidR="004B0B21" w:rsidRDefault="005500EA" w:rsidP="004B0B21">
      <w:bookmarkStart w:id="1" w:name="_Hlk202218814"/>
      <w:r w:rsidRPr="005500EA">
        <w:t>This thesis investigates whether mergers and acquisitions (M&amp;A) serve as a mechanism for acquiring firms to enhance their environmental, social, and governance (ESG) performance, and whether such improvements reflect genuine change or symbolic greenwashing. Drawing on stakeholder and signaling theory, the study examines 260 M&amp;A deals between 2002 and 2021, focusing on transactions where the target’s ESG score exceeds that of the acquirer. A difference-in-differences (DiD) approach is applied to assess post-merger ESG score changes relative to non-acquiring firms, with additional analysis exploring the role of target ESG characteristics. The results provide modest evidence that M&amp;A activity is associated with improved ESG ratings for acquirers. However, these improvements are not systematically explained by the ESG profile or pre-merger ESG advantage of the target firm. The findings suggest that post-merger ESG gains may reflect managerial signaling or reputational effects rather than substantive integration of sustainability practices, aligning with concerns about greenwashing. This research contributes to the emerging literature on ESG in M&amp;A by highlighting the need for critical scrutiny of post-acquisition ESG developments and emphasizing that meaningful sustainability progress requires more than strategic deal-making</w:t>
      </w:r>
      <w:r>
        <w:t>.</w:t>
      </w:r>
      <w:bookmarkEnd w:id="1"/>
      <w:r w:rsidR="004B0B21">
        <w:br w:type="page"/>
      </w:r>
    </w:p>
    <w:p w14:paraId="16DAE430" w14:textId="73F78772" w:rsidR="004B0B21" w:rsidRDefault="004B0B21" w:rsidP="004B0B21">
      <w:pPr>
        <w:spacing w:line="240" w:lineRule="auto"/>
        <w:ind w:firstLine="0"/>
        <w:jc w:val="left"/>
        <w:rPr>
          <w:b/>
          <w:bCs/>
          <w:sz w:val="32"/>
          <w:szCs w:val="32"/>
        </w:rPr>
      </w:pPr>
      <w:r>
        <w:rPr>
          <w:b/>
          <w:bCs/>
          <w:sz w:val="32"/>
          <w:szCs w:val="32"/>
        </w:rPr>
        <w:lastRenderedPageBreak/>
        <w:t>Generative AI statement</w:t>
      </w:r>
    </w:p>
    <w:p w14:paraId="55D27D61" w14:textId="77777777" w:rsidR="004B0B21" w:rsidRDefault="004B0B21" w:rsidP="004B0B21"/>
    <w:p w14:paraId="34A1C9A7" w14:textId="1DF186F1" w:rsidR="004B0B21" w:rsidRPr="004B0B21" w:rsidRDefault="004B0B21" w:rsidP="004B0B21">
      <w:r>
        <w:t>Generative AI tools (e.g., ChatGPT, Copilot) were used to assist in coding, data analysis, and/or refining the language of this thesis. The appendix of this thesis provides a detailed account of the use of Generative AI tools during the development of this thesis. By submitting this thesis, I declare that I am fully responsible for the accuracy and completeness of its content.</w:t>
      </w:r>
    </w:p>
    <w:p w14:paraId="45F2BAC7" w14:textId="79790743" w:rsidR="004B0B21" w:rsidRDefault="004B0B21" w:rsidP="004B0B21">
      <w:r>
        <w:br w:type="page"/>
      </w:r>
    </w:p>
    <w:p w14:paraId="4B98F6E2" w14:textId="584764CC" w:rsidR="00D875D6" w:rsidRPr="00623E36" w:rsidRDefault="00D875D6" w:rsidP="00623E36">
      <w:pPr>
        <w:ind w:firstLine="0"/>
        <w:rPr>
          <w:b/>
          <w:bCs/>
          <w:sz w:val="32"/>
          <w:szCs w:val="32"/>
        </w:rPr>
      </w:pPr>
      <w:r w:rsidRPr="00623E36">
        <w:rPr>
          <w:b/>
          <w:bCs/>
          <w:sz w:val="32"/>
          <w:szCs w:val="32"/>
        </w:rPr>
        <w:t>Table of Contents</w:t>
      </w:r>
    </w:p>
    <w:p w14:paraId="5FD8088B" w14:textId="08682818" w:rsidR="005500EA" w:rsidRDefault="00D875D6">
      <w:pPr>
        <w:pStyle w:val="Inhopg1"/>
        <w:tabs>
          <w:tab w:val="left" w:pos="720"/>
          <w:tab w:val="right" w:leader="dot" w:pos="9396"/>
        </w:tabs>
        <w:rPr>
          <w:rFonts w:eastAsiaTheme="minorEastAsia" w:cstheme="minorBidi"/>
          <w:noProof/>
          <w:kern w:val="2"/>
          <w:lang w:val="nl-NL" w:eastAsia="nl-NL"/>
          <w14:ligatures w14:val="standardContextual"/>
        </w:rPr>
      </w:pPr>
      <w:r w:rsidRPr="00623E36">
        <w:fldChar w:fldCharType="begin"/>
      </w:r>
      <w:r w:rsidRPr="00623E36">
        <w:instrText xml:space="preserve"> TOC \o "1-3" \h \z \u </w:instrText>
      </w:r>
      <w:r w:rsidRPr="00623E36">
        <w:fldChar w:fldCharType="separate"/>
      </w:r>
      <w:hyperlink w:anchor="_Toc202218693" w:history="1">
        <w:r w:rsidR="005500EA" w:rsidRPr="00E06342">
          <w:rPr>
            <w:rStyle w:val="Hyperlink"/>
            <w:noProof/>
          </w:rPr>
          <w:t>1</w:t>
        </w:r>
        <w:r w:rsidR="005500EA">
          <w:rPr>
            <w:rFonts w:eastAsiaTheme="minorEastAsia" w:cstheme="minorBidi"/>
            <w:noProof/>
            <w:kern w:val="2"/>
            <w:lang w:val="nl-NL" w:eastAsia="nl-NL"/>
            <w14:ligatures w14:val="standardContextual"/>
          </w:rPr>
          <w:tab/>
        </w:r>
        <w:r w:rsidR="005500EA" w:rsidRPr="00E06342">
          <w:rPr>
            <w:rStyle w:val="Hyperlink"/>
            <w:noProof/>
          </w:rPr>
          <w:t>Introduction</w:t>
        </w:r>
        <w:r w:rsidR="005500EA">
          <w:rPr>
            <w:noProof/>
            <w:webHidden/>
          </w:rPr>
          <w:tab/>
        </w:r>
        <w:r w:rsidR="005500EA">
          <w:rPr>
            <w:noProof/>
            <w:webHidden/>
          </w:rPr>
          <w:fldChar w:fldCharType="begin"/>
        </w:r>
        <w:r w:rsidR="005500EA">
          <w:rPr>
            <w:noProof/>
            <w:webHidden/>
          </w:rPr>
          <w:instrText xml:space="preserve"> PAGEREF _Toc202218693 \h </w:instrText>
        </w:r>
        <w:r w:rsidR="005500EA">
          <w:rPr>
            <w:noProof/>
            <w:webHidden/>
          </w:rPr>
        </w:r>
        <w:r w:rsidR="005500EA">
          <w:rPr>
            <w:noProof/>
            <w:webHidden/>
          </w:rPr>
          <w:fldChar w:fldCharType="separate"/>
        </w:r>
        <w:r w:rsidR="00EF5B82">
          <w:rPr>
            <w:noProof/>
            <w:webHidden/>
          </w:rPr>
          <w:t>6</w:t>
        </w:r>
        <w:r w:rsidR="005500EA">
          <w:rPr>
            <w:noProof/>
            <w:webHidden/>
          </w:rPr>
          <w:fldChar w:fldCharType="end"/>
        </w:r>
      </w:hyperlink>
    </w:p>
    <w:p w14:paraId="7DCCA851" w14:textId="32F06FD4" w:rsidR="005500EA" w:rsidRDefault="005500EA">
      <w:pPr>
        <w:pStyle w:val="Inhopg1"/>
        <w:tabs>
          <w:tab w:val="left" w:pos="720"/>
          <w:tab w:val="right" w:leader="dot" w:pos="9396"/>
        </w:tabs>
        <w:rPr>
          <w:rFonts w:eastAsiaTheme="minorEastAsia" w:cstheme="minorBidi"/>
          <w:noProof/>
          <w:kern w:val="2"/>
          <w:lang w:val="nl-NL" w:eastAsia="nl-NL"/>
          <w14:ligatures w14:val="standardContextual"/>
        </w:rPr>
      </w:pPr>
      <w:hyperlink w:anchor="_Toc202218694" w:history="1">
        <w:r w:rsidRPr="00E06342">
          <w:rPr>
            <w:rStyle w:val="Hyperlink"/>
            <w:noProof/>
          </w:rPr>
          <w:t>2</w:t>
        </w:r>
        <w:r>
          <w:rPr>
            <w:rFonts w:eastAsiaTheme="minorEastAsia" w:cstheme="minorBidi"/>
            <w:noProof/>
            <w:kern w:val="2"/>
            <w:lang w:val="nl-NL" w:eastAsia="nl-NL"/>
            <w14:ligatures w14:val="standardContextual"/>
          </w:rPr>
          <w:tab/>
        </w:r>
        <w:r w:rsidRPr="00E06342">
          <w:rPr>
            <w:rStyle w:val="Hyperlink"/>
            <w:noProof/>
          </w:rPr>
          <w:t>Literature review</w:t>
        </w:r>
        <w:r>
          <w:rPr>
            <w:noProof/>
            <w:webHidden/>
          </w:rPr>
          <w:tab/>
        </w:r>
        <w:r>
          <w:rPr>
            <w:noProof/>
            <w:webHidden/>
          </w:rPr>
          <w:fldChar w:fldCharType="begin"/>
        </w:r>
        <w:r>
          <w:rPr>
            <w:noProof/>
            <w:webHidden/>
          </w:rPr>
          <w:instrText xml:space="preserve"> PAGEREF _Toc202218694 \h </w:instrText>
        </w:r>
        <w:r>
          <w:rPr>
            <w:noProof/>
            <w:webHidden/>
          </w:rPr>
        </w:r>
        <w:r>
          <w:rPr>
            <w:noProof/>
            <w:webHidden/>
          </w:rPr>
          <w:fldChar w:fldCharType="separate"/>
        </w:r>
        <w:r w:rsidR="00EF5B82">
          <w:rPr>
            <w:noProof/>
            <w:webHidden/>
          </w:rPr>
          <w:t>11</w:t>
        </w:r>
        <w:r>
          <w:rPr>
            <w:noProof/>
            <w:webHidden/>
          </w:rPr>
          <w:fldChar w:fldCharType="end"/>
        </w:r>
      </w:hyperlink>
    </w:p>
    <w:p w14:paraId="2F6213E1" w14:textId="699A26DC"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695" w:history="1">
        <w:r w:rsidRPr="00E06342">
          <w:rPr>
            <w:rStyle w:val="Hyperlink"/>
            <w:noProof/>
          </w:rPr>
          <w:t>2.1</w:t>
        </w:r>
        <w:r>
          <w:rPr>
            <w:rFonts w:eastAsiaTheme="minorEastAsia" w:cstheme="minorBidi"/>
            <w:noProof/>
            <w:kern w:val="2"/>
            <w:lang w:val="nl-NL" w:eastAsia="nl-NL"/>
            <w14:ligatures w14:val="standardContextual"/>
          </w:rPr>
          <w:tab/>
        </w:r>
        <w:r w:rsidRPr="00E06342">
          <w:rPr>
            <w:rStyle w:val="Hyperlink"/>
            <w:noProof/>
          </w:rPr>
          <w:t>ESG performance, stakeholder pressure, and greenwashing</w:t>
        </w:r>
        <w:r>
          <w:rPr>
            <w:noProof/>
            <w:webHidden/>
          </w:rPr>
          <w:tab/>
        </w:r>
        <w:r>
          <w:rPr>
            <w:noProof/>
            <w:webHidden/>
          </w:rPr>
          <w:fldChar w:fldCharType="begin"/>
        </w:r>
        <w:r>
          <w:rPr>
            <w:noProof/>
            <w:webHidden/>
          </w:rPr>
          <w:instrText xml:space="preserve"> PAGEREF _Toc202218695 \h </w:instrText>
        </w:r>
        <w:r>
          <w:rPr>
            <w:noProof/>
            <w:webHidden/>
          </w:rPr>
        </w:r>
        <w:r>
          <w:rPr>
            <w:noProof/>
            <w:webHidden/>
          </w:rPr>
          <w:fldChar w:fldCharType="separate"/>
        </w:r>
        <w:r w:rsidR="00EF5B82">
          <w:rPr>
            <w:noProof/>
            <w:webHidden/>
          </w:rPr>
          <w:t>11</w:t>
        </w:r>
        <w:r>
          <w:rPr>
            <w:noProof/>
            <w:webHidden/>
          </w:rPr>
          <w:fldChar w:fldCharType="end"/>
        </w:r>
      </w:hyperlink>
    </w:p>
    <w:p w14:paraId="60A15A4E" w14:textId="5E713964"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696" w:history="1">
        <w:r w:rsidRPr="00E06342">
          <w:rPr>
            <w:rStyle w:val="Hyperlink"/>
            <w:noProof/>
            <w:lang w:val="en-GB"/>
          </w:rPr>
          <w:t>2.2</w:t>
        </w:r>
        <w:r>
          <w:rPr>
            <w:rFonts w:eastAsiaTheme="minorEastAsia" w:cstheme="minorBidi"/>
            <w:noProof/>
            <w:kern w:val="2"/>
            <w:lang w:val="nl-NL" w:eastAsia="nl-NL"/>
            <w14:ligatures w14:val="standardContextual"/>
          </w:rPr>
          <w:tab/>
        </w:r>
        <w:r w:rsidRPr="00E06342">
          <w:rPr>
            <w:rStyle w:val="Hyperlink"/>
            <w:noProof/>
            <w:lang w:val="en-GB"/>
          </w:rPr>
          <w:t>ESG-Driven acquisitions: Stakeholder and Signaling perspectives</w:t>
        </w:r>
        <w:r>
          <w:rPr>
            <w:noProof/>
            <w:webHidden/>
          </w:rPr>
          <w:tab/>
        </w:r>
        <w:r>
          <w:rPr>
            <w:noProof/>
            <w:webHidden/>
          </w:rPr>
          <w:fldChar w:fldCharType="begin"/>
        </w:r>
        <w:r>
          <w:rPr>
            <w:noProof/>
            <w:webHidden/>
          </w:rPr>
          <w:instrText xml:space="preserve"> PAGEREF _Toc202218696 \h </w:instrText>
        </w:r>
        <w:r>
          <w:rPr>
            <w:noProof/>
            <w:webHidden/>
          </w:rPr>
        </w:r>
        <w:r>
          <w:rPr>
            <w:noProof/>
            <w:webHidden/>
          </w:rPr>
          <w:fldChar w:fldCharType="separate"/>
        </w:r>
        <w:r w:rsidR="00EF5B82">
          <w:rPr>
            <w:noProof/>
            <w:webHidden/>
          </w:rPr>
          <w:t>13</w:t>
        </w:r>
        <w:r>
          <w:rPr>
            <w:noProof/>
            <w:webHidden/>
          </w:rPr>
          <w:fldChar w:fldCharType="end"/>
        </w:r>
      </w:hyperlink>
    </w:p>
    <w:p w14:paraId="29124BB0" w14:textId="5EF0F41F"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697" w:history="1">
        <w:r w:rsidRPr="00E06342">
          <w:rPr>
            <w:rStyle w:val="Hyperlink"/>
            <w:noProof/>
            <w:lang w:val="en-GB"/>
          </w:rPr>
          <w:t>2.3</w:t>
        </w:r>
        <w:r>
          <w:rPr>
            <w:rFonts w:eastAsiaTheme="minorEastAsia" w:cstheme="minorBidi"/>
            <w:noProof/>
            <w:kern w:val="2"/>
            <w:lang w:val="nl-NL" w:eastAsia="nl-NL"/>
            <w14:ligatures w14:val="standardContextual"/>
          </w:rPr>
          <w:tab/>
        </w:r>
        <w:r w:rsidRPr="00E06342">
          <w:rPr>
            <w:rStyle w:val="Hyperlink"/>
            <w:noProof/>
            <w:lang w:val="en-GB"/>
          </w:rPr>
          <w:t>Mechanisms of ESG improvement in M&amp;A: Greenwashing vs. Real Change</w:t>
        </w:r>
        <w:r>
          <w:rPr>
            <w:noProof/>
            <w:webHidden/>
          </w:rPr>
          <w:tab/>
        </w:r>
        <w:r>
          <w:rPr>
            <w:noProof/>
            <w:webHidden/>
          </w:rPr>
          <w:fldChar w:fldCharType="begin"/>
        </w:r>
        <w:r>
          <w:rPr>
            <w:noProof/>
            <w:webHidden/>
          </w:rPr>
          <w:instrText xml:space="preserve"> PAGEREF _Toc202218697 \h </w:instrText>
        </w:r>
        <w:r>
          <w:rPr>
            <w:noProof/>
            <w:webHidden/>
          </w:rPr>
        </w:r>
        <w:r>
          <w:rPr>
            <w:noProof/>
            <w:webHidden/>
          </w:rPr>
          <w:fldChar w:fldCharType="separate"/>
        </w:r>
        <w:r w:rsidR="00EF5B82">
          <w:rPr>
            <w:noProof/>
            <w:webHidden/>
          </w:rPr>
          <w:t>15</w:t>
        </w:r>
        <w:r>
          <w:rPr>
            <w:noProof/>
            <w:webHidden/>
          </w:rPr>
          <w:fldChar w:fldCharType="end"/>
        </w:r>
      </w:hyperlink>
    </w:p>
    <w:p w14:paraId="3DEE6140" w14:textId="084563D5" w:rsidR="005500EA" w:rsidRDefault="005500EA">
      <w:pPr>
        <w:pStyle w:val="Inhopg1"/>
        <w:tabs>
          <w:tab w:val="left" w:pos="720"/>
          <w:tab w:val="right" w:leader="dot" w:pos="9396"/>
        </w:tabs>
        <w:rPr>
          <w:rFonts w:eastAsiaTheme="minorEastAsia" w:cstheme="minorBidi"/>
          <w:noProof/>
          <w:kern w:val="2"/>
          <w:lang w:val="nl-NL" w:eastAsia="nl-NL"/>
          <w14:ligatures w14:val="standardContextual"/>
        </w:rPr>
      </w:pPr>
      <w:hyperlink w:anchor="_Toc202218698" w:history="1">
        <w:r w:rsidRPr="00E06342">
          <w:rPr>
            <w:rStyle w:val="Hyperlink"/>
            <w:noProof/>
          </w:rPr>
          <w:t>3</w:t>
        </w:r>
        <w:r>
          <w:rPr>
            <w:rFonts w:eastAsiaTheme="minorEastAsia" w:cstheme="minorBidi"/>
            <w:noProof/>
            <w:kern w:val="2"/>
            <w:lang w:val="nl-NL" w:eastAsia="nl-NL"/>
            <w14:ligatures w14:val="standardContextual"/>
          </w:rPr>
          <w:tab/>
        </w:r>
        <w:r w:rsidRPr="00E06342">
          <w:rPr>
            <w:rStyle w:val="Hyperlink"/>
            <w:noProof/>
          </w:rPr>
          <w:t>Methodology</w:t>
        </w:r>
        <w:r>
          <w:rPr>
            <w:noProof/>
            <w:webHidden/>
          </w:rPr>
          <w:tab/>
        </w:r>
        <w:r>
          <w:rPr>
            <w:noProof/>
            <w:webHidden/>
          </w:rPr>
          <w:fldChar w:fldCharType="begin"/>
        </w:r>
        <w:r>
          <w:rPr>
            <w:noProof/>
            <w:webHidden/>
          </w:rPr>
          <w:instrText xml:space="preserve"> PAGEREF _Toc202218698 \h </w:instrText>
        </w:r>
        <w:r>
          <w:rPr>
            <w:noProof/>
            <w:webHidden/>
          </w:rPr>
        </w:r>
        <w:r>
          <w:rPr>
            <w:noProof/>
            <w:webHidden/>
          </w:rPr>
          <w:fldChar w:fldCharType="separate"/>
        </w:r>
        <w:r w:rsidR="00EF5B82">
          <w:rPr>
            <w:noProof/>
            <w:webHidden/>
          </w:rPr>
          <w:t>18</w:t>
        </w:r>
        <w:r>
          <w:rPr>
            <w:noProof/>
            <w:webHidden/>
          </w:rPr>
          <w:fldChar w:fldCharType="end"/>
        </w:r>
      </w:hyperlink>
    </w:p>
    <w:p w14:paraId="7D15A492" w14:textId="2E9CAD6A"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699" w:history="1">
        <w:r w:rsidRPr="00E06342">
          <w:rPr>
            <w:rStyle w:val="Hyperlink"/>
            <w:noProof/>
          </w:rPr>
          <w:t>3.1</w:t>
        </w:r>
        <w:r>
          <w:rPr>
            <w:rFonts w:eastAsiaTheme="minorEastAsia" w:cstheme="minorBidi"/>
            <w:noProof/>
            <w:kern w:val="2"/>
            <w:lang w:val="nl-NL" w:eastAsia="nl-NL"/>
            <w14:ligatures w14:val="standardContextual"/>
          </w:rPr>
          <w:tab/>
        </w:r>
        <w:r w:rsidRPr="00E06342">
          <w:rPr>
            <w:rStyle w:val="Hyperlink"/>
            <w:noProof/>
          </w:rPr>
          <w:t>Research design and data collection</w:t>
        </w:r>
        <w:r>
          <w:rPr>
            <w:noProof/>
            <w:webHidden/>
          </w:rPr>
          <w:tab/>
        </w:r>
        <w:r>
          <w:rPr>
            <w:noProof/>
            <w:webHidden/>
          </w:rPr>
          <w:fldChar w:fldCharType="begin"/>
        </w:r>
        <w:r>
          <w:rPr>
            <w:noProof/>
            <w:webHidden/>
          </w:rPr>
          <w:instrText xml:space="preserve"> PAGEREF _Toc202218699 \h </w:instrText>
        </w:r>
        <w:r>
          <w:rPr>
            <w:noProof/>
            <w:webHidden/>
          </w:rPr>
        </w:r>
        <w:r>
          <w:rPr>
            <w:noProof/>
            <w:webHidden/>
          </w:rPr>
          <w:fldChar w:fldCharType="separate"/>
        </w:r>
        <w:r w:rsidR="00EF5B82">
          <w:rPr>
            <w:noProof/>
            <w:webHidden/>
          </w:rPr>
          <w:t>18</w:t>
        </w:r>
        <w:r>
          <w:rPr>
            <w:noProof/>
            <w:webHidden/>
          </w:rPr>
          <w:fldChar w:fldCharType="end"/>
        </w:r>
      </w:hyperlink>
    </w:p>
    <w:p w14:paraId="42576A74" w14:textId="0DF9027C"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700" w:history="1">
        <w:r w:rsidRPr="00E06342">
          <w:rPr>
            <w:rStyle w:val="Hyperlink"/>
            <w:noProof/>
          </w:rPr>
          <w:t>3.2</w:t>
        </w:r>
        <w:r>
          <w:rPr>
            <w:rFonts w:eastAsiaTheme="minorEastAsia" w:cstheme="minorBidi"/>
            <w:noProof/>
            <w:kern w:val="2"/>
            <w:lang w:val="nl-NL" w:eastAsia="nl-NL"/>
            <w14:ligatures w14:val="standardContextual"/>
          </w:rPr>
          <w:tab/>
        </w:r>
        <w:r w:rsidRPr="00E06342">
          <w:rPr>
            <w:rStyle w:val="Hyperlink"/>
            <w:noProof/>
          </w:rPr>
          <w:t>Variables and definitions</w:t>
        </w:r>
        <w:r>
          <w:rPr>
            <w:noProof/>
            <w:webHidden/>
          </w:rPr>
          <w:tab/>
        </w:r>
        <w:r>
          <w:rPr>
            <w:noProof/>
            <w:webHidden/>
          </w:rPr>
          <w:fldChar w:fldCharType="begin"/>
        </w:r>
        <w:r>
          <w:rPr>
            <w:noProof/>
            <w:webHidden/>
          </w:rPr>
          <w:instrText xml:space="preserve"> PAGEREF _Toc202218700 \h </w:instrText>
        </w:r>
        <w:r>
          <w:rPr>
            <w:noProof/>
            <w:webHidden/>
          </w:rPr>
        </w:r>
        <w:r>
          <w:rPr>
            <w:noProof/>
            <w:webHidden/>
          </w:rPr>
          <w:fldChar w:fldCharType="separate"/>
        </w:r>
        <w:r w:rsidR="00EF5B82">
          <w:rPr>
            <w:noProof/>
            <w:webHidden/>
          </w:rPr>
          <w:t>19</w:t>
        </w:r>
        <w:r>
          <w:rPr>
            <w:noProof/>
            <w:webHidden/>
          </w:rPr>
          <w:fldChar w:fldCharType="end"/>
        </w:r>
      </w:hyperlink>
    </w:p>
    <w:p w14:paraId="2E9BAFE5" w14:textId="6807F664"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701" w:history="1">
        <w:r w:rsidRPr="00E06342">
          <w:rPr>
            <w:rStyle w:val="Hyperlink"/>
            <w:noProof/>
          </w:rPr>
          <w:t>3.3</w:t>
        </w:r>
        <w:r>
          <w:rPr>
            <w:rFonts w:eastAsiaTheme="minorEastAsia" w:cstheme="minorBidi"/>
            <w:noProof/>
            <w:kern w:val="2"/>
            <w:lang w:val="nl-NL" w:eastAsia="nl-NL"/>
            <w14:ligatures w14:val="standardContextual"/>
          </w:rPr>
          <w:tab/>
        </w:r>
        <w:r w:rsidRPr="00E06342">
          <w:rPr>
            <w:rStyle w:val="Hyperlink"/>
            <w:noProof/>
          </w:rPr>
          <w:t>Empirical model specifications</w:t>
        </w:r>
        <w:r>
          <w:rPr>
            <w:noProof/>
            <w:webHidden/>
          </w:rPr>
          <w:tab/>
        </w:r>
        <w:r>
          <w:rPr>
            <w:noProof/>
            <w:webHidden/>
          </w:rPr>
          <w:fldChar w:fldCharType="begin"/>
        </w:r>
        <w:r>
          <w:rPr>
            <w:noProof/>
            <w:webHidden/>
          </w:rPr>
          <w:instrText xml:space="preserve"> PAGEREF _Toc202218701 \h </w:instrText>
        </w:r>
        <w:r>
          <w:rPr>
            <w:noProof/>
            <w:webHidden/>
          </w:rPr>
        </w:r>
        <w:r>
          <w:rPr>
            <w:noProof/>
            <w:webHidden/>
          </w:rPr>
          <w:fldChar w:fldCharType="separate"/>
        </w:r>
        <w:r w:rsidR="00EF5B82">
          <w:rPr>
            <w:noProof/>
            <w:webHidden/>
          </w:rPr>
          <w:t>20</w:t>
        </w:r>
        <w:r>
          <w:rPr>
            <w:noProof/>
            <w:webHidden/>
          </w:rPr>
          <w:fldChar w:fldCharType="end"/>
        </w:r>
      </w:hyperlink>
    </w:p>
    <w:p w14:paraId="25B7B02C" w14:textId="32F117D5"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702" w:history="1">
        <w:r w:rsidRPr="00E06342">
          <w:rPr>
            <w:rStyle w:val="Hyperlink"/>
            <w:noProof/>
          </w:rPr>
          <w:t>3.4</w:t>
        </w:r>
        <w:r>
          <w:rPr>
            <w:rFonts w:eastAsiaTheme="minorEastAsia" w:cstheme="minorBidi"/>
            <w:noProof/>
            <w:kern w:val="2"/>
            <w:lang w:val="nl-NL" w:eastAsia="nl-NL"/>
            <w14:ligatures w14:val="standardContextual"/>
          </w:rPr>
          <w:tab/>
        </w:r>
        <w:r w:rsidRPr="00E06342">
          <w:rPr>
            <w:rStyle w:val="Hyperlink"/>
            <w:noProof/>
          </w:rPr>
          <w:t>Regression assumption checks</w:t>
        </w:r>
        <w:r>
          <w:rPr>
            <w:noProof/>
            <w:webHidden/>
          </w:rPr>
          <w:tab/>
        </w:r>
        <w:r>
          <w:rPr>
            <w:noProof/>
            <w:webHidden/>
          </w:rPr>
          <w:fldChar w:fldCharType="begin"/>
        </w:r>
        <w:r>
          <w:rPr>
            <w:noProof/>
            <w:webHidden/>
          </w:rPr>
          <w:instrText xml:space="preserve"> PAGEREF _Toc202218702 \h </w:instrText>
        </w:r>
        <w:r>
          <w:rPr>
            <w:noProof/>
            <w:webHidden/>
          </w:rPr>
        </w:r>
        <w:r>
          <w:rPr>
            <w:noProof/>
            <w:webHidden/>
          </w:rPr>
          <w:fldChar w:fldCharType="separate"/>
        </w:r>
        <w:r w:rsidR="00EF5B82">
          <w:rPr>
            <w:noProof/>
            <w:webHidden/>
          </w:rPr>
          <w:t>21</w:t>
        </w:r>
        <w:r>
          <w:rPr>
            <w:noProof/>
            <w:webHidden/>
          </w:rPr>
          <w:fldChar w:fldCharType="end"/>
        </w:r>
      </w:hyperlink>
    </w:p>
    <w:p w14:paraId="12EE4282" w14:textId="435BD2DB"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703" w:history="1">
        <w:r w:rsidRPr="00E06342">
          <w:rPr>
            <w:rStyle w:val="Hyperlink"/>
            <w:noProof/>
          </w:rPr>
          <w:t>3.5</w:t>
        </w:r>
        <w:r>
          <w:rPr>
            <w:rFonts w:eastAsiaTheme="minorEastAsia" w:cstheme="minorBidi"/>
            <w:noProof/>
            <w:kern w:val="2"/>
            <w:lang w:val="nl-NL" w:eastAsia="nl-NL"/>
            <w14:ligatures w14:val="standardContextual"/>
          </w:rPr>
          <w:tab/>
        </w:r>
        <w:r w:rsidRPr="00E06342">
          <w:rPr>
            <w:rStyle w:val="Hyperlink"/>
            <w:noProof/>
          </w:rPr>
          <w:t>Additional robustness checks</w:t>
        </w:r>
        <w:r>
          <w:rPr>
            <w:noProof/>
            <w:webHidden/>
          </w:rPr>
          <w:tab/>
        </w:r>
        <w:r>
          <w:rPr>
            <w:noProof/>
            <w:webHidden/>
          </w:rPr>
          <w:fldChar w:fldCharType="begin"/>
        </w:r>
        <w:r>
          <w:rPr>
            <w:noProof/>
            <w:webHidden/>
          </w:rPr>
          <w:instrText xml:space="preserve"> PAGEREF _Toc202218703 \h </w:instrText>
        </w:r>
        <w:r>
          <w:rPr>
            <w:noProof/>
            <w:webHidden/>
          </w:rPr>
        </w:r>
        <w:r>
          <w:rPr>
            <w:noProof/>
            <w:webHidden/>
          </w:rPr>
          <w:fldChar w:fldCharType="separate"/>
        </w:r>
        <w:r w:rsidR="00EF5B82">
          <w:rPr>
            <w:noProof/>
            <w:webHidden/>
          </w:rPr>
          <w:t>22</w:t>
        </w:r>
        <w:r>
          <w:rPr>
            <w:noProof/>
            <w:webHidden/>
          </w:rPr>
          <w:fldChar w:fldCharType="end"/>
        </w:r>
      </w:hyperlink>
    </w:p>
    <w:p w14:paraId="597A2362" w14:textId="1CE3BF7B" w:rsidR="005500EA" w:rsidRDefault="005500EA">
      <w:pPr>
        <w:pStyle w:val="Inhopg1"/>
        <w:tabs>
          <w:tab w:val="left" w:pos="720"/>
          <w:tab w:val="right" w:leader="dot" w:pos="9396"/>
        </w:tabs>
        <w:rPr>
          <w:rFonts w:eastAsiaTheme="minorEastAsia" w:cstheme="minorBidi"/>
          <w:noProof/>
          <w:kern w:val="2"/>
          <w:lang w:val="nl-NL" w:eastAsia="nl-NL"/>
          <w14:ligatures w14:val="standardContextual"/>
        </w:rPr>
      </w:pPr>
      <w:hyperlink w:anchor="_Toc202218704" w:history="1">
        <w:r w:rsidRPr="00E06342">
          <w:rPr>
            <w:rStyle w:val="Hyperlink"/>
            <w:noProof/>
          </w:rPr>
          <w:t>4</w:t>
        </w:r>
        <w:r>
          <w:rPr>
            <w:rFonts w:eastAsiaTheme="minorEastAsia" w:cstheme="minorBidi"/>
            <w:noProof/>
            <w:kern w:val="2"/>
            <w:lang w:val="nl-NL" w:eastAsia="nl-NL"/>
            <w14:ligatures w14:val="standardContextual"/>
          </w:rPr>
          <w:tab/>
        </w:r>
        <w:r w:rsidRPr="00E06342">
          <w:rPr>
            <w:rStyle w:val="Hyperlink"/>
            <w:noProof/>
          </w:rPr>
          <w:t>Results</w:t>
        </w:r>
        <w:r>
          <w:rPr>
            <w:noProof/>
            <w:webHidden/>
          </w:rPr>
          <w:tab/>
        </w:r>
        <w:r>
          <w:rPr>
            <w:noProof/>
            <w:webHidden/>
          </w:rPr>
          <w:fldChar w:fldCharType="begin"/>
        </w:r>
        <w:r>
          <w:rPr>
            <w:noProof/>
            <w:webHidden/>
          </w:rPr>
          <w:instrText xml:space="preserve"> PAGEREF _Toc202218704 \h </w:instrText>
        </w:r>
        <w:r>
          <w:rPr>
            <w:noProof/>
            <w:webHidden/>
          </w:rPr>
        </w:r>
        <w:r>
          <w:rPr>
            <w:noProof/>
            <w:webHidden/>
          </w:rPr>
          <w:fldChar w:fldCharType="separate"/>
        </w:r>
        <w:r w:rsidR="00EF5B82">
          <w:rPr>
            <w:noProof/>
            <w:webHidden/>
          </w:rPr>
          <w:t>24</w:t>
        </w:r>
        <w:r>
          <w:rPr>
            <w:noProof/>
            <w:webHidden/>
          </w:rPr>
          <w:fldChar w:fldCharType="end"/>
        </w:r>
      </w:hyperlink>
    </w:p>
    <w:p w14:paraId="3DAC3C3F" w14:textId="68DAA0B6"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705" w:history="1">
        <w:r w:rsidRPr="00E06342">
          <w:rPr>
            <w:rStyle w:val="Hyperlink"/>
            <w:noProof/>
          </w:rPr>
          <w:t>4.1</w:t>
        </w:r>
        <w:r>
          <w:rPr>
            <w:rFonts w:eastAsiaTheme="minorEastAsia" w:cstheme="minorBidi"/>
            <w:noProof/>
            <w:kern w:val="2"/>
            <w:lang w:val="nl-NL" w:eastAsia="nl-NL"/>
            <w14:ligatures w14:val="standardContextual"/>
          </w:rPr>
          <w:tab/>
        </w:r>
        <w:r w:rsidRPr="00E06342">
          <w:rPr>
            <w:rStyle w:val="Hyperlink"/>
            <w:noProof/>
          </w:rPr>
          <w:t>Method of analysis</w:t>
        </w:r>
        <w:r>
          <w:rPr>
            <w:noProof/>
            <w:webHidden/>
          </w:rPr>
          <w:tab/>
        </w:r>
        <w:r>
          <w:rPr>
            <w:noProof/>
            <w:webHidden/>
          </w:rPr>
          <w:fldChar w:fldCharType="begin"/>
        </w:r>
        <w:r>
          <w:rPr>
            <w:noProof/>
            <w:webHidden/>
          </w:rPr>
          <w:instrText xml:space="preserve"> PAGEREF _Toc202218705 \h </w:instrText>
        </w:r>
        <w:r>
          <w:rPr>
            <w:noProof/>
            <w:webHidden/>
          </w:rPr>
        </w:r>
        <w:r>
          <w:rPr>
            <w:noProof/>
            <w:webHidden/>
          </w:rPr>
          <w:fldChar w:fldCharType="separate"/>
        </w:r>
        <w:r w:rsidR="00EF5B82">
          <w:rPr>
            <w:noProof/>
            <w:webHidden/>
          </w:rPr>
          <w:t>24</w:t>
        </w:r>
        <w:r>
          <w:rPr>
            <w:noProof/>
            <w:webHidden/>
          </w:rPr>
          <w:fldChar w:fldCharType="end"/>
        </w:r>
      </w:hyperlink>
    </w:p>
    <w:p w14:paraId="139007F8" w14:textId="0AD87827"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706" w:history="1">
        <w:r w:rsidRPr="00E06342">
          <w:rPr>
            <w:rStyle w:val="Hyperlink"/>
            <w:noProof/>
          </w:rPr>
          <w:t>4.2</w:t>
        </w:r>
        <w:r>
          <w:rPr>
            <w:rFonts w:eastAsiaTheme="minorEastAsia" w:cstheme="minorBidi"/>
            <w:noProof/>
            <w:kern w:val="2"/>
            <w:lang w:val="nl-NL" w:eastAsia="nl-NL"/>
            <w14:ligatures w14:val="standardContextual"/>
          </w:rPr>
          <w:tab/>
        </w:r>
        <w:r w:rsidRPr="00E06342">
          <w:rPr>
            <w:rStyle w:val="Hyperlink"/>
            <w:noProof/>
          </w:rPr>
          <w:t>Descriptive statistics</w:t>
        </w:r>
        <w:r>
          <w:rPr>
            <w:noProof/>
            <w:webHidden/>
          </w:rPr>
          <w:tab/>
        </w:r>
        <w:r>
          <w:rPr>
            <w:noProof/>
            <w:webHidden/>
          </w:rPr>
          <w:fldChar w:fldCharType="begin"/>
        </w:r>
        <w:r>
          <w:rPr>
            <w:noProof/>
            <w:webHidden/>
          </w:rPr>
          <w:instrText xml:space="preserve"> PAGEREF _Toc202218706 \h </w:instrText>
        </w:r>
        <w:r>
          <w:rPr>
            <w:noProof/>
            <w:webHidden/>
          </w:rPr>
        </w:r>
        <w:r>
          <w:rPr>
            <w:noProof/>
            <w:webHidden/>
          </w:rPr>
          <w:fldChar w:fldCharType="separate"/>
        </w:r>
        <w:r w:rsidR="00EF5B82">
          <w:rPr>
            <w:noProof/>
            <w:webHidden/>
          </w:rPr>
          <w:t>24</w:t>
        </w:r>
        <w:r>
          <w:rPr>
            <w:noProof/>
            <w:webHidden/>
          </w:rPr>
          <w:fldChar w:fldCharType="end"/>
        </w:r>
      </w:hyperlink>
    </w:p>
    <w:p w14:paraId="178E68B9" w14:textId="0CBC3202"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707" w:history="1">
        <w:r w:rsidRPr="00E06342">
          <w:rPr>
            <w:rStyle w:val="Hyperlink"/>
            <w:noProof/>
          </w:rPr>
          <w:t>4.3</w:t>
        </w:r>
        <w:r>
          <w:rPr>
            <w:rFonts w:eastAsiaTheme="minorEastAsia" w:cstheme="minorBidi"/>
            <w:noProof/>
            <w:kern w:val="2"/>
            <w:lang w:val="nl-NL" w:eastAsia="nl-NL"/>
            <w14:ligatures w14:val="standardContextual"/>
          </w:rPr>
          <w:tab/>
        </w:r>
        <w:r w:rsidRPr="00E06342">
          <w:rPr>
            <w:rStyle w:val="Hyperlink"/>
            <w:noProof/>
          </w:rPr>
          <w:t>Parallel trends and pre-trend assessment</w:t>
        </w:r>
        <w:r>
          <w:rPr>
            <w:noProof/>
            <w:webHidden/>
          </w:rPr>
          <w:tab/>
        </w:r>
        <w:r>
          <w:rPr>
            <w:noProof/>
            <w:webHidden/>
          </w:rPr>
          <w:fldChar w:fldCharType="begin"/>
        </w:r>
        <w:r>
          <w:rPr>
            <w:noProof/>
            <w:webHidden/>
          </w:rPr>
          <w:instrText xml:space="preserve"> PAGEREF _Toc202218707 \h </w:instrText>
        </w:r>
        <w:r>
          <w:rPr>
            <w:noProof/>
            <w:webHidden/>
          </w:rPr>
        </w:r>
        <w:r>
          <w:rPr>
            <w:noProof/>
            <w:webHidden/>
          </w:rPr>
          <w:fldChar w:fldCharType="separate"/>
        </w:r>
        <w:r w:rsidR="00EF5B82">
          <w:rPr>
            <w:noProof/>
            <w:webHidden/>
          </w:rPr>
          <w:t>25</w:t>
        </w:r>
        <w:r>
          <w:rPr>
            <w:noProof/>
            <w:webHidden/>
          </w:rPr>
          <w:fldChar w:fldCharType="end"/>
        </w:r>
      </w:hyperlink>
    </w:p>
    <w:p w14:paraId="4D543A74" w14:textId="1A2A8DB2" w:rsidR="005500EA" w:rsidRDefault="005500EA">
      <w:pPr>
        <w:pStyle w:val="Inhopg3"/>
        <w:tabs>
          <w:tab w:val="left" w:pos="1680"/>
          <w:tab w:val="right" w:leader="dot" w:pos="9396"/>
        </w:tabs>
        <w:rPr>
          <w:rFonts w:eastAsiaTheme="minorEastAsia" w:cstheme="minorBidi"/>
          <w:noProof/>
          <w:kern w:val="2"/>
          <w:lang w:val="nl-NL" w:eastAsia="nl-NL"/>
          <w14:ligatures w14:val="standardContextual"/>
        </w:rPr>
      </w:pPr>
      <w:hyperlink w:anchor="_Toc202218708" w:history="1">
        <w:r w:rsidRPr="00E06342">
          <w:rPr>
            <w:rStyle w:val="Hyperlink"/>
            <w:noProof/>
          </w:rPr>
          <w:t>4.3.1</w:t>
        </w:r>
        <w:r>
          <w:rPr>
            <w:rFonts w:eastAsiaTheme="minorEastAsia" w:cstheme="minorBidi"/>
            <w:noProof/>
            <w:kern w:val="2"/>
            <w:lang w:val="nl-NL" w:eastAsia="nl-NL"/>
            <w14:ligatures w14:val="standardContextual"/>
          </w:rPr>
          <w:tab/>
        </w:r>
        <w:r w:rsidRPr="00E06342">
          <w:rPr>
            <w:rStyle w:val="Hyperlink"/>
            <w:noProof/>
          </w:rPr>
          <w:t>Visual pre-Trend Assessment</w:t>
        </w:r>
        <w:r>
          <w:rPr>
            <w:noProof/>
            <w:webHidden/>
          </w:rPr>
          <w:tab/>
        </w:r>
        <w:r>
          <w:rPr>
            <w:noProof/>
            <w:webHidden/>
          </w:rPr>
          <w:fldChar w:fldCharType="begin"/>
        </w:r>
        <w:r>
          <w:rPr>
            <w:noProof/>
            <w:webHidden/>
          </w:rPr>
          <w:instrText xml:space="preserve"> PAGEREF _Toc202218708 \h </w:instrText>
        </w:r>
        <w:r>
          <w:rPr>
            <w:noProof/>
            <w:webHidden/>
          </w:rPr>
        </w:r>
        <w:r>
          <w:rPr>
            <w:noProof/>
            <w:webHidden/>
          </w:rPr>
          <w:fldChar w:fldCharType="separate"/>
        </w:r>
        <w:r w:rsidR="00EF5B82">
          <w:rPr>
            <w:noProof/>
            <w:webHidden/>
          </w:rPr>
          <w:t>25</w:t>
        </w:r>
        <w:r>
          <w:rPr>
            <w:noProof/>
            <w:webHidden/>
          </w:rPr>
          <w:fldChar w:fldCharType="end"/>
        </w:r>
      </w:hyperlink>
    </w:p>
    <w:p w14:paraId="3353454A" w14:textId="7C5506E4" w:rsidR="005500EA" w:rsidRDefault="005500EA">
      <w:pPr>
        <w:pStyle w:val="Inhopg3"/>
        <w:tabs>
          <w:tab w:val="left" w:pos="1680"/>
          <w:tab w:val="right" w:leader="dot" w:pos="9396"/>
        </w:tabs>
        <w:rPr>
          <w:rFonts w:eastAsiaTheme="minorEastAsia" w:cstheme="minorBidi"/>
          <w:noProof/>
          <w:kern w:val="2"/>
          <w:lang w:val="nl-NL" w:eastAsia="nl-NL"/>
          <w14:ligatures w14:val="standardContextual"/>
        </w:rPr>
      </w:pPr>
      <w:hyperlink w:anchor="_Toc202218709" w:history="1">
        <w:r w:rsidRPr="00E06342">
          <w:rPr>
            <w:rStyle w:val="Hyperlink"/>
            <w:noProof/>
          </w:rPr>
          <w:t>4.3.2</w:t>
        </w:r>
        <w:r>
          <w:rPr>
            <w:rFonts w:eastAsiaTheme="minorEastAsia" w:cstheme="minorBidi"/>
            <w:noProof/>
            <w:kern w:val="2"/>
            <w:lang w:val="nl-NL" w:eastAsia="nl-NL"/>
            <w14:ligatures w14:val="standardContextual"/>
          </w:rPr>
          <w:tab/>
        </w:r>
        <w:r w:rsidRPr="00E06342">
          <w:rPr>
            <w:rStyle w:val="Hyperlink"/>
            <w:noProof/>
          </w:rPr>
          <w:t>Formal pre-Trend test</w:t>
        </w:r>
        <w:r>
          <w:rPr>
            <w:noProof/>
            <w:webHidden/>
          </w:rPr>
          <w:tab/>
        </w:r>
        <w:r>
          <w:rPr>
            <w:noProof/>
            <w:webHidden/>
          </w:rPr>
          <w:fldChar w:fldCharType="begin"/>
        </w:r>
        <w:r>
          <w:rPr>
            <w:noProof/>
            <w:webHidden/>
          </w:rPr>
          <w:instrText xml:space="preserve"> PAGEREF _Toc202218709 \h </w:instrText>
        </w:r>
        <w:r>
          <w:rPr>
            <w:noProof/>
            <w:webHidden/>
          </w:rPr>
        </w:r>
        <w:r>
          <w:rPr>
            <w:noProof/>
            <w:webHidden/>
          </w:rPr>
          <w:fldChar w:fldCharType="separate"/>
        </w:r>
        <w:r w:rsidR="00EF5B82">
          <w:rPr>
            <w:noProof/>
            <w:webHidden/>
          </w:rPr>
          <w:t>26</w:t>
        </w:r>
        <w:r>
          <w:rPr>
            <w:noProof/>
            <w:webHidden/>
          </w:rPr>
          <w:fldChar w:fldCharType="end"/>
        </w:r>
      </w:hyperlink>
    </w:p>
    <w:p w14:paraId="1C95F6DC" w14:textId="562A8309"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710" w:history="1">
        <w:r w:rsidRPr="00E06342">
          <w:rPr>
            <w:rStyle w:val="Hyperlink"/>
            <w:noProof/>
          </w:rPr>
          <w:t>4.4</w:t>
        </w:r>
        <w:r>
          <w:rPr>
            <w:rFonts w:eastAsiaTheme="minorEastAsia" w:cstheme="minorBidi"/>
            <w:noProof/>
            <w:kern w:val="2"/>
            <w:lang w:val="nl-NL" w:eastAsia="nl-NL"/>
            <w14:ligatures w14:val="standardContextual"/>
          </w:rPr>
          <w:tab/>
        </w:r>
        <w:r w:rsidRPr="00E06342">
          <w:rPr>
            <w:rStyle w:val="Hyperlink"/>
            <w:noProof/>
          </w:rPr>
          <w:t>Difference-in-difference analysis</w:t>
        </w:r>
        <w:r>
          <w:rPr>
            <w:noProof/>
            <w:webHidden/>
          </w:rPr>
          <w:tab/>
        </w:r>
        <w:r>
          <w:rPr>
            <w:noProof/>
            <w:webHidden/>
          </w:rPr>
          <w:fldChar w:fldCharType="begin"/>
        </w:r>
        <w:r>
          <w:rPr>
            <w:noProof/>
            <w:webHidden/>
          </w:rPr>
          <w:instrText xml:space="preserve"> PAGEREF _Toc202218710 \h </w:instrText>
        </w:r>
        <w:r>
          <w:rPr>
            <w:noProof/>
            <w:webHidden/>
          </w:rPr>
        </w:r>
        <w:r>
          <w:rPr>
            <w:noProof/>
            <w:webHidden/>
          </w:rPr>
          <w:fldChar w:fldCharType="separate"/>
        </w:r>
        <w:r w:rsidR="00EF5B82">
          <w:rPr>
            <w:noProof/>
            <w:webHidden/>
          </w:rPr>
          <w:t>27</w:t>
        </w:r>
        <w:r>
          <w:rPr>
            <w:noProof/>
            <w:webHidden/>
          </w:rPr>
          <w:fldChar w:fldCharType="end"/>
        </w:r>
      </w:hyperlink>
    </w:p>
    <w:p w14:paraId="402C1AA2" w14:textId="550561C3"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711" w:history="1">
        <w:r w:rsidRPr="00E06342">
          <w:rPr>
            <w:rStyle w:val="Hyperlink"/>
            <w:noProof/>
          </w:rPr>
          <w:t>4.5</w:t>
        </w:r>
        <w:r>
          <w:rPr>
            <w:rFonts w:eastAsiaTheme="minorEastAsia" w:cstheme="minorBidi"/>
            <w:noProof/>
            <w:kern w:val="2"/>
            <w:lang w:val="nl-NL" w:eastAsia="nl-NL"/>
            <w14:ligatures w14:val="standardContextual"/>
          </w:rPr>
          <w:tab/>
        </w:r>
        <w:r w:rsidRPr="00E06342">
          <w:rPr>
            <w:rStyle w:val="Hyperlink"/>
            <w:noProof/>
          </w:rPr>
          <w:t>Hypotheses evaluation</w:t>
        </w:r>
        <w:r>
          <w:rPr>
            <w:noProof/>
            <w:webHidden/>
          </w:rPr>
          <w:tab/>
        </w:r>
        <w:r>
          <w:rPr>
            <w:noProof/>
            <w:webHidden/>
          </w:rPr>
          <w:fldChar w:fldCharType="begin"/>
        </w:r>
        <w:r>
          <w:rPr>
            <w:noProof/>
            <w:webHidden/>
          </w:rPr>
          <w:instrText xml:space="preserve"> PAGEREF _Toc202218711 \h </w:instrText>
        </w:r>
        <w:r>
          <w:rPr>
            <w:noProof/>
            <w:webHidden/>
          </w:rPr>
        </w:r>
        <w:r>
          <w:rPr>
            <w:noProof/>
            <w:webHidden/>
          </w:rPr>
          <w:fldChar w:fldCharType="separate"/>
        </w:r>
        <w:r w:rsidR="00EF5B82">
          <w:rPr>
            <w:noProof/>
            <w:webHidden/>
          </w:rPr>
          <w:t>29</w:t>
        </w:r>
        <w:r>
          <w:rPr>
            <w:noProof/>
            <w:webHidden/>
          </w:rPr>
          <w:fldChar w:fldCharType="end"/>
        </w:r>
      </w:hyperlink>
    </w:p>
    <w:p w14:paraId="770681FB" w14:textId="510B76B8" w:rsidR="005500EA" w:rsidRDefault="005500EA">
      <w:pPr>
        <w:pStyle w:val="Inhopg1"/>
        <w:tabs>
          <w:tab w:val="left" w:pos="720"/>
          <w:tab w:val="right" w:leader="dot" w:pos="9396"/>
        </w:tabs>
        <w:rPr>
          <w:rFonts w:eastAsiaTheme="minorEastAsia" w:cstheme="minorBidi"/>
          <w:noProof/>
          <w:kern w:val="2"/>
          <w:lang w:val="nl-NL" w:eastAsia="nl-NL"/>
          <w14:ligatures w14:val="standardContextual"/>
        </w:rPr>
      </w:pPr>
      <w:hyperlink w:anchor="_Toc202218712" w:history="1">
        <w:r w:rsidRPr="00E06342">
          <w:rPr>
            <w:rStyle w:val="Hyperlink"/>
            <w:noProof/>
          </w:rPr>
          <w:t>5</w:t>
        </w:r>
        <w:r>
          <w:rPr>
            <w:rFonts w:eastAsiaTheme="minorEastAsia" w:cstheme="minorBidi"/>
            <w:noProof/>
            <w:kern w:val="2"/>
            <w:lang w:val="nl-NL" w:eastAsia="nl-NL"/>
            <w14:ligatures w14:val="standardContextual"/>
          </w:rPr>
          <w:tab/>
        </w:r>
        <w:r w:rsidRPr="00E06342">
          <w:rPr>
            <w:rStyle w:val="Hyperlink"/>
            <w:noProof/>
          </w:rPr>
          <w:t>Discussion</w:t>
        </w:r>
        <w:r>
          <w:rPr>
            <w:noProof/>
            <w:webHidden/>
          </w:rPr>
          <w:tab/>
        </w:r>
        <w:r>
          <w:rPr>
            <w:noProof/>
            <w:webHidden/>
          </w:rPr>
          <w:fldChar w:fldCharType="begin"/>
        </w:r>
        <w:r>
          <w:rPr>
            <w:noProof/>
            <w:webHidden/>
          </w:rPr>
          <w:instrText xml:space="preserve"> PAGEREF _Toc202218712 \h </w:instrText>
        </w:r>
        <w:r>
          <w:rPr>
            <w:noProof/>
            <w:webHidden/>
          </w:rPr>
        </w:r>
        <w:r>
          <w:rPr>
            <w:noProof/>
            <w:webHidden/>
          </w:rPr>
          <w:fldChar w:fldCharType="separate"/>
        </w:r>
        <w:r w:rsidR="00EF5B82">
          <w:rPr>
            <w:noProof/>
            <w:webHidden/>
          </w:rPr>
          <w:t>31</w:t>
        </w:r>
        <w:r>
          <w:rPr>
            <w:noProof/>
            <w:webHidden/>
          </w:rPr>
          <w:fldChar w:fldCharType="end"/>
        </w:r>
      </w:hyperlink>
    </w:p>
    <w:p w14:paraId="4FB55ED0" w14:textId="1B1B8BD3"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713" w:history="1">
        <w:r w:rsidRPr="00E06342">
          <w:rPr>
            <w:rStyle w:val="Hyperlink"/>
            <w:noProof/>
          </w:rPr>
          <w:t>5.1</w:t>
        </w:r>
        <w:r>
          <w:rPr>
            <w:rFonts w:eastAsiaTheme="minorEastAsia" w:cstheme="minorBidi"/>
            <w:noProof/>
            <w:kern w:val="2"/>
            <w:lang w:val="nl-NL" w:eastAsia="nl-NL"/>
            <w14:ligatures w14:val="standardContextual"/>
          </w:rPr>
          <w:tab/>
        </w:r>
        <w:r w:rsidRPr="00E06342">
          <w:rPr>
            <w:rStyle w:val="Hyperlink"/>
            <w:noProof/>
          </w:rPr>
          <w:t>Interpretation of findings and theoretical implications</w:t>
        </w:r>
        <w:r>
          <w:rPr>
            <w:noProof/>
            <w:webHidden/>
          </w:rPr>
          <w:tab/>
        </w:r>
        <w:r>
          <w:rPr>
            <w:noProof/>
            <w:webHidden/>
          </w:rPr>
          <w:fldChar w:fldCharType="begin"/>
        </w:r>
        <w:r>
          <w:rPr>
            <w:noProof/>
            <w:webHidden/>
          </w:rPr>
          <w:instrText xml:space="preserve"> PAGEREF _Toc202218713 \h </w:instrText>
        </w:r>
        <w:r>
          <w:rPr>
            <w:noProof/>
            <w:webHidden/>
          </w:rPr>
        </w:r>
        <w:r>
          <w:rPr>
            <w:noProof/>
            <w:webHidden/>
          </w:rPr>
          <w:fldChar w:fldCharType="separate"/>
        </w:r>
        <w:r w:rsidR="00EF5B82">
          <w:rPr>
            <w:noProof/>
            <w:webHidden/>
          </w:rPr>
          <w:t>31</w:t>
        </w:r>
        <w:r>
          <w:rPr>
            <w:noProof/>
            <w:webHidden/>
          </w:rPr>
          <w:fldChar w:fldCharType="end"/>
        </w:r>
      </w:hyperlink>
    </w:p>
    <w:p w14:paraId="7C03294D" w14:textId="6639DB3F"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714" w:history="1">
        <w:r w:rsidRPr="00E06342">
          <w:rPr>
            <w:rStyle w:val="Hyperlink"/>
            <w:noProof/>
          </w:rPr>
          <w:t>5.2</w:t>
        </w:r>
        <w:r>
          <w:rPr>
            <w:rFonts w:eastAsiaTheme="minorEastAsia" w:cstheme="minorBidi"/>
            <w:noProof/>
            <w:kern w:val="2"/>
            <w:lang w:val="nl-NL" w:eastAsia="nl-NL"/>
            <w14:ligatures w14:val="standardContextual"/>
          </w:rPr>
          <w:tab/>
        </w:r>
        <w:r w:rsidRPr="00E06342">
          <w:rPr>
            <w:rStyle w:val="Hyperlink"/>
            <w:noProof/>
          </w:rPr>
          <w:t>Practical and managerial implications</w:t>
        </w:r>
        <w:r>
          <w:rPr>
            <w:noProof/>
            <w:webHidden/>
          </w:rPr>
          <w:tab/>
        </w:r>
        <w:r>
          <w:rPr>
            <w:noProof/>
            <w:webHidden/>
          </w:rPr>
          <w:fldChar w:fldCharType="begin"/>
        </w:r>
        <w:r>
          <w:rPr>
            <w:noProof/>
            <w:webHidden/>
          </w:rPr>
          <w:instrText xml:space="preserve"> PAGEREF _Toc202218714 \h </w:instrText>
        </w:r>
        <w:r>
          <w:rPr>
            <w:noProof/>
            <w:webHidden/>
          </w:rPr>
        </w:r>
        <w:r>
          <w:rPr>
            <w:noProof/>
            <w:webHidden/>
          </w:rPr>
          <w:fldChar w:fldCharType="separate"/>
        </w:r>
        <w:r w:rsidR="00EF5B82">
          <w:rPr>
            <w:noProof/>
            <w:webHidden/>
          </w:rPr>
          <w:t>32</w:t>
        </w:r>
        <w:r>
          <w:rPr>
            <w:noProof/>
            <w:webHidden/>
          </w:rPr>
          <w:fldChar w:fldCharType="end"/>
        </w:r>
      </w:hyperlink>
    </w:p>
    <w:p w14:paraId="205463B7" w14:textId="23EE7CFD"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715" w:history="1">
        <w:r w:rsidRPr="00E06342">
          <w:rPr>
            <w:rStyle w:val="Hyperlink"/>
            <w:noProof/>
          </w:rPr>
          <w:t>5.3</w:t>
        </w:r>
        <w:r>
          <w:rPr>
            <w:rFonts w:eastAsiaTheme="minorEastAsia" w:cstheme="minorBidi"/>
            <w:noProof/>
            <w:kern w:val="2"/>
            <w:lang w:val="nl-NL" w:eastAsia="nl-NL"/>
            <w14:ligatures w14:val="standardContextual"/>
          </w:rPr>
          <w:tab/>
        </w:r>
        <w:r w:rsidRPr="00E06342">
          <w:rPr>
            <w:rStyle w:val="Hyperlink"/>
            <w:noProof/>
          </w:rPr>
          <w:t>Limitations and directions for future research</w:t>
        </w:r>
        <w:r>
          <w:rPr>
            <w:noProof/>
            <w:webHidden/>
          </w:rPr>
          <w:tab/>
        </w:r>
        <w:r>
          <w:rPr>
            <w:noProof/>
            <w:webHidden/>
          </w:rPr>
          <w:fldChar w:fldCharType="begin"/>
        </w:r>
        <w:r>
          <w:rPr>
            <w:noProof/>
            <w:webHidden/>
          </w:rPr>
          <w:instrText xml:space="preserve"> PAGEREF _Toc202218715 \h </w:instrText>
        </w:r>
        <w:r>
          <w:rPr>
            <w:noProof/>
            <w:webHidden/>
          </w:rPr>
        </w:r>
        <w:r>
          <w:rPr>
            <w:noProof/>
            <w:webHidden/>
          </w:rPr>
          <w:fldChar w:fldCharType="separate"/>
        </w:r>
        <w:r w:rsidR="00EF5B82">
          <w:rPr>
            <w:noProof/>
            <w:webHidden/>
          </w:rPr>
          <w:t>34</w:t>
        </w:r>
        <w:r>
          <w:rPr>
            <w:noProof/>
            <w:webHidden/>
          </w:rPr>
          <w:fldChar w:fldCharType="end"/>
        </w:r>
      </w:hyperlink>
    </w:p>
    <w:p w14:paraId="608216F4" w14:textId="4FBCBCEA" w:rsidR="005500EA" w:rsidRDefault="005500EA">
      <w:pPr>
        <w:pStyle w:val="Inhopg1"/>
        <w:tabs>
          <w:tab w:val="left" w:pos="720"/>
          <w:tab w:val="right" w:leader="dot" w:pos="9396"/>
        </w:tabs>
        <w:rPr>
          <w:rFonts w:eastAsiaTheme="minorEastAsia" w:cstheme="minorBidi"/>
          <w:noProof/>
          <w:kern w:val="2"/>
          <w:lang w:val="nl-NL" w:eastAsia="nl-NL"/>
          <w14:ligatures w14:val="standardContextual"/>
        </w:rPr>
      </w:pPr>
      <w:hyperlink w:anchor="_Toc202218716" w:history="1">
        <w:r w:rsidRPr="00E06342">
          <w:rPr>
            <w:rStyle w:val="Hyperlink"/>
            <w:noProof/>
          </w:rPr>
          <w:t>6</w:t>
        </w:r>
        <w:r>
          <w:rPr>
            <w:rFonts w:eastAsiaTheme="minorEastAsia" w:cstheme="minorBidi"/>
            <w:noProof/>
            <w:kern w:val="2"/>
            <w:lang w:val="nl-NL" w:eastAsia="nl-NL"/>
            <w14:ligatures w14:val="standardContextual"/>
          </w:rPr>
          <w:tab/>
        </w:r>
        <w:r w:rsidRPr="00E06342">
          <w:rPr>
            <w:rStyle w:val="Hyperlink"/>
            <w:noProof/>
          </w:rPr>
          <w:t>References</w:t>
        </w:r>
        <w:r>
          <w:rPr>
            <w:noProof/>
            <w:webHidden/>
          </w:rPr>
          <w:tab/>
        </w:r>
        <w:r>
          <w:rPr>
            <w:noProof/>
            <w:webHidden/>
          </w:rPr>
          <w:fldChar w:fldCharType="begin"/>
        </w:r>
        <w:r>
          <w:rPr>
            <w:noProof/>
            <w:webHidden/>
          </w:rPr>
          <w:instrText xml:space="preserve"> PAGEREF _Toc202218716 \h </w:instrText>
        </w:r>
        <w:r>
          <w:rPr>
            <w:noProof/>
            <w:webHidden/>
          </w:rPr>
        </w:r>
        <w:r>
          <w:rPr>
            <w:noProof/>
            <w:webHidden/>
          </w:rPr>
          <w:fldChar w:fldCharType="separate"/>
        </w:r>
        <w:r w:rsidR="00EF5B82">
          <w:rPr>
            <w:noProof/>
            <w:webHidden/>
          </w:rPr>
          <w:t>36</w:t>
        </w:r>
        <w:r>
          <w:rPr>
            <w:noProof/>
            <w:webHidden/>
          </w:rPr>
          <w:fldChar w:fldCharType="end"/>
        </w:r>
      </w:hyperlink>
    </w:p>
    <w:p w14:paraId="79B786AC" w14:textId="504F7D5B" w:rsidR="005500EA" w:rsidRDefault="005500EA">
      <w:pPr>
        <w:pStyle w:val="Inhopg1"/>
        <w:tabs>
          <w:tab w:val="left" w:pos="720"/>
          <w:tab w:val="right" w:leader="dot" w:pos="9396"/>
        </w:tabs>
        <w:rPr>
          <w:rFonts w:eastAsiaTheme="minorEastAsia" w:cstheme="minorBidi"/>
          <w:noProof/>
          <w:kern w:val="2"/>
          <w:lang w:val="nl-NL" w:eastAsia="nl-NL"/>
          <w14:ligatures w14:val="standardContextual"/>
        </w:rPr>
      </w:pPr>
      <w:hyperlink w:anchor="_Toc202218717" w:history="1">
        <w:r w:rsidRPr="00E06342">
          <w:rPr>
            <w:rStyle w:val="Hyperlink"/>
            <w:noProof/>
          </w:rPr>
          <w:t>7</w:t>
        </w:r>
        <w:r>
          <w:rPr>
            <w:rFonts w:eastAsiaTheme="minorEastAsia" w:cstheme="minorBidi"/>
            <w:noProof/>
            <w:kern w:val="2"/>
            <w:lang w:val="nl-NL" w:eastAsia="nl-NL"/>
            <w14:ligatures w14:val="standardContextual"/>
          </w:rPr>
          <w:tab/>
        </w:r>
        <w:r w:rsidRPr="00E06342">
          <w:rPr>
            <w:rStyle w:val="Hyperlink"/>
            <w:noProof/>
          </w:rPr>
          <w:t>Appendices</w:t>
        </w:r>
        <w:r>
          <w:rPr>
            <w:noProof/>
            <w:webHidden/>
          </w:rPr>
          <w:tab/>
        </w:r>
        <w:r>
          <w:rPr>
            <w:noProof/>
            <w:webHidden/>
          </w:rPr>
          <w:fldChar w:fldCharType="begin"/>
        </w:r>
        <w:r>
          <w:rPr>
            <w:noProof/>
            <w:webHidden/>
          </w:rPr>
          <w:instrText xml:space="preserve"> PAGEREF _Toc202218717 \h </w:instrText>
        </w:r>
        <w:r>
          <w:rPr>
            <w:noProof/>
            <w:webHidden/>
          </w:rPr>
        </w:r>
        <w:r>
          <w:rPr>
            <w:noProof/>
            <w:webHidden/>
          </w:rPr>
          <w:fldChar w:fldCharType="separate"/>
        </w:r>
        <w:r w:rsidR="00EF5B82">
          <w:rPr>
            <w:noProof/>
            <w:webHidden/>
          </w:rPr>
          <w:t>40</w:t>
        </w:r>
        <w:r>
          <w:rPr>
            <w:noProof/>
            <w:webHidden/>
          </w:rPr>
          <w:fldChar w:fldCharType="end"/>
        </w:r>
      </w:hyperlink>
    </w:p>
    <w:p w14:paraId="10B6743E" w14:textId="6186EA22"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718" w:history="1">
        <w:r w:rsidRPr="00E06342">
          <w:rPr>
            <w:rStyle w:val="Hyperlink"/>
            <w:noProof/>
          </w:rPr>
          <w:t>7.1</w:t>
        </w:r>
        <w:r>
          <w:rPr>
            <w:rFonts w:eastAsiaTheme="minorEastAsia" w:cstheme="minorBidi"/>
            <w:noProof/>
            <w:kern w:val="2"/>
            <w:lang w:val="nl-NL" w:eastAsia="nl-NL"/>
            <w14:ligatures w14:val="standardContextual"/>
          </w:rPr>
          <w:tab/>
        </w:r>
        <w:r w:rsidRPr="00E06342">
          <w:rPr>
            <w:rStyle w:val="Hyperlink"/>
            <w:noProof/>
          </w:rPr>
          <w:t>Appendix A – Documentation of generative AI Usage</w:t>
        </w:r>
        <w:r>
          <w:rPr>
            <w:noProof/>
            <w:webHidden/>
          </w:rPr>
          <w:tab/>
        </w:r>
        <w:r>
          <w:rPr>
            <w:noProof/>
            <w:webHidden/>
          </w:rPr>
          <w:fldChar w:fldCharType="begin"/>
        </w:r>
        <w:r>
          <w:rPr>
            <w:noProof/>
            <w:webHidden/>
          </w:rPr>
          <w:instrText xml:space="preserve"> PAGEREF _Toc202218718 \h </w:instrText>
        </w:r>
        <w:r>
          <w:rPr>
            <w:noProof/>
            <w:webHidden/>
          </w:rPr>
        </w:r>
        <w:r>
          <w:rPr>
            <w:noProof/>
            <w:webHidden/>
          </w:rPr>
          <w:fldChar w:fldCharType="separate"/>
        </w:r>
        <w:r w:rsidR="00EF5B82">
          <w:rPr>
            <w:noProof/>
            <w:webHidden/>
          </w:rPr>
          <w:t>40</w:t>
        </w:r>
        <w:r>
          <w:rPr>
            <w:noProof/>
            <w:webHidden/>
          </w:rPr>
          <w:fldChar w:fldCharType="end"/>
        </w:r>
      </w:hyperlink>
    </w:p>
    <w:p w14:paraId="42961676" w14:textId="5F5CE027" w:rsidR="005500EA" w:rsidRDefault="005500EA">
      <w:pPr>
        <w:pStyle w:val="Inhopg2"/>
        <w:tabs>
          <w:tab w:val="left" w:pos="1200"/>
          <w:tab w:val="right" w:leader="dot" w:pos="9396"/>
        </w:tabs>
        <w:rPr>
          <w:rFonts w:eastAsiaTheme="minorEastAsia" w:cstheme="minorBidi"/>
          <w:noProof/>
          <w:kern w:val="2"/>
          <w:lang w:val="nl-NL" w:eastAsia="nl-NL"/>
          <w14:ligatures w14:val="standardContextual"/>
        </w:rPr>
      </w:pPr>
      <w:hyperlink w:anchor="_Toc202218719" w:history="1">
        <w:r w:rsidRPr="00E06342">
          <w:rPr>
            <w:rStyle w:val="Hyperlink"/>
            <w:noProof/>
          </w:rPr>
          <w:t>7.2</w:t>
        </w:r>
        <w:r>
          <w:rPr>
            <w:rFonts w:eastAsiaTheme="minorEastAsia" w:cstheme="minorBidi"/>
            <w:noProof/>
            <w:kern w:val="2"/>
            <w:lang w:val="nl-NL" w:eastAsia="nl-NL"/>
            <w14:ligatures w14:val="standardContextual"/>
          </w:rPr>
          <w:tab/>
        </w:r>
        <w:r w:rsidRPr="00E06342">
          <w:rPr>
            <w:rStyle w:val="Hyperlink"/>
            <w:noProof/>
          </w:rPr>
          <w:t>Appendix B – Stata code</w:t>
        </w:r>
        <w:r>
          <w:rPr>
            <w:noProof/>
            <w:webHidden/>
          </w:rPr>
          <w:tab/>
        </w:r>
        <w:r>
          <w:rPr>
            <w:noProof/>
            <w:webHidden/>
          </w:rPr>
          <w:fldChar w:fldCharType="begin"/>
        </w:r>
        <w:r>
          <w:rPr>
            <w:noProof/>
            <w:webHidden/>
          </w:rPr>
          <w:instrText xml:space="preserve"> PAGEREF _Toc202218719 \h </w:instrText>
        </w:r>
        <w:r>
          <w:rPr>
            <w:noProof/>
            <w:webHidden/>
          </w:rPr>
        </w:r>
        <w:r>
          <w:rPr>
            <w:noProof/>
            <w:webHidden/>
          </w:rPr>
          <w:fldChar w:fldCharType="separate"/>
        </w:r>
        <w:r w:rsidR="00EF5B82">
          <w:rPr>
            <w:noProof/>
            <w:webHidden/>
          </w:rPr>
          <w:t>42</w:t>
        </w:r>
        <w:r>
          <w:rPr>
            <w:noProof/>
            <w:webHidden/>
          </w:rPr>
          <w:fldChar w:fldCharType="end"/>
        </w:r>
      </w:hyperlink>
    </w:p>
    <w:p w14:paraId="1C72C64E" w14:textId="12E87F97" w:rsidR="005B54D3" w:rsidRDefault="00D875D6" w:rsidP="00A22990">
      <w:pPr>
        <w:ind w:left="202" w:firstLine="0"/>
      </w:pPr>
      <w:r w:rsidRPr="00623E36">
        <w:fldChar w:fldCharType="end"/>
      </w:r>
      <w:r w:rsidR="00BC2E42" w:rsidRPr="00623E36">
        <w:br w:type="page"/>
      </w:r>
    </w:p>
    <w:p w14:paraId="58D3BF31" w14:textId="77777777" w:rsidR="008C2F06" w:rsidRDefault="00923F2B" w:rsidP="008C2F06">
      <w:pPr>
        <w:pStyle w:val="Kop1"/>
      </w:pPr>
      <w:bookmarkStart w:id="2" w:name="_Toc202218693"/>
      <w:r>
        <w:t>Introduction</w:t>
      </w:r>
      <w:bookmarkEnd w:id="2"/>
    </w:p>
    <w:p w14:paraId="227D10DB" w14:textId="4C6BE387" w:rsidR="003A5B95" w:rsidRDefault="003A5B95" w:rsidP="008C2F06">
      <w:r>
        <w:t>In recent years, environmental, social and governance (ESG) factors have moved to the forefront of corporate strategy (Kotsantonis, Pinney, &amp; Serafeim, 2016). Firms are increasingly evaluated not only on financial performance but also on sustainability metrics and societal impact (Eccles, loannou, &amp; Serafeim, 2014). The benefits of a strong ESG focus are well documented: companies with high ESG rating</w:t>
      </w:r>
      <w:r w:rsidR="00F42377">
        <w:t>s</w:t>
      </w:r>
      <w:r>
        <w:t xml:space="preserve"> enjoy enhanced reputational capital among stakeholders, a lower cost of capital due to reduced perceived risk, and stronger stakeholder loyalty and trust</w:t>
      </w:r>
      <w:r w:rsidR="00DC3503">
        <w:t xml:space="preserve"> (Friede, Busch, &amp; Bassen, 2015; Kr</w:t>
      </w:r>
      <w:r w:rsidR="00DC3503">
        <w:rPr>
          <w:lang w:val="en-GB"/>
        </w:rPr>
        <w:t>üger, 2015)</w:t>
      </w:r>
      <w:r>
        <w:t>. In turn, firms with poor ESG records face mounting pressure from regulators, customers, investors, and civil society to improve their practices</w:t>
      </w:r>
      <w:r w:rsidR="00DC3503">
        <w:t xml:space="preserve"> (Amel-Zadeh &amp; Serafeim, 2018)</w:t>
      </w:r>
      <w:r>
        <w:t>. These pressures are amplified by social media and public campaigns that can quickly expose shortcomings in a firm’s environmental or social conduct</w:t>
      </w:r>
      <w:r w:rsidR="00DC3503">
        <w:t xml:space="preserve"> (</w:t>
      </w:r>
      <w:r w:rsidR="00861F2F">
        <w:t xml:space="preserve">Bowen, 2000; </w:t>
      </w:r>
      <w:r w:rsidR="00DC3503">
        <w:t>Etzion &amp; Ferraro, 2010; Lyon &amp; Montgomery, 2015)</w:t>
      </w:r>
      <w:r>
        <w:t>. In this context, firms are highly motivated to demonstrate improvements in ESG performance.</w:t>
      </w:r>
    </w:p>
    <w:p w14:paraId="51676AEE" w14:textId="77777777" w:rsidR="000B5DFD" w:rsidRDefault="00DC3503" w:rsidP="008C2F06">
      <w:r>
        <w:t>However, responding to ESG pressures is not always straightforward. Substantively overhauling a firm’s operations, culture, and strategy to be more sustainable can be costly and time-consuming</w:t>
      </w:r>
      <w:r w:rsidR="00B202A6">
        <w:t xml:space="preserve"> (Lyon &amp; Maxwell, 2011)</w:t>
      </w:r>
      <w:r>
        <w:t xml:space="preserve">. As a result, some firms may resort to greenwashing, which is defined as </w:t>
      </w:r>
      <w:r w:rsidR="00B202A6">
        <w:t xml:space="preserve">the use of </w:t>
      </w:r>
      <w:r>
        <w:t>strategies that create a misleading impression of improved environmental or social performance without corresponding substantive change</w:t>
      </w:r>
      <w:r w:rsidR="00B202A6">
        <w:t xml:space="preserve"> (Delmas &amp; Burbano, 2011)</w:t>
      </w:r>
      <w:r>
        <w:t>. In other words, a greenwashed firm claims or appears to be greener tha</w:t>
      </w:r>
      <w:r w:rsidR="00F42377">
        <w:t>n</w:t>
      </w:r>
      <w:r>
        <w:t xml:space="preserve"> it actually is, often through selective disclosures or superficial actions (Delmas &amp; Burbano, 2011). For example, a company might launch a PR campaign about minor eco-friendly initiatives while its core operations remain largely unchanged. Seele and Gatti (2017) note that greenwashing typically involves an external accusation of misrepresentation, where stakeholders perceive a gap between the company’s communications and its actual practices. Greenwashing is problematic because it misleads investors, consumers, and regulators, undermining trust and potentially delaying </w:t>
      </w:r>
      <w:r w:rsidR="00B202A6">
        <w:t xml:space="preserve">genuine </w:t>
      </w:r>
      <w:r>
        <w:t>sustainable progress</w:t>
      </w:r>
      <w:r w:rsidR="00B202A6">
        <w:t xml:space="preserve"> (Lyon &amp; Montgomery, 2015; Lyon &amp; Maxwell, 2011)</w:t>
      </w:r>
      <w:r>
        <w:t>.</w:t>
      </w:r>
      <w:r w:rsidR="00F42377">
        <w:t xml:space="preserve"> </w:t>
      </w:r>
    </w:p>
    <w:p w14:paraId="68A3401F" w14:textId="2ECCB383" w:rsidR="00B94315" w:rsidRDefault="00F42377" w:rsidP="000B5DFD">
      <w:r>
        <w:t xml:space="preserve">Despite increasing academic attention to greenwashing, the role of mergers and acquisitions (M&amp;A) as a potential greenwashing </w:t>
      </w:r>
      <w:r w:rsidR="000B5DFD">
        <w:t>mechanism has received relatively limited empirical investigation</w:t>
      </w:r>
      <w:r>
        <w:t xml:space="preserve"> (Walker &amp; Wan, 2012; Mahoney, Thorne, Cecil, &amp; LaGore, 2013; Lyon &amp; Montgomery, 2015)</w:t>
      </w:r>
      <w:r w:rsidR="000B5DFD">
        <w:t xml:space="preserve">. In particular, concerns have emerged that firms may use M&amp;A as a shortcut to improving their sustainability profile without undertaking substantive internal change. </w:t>
      </w:r>
      <w:r w:rsidR="00B94315">
        <w:t xml:space="preserve">Instead of improving ESG performance internally, a firm can acquire another company that already has strong sustainability credentials. By doing so, the acquirer’s consolidated ESG profile might improve overnight as the target’s high ESG scores get incorporated into the combined firm’s ratings (Aktas, de Bodt, &amp; Cousin, 2011). This practice has been observed anecdotally across industries. For instance, oil and gas companies have acquired renewable energy firms, and large consumer goods conglomerates have purchased smaller eco-friendly brands, often accompanied by great fanfare about the deal’s sustainability benefits (Eccles, Newquist &amp; Schatz, 2014). Such moves can satisfy stakeholders’ demands in the short run. The firm can signal that it is making a green transformation by pointing to the acquisition. In signaling theory terms, the acquisition serves as a credible signal to the market of the firm’s commitment to sustainability (Spence, 1973; Walker &amp; Wan, 2012). Indeed, Walker and Wan (2012) contend that some firms engage in visible green initiatives primarily to signal legitimacy for a supposed strategic transformation. An acquisition of a </w:t>
      </w:r>
      <w:r>
        <w:t>target with a superior ESG profile, often referred to as a High-ESG acquisition,</w:t>
      </w:r>
      <w:r w:rsidR="00B94315">
        <w:t xml:space="preserve"> is a bold signal likely to grab headlines and please ESG-conscious investors.</w:t>
      </w:r>
      <w:r>
        <w:t xml:space="preserve"> However, the precise mechanisms through which these acquisitions affect ESG performance, and whether they reflect genuine or symbolic change, remain insufficiently tested.</w:t>
      </w:r>
    </w:p>
    <w:p w14:paraId="3D8941A4" w14:textId="016DCCB3" w:rsidR="00B94315" w:rsidRDefault="00B94315" w:rsidP="008C2F06">
      <w:r>
        <w:t>At the same time, cr</w:t>
      </w:r>
      <w:r w:rsidR="00170F83">
        <w:t>i</w:t>
      </w:r>
      <w:r>
        <w:t xml:space="preserve">tics argue that acquiring a sustainable company could </w:t>
      </w:r>
      <w:r w:rsidR="00170F83">
        <w:t>amount to</w:t>
      </w:r>
      <w:r>
        <w:t xml:space="preserve"> mere window</w:t>
      </w:r>
      <w:r w:rsidR="00170F83">
        <w:t xml:space="preserve"> </w:t>
      </w:r>
      <w:r>
        <w:t>dressing</w:t>
      </w:r>
      <w:r w:rsidR="00170F83">
        <w:t xml:space="preserve"> i</w:t>
      </w:r>
      <w:r>
        <w:t>f the acquirer does not fundamentally integrate the target’s ESG practices or improve its own operations</w:t>
      </w:r>
      <w:r w:rsidR="00170F83">
        <w:t xml:space="preserve"> (Mahoney, Thorne, Cecil, &amp; LaGore, 2013). In such cases,</w:t>
      </w:r>
      <w:r>
        <w:t xml:space="preserve"> any boost in ESG ratings may be superficial. The firm might simply be buying a better ESG score rather than earning it through </w:t>
      </w:r>
      <w:r w:rsidR="00170F83">
        <w:t>substantive</w:t>
      </w:r>
      <w:r>
        <w:t xml:space="preserve"> change</w:t>
      </w:r>
      <w:r w:rsidR="00170F83">
        <w:t xml:space="preserve"> (Lyon &amp; Montgomery, 2015)</w:t>
      </w:r>
      <w:r>
        <w:t>. This raises an important question: Do ESG</w:t>
      </w:r>
      <w:r w:rsidR="00170F83">
        <w:t xml:space="preserve">-driven acquisitions lead to genuine improvements in the acquirer’s sustainability performance, or are they primarily a greenwashing tactic? This thesis investigates this question by focusing on M&amp;A deals where the target firm’s ESG rating is higher than that of the acquiring firm. Such deals, which we term “High-ESG acquisitions,” are posited to be a deliberate strategy by acquirers to enhance their sustainability profile (Aktas, de Bodt, &amp; Cousin, 2011). </w:t>
      </w:r>
      <w:r w:rsidR="00F42377">
        <w:t xml:space="preserve">For the purpose of this research, a High-ESG acquisition is defined as a transaction in which the target firm’s ESG score exceeds that of the acquiring firm in the year prior to the acquisition. </w:t>
      </w:r>
      <w:r w:rsidR="00170F83">
        <w:t>The key issue is whether the acquiring firm’s ESG rating actually improves post-acquisition and, if so, what drives that improvement. Is it simply the incorporation of the target’s pre-existing ESG strengths, or does the acquirer implement substantive internal changes post-merger?</w:t>
      </w:r>
    </w:p>
    <w:p w14:paraId="5EE45EAD" w14:textId="5F1AB714" w:rsidR="00DA775E" w:rsidRDefault="00DA775E" w:rsidP="008C2F06">
      <w:pPr>
        <w:rPr>
          <w:lang w:val="en-GB"/>
        </w:rPr>
      </w:pPr>
      <w:r>
        <w:rPr>
          <w:lang w:val="en-GB"/>
        </w:rPr>
        <w:t>To address this, we formulate two main hypotheses for empirical testing, grounded in the context of M&amp;A as a potential greenwashing mechanism:</w:t>
      </w:r>
    </w:p>
    <w:p w14:paraId="34399104" w14:textId="63684118" w:rsidR="00DA775E" w:rsidRDefault="00DA775E" w:rsidP="008C2F06">
      <w:pPr>
        <w:rPr>
          <w:lang w:val="en-GB"/>
        </w:rPr>
      </w:pPr>
      <w:r>
        <w:rPr>
          <w:lang w:val="en-GB"/>
        </w:rPr>
        <w:t xml:space="preserve">H1: Firms that engage in acquisitions of </w:t>
      </w:r>
      <w:r w:rsidR="00170F83">
        <w:rPr>
          <w:lang w:val="en-GB"/>
        </w:rPr>
        <w:t>high-ESG</w:t>
      </w:r>
      <w:r>
        <w:rPr>
          <w:lang w:val="en-GB"/>
        </w:rPr>
        <w:t xml:space="preserve"> targets experience an increase in their overall ESG ratings after the acquisition.</w:t>
      </w:r>
    </w:p>
    <w:p w14:paraId="22F78B3E" w14:textId="1157D386" w:rsidR="00DA775E" w:rsidRDefault="00DA775E" w:rsidP="008C2F06">
      <w:pPr>
        <w:rPr>
          <w:lang w:val="en-GB"/>
        </w:rPr>
      </w:pPr>
      <w:r>
        <w:rPr>
          <w:lang w:val="en-GB"/>
        </w:rPr>
        <w:t xml:space="preserve">H2: The acquirer’s </w:t>
      </w:r>
      <w:r w:rsidR="00170F83">
        <w:rPr>
          <w:lang w:val="en-GB"/>
        </w:rPr>
        <w:t>post-merger ESG improvement is primarily driven by the acquired company’s pre-existing ESG performance.</w:t>
      </w:r>
    </w:p>
    <w:p w14:paraId="07A720DC" w14:textId="59DB9DCA" w:rsidR="00DA775E" w:rsidRDefault="00DA775E" w:rsidP="008C2F06">
      <w:pPr>
        <w:rPr>
          <w:lang w:val="en-GB"/>
        </w:rPr>
      </w:pPr>
      <w:r>
        <w:rPr>
          <w:lang w:val="en-GB"/>
        </w:rPr>
        <w:t>Hypothesis 1 reflects the expectation that acquiring a high-ES</w:t>
      </w:r>
      <w:r w:rsidR="003A5534">
        <w:rPr>
          <w:lang w:val="en-GB"/>
        </w:rPr>
        <w:t>G target yields a measurable uptick in the acquirer’s ESG score post-merger. This would be consistent with a strategic motive to boost ESG metrics, aligning with prior findings that one way to improve a firm’s ESG rating is to acquire a more sustainable peer (Aktas, de Bodt, &amp; Cousin, 2011; Eccles, Newquist, &amp; Schatz, 2014). Recent empirical evidence suggests a positive relationship between the change in an acquirer’s ESG rating and the target’s relative ESG rating, meaning acquirers tend to see their scores rise especially when targets have superior ESG profiles (Deng, Kang, &amp; Low, 2013; Fatemi, Fooladi, &amp; Tehranian, 2015). We therefore anticipate observing such improvements in our sample of acquisitions.</w:t>
      </w:r>
    </w:p>
    <w:p w14:paraId="10DB04A6" w14:textId="7B197772" w:rsidR="00DA775E" w:rsidRDefault="00DA775E" w:rsidP="008C2F06">
      <w:pPr>
        <w:rPr>
          <w:lang w:val="en-GB"/>
        </w:rPr>
      </w:pPr>
      <w:r>
        <w:rPr>
          <w:lang w:val="en-GB"/>
        </w:rPr>
        <w:t xml:space="preserve">Hypothesis 2 addresses </w:t>
      </w:r>
      <w:r w:rsidR="003A5534">
        <w:rPr>
          <w:lang w:val="en-GB"/>
        </w:rPr>
        <w:t xml:space="preserve">the mechanism </w:t>
      </w:r>
      <w:r w:rsidR="00F2018A">
        <w:rPr>
          <w:lang w:val="en-GB"/>
        </w:rPr>
        <w:t>behind</w:t>
      </w:r>
      <w:r w:rsidR="003A5534">
        <w:rPr>
          <w:lang w:val="en-GB"/>
        </w:rPr>
        <w:t xml:space="preserve"> any observed improvement. If the acquirer’s post-merger ESG boost is largely attributable to the target’s already high ESG score, </w:t>
      </w:r>
      <w:r w:rsidR="00F2018A">
        <w:rPr>
          <w:lang w:val="en-GB"/>
        </w:rPr>
        <w:t>this</w:t>
      </w:r>
      <w:r w:rsidR="003A5534">
        <w:rPr>
          <w:lang w:val="en-GB"/>
        </w:rPr>
        <w:t xml:space="preserve"> would </w:t>
      </w:r>
      <w:r w:rsidR="00F2018A">
        <w:rPr>
          <w:lang w:val="en-GB"/>
        </w:rPr>
        <w:t>suggest</w:t>
      </w:r>
      <w:r w:rsidR="003A5534">
        <w:rPr>
          <w:lang w:val="en-GB"/>
        </w:rPr>
        <w:t xml:space="preserve"> a more superficial change. The improvement might occur even if the acquirer itself </w:t>
      </w:r>
      <w:r w:rsidR="00F2018A">
        <w:rPr>
          <w:lang w:val="en-GB"/>
        </w:rPr>
        <w:t>implements few or</w:t>
      </w:r>
      <w:r w:rsidR="003A5534">
        <w:rPr>
          <w:lang w:val="en-GB"/>
        </w:rPr>
        <w:t xml:space="preserve"> no internal sustainability i</w:t>
      </w:r>
      <w:r w:rsidR="00F2018A">
        <w:rPr>
          <w:lang w:val="en-GB"/>
        </w:rPr>
        <w:t>nitiatives</w:t>
      </w:r>
      <w:r w:rsidR="003A5534">
        <w:rPr>
          <w:lang w:val="en-GB"/>
        </w:rPr>
        <w:t>, which could be interpreted as a form of greenwashing</w:t>
      </w:r>
      <w:r w:rsidR="00F2018A">
        <w:rPr>
          <w:lang w:val="en-GB"/>
        </w:rPr>
        <w:t xml:space="preserve"> (Mahoney, Thorne, Cecil, &amp; LaGore, 2013; Walker &amp; Wan, 2012)</w:t>
      </w:r>
      <w:r w:rsidR="003A5534">
        <w:rPr>
          <w:lang w:val="en-GB"/>
        </w:rPr>
        <w:t xml:space="preserve">. On the other hand, if the acquirer’s own post-merger </w:t>
      </w:r>
      <w:r w:rsidR="00F2018A">
        <w:rPr>
          <w:lang w:val="en-GB"/>
        </w:rPr>
        <w:t xml:space="preserve">initiatives </w:t>
      </w:r>
      <w:r w:rsidR="003A5534">
        <w:rPr>
          <w:lang w:val="en-GB"/>
        </w:rPr>
        <w:t xml:space="preserve">are the </w:t>
      </w:r>
      <w:r w:rsidR="00F2018A">
        <w:rPr>
          <w:lang w:val="en-GB"/>
        </w:rPr>
        <w:t>primary</w:t>
      </w:r>
      <w:r w:rsidR="003A5534">
        <w:rPr>
          <w:lang w:val="en-GB"/>
        </w:rPr>
        <w:t xml:space="preserve"> driver, th</w:t>
      </w:r>
      <w:r w:rsidR="00F2018A">
        <w:rPr>
          <w:lang w:val="en-GB"/>
        </w:rPr>
        <w:t>is</w:t>
      </w:r>
      <w:r w:rsidR="003A5534">
        <w:rPr>
          <w:lang w:val="en-GB"/>
        </w:rPr>
        <w:t xml:space="preserve"> would imply a more substantive change. By testing H2, we aim to discern whether high-ESG acquisitions serve </w:t>
      </w:r>
      <w:r w:rsidR="00F2018A">
        <w:rPr>
          <w:lang w:val="en-GB"/>
        </w:rPr>
        <w:t xml:space="preserve">merely </w:t>
      </w:r>
      <w:r w:rsidR="003A5534">
        <w:rPr>
          <w:lang w:val="en-GB"/>
        </w:rPr>
        <w:t xml:space="preserve">as a shortcut to </w:t>
      </w:r>
      <w:r w:rsidR="00F2018A">
        <w:rPr>
          <w:lang w:val="en-GB"/>
        </w:rPr>
        <w:t>an improved</w:t>
      </w:r>
      <w:r w:rsidR="003A5534">
        <w:rPr>
          <w:lang w:val="en-GB"/>
        </w:rPr>
        <w:t xml:space="preserve"> ESG rating or as a catalyst for genuine transformation. Prior </w:t>
      </w:r>
      <w:r w:rsidR="00F2018A">
        <w:rPr>
          <w:lang w:val="en-GB"/>
        </w:rPr>
        <w:t>research lends</w:t>
      </w:r>
      <w:r w:rsidR="003A5534">
        <w:rPr>
          <w:lang w:val="en-GB"/>
        </w:rPr>
        <w:t xml:space="preserve"> credence to the former interpretation. </w:t>
      </w:r>
      <w:r w:rsidR="00F2018A">
        <w:rPr>
          <w:lang w:val="en-GB"/>
        </w:rPr>
        <w:t>For example, Aktas, de Bodt, and Cousin (2011) find that, of the three ESG components, the environmental dimension shows the largest post-merger rating increase for acquirers, suggesting that firms often benefit primarily from what the target already possessed. In our analysis, we examine whether the data support the notion that the acquirer’s ESG gains correlate strongly with the target’s prior ESG performance.</w:t>
      </w:r>
    </w:p>
    <w:p w14:paraId="061328D2" w14:textId="6B4ECD17" w:rsidR="00D37718" w:rsidRDefault="00F2018A" w:rsidP="008C2F06">
      <w:pPr>
        <w:rPr>
          <w:lang w:val="en-GB"/>
        </w:rPr>
      </w:pPr>
      <w:r>
        <w:rPr>
          <w:lang w:val="en-GB"/>
        </w:rPr>
        <w:t xml:space="preserve">The answers to these questions have </w:t>
      </w:r>
      <w:r w:rsidR="00D37718">
        <w:rPr>
          <w:lang w:val="en-GB"/>
        </w:rPr>
        <w:t>important theoretical and practical</w:t>
      </w:r>
      <w:r>
        <w:rPr>
          <w:lang w:val="en-GB"/>
        </w:rPr>
        <w:t xml:space="preserve"> implications. Theoretically, this research contributes to the literature on greenwashing by identifying M&amp;A as a potential vehicle for symbolic sustainability management</w:t>
      </w:r>
      <w:r w:rsidR="00D37718">
        <w:rPr>
          <w:lang w:val="en-GB"/>
        </w:rPr>
        <w:t xml:space="preserve"> (Mahoney, Thorne, Cecil, &amp; LaGore, 2013; Lyon &amp; Montgomery, 2015)</w:t>
      </w:r>
      <w:r>
        <w:rPr>
          <w:lang w:val="en-GB"/>
        </w:rPr>
        <w:t xml:space="preserve">. It integrates stakeholder theory (Freeman, 1984) by recognizing that managers pursue strategies </w:t>
      </w:r>
      <w:r w:rsidR="00D37718">
        <w:rPr>
          <w:lang w:val="en-GB"/>
        </w:rPr>
        <w:t>such as</w:t>
      </w:r>
      <w:r>
        <w:rPr>
          <w:lang w:val="en-GB"/>
        </w:rPr>
        <w:t xml:space="preserve"> high-ESG acquisitions in response to stakeholder demand for sustainability. It also draws on signaling theory by interpreting high-ESG acquisitions as signals to the market </w:t>
      </w:r>
      <w:r w:rsidR="00D37718">
        <w:rPr>
          <w:lang w:val="en-GB"/>
        </w:rPr>
        <w:t>regarding</w:t>
      </w:r>
      <w:r>
        <w:rPr>
          <w:lang w:val="en-GB"/>
        </w:rPr>
        <w:t xml:space="preserve"> a firm’s values and intentions</w:t>
      </w:r>
      <w:r w:rsidR="00D37718">
        <w:rPr>
          <w:lang w:val="en-GB"/>
        </w:rPr>
        <w:t xml:space="preserve"> (Spence, 1973)</w:t>
      </w:r>
      <w:r>
        <w:rPr>
          <w:lang w:val="en-GB"/>
        </w:rPr>
        <w:t>.</w:t>
      </w:r>
      <w:r w:rsidR="00F42377">
        <w:rPr>
          <w:lang w:val="en-GB"/>
        </w:rPr>
        <w:t xml:space="preserve"> However, while signaling theory suggests that c</w:t>
      </w:r>
      <w:r w:rsidR="000B5DFD">
        <w:rPr>
          <w:lang w:val="en-GB"/>
        </w:rPr>
        <w:t>o</w:t>
      </w:r>
      <w:r w:rsidR="00F42377">
        <w:rPr>
          <w:lang w:val="en-GB"/>
        </w:rPr>
        <w:t>stly, visible actions like acquisitions may convey credible sustainability intent, critics argue that financial resources alone may enable even insincere firms to send such signals (Connelly, Certo, Ireland, &amp; Reutzel, 2011), potentially undermining the reliability of the signal. This study explicitly considers that tension.</w:t>
      </w:r>
      <w:r w:rsidR="000B5DFD">
        <w:rPr>
          <w:lang w:val="en-GB"/>
        </w:rPr>
        <w:t xml:space="preserve"> Moreover, stakeholder expectations are not uniform across industries (Berrone, Gelabert, Massa-Saluzzo, &amp; Rousseau, 2013), which may influence both the likelihood of High-ESG acquisitions and their post-merger sustainability outcomes, an aspect this study accounts for in its design.</w:t>
      </w:r>
    </w:p>
    <w:p w14:paraId="66429DD0" w14:textId="415671A9" w:rsidR="00D37718" w:rsidRDefault="00F2018A" w:rsidP="00F42377">
      <w:pPr>
        <w:rPr>
          <w:lang w:val="en-GB"/>
        </w:rPr>
      </w:pPr>
      <w:r>
        <w:rPr>
          <w:lang w:val="en-GB"/>
        </w:rPr>
        <w:t xml:space="preserve">Furthermore, this study builds on and extends emerging empirical research on ESG in </w:t>
      </w:r>
      <w:r w:rsidR="00D37718">
        <w:rPr>
          <w:lang w:val="en-GB"/>
        </w:rPr>
        <w:t xml:space="preserve">the </w:t>
      </w:r>
      <w:r>
        <w:rPr>
          <w:lang w:val="en-GB"/>
        </w:rPr>
        <w:t>M&amp;A</w:t>
      </w:r>
      <w:r w:rsidR="00D37718">
        <w:rPr>
          <w:lang w:val="en-GB"/>
        </w:rPr>
        <w:t xml:space="preserve"> context</w:t>
      </w:r>
      <w:r>
        <w:rPr>
          <w:lang w:val="en-GB"/>
        </w:rPr>
        <w:t xml:space="preserve">. Recent </w:t>
      </w:r>
      <w:r w:rsidR="00D37718">
        <w:rPr>
          <w:lang w:val="en-GB"/>
        </w:rPr>
        <w:t>studies</w:t>
      </w:r>
      <w:r>
        <w:rPr>
          <w:lang w:val="en-GB"/>
        </w:rPr>
        <w:t xml:space="preserve"> document that acquiring higher-ESG targets can indeed improve an acquirer’s ESG scores, but </w:t>
      </w:r>
      <w:r w:rsidR="00D37718">
        <w:rPr>
          <w:lang w:val="en-GB"/>
        </w:rPr>
        <w:t>there remains debate about whether such improvements translate into real internal changes or enhanced outcomes (Aktas, de Bodt, &amp; Cousin, 2011; Deng, Kang, &amp; Low, 2013)</w:t>
      </w:r>
      <w:r>
        <w:rPr>
          <w:lang w:val="en-GB"/>
        </w:rPr>
        <w:t xml:space="preserve">. </w:t>
      </w:r>
      <w:r w:rsidR="00F42377">
        <w:rPr>
          <w:lang w:val="en-GB"/>
        </w:rPr>
        <w:t xml:space="preserve">Notably, existing studies often focus on average ESG outcomes but provide limited insight into the causal mechanisms or the extent to which improvements derive from the target rather than internal acquirer initiatives. By addressing these gaps, this thesis contributes novel empirical evidence. </w:t>
      </w:r>
      <w:r>
        <w:rPr>
          <w:lang w:val="en-GB"/>
        </w:rPr>
        <w:t xml:space="preserve">By </w:t>
      </w:r>
      <w:r w:rsidR="00D37718">
        <w:rPr>
          <w:lang w:val="en-GB"/>
        </w:rPr>
        <w:t>focusing explicitly on post-merger ESG score change as the outcome, this study zeroes in on the so-called “rating uplift” effect and examines its underlying sources.</w:t>
      </w:r>
    </w:p>
    <w:p w14:paraId="1678A07B" w14:textId="39FAC87C" w:rsidR="00DA775E" w:rsidRDefault="00F2018A" w:rsidP="008C2F06">
      <w:pPr>
        <w:rPr>
          <w:lang w:val="en-GB"/>
        </w:rPr>
      </w:pPr>
      <w:r>
        <w:rPr>
          <w:lang w:val="en-GB"/>
        </w:rPr>
        <w:t xml:space="preserve">Practically, the findings will </w:t>
      </w:r>
      <w:r w:rsidR="00D37718">
        <w:rPr>
          <w:lang w:val="en-GB"/>
        </w:rPr>
        <w:t>be relevant to</w:t>
      </w:r>
      <w:r>
        <w:rPr>
          <w:lang w:val="en-GB"/>
        </w:rPr>
        <w:t xml:space="preserve"> investors, regulators, and ESG rating agencies. If acquisitions are being used to </w:t>
      </w:r>
      <w:r w:rsidR="00D37718">
        <w:rPr>
          <w:lang w:val="en-GB"/>
        </w:rPr>
        <w:t>manipulate</w:t>
      </w:r>
      <w:r>
        <w:rPr>
          <w:lang w:val="en-GB"/>
        </w:rPr>
        <w:t xml:space="preserve"> ESG </w:t>
      </w:r>
      <w:r w:rsidR="00D37718">
        <w:rPr>
          <w:lang w:val="en-GB"/>
        </w:rPr>
        <w:t>ratings, stakeholders may need to scrutinize post-merger ESG performance more carefully. Conversely, if such acquisitions demonstrably enhance both sustainability and financial performance, they could be encouraged as a win-win strategy.</w:t>
      </w:r>
    </w:p>
    <w:p w14:paraId="20A9565D" w14:textId="77777777" w:rsidR="001914C6" w:rsidRDefault="001914C6" w:rsidP="008C2F06">
      <w:r w:rsidRPr="001914C6">
        <w:t>The empirical results provide cautious support for the notion that M&amp;A activity can contribute to improvements in the acquirer's ESG performance. Specifically, firms engaging in acquisitions exhibit a modest increase in ESG ratings relative to non-acquirers in the year following the transaction. However, this improvement is not systematically explained by the ESG characteristics of the target firm. Neither the acquisition of high-ESG targets nor a greater pre-merger ESG advantage of the target shows a significant relationship with post-acquisition ESG changes. These findings suggest that while acquisitions may be associated with enhanced ESG performance, these effects are not primarily driven by inheriting superior ESG attributes from the target. Rather, the observed ESG improvements may reflect reputational signaling or symbolic actions by acquiring firms, consistent with concerns about superficial ESG integration or greenwashing. Importantly, the results highlight that meaningful ESG improvements are unlikely to emerge solely through target selection, emphasizing the need for deliberate post-merger integration and substantive ESG initiatives if acquisitions are to translate into genuine sustainability progress.</w:t>
      </w:r>
    </w:p>
    <w:p w14:paraId="1D722042" w14:textId="10FEF929" w:rsidR="00227A33" w:rsidRPr="001A35CB" w:rsidRDefault="00227A33" w:rsidP="008C2F06">
      <w:pPr>
        <w:rPr>
          <w:lang w:val="en-GB"/>
        </w:rPr>
      </w:pPr>
      <w:r>
        <w:rPr>
          <w:lang w:val="en-GB"/>
        </w:rPr>
        <w:t>The remainder of this thesis is organized as follows. Chapter 2 provides a review of relevant literature and theoretical frameworks, including background on greenwashing, stakeholder and signaling theory, and prior research on ESG in M&amp;A. This will lead to a development of our hypotheses in greater detail. Chapter 3 describes the methodology of the study, including data sources, variable definitions, and the econometric approach</w:t>
      </w:r>
      <w:r w:rsidR="00994658">
        <w:rPr>
          <w:lang w:val="en-GB"/>
        </w:rPr>
        <w:t xml:space="preserve"> </w:t>
      </w:r>
      <w:r>
        <w:rPr>
          <w:lang w:val="en-GB"/>
        </w:rPr>
        <w:t xml:space="preserve">used to test H1 and H2. We also discuss </w:t>
      </w:r>
      <w:r w:rsidR="00994658">
        <w:rPr>
          <w:lang w:val="en-GB"/>
        </w:rPr>
        <w:t>the</w:t>
      </w:r>
      <w:r>
        <w:rPr>
          <w:lang w:val="en-GB"/>
        </w:rPr>
        <w:t xml:space="preserve"> identification strategy and measures taken to ensure robust and reliable results. Chapter 4 </w:t>
      </w:r>
      <w:r w:rsidR="00994658">
        <w:rPr>
          <w:lang w:val="en-GB"/>
        </w:rPr>
        <w:t>presents</w:t>
      </w:r>
      <w:r>
        <w:rPr>
          <w:lang w:val="en-GB"/>
        </w:rPr>
        <w:t xml:space="preserve"> the empirical results</w:t>
      </w:r>
      <w:r w:rsidR="00994658">
        <w:rPr>
          <w:lang w:val="en-GB"/>
        </w:rPr>
        <w:t>,</w:t>
      </w:r>
      <w:r>
        <w:rPr>
          <w:lang w:val="en-GB"/>
        </w:rPr>
        <w:t xml:space="preserve"> and </w:t>
      </w:r>
      <w:r w:rsidR="00994658">
        <w:rPr>
          <w:lang w:val="en-GB"/>
        </w:rPr>
        <w:t>C</w:t>
      </w:r>
      <w:r>
        <w:rPr>
          <w:lang w:val="en-GB"/>
        </w:rPr>
        <w:t>hapter 5</w:t>
      </w:r>
      <w:r w:rsidR="00994658">
        <w:rPr>
          <w:lang w:val="en-GB"/>
        </w:rPr>
        <w:t xml:space="preserve"> discusses their implication and concludes the thesis</w:t>
      </w:r>
      <w:r>
        <w:rPr>
          <w:lang w:val="en-GB"/>
        </w:rPr>
        <w:t xml:space="preserve">. </w:t>
      </w:r>
      <w:r w:rsidR="00994658">
        <w:rPr>
          <w:lang w:val="en-GB"/>
        </w:rPr>
        <w:t>We close with recommendations for future research and practical implications. Finally, a set of Appendices provides supplementary material, including the data processing and analysis code and additional robustness checks and results.</w:t>
      </w:r>
    </w:p>
    <w:p w14:paraId="3B99852B" w14:textId="57DBD61F" w:rsidR="00923F2B" w:rsidRPr="008C2F06" w:rsidRDefault="00923F2B" w:rsidP="008C2F06">
      <w:r>
        <w:br w:type="page"/>
      </w:r>
    </w:p>
    <w:p w14:paraId="1C04D797" w14:textId="73402D88" w:rsidR="005B54D3" w:rsidRDefault="00923F2B" w:rsidP="005B54D3">
      <w:pPr>
        <w:pStyle w:val="Kop1"/>
      </w:pPr>
      <w:bookmarkStart w:id="3" w:name="_Toc202218694"/>
      <w:r>
        <w:t>Literature review</w:t>
      </w:r>
      <w:bookmarkEnd w:id="3"/>
    </w:p>
    <w:p w14:paraId="03740C74" w14:textId="5A7E4CCA" w:rsidR="00923F2B" w:rsidRPr="00923F2B" w:rsidRDefault="00923F2B" w:rsidP="00923F2B">
      <w:pPr>
        <w:pStyle w:val="Kop2"/>
      </w:pPr>
      <w:bookmarkStart w:id="4" w:name="_Toc202218695"/>
      <w:r>
        <w:t>ESG performance, stakeholder pressure, and greenwashing</w:t>
      </w:r>
      <w:bookmarkEnd w:id="4"/>
    </w:p>
    <w:p w14:paraId="6B228AC2" w14:textId="424D1C8A" w:rsidR="005E0A16" w:rsidRDefault="00C2409A" w:rsidP="00004E05">
      <w:r>
        <w:t xml:space="preserve">Environmental, social and governance (ESG) performance has become a key indicator of corporate sustainability and ethical practice. High ESG ratings are generally associated with favorable outcomes for firms. A strong ESG profile can </w:t>
      </w:r>
      <w:r w:rsidR="009176A8">
        <w:t>enhance</w:t>
      </w:r>
      <w:r>
        <w:t xml:space="preserve"> a company’s reputation, reduce its cost of capital as investors perceive lower risk (Fatemi et al., 2015), and </w:t>
      </w:r>
      <w:r w:rsidR="009176A8">
        <w:t>foster</w:t>
      </w:r>
      <w:r>
        <w:t xml:space="preserve"> strong stakeholder loyalty and commitment (Boone &amp; Uysal, 2020). Additionally, superior ESG performance can </w:t>
      </w:r>
      <w:r w:rsidR="009176A8">
        <w:t>strengthen</w:t>
      </w:r>
      <w:r>
        <w:t xml:space="preserve"> stakeholder relationships, including higher employee morale, customer loyalty, and community trust (Arouri et al., 2019; Deng et al., 2013). Empirical studies affirm these benefits: for example, acquirers with robust ESG</w:t>
      </w:r>
      <w:r w:rsidR="009176A8">
        <w:t xml:space="preserve"> profiles</w:t>
      </w:r>
      <w:r>
        <w:t xml:space="preserve"> tend to </w:t>
      </w:r>
      <w:r w:rsidR="009176A8">
        <w:t>experience</w:t>
      </w:r>
      <w:r>
        <w:t xml:space="preserve"> higher merger announcement returns and </w:t>
      </w:r>
      <w:r w:rsidR="009176A8">
        <w:t>superior</w:t>
      </w:r>
      <w:r>
        <w:t xml:space="preserve"> post-merger performance </w:t>
      </w:r>
      <w:r w:rsidR="009176A8">
        <w:t>compared to</w:t>
      </w:r>
      <w:r>
        <w:t xml:space="preserve"> low-ESG peers. Superior ESG performance thus creates a virtuous cycle where stakeholder support drives better outcomes, which in turn reinforces stakeholder trust (Freeman, 1984). These advantages </w:t>
      </w:r>
      <w:r w:rsidR="009176A8">
        <w:t>provide</w:t>
      </w:r>
      <w:r>
        <w:t xml:space="preserve"> firms </w:t>
      </w:r>
      <w:r w:rsidR="009176A8">
        <w:t xml:space="preserve">with </w:t>
      </w:r>
      <w:r>
        <w:t>strong incentives to improve their ESG standing.</w:t>
      </w:r>
    </w:p>
    <w:p w14:paraId="30CD2FF5" w14:textId="7A10FA15" w:rsidR="005E0A16" w:rsidRDefault="00C2409A" w:rsidP="00004E05">
      <w:r>
        <w:t xml:space="preserve">Conversely, firms with poor ESG records face mounting pressure from diverse stakeholders. According to stakeholder theory, a company must meet the expectations of groups who can affect or are affected by the firm’s actions (Freeman, 1984). In today’s environment, regulators, investors, consumers, and NGOs all increasingly demand sustainability. Such stakeholders exert pressure through multiple channels. Regulators may impose stricter environmental and social standards, </w:t>
      </w:r>
      <w:r w:rsidR="009176A8">
        <w:t>while</w:t>
      </w:r>
      <w:r>
        <w:t xml:space="preserve"> social media activism means that subpar ESG practices are swiftly exposed and criticized</w:t>
      </w:r>
      <w:r w:rsidR="004D09DC">
        <w:t xml:space="preserve"> (</w:t>
      </w:r>
      <w:r w:rsidR="00861F2F">
        <w:t xml:space="preserve">Du, 2015; </w:t>
      </w:r>
      <w:r w:rsidR="004D09DC">
        <w:t xml:space="preserve">Lyon &amp; Montgomery, 2013). Investors </w:t>
      </w:r>
      <w:r w:rsidR="009176A8">
        <w:t>adhering to</w:t>
      </w:r>
      <w:r w:rsidR="004D09DC">
        <w:t xml:space="preserve"> ESG principles might divest from laggards or push for </w:t>
      </w:r>
      <w:r w:rsidR="009176A8">
        <w:t>governance reforms</w:t>
      </w:r>
      <w:r w:rsidR="004D09DC">
        <w:t>, while consumers may switch to more ethical brands</w:t>
      </w:r>
      <w:r w:rsidR="00861F2F">
        <w:t xml:space="preserve"> (Ghitti, Kalaitzoglou, &amp; Verwijmeren, 2020)</w:t>
      </w:r>
      <w:r w:rsidR="004D09DC">
        <w:t xml:space="preserve">. </w:t>
      </w:r>
      <w:r w:rsidR="009176A8">
        <w:t>Empirical r</w:t>
      </w:r>
      <w:r w:rsidR="004D09DC">
        <w:t>esearch shows that stronger external scrutiny correlates with greater corporate efforts to improve environmental performance (Berrone et al. 2013). In short, the external environment increasingly punishes ESG underperformance, making sustainability improvements essential for maintaining legitimacy and competitiveness.</w:t>
      </w:r>
    </w:p>
    <w:p w14:paraId="77AA4D93" w14:textId="6211B216" w:rsidR="004D09DC" w:rsidRDefault="001560E2" w:rsidP="00004E05">
      <w:r>
        <w:t xml:space="preserve">When under such pressure, firms can respond in two broad ways: </w:t>
      </w:r>
      <w:r w:rsidR="009176A8">
        <w:t xml:space="preserve">through </w:t>
      </w:r>
      <w:r>
        <w:t xml:space="preserve">substantive change or symbolic management. Substantive change </w:t>
      </w:r>
      <w:r w:rsidR="009176A8">
        <w:t>refers to</w:t>
      </w:r>
      <w:r>
        <w:t xml:space="preserve"> genuinely improving ESG performance, for example, </w:t>
      </w:r>
      <w:r w:rsidR="009176A8">
        <w:t xml:space="preserve">by </w:t>
      </w:r>
      <w:r>
        <w:t xml:space="preserve">investing in cleaner technologies, </w:t>
      </w:r>
      <w:r w:rsidR="009176A8">
        <w:t>enhancing</w:t>
      </w:r>
      <w:r>
        <w:t xml:space="preserve"> labor practices, or strengthening governance oversight. Symbolic management, by contrast, involves portraying an image of improvement without fully achieving it in </w:t>
      </w:r>
      <w:r w:rsidR="009176A8">
        <w:t>practice</w:t>
      </w:r>
      <w:r>
        <w:t>. Greenwashing</w:t>
      </w:r>
      <w:r w:rsidR="009176A8">
        <w:t xml:space="preserve"> represents the most prominent example of symbolic sustainability action</w:t>
      </w:r>
      <w:r>
        <w:t>. It is commonly defines as “the use of strategies that create a misleading impression of improved environmental or social performance without corresponding substantive change” (Delmas &amp; Burbano, 2011). In practice, greenwashing can take many forms</w:t>
      </w:r>
      <w:r w:rsidR="009176A8">
        <w:t xml:space="preserve">, including </w:t>
      </w:r>
      <w:r>
        <w:t xml:space="preserve">selective disclosure of positive information, </w:t>
      </w:r>
      <w:r w:rsidR="009176A8">
        <w:t>exaggerating minor green initiatives</w:t>
      </w:r>
      <w:r>
        <w:t>, making vague or unsubstantiated claims, or exploiting third-party certifications and ratings to appear responsible (</w:t>
      </w:r>
      <w:r w:rsidR="00861F2F">
        <w:t xml:space="preserve">Bryant, Hunton, &amp; Stone, 2020; </w:t>
      </w:r>
      <w:r>
        <w:t>Marquis &amp; Toffel, 2012; Parguel et al., 2011). In essence, it</w:t>
      </w:r>
      <w:r w:rsidR="009176A8">
        <w:t xml:space="preserve"> constitutes a decoupling of communication from action</w:t>
      </w:r>
      <w:r>
        <w:t xml:space="preserve">. The firm </w:t>
      </w:r>
      <w:r w:rsidR="009176A8">
        <w:t>publicly promotes its</w:t>
      </w:r>
      <w:r>
        <w:t xml:space="preserve"> sustainability goals or achievements, while its core practices remain largely unchanged.</w:t>
      </w:r>
    </w:p>
    <w:p w14:paraId="60D8EA5A" w14:textId="50153843" w:rsidR="001560E2" w:rsidRDefault="001560E2" w:rsidP="00004E05">
      <w:r>
        <w:t xml:space="preserve">Greenwashing has been documented across industries, especially in sectors </w:t>
      </w:r>
      <w:r w:rsidR="009176A8">
        <w:t>exposed to</w:t>
      </w:r>
      <w:r>
        <w:t xml:space="preserve"> high public scrutiny</w:t>
      </w:r>
      <w:r w:rsidR="00176690">
        <w:t xml:space="preserve"> </w:t>
      </w:r>
      <w:r w:rsidR="00176690">
        <w:rPr>
          <w:lang w:val="en-GB"/>
        </w:rPr>
        <w:t>(Marquis, Toffel, &amp; Zhou, 2016).</w:t>
      </w:r>
      <w:r>
        <w:t xml:space="preserve"> </w:t>
      </w:r>
      <w:r w:rsidR="009176A8">
        <w:t>While i</w:t>
      </w:r>
      <w:r>
        <w:t>t may temporarily placate stakeholders or stave off reputational damage, it carries serious risks. If exposed, greenwashing can backfire, leading to public relations crises, loss of trust, and regulatory penalties</w:t>
      </w:r>
      <w:r w:rsidR="007E0782">
        <w:t xml:space="preserve"> (Zyglidopoulos, 2002)</w:t>
      </w:r>
      <w:r>
        <w:t xml:space="preserve">. Scholars </w:t>
      </w:r>
      <w:r w:rsidR="003A0535">
        <w:t>emphasize</w:t>
      </w:r>
      <w:r>
        <w:t xml:space="preserve"> that the motive behind greenwashing is often to signal a commitment to change and gain legitimacy without incurring the full cost of </w:t>
      </w:r>
      <w:r w:rsidR="003A0535">
        <w:t>genuine</w:t>
      </w:r>
      <w:r>
        <w:t xml:space="preserve"> reform</w:t>
      </w:r>
      <w:r w:rsidR="00861F2F">
        <w:t xml:space="preserve"> (Garrow &amp; Valentine, 2012)</w:t>
      </w:r>
      <w:r w:rsidR="00476D28">
        <w:t xml:space="preserve"> or as part of strategic managerial decision-making regarding CSR activities (Schmitz &amp; Schrader, 2015)</w:t>
      </w:r>
      <w:r>
        <w:t xml:space="preserve">. For example, Walker and Wan (2012) argue that firms sometimes engage in highly visible green actions </w:t>
      </w:r>
      <w:r w:rsidR="003A0535">
        <w:t>primarily</w:t>
      </w:r>
      <w:r>
        <w:t xml:space="preserve"> to signal a credible commitment to sustainability, even if those actions are superficial. From a legitimacy perspective, greenwashing is a way to manage external impressions and buy time or goodwill (Suchman, 1995). However, as Seele and Gatti (2017) point out, greenwashing is typically identified by external accusations, it </w:t>
      </w:r>
      <w:r w:rsidR="003A0535">
        <w:t>fundamentally stems from</w:t>
      </w:r>
      <w:r>
        <w:t xml:space="preserve"> a </w:t>
      </w:r>
      <w:r w:rsidR="003A0535">
        <w:t xml:space="preserve">perceived </w:t>
      </w:r>
      <w:r>
        <w:t xml:space="preserve">gap between a company’s </w:t>
      </w:r>
      <w:r w:rsidR="00176690">
        <w:t xml:space="preserve">communications and its actual practices. In sum, </w:t>
      </w:r>
      <w:r w:rsidR="003A0535">
        <w:t>although</w:t>
      </w:r>
      <w:r w:rsidR="00176690">
        <w:t xml:space="preserve"> symbolic ESG actions like greenwashing may offer short-term relief from stakeholder pressure, they undermine trust and can erode a firm’s legitimacy if the green façade is unmasked.</w:t>
      </w:r>
    </w:p>
    <w:p w14:paraId="1D46B27E" w14:textId="6E8E4697" w:rsidR="00923F2B" w:rsidRDefault="00176690" w:rsidP="00660985">
      <w:pPr>
        <w:pStyle w:val="Kop2"/>
        <w:rPr>
          <w:lang w:val="en-GB"/>
        </w:rPr>
      </w:pPr>
      <w:bookmarkStart w:id="5" w:name="_Toc202218696"/>
      <w:r>
        <w:rPr>
          <w:lang w:val="en-GB"/>
        </w:rPr>
        <w:t>ESG-Driven acquisitions: Stakeholder and Signaling perspectives</w:t>
      </w:r>
      <w:bookmarkEnd w:id="5"/>
    </w:p>
    <w:p w14:paraId="7731178C" w14:textId="4B0F6AC8" w:rsidR="00176690" w:rsidRDefault="00176690" w:rsidP="00176690">
      <w:pPr>
        <w:rPr>
          <w:lang w:val="en-GB"/>
        </w:rPr>
      </w:pPr>
      <w:r>
        <w:rPr>
          <w:lang w:val="en-GB"/>
        </w:rPr>
        <w:t xml:space="preserve">Beyond initial initiatives, an emerging strategic response to ESG pressures is to improve sustainability through mergers and acquisitions (M&amp;A). Instead of overhauling internal operations, a firm with a weak ESG profile can acquire another company that already excels in sustainability. By doing so, the acquirer’s consolidated ESG profile might improve virtually overnight as the target’s high ratings are </w:t>
      </w:r>
      <w:r w:rsidR="003A0535">
        <w:rPr>
          <w:lang w:val="en-GB"/>
        </w:rPr>
        <w:t>incorporated</w:t>
      </w:r>
      <w:r>
        <w:rPr>
          <w:lang w:val="en-GB"/>
        </w:rPr>
        <w:t xml:space="preserve"> into the combined firm’s evaluation. This tactic has been observed anecdotally, for instance, oil majors acquiring renewable energy firms, or consumer goods conglomerates </w:t>
      </w:r>
      <w:r w:rsidR="003A0535">
        <w:rPr>
          <w:lang w:val="en-GB"/>
        </w:rPr>
        <w:t>purchasing</w:t>
      </w:r>
      <w:r>
        <w:rPr>
          <w:lang w:val="en-GB"/>
        </w:rPr>
        <w:t xml:space="preserve"> niche eco-friendly brands, often with </w:t>
      </w:r>
      <w:r w:rsidR="003A0535">
        <w:rPr>
          <w:lang w:val="en-GB"/>
        </w:rPr>
        <w:t>accompanied by significant fanfare about the sustainability benefits of the deal</w:t>
      </w:r>
      <w:r>
        <w:rPr>
          <w:lang w:val="en-GB"/>
        </w:rPr>
        <w:t xml:space="preserve">. Such acquisitions allow the acquirer to </w:t>
      </w:r>
      <w:r w:rsidR="003A0535">
        <w:rPr>
          <w:lang w:val="en-GB"/>
        </w:rPr>
        <w:t>prominently</w:t>
      </w:r>
      <w:r>
        <w:rPr>
          <w:lang w:val="en-GB"/>
        </w:rPr>
        <w:t xml:space="preserve"> signal a green transformation to stakeholders by </w:t>
      </w:r>
      <w:r w:rsidR="003A0535">
        <w:rPr>
          <w:lang w:val="en-GB"/>
        </w:rPr>
        <w:t>referencing</w:t>
      </w:r>
      <w:r>
        <w:rPr>
          <w:lang w:val="en-GB"/>
        </w:rPr>
        <w:t xml:space="preserve"> the target’s credentials. In signaling theory terms (Spence, 1973), high-ESG acquisitions can serve as a costly, visible signal of the firm’s purported commitment to sustainability. The deal itself is a public event that garners </w:t>
      </w:r>
      <w:r w:rsidR="003A0535">
        <w:rPr>
          <w:lang w:val="en-GB"/>
        </w:rPr>
        <w:t>media attention</w:t>
      </w:r>
      <w:r>
        <w:rPr>
          <w:lang w:val="en-GB"/>
        </w:rPr>
        <w:t xml:space="preserve">; a firm making a sizeable investment in a sustainable business is ostensibly </w:t>
      </w:r>
      <w:r w:rsidR="003A0535">
        <w:rPr>
          <w:lang w:val="en-GB"/>
        </w:rPr>
        <w:t>demonstrating</w:t>
      </w:r>
      <w:r>
        <w:rPr>
          <w:lang w:val="en-GB"/>
        </w:rPr>
        <w:t xml:space="preserve"> that it takes ESG seriously. This aligns with the </w:t>
      </w:r>
      <w:r w:rsidR="003A0535">
        <w:rPr>
          <w:lang w:val="en-GB"/>
        </w:rPr>
        <w:t>notion</w:t>
      </w:r>
      <w:r>
        <w:rPr>
          <w:lang w:val="en-GB"/>
        </w:rPr>
        <w:t xml:space="preserve"> that firms engage in conspicuous ESG actions to signal legitimacy to skeptical audiences. If stakeholders and markets view the acquisition as credible evidence of a strategic shift, the firm may enjoy enhanced reputation or goodwill (Connelly et al., 2011; Walker &amp; Wan, 2012).</w:t>
      </w:r>
    </w:p>
    <w:p w14:paraId="6A5883C9" w14:textId="39DA67BE" w:rsidR="00176690" w:rsidRDefault="00176690" w:rsidP="00176690">
      <w:pPr>
        <w:rPr>
          <w:lang w:val="en-GB"/>
        </w:rPr>
      </w:pPr>
      <w:r>
        <w:rPr>
          <w:lang w:val="en-GB"/>
        </w:rPr>
        <w:t xml:space="preserve">From a stakeholder theory perspective, pursuing an ESG-driven acquisition can be seen as a pragmatic response to stakeholder demands. Firms </w:t>
      </w:r>
      <w:r w:rsidR="00F7142A">
        <w:rPr>
          <w:lang w:val="en-GB"/>
        </w:rPr>
        <w:t xml:space="preserve">operating </w:t>
      </w:r>
      <w:r>
        <w:rPr>
          <w:lang w:val="en-GB"/>
        </w:rPr>
        <w:t xml:space="preserve">in highly scrutinized industries or those recently criticized for ESG failures might adopt a buy strategy to quickly address their credibility gap. By </w:t>
      </w:r>
      <w:r w:rsidR="00F7142A">
        <w:rPr>
          <w:lang w:val="en-GB"/>
        </w:rPr>
        <w:t>acquiring</w:t>
      </w:r>
      <w:r>
        <w:rPr>
          <w:lang w:val="en-GB"/>
        </w:rPr>
        <w:t xml:space="preserve"> a reputable, sustainability-oriented company, the acquirer </w:t>
      </w:r>
      <w:r w:rsidR="00F7142A">
        <w:rPr>
          <w:lang w:val="en-GB"/>
        </w:rPr>
        <w:t xml:space="preserve">signals </w:t>
      </w:r>
      <w:r>
        <w:rPr>
          <w:lang w:val="en-GB"/>
        </w:rPr>
        <w:t>stakeholders</w:t>
      </w:r>
      <w:r w:rsidR="00D65C6F">
        <w:rPr>
          <w:lang w:val="en-GB"/>
        </w:rPr>
        <w:t xml:space="preserve"> that </w:t>
      </w:r>
      <w:r w:rsidR="00F7142A">
        <w:rPr>
          <w:lang w:val="en-GB"/>
        </w:rPr>
        <w:t>it is</w:t>
      </w:r>
      <w:r w:rsidR="00D65C6F">
        <w:rPr>
          <w:lang w:val="en-GB"/>
        </w:rPr>
        <w:t xml:space="preserve"> embracing sustainability by partnering with an exemplary firm. This can bolster legitimacy in the short term. Prior </w:t>
      </w:r>
      <w:r w:rsidR="00F7142A">
        <w:rPr>
          <w:lang w:val="en-GB"/>
        </w:rPr>
        <w:t>research</w:t>
      </w:r>
      <w:r w:rsidR="00D65C6F">
        <w:rPr>
          <w:lang w:val="en-GB"/>
        </w:rPr>
        <w:t xml:space="preserve"> suggests that external stakeholder pressures </w:t>
      </w:r>
      <w:r w:rsidR="00F7142A">
        <w:rPr>
          <w:lang w:val="en-GB"/>
        </w:rPr>
        <w:t>indeed</w:t>
      </w:r>
      <w:r w:rsidR="00D65C6F">
        <w:rPr>
          <w:lang w:val="en-GB"/>
        </w:rPr>
        <w:t xml:space="preserve"> influence such strategic moves.</w:t>
      </w:r>
      <w:r w:rsidR="00F7142A">
        <w:rPr>
          <w:lang w:val="en-GB"/>
        </w:rPr>
        <w:t xml:space="preserve"> For example,</w:t>
      </w:r>
      <w:r w:rsidR="00D65C6F">
        <w:rPr>
          <w:lang w:val="en-GB"/>
        </w:rPr>
        <w:t xml:space="preserve"> Li et al. (2020) describe green M&amp;A as acquisitions where a polluting firm </w:t>
      </w:r>
      <w:r w:rsidR="00F7142A">
        <w:rPr>
          <w:lang w:val="en-GB"/>
        </w:rPr>
        <w:t>acquires</w:t>
      </w:r>
      <w:r w:rsidR="00D65C6F">
        <w:rPr>
          <w:lang w:val="en-GB"/>
        </w:rPr>
        <w:t xml:space="preserve"> a cleaner firm to obtain valuable environmental capabilities. Resource-based theory </w:t>
      </w:r>
      <w:r w:rsidR="00F7142A">
        <w:rPr>
          <w:lang w:val="en-GB"/>
        </w:rPr>
        <w:t xml:space="preserve">further </w:t>
      </w:r>
      <w:r w:rsidR="00D65C6F">
        <w:rPr>
          <w:lang w:val="en-GB"/>
        </w:rPr>
        <w:t>supports this</w:t>
      </w:r>
      <w:r w:rsidR="00F7142A">
        <w:rPr>
          <w:lang w:val="en-GB"/>
        </w:rPr>
        <w:t xml:space="preserve"> view</w:t>
      </w:r>
      <w:r w:rsidR="00D65C6F">
        <w:rPr>
          <w:lang w:val="en-GB"/>
        </w:rPr>
        <w:t xml:space="preserve">: the target’s ESG strengths are strategic assets that the acquirer can deploy more broadly (Hart, 1995). Resource dependence theory likewise frames such deals as a </w:t>
      </w:r>
      <w:r w:rsidR="00F7142A">
        <w:rPr>
          <w:lang w:val="en-GB"/>
        </w:rPr>
        <w:t>means</w:t>
      </w:r>
      <w:r w:rsidR="00D65C6F">
        <w:rPr>
          <w:lang w:val="en-GB"/>
        </w:rPr>
        <w:t xml:space="preserve"> for the acquirer to secure critical sustainability resources from the environment (Pfeffer &amp; Salancik, 1978). In theory, by internalizing the target’s know-how and goodwill, the acquirer not only improves its ESG metrics but </w:t>
      </w:r>
      <w:r w:rsidR="00F7142A">
        <w:rPr>
          <w:lang w:val="en-GB"/>
        </w:rPr>
        <w:t xml:space="preserve">may </w:t>
      </w:r>
      <w:r w:rsidR="00D65C6F">
        <w:rPr>
          <w:lang w:val="en-GB"/>
        </w:rPr>
        <w:t xml:space="preserve">also </w:t>
      </w:r>
      <w:r w:rsidR="00F7142A">
        <w:rPr>
          <w:lang w:val="en-GB"/>
        </w:rPr>
        <w:t>develop</w:t>
      </w:r>
      <w:r w:rsidR="00D65C6F">
        <w:rPr>
          <w:lang w:val="en-GB"/>
        </w:rPr>
        <w:t xml:space="preserve"> </w:t>
      </w:r>
      <w:r w:rsidR="00F7142A">
        <w:rPr>
          <w:lang w:val="en-GB"/>
        </w:rPr>
        <w:t>the capability</w:t>
      </w:r>
      <w:r w:rsidR="00D65C6F">
        <w:rPr>
          <w:lang w:val="en-GB"/>
        </w:rPr>
        <w:t xml:space="preserve"> to operate more sustainably in the long run. Some scholars argue that </w:t>
      </w:r>
      <w:r w:rsidR="00F7142A">
        <w:rPr>
          <w:lang w:val="en-GB"/>
        </w:rPr>
        <w:t>such</w:t>
      </w:r>
      <w:r w:rsidR="00D65C6F">
        <w:rPr>
          <w:lang w:val="en-GB"/>
        </w:rPr>
        <w:t xml:space="preserve"> deals can </w:t>
      </w:r>
      <w:r w:rsidR="00F7142A">
        <w:rPr>
          <w:lang w:val="en-GB"/>
        </w:rPr>
        <w:t>represent a</w:t>
      </w:r>
      <w:r w:rsidR="00D65C6F">
        <w:rPr>
          <w:lang w:val="en-GB"/>
        </w:rPr>
        <w:t xml:space="preserve"> win-win</w:t>
      </w:r>
      <w:r w:rsidR="00F7142A">
        <w:rPr>
          <w:lang w:val="en-GB"/>
        </w:rPr>
        <w:t xml:space="preserve"> scenario</w:t>
      </w:r>
      <w:r w:rsidR="00D65C6F">
        <w:rPr>
          <w:lang w:val="en-GB"/>
        </w:rPr>
        <w:t>: they satisfy stakeholders expectations and may even enhance financial performance if synergies are realized</w:t>
      </w:r>
      <w:r w:rsidR="00F7142A">
        <w:rPr>
          <w:lang w:val="en-GB"/>
        </w:rPr>
        <w:t xml:space="preserve"> (Deng et al., 2013; Fatemi et al., 2015)</w:t>
      </w:r>
      <w:r w:rsidR="00D65C6F">
        <w:rPr>
          <w:lang w:val="en-GB"/>
        </w:rPr>
        <w:t>. In fact, recent evidence indicates the market sometimes rewards high-ESG acquisitions with higher valuations and deal premiums, suggesting investors anticipate real benefits from the combination</w:t>
      </w:r>
      <w:r w:rsidR="00F7142A">
        <w:rPr>
          <w:lang w:val="en-GB"/>
        </w:rPr>
        <w:t xml:space="preserve"> (Aktas et al., 2011; Li et al., 2020)</w:t>
      </w:r>
      <w:r w:rsidR="00D65C6F">
        <w:rPr>
          <w:lang w:val="en-GB"/>
        </w:rPr>
        <w:t>.</w:t>
      </w:r>
    </w:p>
    <w:p w14:paraId="194642EB" w14:textId="3869753E" w:rsidR="00D65C6F" w:rsidRDefault="00D65C6F" w:rsidP="00176690">
      <w:pPr>
        <w:rPr>
          <w:lang w:val="en-GB"/>
        </w:rPr>
      </w:pPr>
      <w:r>
        <w:rPr>
          <w:lang w:val="en-GB"/>
        </w:rPr>
        <w:t xml:space="preserve">The first key question, then, is whether acquiring a sustainable target does lead to an improvement in the acquirer's ESG performance. This </w:t>
      </w:r>
      <w:r w:rsidR="00F7142A">
        <w:rPr>
          <w:lang w:val="en-GB"/>
        </w:rPr>
        <w:t>froms</w:t>
      </w:r>
      <w:r>
        <w:rPr>
          <w:lang w:val="en-GB"/>
        </w:rPr>
        <w:t xml:space="preserve"> the basis for Hypothesis 1. There is growing empirical support for an ESG uplift effect</w:t>
      </w:r>
      <w:r w:rsidR="00F7142A">
        <w:rPr>
          <w:lang w:val="en-GB"/>
        </w:rPr>
        <w:t>,</w:t>
      </w:r>
      <w:r>
        <w:rPr>
          <w:lang w:val="en-GB"/>
        </w:rPr>
        <w:t xml:space="preserve"> </w:t>
      </w:r>
      <w:r w:rsidR="00F7142A">
        <w:rPr>
          <w:lang w:val="en-GB"/>
        </w:rPr>
        <w:t>meaning that</w:t>
      </w:r>
      <w:r>
        <w:rPr>
          <w:lang w:val="en-GB"/>
        </w:rPr>
        <w:t xml:space="preserve"> acquirers of high-ESG targets tend to see their own ESG scores rise after the merger. Nguyen et al. (2025) document that when a firm buys a target with a higher ESG rating, the acquirer’s post-merger ESG rating increases significantly on average. Notably, in their global sample, the environmental component of the ESG rating showed the largest improvement for acquirers, suggesting that purchasing a cleaner company can substantially boost the acquirer’s environmental metrics. Similarly, Naveed (2024) finds mixed but suggestive results in a study of U.S. acquisitions: on </w:t>
      </w:r>
      <w:r w:rsidR="00F7142A">
        <w:rPr>
          <w:lang w:val="en-GB"/>
        </w:rPr>
        <w:t>average</w:t>
      </w:r>
      <w:r>
        <w:rPr>
          <w:lang w:val="en-GB"/>
        </w:rPr>
        <w:t xml:space="preserve">, acquirers with lower initial ESG who purchased high-ESG targets </w:t>
      </w:r>
      <w:r w:rsidR="00F7142A">
        <w:rPr>
          <w:lang w:val="en-GB"/>
        </w:rPr>
        <w:t>experienced improvements</w:t>
      </w:r>
      <w:r>
        <w:rPr>
          <w:lang w:val="en-GB"/>
        </w:rPr>
        <w:t xml:space="preserve"> </w:t>
      </w:r>
      <w:r w:rsidR="00F7142A">
        <w:rPr>
          <w:lang w:val="en-GB"/>
        </w:rPr>
        <w:t>i</w:t>
      </w:r>
      <w:r>
        <w:rPr>
          <w:lang w:val="en-GB"/>
        </w:rPr>
        <w:t xml:space="preserve">n certain ESG dimensions one year post-acquisition. These improvements likely reflect an inheritance effect, </w:t>
      </w:r>
      <w:r w:rsidR="0085359F">
        <w:rPr>
          <w:lang w:val="en-GB"/>
        </w:rPr>
        <w:t xml:space="preserve">whereby </w:t>
      </w:r>
      <w:r>
        <w:rPr>
          <w:lang w:val="en-GB"/>
        </w:rPr>
        <w:t xml:space="preserve">the acquirer effectively inherits the target’s superior practices, data, and stakeholder goodwill </w:t>
      </w:r>
      <w:r w:rsidR="0085359F">
        <w:rPr>
          <w:lang w:val="en-GB"/>
        </w:rPr>
        <w:t>as</w:t>
      </w:r>
      <w:r>
        <w:rPr>
          <w:lang w:val="en-GB"/>
        </w:rPr>
        <w:t xml:space="preserve"> the two firms’ ESG profiles are consolidated. Consistent with this, an earlier study by Aktas et al. (2011) found that the environmental and social performance of acquirers increased following acquisitions of socially responsible</w:t>
      </w:r>
      <w:r w:rsidR="002F6BFD">
        <w:rPr>
          <w:lang w:val="en-GB"/>
        </w:rPr>
        <w:t xml:space="preserve"> targets, implying that acquirers can learn from and incorporate the sustainability practices of the target.</w:t>
      </w:r>
    </w:p>
    <w:p w14:paraId="6256E415" w14:textId="02E1FC68" w:rsidR="00176690" w:rsidRDefault="002F6BFD" w:rsidP="00176690">
      <w:pPr>
        <w:rPr>
          <w:lang w:val="en-GB"/>
        </w:rPr>
      </w:pPr>
      <w:r>
        <w:rPr>
          <w:lang w:val="en-GB"/>
        </w:rPr>
        <w:t>In formulating H1, we therefore expect that acquisitions of high-ESG targets will be followed by a measurable uptick in the acquirer’s ESG ratings. This expectation aligns with stakeholder-driven motives</w:t>
      </w:r>
      <w:r w:rsidR="0085359F">
        <w:rPr>
          <w:lang w:val="en-GB"/>
        </w:rPr>
        <w:t xml:space="preserve"> (Freeman, 1984)</w:t>
      </w:r>
      <w:r>
        <w:rPr>
          <w:lang w:val="en-GB"/>
        </w:rPr>
        <w:t xml:space="preserve"> and signaling theory</w:t>
      </w:r>
      <w:r w:rsidR="0085359F">
        <w:rPr>
          <w:lang w:val="en-GB"/>
        </w:rPr>
        <w:t xml:space="preserve"> (Spence, 1973)</w:t>
      </w:r>
      <w:r>
        <w:rPr>
          <w:lang w:val="en-GB"/>
        </w:rPr>
        <w:t xml:space="preserve">. If supported, it would </w:t>
      </w:r>
      <w:r w:rsidR="0085359F">
        <w:rPr>
          <w:lang w:val="en-GB"/>
        </w:rPr>
        <w:t>suggest</w:t>
      </w:r>
      <w:r>
        <w:rPr>
          <w:lang w:val="en-GB"/>
        </w:rPr>
        <w:t xml:space="preserve"> that M&amp;A can serve as a</w:t>
      </w:r>
      <w:r w:rsidR="0085359F">
        <w:rPr>
          <w:lang w:val="en-GB"/>
        </w:rPr>
        <w:t xml:space="preserve"> relatively</w:t>
      </w:r>
      <w:r>
        <w:rPr>
          <w:lang w:val="en-GB"/>
        </w:rPr>
        <w:t xml:space="preserve"> quick pathway for firms to bolster their ESG profile. However, it is important to acknowledge potential causal inference challenges in this relationship. Firms that choose to make sustainability-driven acquisitions might differ systematically from those that do not, raising </w:t>
      </w:r>
      <w:r w:rsidR="0085359F">
        <w:rPr>
          <w:lang w:val="en-GB"/>
        </w:rPr>
        <w:t>concerns</w:t>
      </w:r>
      <w:r>
        <w:rPr>
          <w:lang w:val="en-GB"/>
        </w:rPr>
        <w:t xml:space="preserve"> of reverse causality and selection bias. For instance, a company may have already decided to improve its ESG performance and both undertake internal changes and acquire a high-ESG target. In such a case, the post-merger ESG gains might not be solely caused by the acquisition. </w:t>
      </w:r>
    </w:p>
    <w:p w14:paraId="11B3FD73" w14:textId="54C8F433" w:rsidR="00D04F77" w:rsidRDefault="00EB75D9" w:rsidP="00EB75D9">
      <w:pPr>
        <w:pStyle w:val="Kop2"/>
        <w:rPr>
          <w:lang w:val="en-GB"/>
        </w:rPr>
      </w:pPr>
      <w:bookmarkStart w:id="6" w:name="_Toc202218697"/>
      <w:r>
        <w:rPr>
          <w:lang w:val="en-GB"/>
        </w:rPr>
        <w:t>Mechanisms of ESG improvement in M&amp;A: Greenwashing vs. Real Change</w:t>
      </w:r>
      <w:bookmarkEnd w:id="6"/>
    </w:p>
    <w:p w14:paraId="5797441E" w14:textId="68EA0FAE" w:rsidR="00EB75D9" w:rsidRDefault="00EB75D9" w:rsidP="00EB75D9">
      <w:pPr>
        <w:rPr>
          <w:lang w:val="en-GB"/>
        </w:rPr>
      </w:pPr>
      <w:r>
        <w:rPr>
          <w:lang w:val="en-GB"/>
        </w:rPr>
        <w:t xml:space="preserve">While existing research increasingly shows that acquisitions of high-ESG targets can lead to measurable improvements in the acquirer’s ESG profile, the underlying mechanism driving these improvements </w:t>
      </w:r>
      <w:r w:rsidR="00B141E3">
        <w:rPr>
          <w:lang w:val="en-GB"/>
        </w:rPr>
        <w:t>remains an open question. Specifically, it is unclear whether such gains result from meaningful internal changes at the acquiring firm or whether they merely reflect the assimilation of the target’s superior ESG credentials, a dynamic that could be interpreted as a form of greenwashing</w:t>
      </w:r>
      <w:r w:rsidR="0085359F">
        <w:rPr>
          <w:lang w:val="en-GB"/>
        </w:rPr>
        <w:t xml:space="preserve"> (Delmas &amp; Burbano, 2011; Mahoney, Thorne, Cecil, &amp; LaGore, 2013)</w:t>
      </w:r>
      <w:r w:rsidR="00B141E3">
        <w:rPr>
          <w:lang w:val="en-GB"/>
        </w:rPr>
        <w:t>.</w:t>
      </w:r>
      <w:r w:rsidR="0085359F">
        <w:rPr>
          <w:lang w:val="en-GB"/>
        </w:rPr>
        <w:t xml:space="preserve"> Disentangling these possibilities is crucial for understanding whether high-ESG acquisitions serve as genuine catalysts for sustainability or primarily as symbolic actions aimed at satisfying stakeholder expectations.</w:t>
      </w:r>
    </w:p>
    <w:p w14:paraId="193B24B0" w14:textId="1ADD091B" w:rsidR="00B141E3" w:rsidRDefault="00B141E3" w:rsidP="00EB75D9">
      <w:pPr>
        <w:rPr>
          <w:lang w:val="en-GB"/>
        </w:rPr>
      </w:pPr>
      <w:r>
        <w:rPr>
          <w:lang w:val="en-GB"/>
        </w:rPr>
        <w:t>One possibility is that these acquisitions act as a catalyst for substantive, long-term improvements in the acquirer’s sustainability practices. In this scenario, the target’s ESG strengths, such as advanced environmental technologies, superior social practices, or robust governance structures, are actively integrated into the acquirer’s operations. Over time, the acquirer may adopt the target’s environmental initiatives, institutionalize its governance mechanisms, and internalize social policies, leading to tangible improvements in sustainability performance</w:t>
      </w:r>
      <w:r w:rsidR="007E0782">
        <w:rPr>
          <w:lang w:val="en-GB"/>
        </w:rPr>
        <w:t xml:space="preserve"> (Weber, 1996)</w:t>
      </w:r>
      <w:r>
        <w:rPr>
          <w:lang w:val="en-GB"/>
        </w:rPr>
        <w:t xml:space="preserve">. From this perspective, the acquisition functions not merely as a superficial ratings enhancement but as a strategic tool for acquiring capabilities, knowledge, and resources that drive real, measurable change. Such an outcome would align with the resource-based view of the firm (Hart, 1995) and resource dependence theory (Pfeffer &amp; Salancik, 1978), both of which </w:t>
      </w:r>
      <w:r w:rsidR="0085359F">
        <w:rPr>
          <w:lang w:val="en-GB"/>
        </w:rPr>
        <w:t>suggest</w:t>
      </w:r>
      <w:r>
        <w:rPr>
          <w:lang w:val="en-GB"/>
        </w:rPr>
        <w:t xml:space="preserve"> that firms can enhance competitive advantage by acquiring and effectively integrating valuable external resources. Empirical studies offer some support for this optimistic interpretation. For example, Nguyen et al. (2025) find that acquirers of high-ESG targets not only experience post-merger ESG improvements but also enjoy enhanced financial performance and elevated market valuations, suggesting that markets perceive these deal as sources of real, value-adding change.</w:t>
      </w:r>
    </w:p>
    <w:p w14:paraId="57C5DE68" w14:textId="3BA4623C" w:rsidR="00B141E3" w:rsidRDefault="00B141E3" w:rsidP="00EB75D9">
      <w:pPr>
        <w:rPr>
          <w:lang w:val="en-GB"/>
        </w:rPr>
      </w:pPr>
      <w:r>
        <w:rPr>
          <w:lang w:val="en-GB"/>
        </w:rPr>
        <w:t>An alternative interpretation is that the observed ESG improvements following such acquisitions are largely superficial, driven by the mere consolidation of the target’s pre-existing ESG attributes into the acquirer’s overall ratings. In this case, the acquirer effectively buys a better ESG score without implementing meaningful internal reforms. The post-merger ESG uplift may thus be an accounting artifact, reflecting the absorption of the target’s data rather than a genuine transformation of the acquirer’s practices. From this perspective, the acquisition serves as a form of greenwashing, enabling the firm to signal ESG progress to stakeholders while avoiding the time-consuming and costly process of internal change</w:t>
      </w:r>
      <w:r w:rsidR="00706EB7">
        <w:rPr>
          <w:lang w:val="en-GB"/>
        </w:rPr>
        <w:t xml:space="preserve"> (Delmas &amp; Burbano, 2011; Lyon &amp; Montgomery, 2015)</w:t>
      </w:r>
      <w:r>
        <w:rPr>
          <w:lang w:val="en-GB"/>
        </w:rPr>
        <w:t>. Scholars have cautioned that, in some, cases, this dynamic can lead to stakeholder deception, where the appearance of improved sustainability masks a lack of real progress (Walker &amp; Wan, 2012; Seele &amp; Gatti, 2017). Recent research by Tang et al. (2024) further suggests that markets may be skeptical of such superficial improvements, as evidence</w:t>
      </w:r>
      <w:r w:rsidR="000A3D73">
        <w:rPr>
          <w:lang w:val="en-GB"/>
        </w:rPr>
        <w:t>d</w:t>
      </w:r>
      <w:r>
        <w:rPr>
          <w:lang w:val="en-GB"/>
        </w:rPr>
        <w:t xml:space="preserve"> by lower announcement returns for deals </w:t>
      </w:r>
      <w:r w:rsidR="000A3D73">
        <w:rPr>
          <w:lang w:val="en-GB"/>
        </w:rPr>
        <w:t>characterized by a large ESG distance between the acquirer and target. In other words, when a firm with a weak ESG profile acquires a significantly more sustainable target, investor may question the feasibility of integration and suspect the deal’s primary motive is reputational rather than operational.</w:t>
      </w:r>
    </w:p>
    <w:p w14:paraId="53A83DD6" w14:textId="3A4556BA" w:rsidR="000A3D73" w:rsidRDefault="000A3D73" w:rsidP="00EB75D9">
      <w:pPr>
        <w:rPr>
          <w:lang w:val="en-GB"/>
        </w:rPr>
      </w:pPr>
      <w:r>
        <w:rPr>
          <w:lang w:val="en-GB"/>
        </w:rPr>
        <w:t xml:space="preserve">The degree to which post-merger ESG improvements are driven by the target’s pre-existing ESG advantage, as opposed to new initiatives undertaken by the acquirer, </w:t>
      </w:r>
      <w:r w:rsidR="00706EB7">
        <w:rPr>
          <w:lang w:val="en-GB"/>
        </w:rPr>
        <w:t>represents</w:t>
      </w:r>
      <w:r>
        <w:rPr>
          <w:lang w:val="en-GB"/>
        </w:rPr>
        <w:t xml:space="preserve"> a crucial empirical question. To investigate this, the second hypothesis of this study posits that the magnitude of the acquirer’s ESG improvement is positively correlated with the ESG advantage of the target. If the data reveal that acquirers experience greater ESG gains when the acquired firm had a substantially higher ESG score pre-merger, this would indicate that improvements are primarily inherited from the target rather than resulting from substantive changes by the acquirer. Such a finding would lend strong support to the greenwashing interpretation</w:t>
      </w:r>
      <w:r w:rsidR="00706EB7">
        <w:rPr>
          <w:lang w:val="en-GB"/>
        </w:rPr>
        <w:t>, whereby apparent ESG progress reflects the assimilation of the target’s superior credentials rather than genuine organizational transformation (Delmas &amp; Burbano, 2011; Mahoney, Thorne, Cecil, &amp; LaGore, 2013).</w:t>
      </w:r>
    </w:p>
    <w:p w14:paraId="3800364F" w14:textId="57A1CA68" w:rsidR="000A3D73" w:rsidRDefault="000A3D73" w:rsidP="00EB75D9">
      <w:pPr>
        <w:rPr>
          <w:lang w:val="en-GB"/>
        </w:rPr>
      </w:pPr>
      <w:r>
        <w:rPr>
          <w:lang w:val="en-GB"/>
        </w:rPr>
        <w:t xml:space="preserve">Conversely, if ESG gains are observed regardless of the target’s ESG advantage, or if improvements extend beyond </w:t>
      </w:r>
      <w:r w:rsidR="00706EB7">
        <w:rPr>
          <w:lang w:val="en-GB"/>
        </w:rPr>
        <w:t>what</w:t>
      </w:r>
      <w:r>
        <w:rPr>
          <w:lang w:val="en-GB"/>
        </w:rPr>
        <w:t xml:space="preserve"> can be explained by simple score consolidation, it would suggest that acquirers are implementing meaningful internal reforms following the transaction. In this case, the acquisition may act as a catalyst for genuine sustainability enhancement, where</w:t>
      </w:r>
      <w:r w:rsidR="00706EB7">
        <w:rPr>
          <w:lang w:val="en-GB"/>
        </w:rPr>
        <w:t>by</w:t>
      </w:r>
      <w:r>
        <w:rPr>
          <w:lang w:val="en-GB"/>
        </w:rPr>
        <w:t xml:space="preserve"> the target’s ESG strengths serve not only as a reputational asset but also as a foundation for broader organizational learning and change.</w:t>
      </w:r>
    </w:p>
    <w:p w14:paraId="3C958F7D" w14:textId="0A93D0C2" w:rsidR="000A3D73" w:rsidRDefault="000A3D73" w:rsidP="00EB75D9">
      <w:pPr>
        <w:rPr>
          <w:lang w:val="en-GB"/>
        </w:rPr>
      </w:pPr>
      <w:r>
        <w:rPr>
          <w:lang w:val="en-GB"/>
        </w:rPr>
        <w:t>Preliminary evidence offers mixed insights into these competing mechanisms. For instance, Naveed (2024) finds that the environmental component of ESG scores often shows the most significant post-merger improvement, while social and governance dimensions exhibit less pronounced changes. This pattern suggests that more easily transferable aspects of ESG performance, such as environmental technologies or operational metrics, may drive short-term rating improvements, whereas deeper cultural or governance practices require longer time horizons to integrate, if they are integrated at all. Furthermore, time-series analyses indicate that in some cases, ESG improvements plateau after the initial post-merger period, consistent with the interpretation that the uplift reflects an inherited, one-off effect rather than a sustained trajectory of improvement.</w:t>
      </w:r>
    </w:p>
    <w:p w14:paraId="1BBFF7AC" w14:textId="021F4307" w:rsidR="000A3D73" w:rsidRPr="00EB75D9" w:rsidRDefault="000A3D73" w:rsidP="00EB75D9">
      <w:pPr>
        <w:rPr>
          <w:lang w:val="en-GB"/>
        </w:rPr>
      </w:pPr>
      <w:r>
        <w:rPr>
          <w:lang w:val="en-GB"/>
        </w:rPr>
        <w:t xml:space="preserve">In light of these insights, this study will empirically test whether the acquirer’s ESG improvements following the acquisition of a high-ESG target can be primarily attributed to the target’s </w:t>
      </w:r>
      <w:r w:rsidR="00453C16">
        <w:rPr>
          <w:lang w:val="en-GB"/>
        </w:rPr>
        <w:t>superior ESG performance. By decomposing post-merger ESG changes and analyzing the relationship between the target’s pre-merger ESG advantage and the acquirer’s subsequent performance, the study aims to shed light on whether these deals predominantly represent a shortcut to improved ESG metrics or a legitimate pathway to enhance sustainability. This distinction carries significant implication for academic theory, regulatory oversight, and stakeholder interpretation of corporate sustainability efforts in the context of M&amp;A activity.</w:t>
      </w:r>
    </w:p>
    <w:p w14:paraId="4113464E" w14:textId="77777777" w:rsidR="007A1669" w:rsidRPr="00BC447E" w:rsidRDefault="007A1669" w:rsidP="007A1669"/>
    <w:p w14:paraId="5C1AB45C" w14:textId="77777777" w:rsidR="007A1669" w:rsidRDefault="007A1669">
      <w:pPr>
        <w:spacing w:line="240" w:lineRule="auto"/>
        <w:ind w:firstLine="0"/>
        <w:jc w:val="left"/>
        <w:rPr>
          <w:rFonts w:eastAsia="Times New Roman"/>
          <w:b/>
          <w:bCs/>
          <w:color w:val="000000"/>
          <w:sz w:val="28"/>
          <w:szCs w:val="32"/>
        </w:rPr>
      </w:pPr>
      <w:r>
        <w:br w:type="page"/>
      </w:r>
    </w:p>
    <w:p w14:paraId="48A69150" w14:textId="77777777" w:rsidR="00D04F77" w:rsidRDefault="00D04F77" w:rsidP="00D04F77">
      <w:pPr>
        <w:pStyle w:val="Kop1"/>
      </w:pPr>
      <w:bookmarkStart w:id="7" w:name="_Toc202218698"/>
      <w:r>
        <w:t>Methodology</w:t>
      </w:r>
      <w:bookmarkEnd w:id="7"/>
    </w:p>
    <w:p w14:paraId="62C9584A" w14:textId="7A996CAE" w:rsidR="00D04F77" w:rsidRDefault="000C45F6" w:rsidP="000C45F6">
      <w:pPr>
        <w:pStyle w:val="Kop2"/>
      </w:pPr>
      <w:bookmarkStart w:id="8" w:name="_Toc202218699"/>
      <w:r>
        <w:t>Research design and data collection</w:t>
      </w:r>
      <w:bookmarkEnd w:id="8"/>
    </w:p>
    <w:p w14:paraId="612C8735" w14:textId="4AB2813F" w:rsidR="00FE71D2" w:rsidRPr="00FE71D2" w:rsidRDefault="00FE71D2" w:rsidP="00FE71D2">
      <w:pPr>
        <w:rPr>
          <w:rFonts w:ascii="Times New Roman" w:hAnsi="Times New Roman"/>
          <w:lang w:eastAsia="nl-NL"/>
        </w:rPr>
      </w:pPr>
      <w:r w:rsidRPr="00FE71D2">
        <w:t>This study employs a quantitative, empirical research design using a difference-in-differences (DiD) approach to test the proposed hypotheses. This method is well-suited for isolating the effect of a specific event</w:t>
      </w:r>
      <w:r>
        <w:t xml:space="preserve">, </w:t>
      </w:r>
      <w:r w:rsidRPr="00FE71D2">
        <w:t>a high-ESG acquisitio</w:t>
      </w:r>
      <w:r>
        <w:t>n,</w:t>
      </w:r>
      <w:r w:rsidRPr="00FE71D2">
        <w:t xml:space="preserve"> on an outcome, namely the acquirer’s ESG rating. The design compares changes in ESG performance over time between a treatment group and a control group, helping to account for unobserved factors that affect all firms over time and for time-invariant differences between firms.</w:t>
      </w:r>
    </w:p>
    <w:p w14:paraId="044BE682" w14:textId="2F2DB898" w:rsidR="00FE71D2" w:rsidRPr="00FE71D2" w:rsidRDefault="00FE71D2" w:rsidP="00FE71D2">
      <w:r w:rsidRPr="00FE71D2">
        <w:t>The treatment group consists of firms that completed an acquisition during the sample period. Within this group, further distinction is made between acquisitions where the target firm had a higher ESG rating than the acquirer at the time of the deal</w:t>
      </w:r>
      <w:r>
        <w:t xml:space="preserve"> </w:t>
      </w:r>
      <w:r w:rsidRPr="00FE71D2">
        <w:t>and acquisitions where this was not the case.</w:t>
      </w:r>
    </w:p>
    <w:p w14:paraId="6ED6AC11" w14:textId="77777777" w:rsidR="00FE71D2" w:rsidRPr="00FE71D2" w:rsidRDefault="00FE71D2" w:rsidP="00FE71D2">
      <w:r w:rsidRPr="00FE71D2">
        <w:t>The control group consists of firms that never engaged in M&amp;A activity during the observation period. These firms serve as a benchmark for understanding how ESG performance evolved for companies not exposed to M&amp;A events, allowing for more credible inference regarding the specific impact of acquiring a high-ESG target.</w:t>
      </w:r>
    </w:p>
    <w:p w14:paraId="3C93F3C6" w14:textId="77777777" w:rsidR="00FE71D2" w:rsidRPr="00FE71D2" w:rsidRDefault="00FE71D2" w:rsidP="00FE71D2">
      <w:r w:rsidRPr="00FE71D2">
        <w:t>Data for this study were obtained from Orbis and the LSEG Workspace and merged into a comprehensive dataset. The sample focuses on M&amp;A deals completed between 2002 and 2021 involving publicly traded acquirers, as ESG ratings for these firms are consistently available. The dataset was refined to ensure that both the acquirer and the target had ESG data for the relevant periods and that the acquirer did not engage in multiple major overlapping acquisitions. The final sample consists of 260 acquisitions across various industries and years. Information on firm and deal characteristics was extracted from Orbis.</w:t>
      </w:r>
    </w:p>
    <w:p w14:paraId="12FBC67A" w14:textId="77777777" w:rsidR="00FE71D2" w:rsidRPr="00FE71D2" w:rsidRDefault="00FE71D2" w:rsidP="00FE71D2">
      <w:r w:rsidRPr="00FE71D2">
        <w:t>For the control group, firms were selected from similar industries and size brackets that did not engage in any acquisition activity during the sample period. This group provides a counterfactual for ESG performance evolution absent M&amp;A activity.</w:t>
      </w:r>
    </w:p>
    <w:p w14:paraId="5FF9FE1A" w14:textId="77777777" w:rsidR="00FE71D2" w:rsidRPr="00FE71D2" w:rsidRDefault="00FE71D2" w:rsidP="00FE71D2">
      <w:r w:rsidRPr="00FE71D2">
        <w:t>ESG performance data for both acquirers and targets were collected from the LSEG Workspace, using Refinitiv ESG scores. These scores, widely used in academic research, integrate environmental, social, and governance aspects into a single composite measure and are updated annually. ESG scores were extracted for each firm in the years before and after the acquisition to measure changes around the event. This approach, using a one-year post-merger window, is consistent with prior studies examining post-M&amp;A integration effects (Naveed, 2024). Sub-pillar ESG scores and ESG controversy scores were also collected for additional robustness checks.</w:t>
      </w:r>
    </w:p>
    <w:p w14:paraId="69366C2E" w14:textId="7C3F0C2F" w:rsidR="000C45F6" w:rsidRDefault="000C45F6" w:rsidP="000C45F6">
      <w:pPr>
        <w:pStyle w:val="Kop2"/>
      </w:pPr>
      <w:bookmarkStart w:id="9" w:name="_Toc202218700"/>
      <w:r>
        <w:t>Variables and definitions</w:t>
      </w:r>
      <w:bookmarkEnd w:id="9"/>
    </w:p>
    <w:p w14:paraId="11767D3B" w14:textId="080F69C7" w:rsidR="00AC20E4" w:rsidRDefault="000C45F6" w:rsidP="00AC20E4">
      <w:r>
        <w:t xml:space="preserve">The primary dependent variable is the change in the acquirer’s ESG score from pre- to post-acquisition. </w:t>
      </w:r>
      <w:r w:rsidR="00366AA2">
        <w:t>This is calculated as</w:t>
      </w:r>
      <w:r w:rsidR="00C11DA7">
        <w:t xml:space="preserve">: </w:t>
      </w:r>
      <m:oMath>
        <m:r>
          <w:rPr>
            <w:rFonts w:ascii="Cambria Math" w:hAnsi="Cambria Math"/>
          </w:rPr>
          <m:t xml:space="preserve">∆ESG= </m:t>
        </m:r>
        <m:sSub>
          <m:sSubPr>
            <m:ctrlPr>
              <w:rPr>
                <w:rFonts w:ascii="Cambria Math" w:hAnsi="Cambria Math"/>
                <w:i/>
              </w:rPr>
            </m:ctrlPr>
          </m:sSubPr>
          <m:e>
            <m:r>
              <w:rPr>
                <w:rFonts w:ascii="Cambria Math" w:hAnsi="Cambria Math"/>
              </w:rPr>
              <m:t>ESG</m:t>
            </m:r>
          </m:e>
          <m:sub>
            <m:r>
              <w:rPr>
                <w:rFonts w:ascii="Cambria Math" w:hAnsi="Cambria Math"/>
              </w:rPr>
              <m:t>t+1</m:t>
            </m:r>
          </m:sub>
        </m:sSub>
        <m:r>
          <w:rPr>
            <w:rFonts w:ascii="Cambria Math" w:hAnsi="Cambria Math"/>
          </w:rPr>
          <m:t>-</m:t>
        </m:r>
        <m:sSub>
          <m:sSubPr>
            <m:ctrlPr>
              <w:rPr>
                <w:rFonts w:ascii="Cambria Math" w:hAnsi="Cambria Math"/>
                <w:i/>
              </w:rPr>
            </m:ctrlPr>
          </m:sSubPr>
          <m:e>
            <m:r>
              <w:rPr>
                <w:rFonts w:ascii="Cambria Math" w:hAnsi="Cambria Math"/>
              </w:rPr>
              <m:t>ESG</m:t>
            </m:r>
          </m:e>
          <m:sub>
            <m:r>
              <w:rPr>
                <w:rFonts w:ascii="Cambria Math" w:hAnsi="Cambria Math"/>
              </w:rPr>
              <m:t>t-1</m:t>
            </m:r>
          </m:sub>
        </m:sSub>
      </m:oMath>
      <w:r w:rsidR="00C11DA7">
        <w:t xml:space="preserve">. A positive </w:t>
      </w:r>
      <m:oMath>
        <m:r>
          <w:rPr>
            <w:rFonts w:ascii="Cambria Math" w:hAnsi="Cambria Math"/>
          </w:rPr>
          <m:t>∆</m:t>
        </m:r>
      </m:oMath>
      <w:r w:rsidR="00C11DA7">
        <w:t xml:space="preserve">ESG means the acquirer’s sustainability rating improved after the acquisition. </w:t>
      </w:r>
      <w:r w:rsidR="00AC20E4">
        <w:t xml:space="preserve">This approach is consistent with prior literature assessing post-M&amp;A non-financial performance effects (e.g., Deng et al., 2013; Flammer, 2021). </w:t>
      </w:r>
    </w:p>
    <w:p w14:paraId="3ACCC8B5" w14:textId="77777777" w:rsidR="00AC20E4" w:rsidRDefault="00AC20E4" w:rsidP="00AC20E4">
      <w:r>
        <w:t>The main independent variables are designed to capture both ESG-based acquisition strategies and treatment effects relative to non-acquiring peers. The first key independent variable is a dummy indicator, high ESG target, which equals one if the target firm’s ESG score in year t-1 exceeds that of the acquiring firm in the same year, and zero otherwise. This binary measure enables a categorization of transactions into “high ESG” versus “low ESG” deals, capturing whether the target contributes superior ESG credentials. This distinction facilitates tests of hypothesis 1, which posits that acquirers of high-ESG targets experience positive ESG score shifts post-transaction.</w:t>
      </w:r>
    </w:p>
    <w:p w14:paraId="680401E7" w14:textId="77777777" w:rsidR="0020139F" w:rsidRDefault="00AC20E4" w:rsidP="00AC20E4">
      <w:r>
        <w:t>The second independent variable is a treatment dummy, set to one for firms that completed a merger or acquisition during the observation period and zero for matched firms that did not engage in such transactions. The control group consists of firms from similar industries and size brackets that serve as benchmarks for ESG evolution absent M&amp;A activity. This variable supports a difference-in-differences identification strategy by enabling comparison of ESG changes between treated and non-treated firms.</w:t>
      </w:r>
    </w:p>
    <w:p w14:paraId="17E3A298" w14:textId="45879E32" w:rsidR="00C11DA7" w:rsidRDefault="0020139F" w:rsidP="00AC20E4">
      <w:r>
        <w:t xml:space="preserve">A third independent variable, target ESG advantage, is included as a continuous measure of the ESG gap between the target and the acquirer in year t-1, calculated as </w:t>
      </w:r>
      <m:oMath>
        <m:sSub>
          <m:sSubPr>
            <m:ctrlPr>
              <w:rPr>
                <w:rFonts w:ascii="Cambria Math" w:hAnsi="Cambria Math"/>
                <w:i/>
              </w:rPr>
            </m:ctrlPr>
          </m:sSubPr>
          <m:e>
            <m:r>
              <w:rPr>
                <w:rFonts w:ascii="Cambria Math" w:hAnsi="Cambria Math"/>
              </w:rPr>
              <m:t>Target_ESG_advantage</m:t>
            </m:r>
          </m:e>
          <m:sub>
            <m:r>
              <w:rPr>
                <w:rFonts w:ascii="Cambria Math" w:hAnsi="Cambria Math"/>
              </w:rPr>
              <m:t>t-1</m:t>
            </m:r>
          </m:sub>
        </m:sSub>
        <m:r>
          <w:rPr>
            <w:rFonts w:ascii="Cambria Math" w:hAnsi="Cambria Math"/>
          </w:rPr>
          <m:t>=</m:t>
        </m:r>
        <m:sSub>
          <m:sSubPr>
            <m:ctrlPr>
              <w:rPr>
                <w:rFonts w:ascii="Cambria Math" w:hAnsi="Cambria Math"/>
                <w:i/>
              </w:rPr>
            </m:ctrlPr>
          </m:sSubPr>
          <m:e>
            <m:r>
              <w:rPr>
                <w:rFonts w:ascii="Cambria Math" w:hAnsi="Cambria Math"/>
              </w:rPr>
              <m:t>ESG_target</m:t>
            </m:r>
          </m:e>
          <m:sub>
            <m:r>
              <w:rPr>
                <w:rFonts w:ascii="Cambria Math" w:hAnsi="Cambria Math"/>
              </w:rPr>
              <m:t>t-1</m:t>
            </m:r>
          </m:sub>
        </m:sSub>
        <m:r>
          <w:rPr>
            <w:rFonts w:ascii="Cambria Math" w:hAnsi="Cambria Math"/>
          </w:rPr>
          <m:t>-</m:t>
        </m:r>
        <m:sSub>
          <m:sSubPr>
            <m:ctrlPr>
              <w:rPr>
                <w:rFonts w:ascii="Cambria Math" w:hAnsi="Cambria Math"/>
                <w:i/>
              </w:rPr>
            </m:ctrlPr>
          </m:sSubPr>
          <m:e>
            <m:r>
              <w:rPr>
                <w:rFonts w:ascii="Cambria Math" w:hAnsi="Cambria Math"/>
              </w:rPr>
              <m:t>ESG_acquirer</m:t>
            </m:r>
          </m:e>
          <m:sub>
            <m:r>
              <w:rPr>
                <w:rFonts w:ascii="Cambria Math" w:hAnsi="Cambria Math"/>
              </w:rPr>
              <m:t>t-1</m:t>
            </m:r>
          </m:sub>
        </m:sSub>
      </m:oMath>
      <w:r>
        <w:t>. This variable provides a finer-grained measure of ESG superiority and permits testing whether greater ESG asymmetry in the pre-acquisition stage correlates with more pronounced post-acquisition ESG changes. Its inclusion helps assess whether observed improvements are due to simple portfolio effects or reflect strategic signaling.</w:t>
      </w:r>
    </w:p>
    <w:p w14:paraId="68859185" w14:textId="5259A081" w:rsidR="00865CCD" w:rsidRDefault="00865CCD" w:rsidP="00AC20E4">
      <w:r>
        <w:t xml:space="preserve">Industry Fixed Effects are included to account for sector-specific ESG norms and regulatory environments, recognizing that ESG materiality and stakeholder expectations vary substantially across sectors. Additionally, Year Fixed Effects are incorporated to control for temporal shocks or macro ESG trends, such as regulatory changes or global sustainability movements. </w:t>
      </w:r>
    </w:p>
    <w:p w14:paraId="2A897671" w14:textId="75C0B470" w:rsidR="000C45F6" w:rsidRDefault="000C45F6" w:rsidP="000C45F6">
      <w:pPr>
        <w:pStyle w:val="Kop2"/>
      </w:pPr>
      <w:bookmarkStart w:id="10" w:name="_Toc202218701"/>
      <w:r>
        <w:t>Empirical model specifications</w:t>
      </w:r>
      <w:bookmarkEnd w:id="10"/>
    </w:p>
    <w:p w14:paraId="4A586991" w14:textId="06D79D54" w:rsidR="00473439" w:rsidRDefault="00473439" w:rsidP="00473439">
      <w:r>
        <w:t>To empirically test whether firms that acquire high-ESG targets experience an improvement in their own ESG scores post-acquisition, and whether the ESG advantage of the target influences this outcome, the study adopts a difference-in-differences (DiD) framework. This approach compares changes in ESG scores over time between firms that conduct and acquisition and a control group of firms that do not, isolating the treatment effect attributable to the acquisition event. By exploiting the temporal structure of the data and separating treated from untreated firms, the DiD designs addresses time-invariant unobserved heterogeneity and common shocks that might otherwise confound the analysis.</w:t>
      </w:r>
    </w:p>
    <w:p w14:paraId="502DF9D6" w14:textId="3F067E6F" w:rsidR="00473439" w:rsidRDefault="00473439" w:rsidP="00473439">
      <w:r>
        <w:t>The baseline empirical model is structured as follows:</w:t>
      </w:r>
    </w:p>
    <w:p w14:paraId="55C2E37D" w14:textId="342959FB" w:rsidR="00473439" w:rsidRDefault="00761F3D" w:rsidP="00473439">
      <m:oMath>
        <m:sSub>
          <m:sSubPr>
            <m:ctrlPr>
              <w:rPr>
                <w:rFonts w:ascii="Cambria Math" w:hAnsi="Cambria Math"/>
                <w:i/>
              </w:rPr>
            </m:ctrlPr>
          </m:sSubPr>
          <m:e>
            <m:r>
              <w:rPr>
                <w:rFonts w:ascii="Cambria Math" w:hAnsi="Cambria Math"/>
              </w:rPr>
              <m:t>∆</m:t>
            </m:r>
            <m:r>
              <w:rPr>
                <w:rFonts w:ascii="Cambria Math" w:hAnsi="Cambria Math"/>
              </w:rPr>
              <m:t>ESG</m:t>
            </m:r>
          </m:e>
          <m:sub>
            <m:r>
              <w:rPr>
                <w:rFonts w:ascii="Cambria Math" w:hAnsi="Cambria Math"/>
              </w:rPr>
              <m:t>it</m:t>
            </m:r>
          </m:sub>
        </m:sSub>
        <m:r>
          <w:rPr>
            <w:rFonts w:ascii="Cambria Math" w:hAnsi="Cambria Math"/>
          </w:rPr>
          <m:t xml:space="preserve"> =</m:t>
        </m:r>
        <m:r>
          <w:rPr>
            <w:rFonts w:ascii="Cambria Math" w:hAnsi="Cambria Math"/>
          </w:rPr>
          <m:t>α</m:t>
        </m:r>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1</m:t>
            </m:r>
          </m:sub>
        </m:sSub>
        <m:sSub>
          <m:sSubPr>
            <m:ctrlPr>
              <w:rPr>
                <w:rFonts w:ascii="Cambria Math" w:hAnsi="Cambria Math"/>
                <w:i/>
              </w:rPr>
            </m:ctrlPr>
          </m:sSubPr>
          <m:e>
            <m:r>
              <w:rPr>
                <w:rFonts w:ascii="Cambria Math" w:hAnsi="Cambria Math"/>
              </w:rPr>
              <m:t>Treatment</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Post</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2</m:t>
            </m:r>
          </m:sub>
        </m:sSub>
        <m:sSub>
          <m:sSubPr>
            <m:ctrlPr>
              <w:rPr>
                <w:rFonts w:ascii="Cambria Math" w:hAnsi="Cambria Math"/>
                <w:i/>
              </w:rPr>
            </m:ctrlPr>
          </m:sSubPr>
          <m:e>
            <m:r>
              <w:rPr>
                <w:rFonts w:ascii="Cambria Math" w:hAnsi="Cambria Math"/>
              </w:rPr>
              <m:t>Hig</m:t>
            </m:r>
            <m:r>
              <w:rPr>
                <w:rFonts w:ascii="Cambria Math" w:hAnsi="Cambria Math"/>
              </w:rPr>
              <m:t>h</m:t>
            </m:r>
            <m:r>
              <w:rPr>
                <w:rFonts w:ascii="Cambria Math" w:hAnsi="Cambria Math"/>
              </w:rPr>
              <m:t>ESGTarget</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3</m:t>
            </m:r>
          </m:sub>
        </m:sSub>
        <m:d>
          <m:dPr>
            <m:ctrlPr>
              <w:rPr>
                <w:rFonts w:ascii="Cambria Math" w:hAnsi="Cambria Math"/>
                <w:i/>
              </w:rPr>
            </m:ctrlPr>
          </m:dPr>
          <m:e>
            <m:sSub>
              <m:sSubPr>
                <m:ctrlPr>
                  <w:rPr>
                    <w:rFonts w:ascii="Cambria Math" w:hAnsi="Cambria Math"/>
                    <w:i/>
                  </w:rPr>
                </m:ctrlPr>
              </m:sSubPr>
              <m:e>
                <m:r>
                  <w:rPr>
                    <w:rFonts w:ascii="Cambria Math" w:hAnsi="Cambria Math"/>
                  </w:rPr>
                  <m:t>Treatment</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Post</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Hig</m:t>
                </m:r>
                <m:r>
                  <w:rPr>
                    <w:rFonts w:ascii="Cambria Math" w:hAnsi="Cambria Math"/>
                  </w:rPr>
                  <m:t>h</m:t>
                </m:r>
                <m:r>
                  <w:rPr>
                    <w:rFonts w:ascii="Cambria Math" w:hAnsi="Cambria Math"/>
                  </w:rPr>
                  <m:t>ESGTarget</m:t>
                </m:r>
              </m:e>
              <m:sub>
                <m:r>
                  <w:rPr>
                    <w:rFonts w:ascii="Cambria Math" w:hAnsi="Cambria Math"/>
                  </w:rPr>
                  <m:t>i</m:t>
                </m:r>
              </m:sub>
            </m:sSub>
          </m:e>
        </m:d>
        <m:r>
          <w:rPr>
            <w:rFonts w:ascii="Cambria Math" w:hAnsi="Cambria Math"/>
          </w:rPr>
          <m:t>+</m:t>
        </m:r>
        <m:sSub>
          <m:sSubPr>
            <m:ctrlPr>
              <w:rPr>
                <w:rFonts w:ascii="Cambria Math" w:hAnsi="Cambria Math"/>
                <w:i/>
              </w:rPr>
            </m:ctrlPr>
          </m:sSubPr>
          <m:e>
            <m:r>
              <w:rPr>
                <w:rFonts w:ascii="Cambria Math" w:hAnsi="Cambria Math"/>
                <w:lang w:val="el-GR"/>
              </w:rPr>
              <m:t>λ</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τ</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ϵ</m:t>
            </m:r>
          </m:e>
          <m:sub>
            <m:r>
              <w:rPr>
                <w:rFonts w:ascii="Cambria Math" w:hAnsi="Cambria Math"/>
              </w:rPr>
              <m:t>it</m:t>
            </m:r>
          </m:sub>
        </m:sSub>
      </m:oMath>
      <w:r w:rsidR="00757C45">
        <w:t xml:space="preserve"> </w:t>
      </w:r>
    </w:p>
    <w:p w14:paraId="65E011B0" w14:textId="613EDBFE" w:rsidR="00473439" w:rsidRDefault="00757C45" w:rsidP="00473439">
      <w:r>
        <w:t xml:space="preserve">In this specification, </w:t>
      </w:r>
      <m:oMath>
        <m:sSub>
          <m:sSubPr>
            <m:ctrlPr>
              <w:rPr>
                <w:rFonts w:ascii="Cambria Math" w:hAnsi="Cambria Math"/>
                <w:i/>
              </w:rPr>
            </m:ctrlPr>
          </m:sSubPr>
          <m:e>
            <m:r>
              <w:rPr>
                <w:rFonts w:ascii="Cambria Math" w:hAnsi="Cambria Math"/>
              </w:rPr>
              <m:t>∆ESG</m:t>
            </m:r>
          </m:e>
          <m:sub>
            <m:r>
              <w:rPr>
                <w:rFonts w:ascii="Cambria Math" w:hAnsi="Cambria Math"/>
              </w:rPr>
              <m:t>it</m:t>
            </m:r>
          </m:sub>
        </m:sSub>
      </m:oMath>
      <w:r>
        <w:t xml:space="preserve"> denotes the change in ESG score for firm i from the pre-acquisition year t-1 to the post-acquisition year t+1. The variable </w:t>
      </w:r>
      <m:oMath>
        <m:sSub>
          <m:sSubPr>
            <m:ctrlPr>
              <w:rPr>
                <w:rFonts w:ascii="Cambria Math" w:hAnsi="Cambria Math"/>
                <w:i/>
              </w:rPr>
            </m:ctrlPr>
          </m:sSubPr>
          <m:e>
            <m:r>
              <w:rPr>
                <w:rFonts w:ascii="Cambria Math" w:hAnsi="Cambria Math"/>
              </w:rPr>
              <m:t>Treatment</m:t>
            </m:r>
          </m:e>
          <m:sub>
            <m:r>
              <w:rPr>
                <w:rFonts w:ascii="Cambria Math" w:hAnsi="Cambria Math"/>
              </w:rPr>
              <m:t>i</m:t>
            </m:r>
          </m:sub>
        </m:sSub>
      </m:oMath>
      <w:r>
        <w:t xml:space="preserve"> is a binary indicator equal to one for firms that completed a merger or acquisition during the sample period, and zero otherwise. The variable </w:t>
      </w:r>
      <m:oMath>
        <m:sSub>
          <m:sSubPr>
            <m:ctrlPr>
              <w:rPr>
                <w:rFonts w:ascii="Cambria Math" w:hAnsi="Cambria Math"/>
                <w:i/>
              </w:rPr>
            </m:ctrlPr>
          </m:sSubPr>
          <m:e>
            <m:r>
              <w:rPr>
                <w:rFonts w:ascii="Cambria Math" w:hAnsi="Cambria Math"/>
              </w:rPr>
              <m:t>Post</m:t>
            </m:r>
          </m:e>
          <m:sub>
            <m:r>
              <w:rPr>
                <w:rFonts w:ascii="Cambria Math" w:hAnsi="Cambria Math"/>
              </w:rPr>
              <m:t>t</m:t>
            </m:r>
          </m:sub>
        </m:sSub>
      </m:oMath>
      <w:r>
        <w:t xml:space="preserve"> is equal to one in the post-acquisition year and zero in the pre-acquisition year. The term </w:t>
      </w:r>
      <m:oMath>
        <m:sSub>
          <m:sSubPr>
            <m:ctrlPr>
              <w:rPr>
                <w:rFonts w:ascii="Cambria Math" w:hAnsi="Cambria Math"/>
                <w:i/>
              </w:rPr>
            </m:ctrlPr>
          </m:sSubPr>
          <m:e>
            <m:r>
              <w:rPr>
                <w:rFonts w:ascii="Cambria Math" w:hAnsi="Cambria Math"/>
              </w:rPr>
              <m:t>HighESGTarget</m:t>
            </m:r>
          </m:e>
          <m:sub>
            <m:r>
              <w:rPr>
                <w:rFonts w:ascii="Cambria Math" w:hAnsi="Cambria Math"/>
              </w:rPr>
              <m:t>i</m:t>
            </m:r>
          </m:sub>
        </m:sSub>
      </m:oMath>
      <w:r>
        <w:t xml:space="preserve"> is a dummy variable equal to one if the target firm had a higher ESG score than the acquiring firm in the year prior to the transaction, and zero otherwise. The triple interaction term </w:t>
      </w:r>
      <m:oMath>
        <m:sSub>
          <m:sSubPr>
            <m:ctrlPr>
              <w:rPr>
                <w:rFonts w:ascii="Cambria Math" w:hAnsi="Cambria Math"/>
                <w:i/>
              </w:rPr>
            </m:ctrlPr>
          </m:sSubPr>
          <m:e>
            <m:r>
              <w:rPr>
                <w:rFonts w:ascii="Cambria Math" w:hAnsi="Cambria Math"/>
              </w:rPr>
              <m:t>Treatment</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Post</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HighESGTarget</m:t>
            </m:r>
          </m:e>
          <m:sub>
            <m:r>
              <w:rPr>
                <w:rFonts w:ascii="Cambria Math" w:hAnsi="Cambria Math"/>
              </w:rPr>
              <m:t>i</m:t>
            </m:r>
          </m:sub>
        </m:sSub>
      </m:oMath>
      <w:r w:rsidR="00F2301F">
        <w:t xml:space="preserve"> captures the differential post-acquisition change in ESG score for acquiring firms that purchased high-ESG targets, which constitutes the primary coefficient of interest.</w:t>
      </w:r>
    </w:p>
    <w:p w14:paraId="7EE7670F" w14:textId="3ABE0C31" w:rsidR="00F2301F" w:rsidRDefault="00F2301F" w:rsidP="00F2301F">
      <w:r>
        <w:t xml:space="preserve">The model also includes Industry fixed effects </w:t>
      </w:r>
      <m:oMath>
        <m:sSub>
          <m:sSubPr>
            <m:ctrlPr>
              <w:rPr>
                <w:rFonts w:ascii="Cambria Math" w:hAnsi="Cambria Math"/>
                <w:i/>
              </w:rPr>
            </m:ctrlPr>
          </m:sSubPr>
          <m:e>
            <m:r>
              <w:rPr>
                <w:rFonts w:ascii="Cambria Math" w:hAnsi="Cambria Math"/>
                <w:lang w:val="el-GR"/>
              </w:rPr>
              <m:t>λ</m:t>
            </m:r>
          </m:e>
          <m:sub>
            <m:r>
              <w:rPr>
                <w:rFonts w:ascii="Cambria Math" w:hAnsi="Cambria Math"/>
              </w:rPr>
              <m:t>s</m:t>
            </m:r>
          </m:sub>
        </m:sSub>
      </m:oMath>
      <w:r>
        <w:t xml:space="preserve"> </w:t>
      </w:r>
      <w:r w:rsidR="00F95C0C">
        <w:t xml:space="preserve">which </w:t>
      </w:r>
      <w:r>
        <w:t xml:space="preserve">control for sector-specific ESG dynamics, while year fixed effects </w:t>
      </w:r>
      <m:oMath>
        <m:sSub>
          <m:sSubPr>
            <m:ctrlPr>
              <w:rPr>
                <w:rFonts w:ascii="Cambria Math" w:hAnsi="Cambria Math"/>
                <w:i/>
              </w:rPr>
            </m:ctrlPr>
          </m:sSubPr>
          <m:e>
            <m:r>
              <w:rPr>
                <w:rFonts w:ascii="Cambria Math" w:hAnsi="Cambria Math"/>
              </w:rPr>
              <m:t>τ</m:t>
            </m:r>
          </m:e>
          <m:sub>
            <m:r>
              <w:rPr>
                <w:rFonts w:ascii="Cambria Math" w:hAnsi="Cambria Math"/>
              </w:rPr>
              <m:t>t</m:t>
            </m:r>
          </m:sub>
        </m:sSub>
      </m:oMath>
      <w:r>
        <w:t xml:space="preserve"> capture macroeconomic and regulatory trends that affect all firms in a given period. The terror term </w:t>
      </w:r>
      <m:oMath>
        <m:sSub>
          <m:sSubPr>
            <m:ctrlPr>
              <w:rPr>
                <w:rFonts w:ascii="Cambria Math" w:hAnsi="Cambria Math"/>
                <w:i/>
              </w:rPr>
            </m:ctrlPr>
          </m:sSubPr>
          <m:e>
            <m:r>
              <w:rPr>
                <w:rFonts w:ascii="Cambria Math" w:hAnsi="Cambria Math"/>
              </w:rPr>
              <m:t>ϵ</m:t>
            </m:r>
          </m:e>
          <m:sub>
            <m:r>
              <w:rPr>
                <w:rFonts w:ascii="Cambria Math" w:hAnsi="Cambria Math"/>
              </w:rPr>
              <m:t>it</m:t>
            </m:r>
          </m:sub>
        </m:sSub>
      </m:oMath>
      <w:r>
        <w:t xml:space="preserve"> is clustered at the firm level to account for serial correlation within firms across time, in line with standard panel data practice (Petersen, 2009).</w:t>
      </w:r>
    </w:p>
    <w:p w14:paraId="6CC368ED" w14:textId="642C64B8" w:rsidR="00473439" w:rsidRDefault="00473439" w:rsidP="00473439">
      <w:r>
        <w:t>To examine the continuous effect of ESG distance between target and acquirer, a supplementary model replaces the binary high ESG dummy with the actual ESG advantage of the target, defined as the difference between the target’s and the acquirer’s ESG scores in the year prior to the transaction:</w:t>
      </w:r>
    </w:p>
    <w:p w14:paraId="2F6B52A2" w14:textId="37641AC4" w:rsidR="00F2301F" w:rsidRDefault="00761F3D" w:rsidP="00F2301F">
      <m:oMath>
        <m:sSub>
          <m:sSubPr>
            <m:ctrlPr>
              <w:rPr>
                <w:rFonts w:ascii="Cambria Math" w:hAnsi="Cambria Math"/>
                <w:i/>
              </w:rPr>
            </m:ctrlPr>
          </m:sSubPr>
          <m:e>
            <m:r>
              <w:rPr>
                <w:rFonts w:ascii="Cambria Math" w:hAnsi="Cambria Math"/>
              </w:rPr>
              <m:t>∆</m:t>
            </m:r>
            <m:r>
              <w:rPr>
                <w:rFonts w:ascii="Cambria Math" w:hAnsi="Cambria Math"/>
              </w:rPr>
              <m:t>ESG</m:t>
            </m:r>
          </m:e>
          <m:sub>
            <m:r>
              <w:rPr>
                <w:rFonts w:ascii="Cambria Math" w:hAnsi="Cambria Math"/>
              </w:rPr>
              <m:t>it</m:t>
            </m:r>
          </m:sub>
        </m:sSub>
        <m:r>
          <w:rPr>
            <w:rFonts w:ascii="Cambria Math" w:hAnsi="Cambria Math"/>
          </w:rPr>
          <m:t xml:space="preserve"> =</m:t>
        </m:r>
        <m:r>
          <w:rPr>
            <w:rFonts w:ascii="Cambria Math" w:hAnsi="Cambria Math"/>
          </w:rPr>
          <m:t>α</m:t>
        </m:r>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1</m:t>
            </m:r>
          </m:sub>
        </m:sSub>
        <m:sSub>
          <m:sSubPr>
            <m:ctrlPr>
              <w:rPr>
                <w:rFonts w:ascii="Cambria Math" w:hAnsi="Cambria Math"/>
                <w:i/>
              </w:rPr>
            </m:ctrlPr>
          </m:sSubPr>
          <m:e>
            <m:r>
              <w:rPr>
                <w:rFonts w:ascii="Cambria Math" w:hAnsi="Cambria Math"/>
              </w:rPr>
              <m:t>Treatment</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Post</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2</m:t>
            </m:r>
          </m:sub>
        </m:sSub>
        <m:d>
          <m:dPr>
            <m:ctrlPr>
              <w:rPr>
                <w:rFonts w:ascii="Cambria Math" w:hAnsi="Cambria Math"/>
                <w:i/>
              </w:rPr>
            </m:ctrlPr>
          </m:dPr>
          <m:e>
            <m:sSub>
              <m:sSubPr>
                <m:ctrlPr>
                  <w:rPr>
                    <w:rFonts w:ascii="Cambria Math" w:hAnsi="Cambria Math"/>
                    <w:i/>
                  </w:rPr>
                </m:ctrlPr>
              </m:sSubPr>
              <m:e>
                <m:r>
                  <w:rPr>
                    <w:rFonts w:ascii="Cambria Math" w:hAnsi="Cambria Math"/>
                  </w:rPr>
                  <m:t>Treatment</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Post</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ESGAdvantage</m:t>
                </m:r>
              </m:e>
              <m:sub>
                <m:r>
                  <w:rPr>
                    <w:rFonts w:ascii="Cambria Math" w:hAnsi="Cambria Math"/>
                  </w:rPr>
                  <m:t>i</m:t>
                </m:r>
              </m:sub>
            </m:sSub>
          </m:e>
        </m:d>
        <m:r>
          <w:rPr>
            <w:rFonts w:ascii="Cambria Math" w:hAnsi="Cambria Math"/>
          </w:rPr>
          <m:t>+</m:t>
        </m:r>
        <m:sSub>
          <m:sSubPr>
            <m:ctrlPr>
              <w:rPr>
                <w:rFonts w:ascii="Cambria Math" w:hAnsi="Cambria Math"/>
                <w:i/>
              </w:rPr>
            </m:ctrlPr>
          </m:sSubPr>
          <m:e>
            <m:r>
              <w:rPr>
                <w:rFonts w:ascii="Cambria Math" w:hAnsi="Cambria Math"/>
                <w:lang w:val="el-GR"/>
              </w:rPr>
              <m:t>λ</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τ</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ϵ</m:t>
            </m:r>
          </m:e>
          <m:sub>
            <m:r>
              <w:rPr>
                <w:rFonts w:ascii="Cambria Math" w:hAnsi="Cambria Math"/>
              </w:rPr>
              <m:t>it</m:t>
            </m:r>
          </m:sub>
        </m:sSub>
      </m:oMath>
      <w:r w:rsidR="00F2301F">
        <w:t xml:space="preserve"> </w:t>
      </w:r>
    </w:p>
    <w:p w14:paraId="10DE9FFE" w14:textId="2804ED4F" w:rsidR="00473439" w:rsidRDefault="00F2301F" w:rsidP="00F2301F">
      <w:r>
        <w:t xml:space="preserve">In this formula, </w:t>
      </w:r>
      <m:oMath>
        <m:sSub>
          <m:sSubPr>
            <m:ctrlPr>
              <w:rPr>
                <w:rFonts w:ascii="Cambria Math" w:hAnsi="Cambria Math"/>
                <w:i/>
              </w:rPr>
            </m:ctrlPr>
          </m:sSubPr>
          <m:e>
            <m:r>
              <w:rPr>
                <w:rFonts w:ascii="Cambria Math" w:hAnsi="Cambria Math"/>
              </w:rPr>
              <m:t>ESGAdvantage</m:t>
            </m:r>
          </m:e>
          <m:sub>
            <m:r>
              <w:rPr>
                <w:rFonts w:ascii="Cambria Math" w:hAnsi="Cambria Math"/>
              </w:rPr>
              <m:t>i</m:t>
            </m:r>
          </m:sub>
        </m:sSub>
      </m:oMath>
      <w:r>
        <w:t xml:space="preserve"> is a continuous variable equal to the target’s ESG score minus the acquirer’s ESG score in year t-1. This model allows for testing whether greater ESG superiority of the target leads to more substantial improvements in the acquirer’s ESG rating. All other variables and controls remain consistent with the baseline specification.</w:t>
      </w:r>
    </w:p>
    <w:p w14:paraId="116F6ACE" w14:textId="73BD7FA8" w:rsidR="00473439" w:rsidRDefault="00473439" w:rsidP="00473439">
      <w:r>
        <w:t>These models jointly test the first two hypotheses of the thesis. The first assesses whether ESG performance improves for acquiring firms of high-ESG targets, and the second investigates whether this improvement is proportional to the ESG gap between the target and the acquirer. The DiD framework, combined with rich controls and multiple robustness strategies, ensures that the analysis captures not just spurious correlations but robust, policy-relevant relationships.</w:t>
      </w:r>
    </w:p>
    <w:p w14:paraId="73EEE3ED" w14:textId="25EB2E35" w:rsidR="000C45F6" w:rsidRDefault="000C45F6" w:rsidP="000C45F6">
      <w:pPr>
        <w:pStyle w:val="Kop2"/>
      </w:pPr>
      <w:bookmarkStart w:id="11" w:name="_Toc202218702"/>
      <w:r>
        <w:t>Regression assumption checks</w:t>
      </w:r>
      <w:bookmarkEnd w:id="11"/>
    </w:p>
    <w:p w14:paraId="0B858561" w14:textId="77777777" w:rsidR="00D80E66" w:rsidRPr="00D80E66" w:rsidRDefault="00D80E66" w:rsidP="00D80E66">
      <w:pPr>
        <w:rPr>
          <w:rFonts w:ascii="Times New Roman" w:hAnsi="Times New Roman"/>
          <w:lang w:eastAsia="nl-NL"/>
        </w:rPr>
      </w:pPr>
      <w:r>
        <w:t>To validate the DiD identification strategy, the parallel trends assumption was tested through a pre-trend assessment using an event study design based on Callaway and Sant'Anna (2021), implemented with the csdid estimator. The results showed that ESG performance for treated and control firms evolved similarly in the pre-treatment period, providing support for the parallel trends assumption.</w:t>
      </w:r>
    </w:p>
    <w:p w14:paraId="1C5A94E9" w14:textId="77777777" w:rsidR="00D80E66" w:rsidRDefault="00D80E66" w:rsidP="00D80E66">
      <w:r>
        <w:t>Some variation was observed in periods farther from the event window, which is typical in event study settings with limited long-run data availability. However, no systematic pre-treatment trend close to the acquisition year was detected.</w:t>
      </w:r>
    </w:p>
    <w:p w14:paraId="694DCA40" w14:textId="7528F38F" w:rsidR="00473439" w:rsidRDefault="00D80E66" w:rsidP="00D80E66">
      <w:r>
        <w:t>Standard errors are clustered at the firm level to account for potential serial correlation within firms over time, following common practice in corporate finance research.</w:t>
      </w:r>
    </w:p>
    <w:p w14:paraId="6912BCB6" w14:textId="1ACC7C9D" w:rsidR="000C45F6" w:rsidRDefault="000C45F6" w:rsidP="000C45F6">
      <w:pPr>
        <w:pStyle w:val="Kop2"/>
      </w:pPr>
      <w:bookmarkStart w:id="12" w:name="_Toc202218703"/>
      <w:r>
        <w:t>Additional robustness checks</w:t>
      </w:r>
      <w:bookmarkEnd w:id="12"/>
    </w:p>
    <w:p w14:paraId="7E8440F2" w14:textId="185C8C28" w:rsidR="00C63C27" w:rsidRDefault="00C63C27" w:rsidP="001601C0">
      <w:r>
        <w:t>To further ensure the reliability and validity of the empirical results, a series of additional robustness checks are conducted. These checks aim to confirm that the observed relationships between ESG-oriented acquisitions and post-deal ES</w:t>
      </w:r>
      <w:r w:rsidR="00D80E66">
        <w:t>G</w:t>
      </w:r>
      <w:r>
        <w:t xml:space="preserve"> score changes are not artifacts of specific measurement choices, temporal windows, or sample compositions. Each of the following extensions addresses a potential source of bias or omitted variable concern, thereby strengthening the causal interpretation of the findings.</w:t>
      </w:r>
    </w:p>
    <w:p w14:paraId="12782FB6" w14:textId="77777777" w:rsidR="00C63C27" w:rsidRDefault="00C63C27" w:rsidP="001601C0">
      <w:r>
        <w:t>First, the ESG scores used in the baseline analysis are decomposed into their constituent sub-pillars, environmental, social, and governance, in order to examine whether the observed effects are driven uniformly across these dimensions or concentrated within a specific pillar. This decomposition provides insight into whether acquirers selectively improve certain facets of their ESG profile, potentially as a targeted response to stakeholder pressure or reputation concerns. For example, a firm might acquire a target with a high environmental score to offset its own environmental liabilities, while neglecting social or governance shortcomings. By estimating separate regression for each sub-component, the analysis can distinguish symbolic from substantive ESG shifts and explore whether the acquirer’s gains are holistic or superficial in nature.</w:t>
      </w:r>
    </w:p>
    <w:p w14:paraId="62DC9471" w14:textId="32C79E20" w:rsidR="001601C0" w:rsidRDefault="00D80E66" w:rsidP="001601C0">
      <w:r>
        <w:t>Second</w:t>
      </w:r>
      <w:r w:rsidR="001601C0">
        <w:t>, the time horizon of the analysis is extended beyond the immediate post-acquisition year to test the durability of ESG changes. Specifically, ESG scores are tracked for up to three years following the transaction (t+1 to t+3), and the model is re-estimated using each of these post-treatment years as alternative dependent variables. This extension assesses whether ESG improvements are short-term adjustments or sustained over a longer period. Persistent effects would lend stronger support to the argument that acquisitions of high-ESG targets lead to meaningful integration of sustainability practices, rather than temporary signaling.</w:t>
      </w:r>
    </w:p>
    <w:p w14:paraId="7D6A2EBC" w14:textId="4AF06D61" w:rsidR="001601C0" w:rsidRDefault="001601C0" w:rsidP="001601C0">
      <w:r>
        <w:t xml:space="preserve">Finally, the analysis incorporates the use of ESG controversy scores instead of </w:t>
      </w:r>
      <w:r w:rsidR="00D80E66">
        <w:t>the standard</w:t>
      </w:r>
      <w:r>
        <w:t xml:space="preserve"> ESG ratings. Controversy scores capture incidents related to environmental violations, labor disputes, governance failures, or social irresponsibility that receive media attention or trigger regulatory scrutiny. Unlike ESG performance scores, which are based on reported policies and disclosures, controversy scores reflect real-world negative events and outcomes, making them a valuable complement for identifying reputational or operational ESG risks. By re-estimating the main models with the controversy score as the dependent variable, the study examines whether acquiring a high-ESG target is associated with a subsequent reduction in ESG controversies. This approach helps verify whether observed improvements in ESG scores are also accompanied by fewer adverse events, thereby reinforcing the interpretation of acquisitions as a mechanism for substantive, not merely cosmetic, ESG improvement. If acquirers of sustainable target face fewer controversies post-acquisition, it would suggest that ESG gains are reflected not just in rating but also in reduced reputational and compliance risks.</w:t>
      </w:r>
    </w:p>
    <w:p w14:paraId="3461E11C" w14:textId="452ACC95" w:rsidR="000C45F6" w:rsidRDefault="001601C0" w:rsidP="001601C0">
      <w:pPr>
        <w:rPr>
          <w:rFonts w:eastAsia="Times New Roman"/>
          <w:b/>
          <w:bCs/>
          <w:color w:val="000000"/>
          <w:sz w:val="28"/>
          <w:szCs w:val="32"/>
        </w:rPr>
      </w:pPr>
      <w:r>
        <w:t>Together, these robustness checks help ensure that the main findings of the study are not driven by specific model choices or measurement artifacts, and that they remain consistent under different empirical lenses. Their inclusion contributes to the methodological rigor of the thesis and support the generalizability of the results across contexts, time periods, and ESG conceptualizations.</w:t>
      </w:r>
      <w:r w:rsidR="000C45F6">
        <w:br w:type="page"/>
      </w:r>
    </w:p>
    <w:p w14:paraId="6206F4C1" w14:textId="77777777" w:rsidR="00B30AB4" w:rsidRDefault="000C45F6" w:rsidP="00B30AB4">
      <w:pPr>
        <w:pStyle w:val="Kop1"/>
      </w:pPr>
      <w:bookmarkStart w:id="13" w:name="_Toc202218704"/>
      <w:r>
        <w:t>Results</w:t>
      </w:r>
      <w:bookmarkEnd w:id="13"/>
    </w:p>
    <w:p w14:paraId="3843E9A9" w14:textId="06EA40A8" w:rsidR="005F3112" w:rsidRDefault="005F3112" w:rsidP="00153B93">
      <w:pPr>
        <w:pStyle w:val="Kop2"/>
      </w:pPr>
      <w:bookmarkStart w:id="14" w:name="_Toc202218705"/>
      <w:r>
        <w:t>Method of analysis</w:t>
      </w:r>
      <w:bookmarkEnd w:id="14"/>
    </w:p>
    <w:p w14:paraId="275105AF" w14:textId="1C44D590" w:rsidR="005F3112" w:rsidRDefault="005F3112" w:rsidP="005F3112">
      <w:r>
        <w:t>This chapter presents the outcomes of the regression analyses conducted to test the hypotheses developed in Chapter 2 and specified in Chapter 3. The primary objective is to examine whether mergers and acquisitions (M&amp;A) lead to an improvement in the acquiring firm’s ESG performance, and whether such improvements may reflect strategic signaling behavior, such as greenwashing.</w:t>
      </w:r>
    </w:p>
    <w:p w14:paraId="50821388" w14:textId="6D66A068" w:rsidR="005F3112" w:rsidRDefault="005F3112" w:rsidP="005F3112">
      <w:r>
        <w:t>The results are presented in a structured, four-step approach. First, descriptive statistics are provided to summarize the distribution and key characteristics of the variables used in the analysis. Second, the parallel trends assumption underlying the difference-in-differences (DiD) methodology is assessed using both visual and formal pre-trend tests. Third, two DiD models are estimated to identify the average treatment effect of acquisitions on ESG performance and to explore heterogeneity in treatment effect based on ESG characteristics of the target. Finally, the empirical findings are discussed in relation to the research hypotheses.</w:t>
      </w:r>
    </w:p>
    <w:p w14:paraId="74E51E8E" w14:textId="68379B0B" w:rsidR="00B30AB4" w:rsidRDefault="00D939EA" w:rsidP="00153B93">
      <w:pPr>
        <w:pStyle w:val="Kop2"/>
      </w:pPr>
      <w:bookmarkStart w:id="15" w:name="_Toc202218706"/>
      <w:r>
        <w:t>Descriptive statistics</w:t>
      </w:r>
      <w:bookmarkEnd w:id="15"/>
    </w:p>
    <w:p w14:paraId="56CF1B79" w14:textId="748F79D3" w:rsidR="00EA11DA" w:rsidRDefault="00153B93" w:rsidP="00EA11DA">
      <w:r>
        <w:t xml:space="preserve">Table </w:t>
      </w:r>
      <w:r w:rsidR="00EA11DA">
        <w:t>1</w:t>
      </w:r>
      <w:r>
        <w:t xml:space="preserve"> </w:t>
      </w:r>
      <w:r w:rsidR="00D939EA">
        <w:t>presents summary statistics for the main variables used in the empirical analysis. The dependent variable, ESG change, captures the year-on0year difference in ESG performance and has a mean of 4.064, with a standard deviation of 13.337. The number of observations for this variable (76,827) is lower that for the full dataset due to incomplete ESG score availability. As ESG change reflects the change in ESG performance relative to the prior year, missing values in either the current or lagged ESG scores result in missing observations for this variable. This is consistent with known limitations of ESG datasets, where coverage is often incomplete, particularly for smaller firms or specific regions.</w:t>
      </w:r>
    </w:p>
    <w:p w14:paraId="1BC246B8" w14:textId="33BE961B" w:rsidR="00EA11DA" w:rsidRDefault="00EA11DA" w:rsidP="00EA11DA">
      <w:pPr>
        <w:pStyle w:val="TableTitle"/>
      </w:pPr>
      <w:r>
        <w:t>Table 1 Descriptive statistics</w:t>
      </w:r>
    </w:p>
    <w:tbl>
      <w:tblPr>
        <w:tblW w:w="10256" w:type="dxa"/>
        <w:tblLayout w:type="fixed"/>
        <w:tblLook w:val="0000" w:firstRow="0" w:lastRow="0" w:firstColumn="0" w:lastColumn="0" w:noHBand="0" w:noVBand="0"/>
      </w:tblPr>
      <w:tblGrid>
        <w:gridCol w:w="2917"/>
        <w:gridCol w:w="1223"/>
        <w:gridCol w:w="1529"/>
        <w:gridCol w:w="1529"/>
        <w:gridCol w:w="1529"/>
        <w:gridCol w:w="1529"/>
      </w:tblGrid>
      <w:tr w:rsidR="00324C2A" w14:paraId="2962FF1E" w14:textId="77777777" w:rsidTr="00324C2A">
        <w:trPr>
          <w:trHeight w:val="392"/>
        </w:trPr>
        <w:tc>
          <w:tcPr>
            <w:tcW w:w="2917" w:type="dxa"/>
            <w:tcBorders>
              <w:top w:val="single" w:sz="18" w:space="0" w:color="auto"/>
              <w:left w:val="nil"/>
              <w:bottom w:val="single" w:sz="18" w:space="0" w:color="auto"/>
              <w:right w:val="nil"/>
            </w:tcBorders>
          </w:tcPr>
          <w:p w14:paraId="2D0EE2D3" w14:textId="77777777" w:rsidR="00324C2A" w:rsidRPr="00023E48" w:rsidRDefault="00324C2A" w:rsidP="00395FD6">
            <w:pPr>
              <w:widowControl w:val="0"/>
              <w:autoSpaceDE w:val="0"/>
              <w:autoSpaceDN w:val="0"/>
              <w:adjustRightInd w:val="0"/>
              <w:spacing w:line="240" w:lineRule="auto"/>
              <w:ind w:firstLine="0"/>
              <w:jc w:val="left"/>
              <w:rPr>
                <w:rFonts w:cstheme="minorHAnsi"/>
              </w:rPr>
            </w:pPr>
            <w:r w:rsidRPr="00023E48">
              <w:rPr>
                <w:rFonts w:cstheme="minorHAnsi"/>
              </w:rPr>
              <w:t>Variables</w:t>
            </w:r>
          </w:p>
        </w:tc>
        <w:tc>
          <w:tcPr>
            <w:tcW w:w="1223" w:type="dxa"/>
            <w:tcBorders>
              <w:top w:val="single" w:sz="18" w:space="0" w:color="auto"/>
              <w:left w:val="nil"/>
              <w:bottom w:val="single" w:sz="18" w:space="0" w:color="auto"/>
              <w:right w:val="nil"/>
            </w:tcBorders>
          </w:tcPr>
          <w:p w14:paraId="2F209650" w14:textId="108E0F5F" w:rsidR="00324C2A" w:rsidRPr="00023E48" w:rsidRDefault="00324C2A" w:rsidP="00395FD6">
            <w:pPr>
              <w:widowControl w:val="0"/>
              <w:autoSpaceDE w:val="0"/>
              <w:autoSpaceDN w:val="0"/>
              <w:adjustRightInd w:val="0"/>
              <w:spacing w:line="240" w:lineRule="auto"/>
              <w:ind w:firstLine="0"/>
              <w:jc w:val="left"/>
              <w:rPr>
                <w:rFonts w:cstheme="minorHAnsi"/>
              </w:rPr>
            </w:pPr>
            <w:r>
              <w:rPr>
                <w:rFonts w:cstheme="minorHAnsi"/>
              </w:rPr>
              <w:t>N</w:t>
            </w:r>
          </w:p>
        </w:tc>
        <w:tc>
          <w:tcPr>
            <w:tcW w:w="1529" w:type="dxa"/>
            <w:tcBorders>
              <w:top w:val="single" w:sz="18" w:space="0" w:color="auto"/>
              <w:left w:val="nil"/>
              <w:bottom w:val="single" w:sz="18" w:space="0" w:color="auto"/>
              <w:right w:val="nil"/>
            </w:tcBorders>
          </w:tcPr>
          <w:p w14:paraId="103356DA" w14:textId="4BCD2725" w:rsidR="00324C2A" w:rsidRPr="00023E48" w:rsidRDefault="00324C2A" w:rsidP="00395FD6">
            <w:pPr>
              <w:widowControl w:val="0"/>
              <w:autoSpaceDE w:val="0"/>
              <w:autoSpaceDN w:val="0"/>
              <w:adjustRightInd w:val="0"/>
              <w:spacing w:line="240" w:lineRule="auto"/>
              <w:ind w:firstLine="0"/>
              <w:jc w:val="left"/>
              <w:rPr>
                <w:rFonts w:cstheme="minorHAnsi"/>
              </w:rPr>
            </w:pPr>
            <w:r w:rsidRPr="00023E48">
              <w:rPr>
                <w:rFonts w:cstheme="minorHAnsi"/>
              </w:rPr>
              <w:t>M</w:t>
            </w:r>
            <w:r>
              <w:rPr>
                <w:rFonts w:cstheme="minorHAnsi"/>
              </w:rPr>
              <w:t>ean</w:t>
            </w:r>
          </w:p>
        </w:tc>
        <w:tc>
          <w:tcPr>
            <w:tcW w:w="1529" w:type="dxa"/>
            <w:tcBorders>
              <w:top w:val="single" w:sz="18" w:space="0" w:color="auto"/>
              <w:left w:val="nil"/>
              <w:bottom w:val="single" w:sz="18" w:space="0" w:color="auto"/>
              <w:right w:val="nil"/>
            </w:tcBorders>
          </w:tcPr>
          <w:p w14:paraId="1C97B03B" w14:textId="618EB5C9" w:rsidR="00324C2A" w:rsidRPr="00023E48" w:rsidRDefault="00324C2A" w:rsidP="00395FD6">
            <w:pPr>
              <w:widowControl w:val="0"/>
              <w:autoSpaceDE w:val="0"/>
              <w:autoSpaceDN w:val="0"/>
              <w:adjustRightInd w:val="0"/>
              <w:spacing w:line="240" w:lineRule="auto"/>
              <w:ind w:firstLine="0"/>
              <w:jc w:val="left"/>
              <w:rPr>
                <w:rFonts w:cstheme="minorHAnsi"/>
              </w:rPr>
            </w:pPr>
            <w:r>
              <w:rPr>
                <w:rFonts w:cstheme="minorHAnsi"/>
              </w:rPr>
              <w:t>Std. dev.</w:t>
            </w:r>
          </w:p>
        </w:tc>
        <w:tc>
          <w:tcPr>
            <w:tcW w:w="1529" w:type="dxa"/>
            <w:tcBorders>
              <w:top w:val="single" w:sz="18" w:space="0" w:color="auto"/>
              <w:left w:val="nil"/>
              <w:bottom w:val="single" w:sz="18" w:space="0" w:color="auto"/>
              <w:right w:val="nil"/>
            </w:tcBorders>
          </w:tcPr>
          <w:p w14:paraId="02508268" w14:textId="6765F183" w:rsidR="00324C2A" w:rsidRPr="00023E48" w:rsidRDefault="00324C2A" w:rsidP="00395FD6">
            <w:pPr>
              <w:widowControl w:val="0"/>
              <w:autoSpaceDE w:val="0"/>
              <w:autoSpaceDN w:val="0"/>
              <w:adjustRightInd w:val="0"/>
              <w:spacing w:line="240" w:lineRule="auto"/>
              <w:ind w:firstLine="0"/>
              <w:jc w:val="left"/>
              <w:rPr>
                <w:rFonts w:cstheme="minorHAnsi"/>
              </w:rPr>
            </w:pPr>
            <w:r w:rsidRPr="00023E48">
              <w:rPr>
                <w:rFonts w:cstheme="minorHAnsi"/>
              </w:rPr>
              <w:t>M</w:t>
            </w:r>
            <w:r>
              <w:rPr>
                <w:rFonts w:cstheme="minorHAnsi"/>
              </w:rPr>
              <w:t>in</w:t>
            </w:r>
          </w:p>
        </w:tc>
        <w:tc>
          <w:tcPr>
            <w:tcW w:w="1529" w:type="dxa"/>
            <w:tcBorders>
              <w:top w:val="single" w:sz="18" w:space="0" w:color="auto"/>
              <w:left w:val="nil"/>
              <w:bottom w:val="single" w:sz="18" w:space="0" w:color="auto"/>
              <w:right w:val="nil"/>
            </w:tcBorders>
          </w:tcPr>
          <w:p w14:paraId="45A0156E" w14:textId="16C1D924" w:rsidR="00324C2A" w:rsidRPr="00023E48" w:rsidRDefault="00324C2A" w:rsidP="00395FD6">
            <w:pPr>
              <w:widowControl w:val="0"/>
              <w:autoSpaceDE w:val="0"/>
              <w:autoSpaceDN w:val="0"/>
              <w:adjustRightInd w:val="0"/>
              <w:spacing w:line="240" w:lineRule="auto"/>
              <w:ind w:firstLine="0"/>
              <w:jc w:val="left"/>
              <w:rPr>
                <w:rFonts w:cstheme="minorHAnsi"/>
              </w:rPr>
            </w:pPr>
            <w:r>
              <w:rPr>
                <w:rFonts w:cstheme="minorHAnsi"/>
              </w:rPr>
              <w:t>Max</w:t>
            </w:r>
          </w:p>
        </w:tc>
      </w:tr>
      <w:tr w:rsidR="00324C2A" w14:paraId="1918E649" w14:textId="77777777" w:rsidTr="00324C2A">
        <w:trPr>
          <w:trHeight w:val="415"/>
        </w:trPr>
        <w:tc>
          <w:tcPr>
            <w:tcW w:w="2917" w:type="dxa"/>
            <w:tcBorders>
              <w:top w:val="single" w:sz="18" w:space="0" w:color="auto"/>
              <w:left w:val="nil"/>
              <w:bottom w:val="nil"/>
              <w:right w:val="nil"/>
            </w:tcBorders>
          </w:tcPr>
          <w:p w14:paraId="55E1F9CA" w14:textId="325E5947" w:rsidR="00324C2A" w:rsidRPr="00023E48" w:rsidRDefault="00324C2A" w:rsidP="00395FD6">
            <w:pPr>
              <w:widowControl w:val="0"/>
              <w:autoSpaceDE w:val="0"/>
              <w:autoSpaceDN w:val="0"/>
              <w:adjustRightInd w:val="0"/>
              <w:spacing w:line="240" w:lineRule="auto"/>
              <w:ind w:firstLine="0"/>
              <w:jc w:val="left"/>
              <w:rPr>
                <w:rFonts w:cstheme="minorHAnsi"/>
              </w:rPr>
            </w:pPr>
            <w:r>
              <w:rPr>
                <w:rFonts w:cstheme="minorHAnsi"/>
              </w:rPr>
              <w:t>ESG change</w:t>
            </w:r>
          </w:p>
        </w:tc>
        <w:tc>
          <w:tcPr>
            <w:tcW w:w="1223" w:type="dxa"/>
            <w:tcBorders>
              <w:top w:val="single" w:sz="18" w:space="0" w:color="auto"/>
              <w:left w:val="nil"/>
              <w:bottom w:val="nil"/>
              <w:right w:val="nil"/>
            </w:tcBorders>
          </w:tcPr>
          <w:p w14:paraId="593896B1" w14:textId="7FDB3AE6" w:rsidR="00324C2A"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76,827</w:t>
            </w:r>
          </w:p>
        </w:tc>
        <w:tc>
          <w:tcPr>
            <w:tcW w:w="1529" w:type="dxa"/>
            <w:tcBorders>
              <w:top w:val="single" w:sz="18" w:space="0" w:color="auto"/>
              <w:left w:val="nil"/>
              <w:bottom w:val="nil"/>
              <w:right w:val="nil"/>
            </w:tcBorders>
          </w:tcPr>
          <w:p w14:paraId="6AF9FC1C" w14:textId="6E0B61DB" w:rsidR="00324C2A"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4.064</w:t>
            </w:r>
          </w:p>
        </w:tc>
        <w:tc>
          <w:tcPr>
            <w:tcW w:w="1529" w:type="dxa"/>
            <w:tcBorders>
              <w:top w:val="single" w:sz="18" w:space="0" w:color="auto"/>
              <w:left w:val="nil"/>
              <w:bottom w:val="nil"/>
              <w:right w:val="nil"/>
            </w:tcBorders>
          </w:tcPr>
          <w:p w14:paraId="1349A906" w14:textId="2AD8AF1A" w:rsidR="00324C2A"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13.337</w:t>
            </w:r>
          </w:p>
        </w:tc>
        <w:tc>
          <w:tcPr>
            <w:tcW w:w="1529" w:type="dxa"/>
            <w:tcBorders>
              <w:top w:val="single" w:sz="18" w:space="0" w:color="auto"/>
              <w:left w:val="nil"/>
              <w:bottom w:val="nil"/>
              <w:right w:val="nil"/>
            </w:tcBorders>
          </w:tcPr>
          <w:p w14:paraId="0BE5FF8F" w14:textId="5703D6B4" w:rsidR="00324C2A"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-84.689</w:t>
            </w:r>
          </w:p>
        </w:tc>
        <w:tc>
          <w:tcPr>
            <w:tcW w:w="1529" w:type="dxa"/>
            <w:tcBorders>
              <w:top w:val="single" w:sz="18" w:space="0" w:color="auto"/>
              <w:left w:val="nil"/>
              <w:bottom w:val="nil"/>
              <w:right w:val="nil"/>
            </w:tcBorders>
          </w:tcPr>
          <w:p w14:paraId="2CAA3751" w14:textId="66AC5ED0" w:rsidR="00324C2A"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82.960</w:t>
            </w:r>
          </w:p>
        </w:tc>
      </w:tr>
      <w:tr w:rsidR="00941F71" w14:paraId="3E0D9102" w14:textId="77777777" w:rsidTr="00324C2A">
        <w:trPr>
          <w:trHeight w:val="415"/>
        </w:trPr>
        <w:tc>
          <w:tcPr>
            <w:tcW w:w="2917" w:type="dxa"/>
            <w:tcBorders>
              <w:top w:val="nil"/>
              <w:left w:val="nil"/>
              <w:bottom w:val="nil"/>
              <w:right w:val="nil"/>
            </w:tcBorders>
          </w:tcPr>
          <w:p w14:paraId="38F88396" w14:textId="2AFBE55B" w:rsidR="00941F71" w:rsidRDefault="00941F71" w:rsidP="00395FD6">
            <w:pPr>
              <w:widowControl w:val="0"/>
              <w:autoSpaceDE w:val="0"/>
              <w:autoSpaceDN w:val="0"/>
              <w:adjustRightInd w:val="0"/>
              <w:spacing w:line="240" w:lineRule="auto"/>
              <w:ind w:firstLine="0"/>
              <w:jc w:val="left"/>
              <w:rPr>
                <w:rFonts w:cstheme="minorHAnsi"/>
              </w:rPr>
            </w:pPr>
            <w:r>
              <w:rPr>
                <w:rFonts w:cstheme="minorHAnsi"/>
              </w:rPr>
              <w:t>ESG advantage</w:t>
            </w:r>
          </w:p>
        </w:tc>
        <w:tc>
          <w:tcPr>
            <w:tcW w:w="1223" w:type="dxa"/>
            <w:tcBorders>
              <w:top w:val="nil"/>
              <w:left w:val="nil"/>
              <w:bottom w:val="nil"/>
              <w:right w:val="nil"/>
            </w:tcBorders>
          </w:tcPr>
          <w:p w14:paraId="30DCD30E" w14:textId="0B70F20F" w:rsidR="00941F71" w:rsidRDefault="00941F71" w:rsidP="00395FD6">
            <w:pPr>
              <w:widowControl w:val="0"/>
              <w:autoSpaceDE w:val="0"/>
              <w:autoSpaceDN w:val="0"/>
              <w:adjustRightInd w:val="0"/>
              <w:spacing w:line="240" w:lineRule="auto"/>
              <w:ind w:firstLine="0"/>
              <w:jc w:val="left"/>
              <w:rPr>
                <w:rFonts w:cstheme="minorHAnsi"/>
              </w:rPr>
            </w:pPr>
            <w:r>
              <w:rPr>
                <w:rFonts w:cstheme="minorHAnsi"/>
              </w:rPr>
              <w:t>1,051,145</w:t>
            </w:r>
          </w:p>
        </w:tc>
        <w:tc>
          <w:tcPr>
            <w:tcW w:w="1529" w:type="dxa"/>
            <w:tcBorders>
              <w:top w:val="nil"/>
              <w:left w:val="nil"/>
              <w:bottom w:val="nil"/>
              <w:right w:val="nil"/>
            </w:tcBorders>
          </w:tcPr>
          <w:p w14:paraId="22999774" w14:textId="473B9D01" w:rsidR="00941F71" w:rsidRDefault="00941F71" w:rsidP="00395FD6">
            <w:pPr>
              <w:widowControl w:val="0"/>
              <w:autoSpaceDE w:val="0"/>
              <w:autoSpaceDN w:val="0"/>
              <w:adjustRightInd w:val="0"/>
              <w:spacing w:line="240" w:lineRule="auto"/>
              <w:ind w:firstLine="0"/>
              <w:jc w:val="left"/>
              <w:rPr>
                <w:rFonts w:cstheme="minorHAnsi"/>
              </w:rPr>
            </w:pPr>
            <w:r>
              <w:rPr>
                <w:rFonts w:cstheme="minorHAnsi"/>
              </w:rPr>
              <w:t>-0.76</w:t>
            </w:r>
          </w:p>
        </w:tc>
        <w:tc>
          <w:tcPr>
            <w:tcW w:w="1529" w:type="dxa"/>
            <w:tcBorders>
              <w:top w:val="nil"/>
              <w:left w:val="nil"/>
              <w:bottom w:val="nil"/>
              <w:right w:val="nil"/>
            </w:tcBorders>
          </w:tcPr>
          <w:p w14:paraId="79540F09" w14:textId="7C2B3A0C" w:rsidR="00941F71" w:rsidRDefault="00941F71" w:rsidP="00395FD6">
            <w:pPr>
              <w:widowControl w:val="0"/>
              <w:autoSpaceDE w:val="0"/>
              <w:autoSpaceDN w:val="0"/>
              <w:adjustRightInd w:val="0"/>
              <w:spacing w:line="240" w:lineRule="auto"/>
              <w:ind w:firstLine="0"/>
              <w:jc w:val="left"/>
              <w:rPr>
                <w:rFonts w:cstheme="minorHAnsi"/>
              </w:rPr>
            </w:pPr>
            <w:r>
              <w:rPr>
                <w:rFonts w:cstheme="minorHAnsi"/>
              </w:rPr>
              <w:t>2.093931</w:t>
            </w:r>
          </w:p>
        </w:tc>
        <w:tc>
          <w:tcPr>
            <w:tcW w:w="1529" w:type="dxa"/>
            <w:tcBorders>
              <w:top w:val="nil"/>
              <w:left w:val="nil"/>
              <w:bottom w:val="nil"/>
              <w:right w:val="nil"/>
            </w:tcBorders>
          </w:tcPr>
          <w:p w14:paraId="28D1BA91" w14:textId="7EB0B76C" w:rsidR="00941F71" w:rsidRDefault="00941F71" w:rsidP="00395FD6">
            <w:pPr>
              <w:widowControl w:val="0"/>
              <w:autoSpaceDE w:val="0"/>
              <w:autoSpaceDN w:val="0"/>
              <w:adjustRightInd w:val="0"/>
              <w:spacing w:line="240" w:lineRule="auto"/>
              <w:ind w:firstLine="0"/>
              <w:jc w:val="left"/>
              <w:rPr>
                <w:rFonts w:cstheme="minorHAnsi"/>
              </w:rPr>
            </w:pPr>
            <w:r>
              <w:rPr>
                <w:rFonts w:cstheme="minorHAnsi"/>
              </w:rPr>
              <w:t>-83.35</w:t>
            </w:r>
          </w:p>
        </w:tc>
        <w:tc>
          <w:tcPr>
            <w:tcW w:w="1529" w:type="dxa"/>
            <w:tcBorders>
              <w:top w:val="nil"/>
              <w:left w:val="nil"/>
              <w:bottom w:val="nil"/>
              <w:right w:val="nil"/>
            </w:tcBorders>
          </w:tcPr>
          <w:p w14:paraId="10EF0E8A" w14:textId="29B36D16" w:rsidR="00941F71" w:rsidRDefault="00941F71" w:rsidP="00395FD6">
            <w:pPr>
              <w:widowControl w:val="0"/>
              <w:autoSpaceDE w:val="0"/>
              <w:autoSpaceDN w:val="0"/>
              <w:adjustRightInd w:val="0"/>
              <w:spacing w:line="240" w:lineRule="auto"/>
              <w:ind w:firstLine="0"/>
              <w:jc w:val="left"/>
              <w:rPr>
                <w:rFonts w:cstheme="minorHAnsi"/>
              </w:rPr>
            </w:pPr>
            <w:r>
              <w:rPr>
                <w:rFonts w:cstheme="minorHAnsi"/>
              </w:rPr>
              <w:t>79.04</w:t>
            </w:r>
          </w:p>
        </w:tc>
      </w:tr>
      <w:tr w:rsidR="00324C2A" w14:paraId="26AE8853" w14:textId="77777777" w:rsidTr="00324C2A">
        <w:trPr>
          <w:trHeight w:val="415"/>
        </w:trPr>
        <w:tc>
          <w:tcPr>
            <w:tcW w:w="2917" w:type="dxa"/>
            <w:tcBorders>
              <w:top w:val="nil"/>
              <w:left w:val="nil"/>
              <w:bottom w:val="nil"/>
              <w:right w:val="nil"/>
            </w:tcBorders>
          </w:tcPr>
          <w:p w14:paraId="6B473969" w14:textId="147A421D" w:rsidR="00324C2A" w:rsidRPr="00023E48" w:rsidRDefault="00324C2A" w:rsidP="00395FD6">
            <w:pPr>
              <w:widowControl w:val="0"/>
              <w:autoSpaceDE w:val="0"/>
              <w:autoSpaceDN w:val="0"/>
              <w:adjustRightInd w:val="0"/>
              <w:spacing w:line="240" w:lineRule="auto"/>
              <w:ind w:firstLine="0"/>
              <w:jc w:val="left"/>
              <w:rPr>
                <w:rFonts w:cstheme="minorHAnsi"/>
              </w:rPr>
            </w:pPr>
            <w:r>
              <w:rPr>
                <w:rFonts w:cstheme="minorHAnsi"/>
              </w:rPr>
              <w:t>Treatment</w:t>
            </w:r>
          </w:p>
        </w:tc>
        <w:tc>
          <w:tcPr>
            <w:tcW w:w="1223" w:type="dxa"/>
            <w:tcBorders>
              <w:top w:val="nil"/>
              <w:left w:val="nil"/>
              <w:bottom w:val="nil"/>
              <w:right w:val="nil"/>
            </w:tcBorders>
          </w:tcPr>
          <w:p w14:paraId="26726882" w14:textId="069CE838" w:rsidR="00324C2A"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1,051,145</w:t>
            </w:r>
          </w:p>
        </w:tc>
        <w:tc>
          <w:tcPr>
            <w:tcW w:w="1529" w:type="dxa"/>
            <w:tcBorders>
              <w:top w:val="nil"/>
              <w:left w:val="nil"/>
              <w:bottom w:val="nil"/>
              <w:right w:val="nil"/>
            </w:tcBorders>
          </w:tcPr>
          <w:p w14:paraId="0E200458" w14:textId="69F401AB" w:rsidR="00324C2A"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0.007</w:t>
            </w:r>
          </w:p>
        </w:tc>
        <w:tc>
          <w:tcPr>
            <w:tcW w:w="1529" w:type="dxa"/>
            <w:tcBorders>
              <w:top w:val="nil"/>
              <w:left w:val="nil"/>
              <w:bottom w:val="nil"/>
              <w:right w:val="nil"/>
            </w:tcBorders>
          </w:tcPr>
          <w:p w14:paraId="7D535186" w14:textId="446746A6" w:rsidR="00324C2A"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0.854</w:t>
            </w:r>
          </w:p>
        </w:tc>
        <w:tc>
          <w:tcPr>
            <w:tcW w:w="1529" w:type="dxa"/>
            <w:tcBorders>
              <w:top w:val="nil"/>
              <w:left w:val="nil"/>
              <w:bottom w:val="nil"/>
              <w:right w:val="nil"/>
            </w:tcBorders>
          </w:tcPr>
          <w:p w14:paraId="006B6C4F" w14:textId="25AE1507" w:rsidR="00324C2A"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0</w:t>
            </w:r>
          </w:p>
        </w:tc>
        <w:tc>
          <w:tcPr>
            <w:tcW w:w="1529" w:type="dxa"/>
            <w:tcBorders>
              <w:top w:val="nil"/>
              <w:left w:val="nil"/>
              <w:bottom w:val="nil"/>
              <w:right w:val="nil"/>
            </w:tcBorders>
          </w:tcPr>
          <w:p w14:paraId="33719003" w14:textId="7531EED1" w:rsidR="00324C2A"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1</w:t>
            </w:r>
          </w:p>
        </w:tc>
      </w:tr>
      <w:tr w:rsidR="00324C2A" w14:paraId="57BD5D18" w14:textId="77777777" w:rsidTr="00941F71">
        <w:trPr>
          <w:trHeight w:val="415"/>
        </w:trPr>
        <w:tc>
          <w:tcPr>
            <w:tcW w:w="2917" w:type="dxa"/>
            <w:tcBorders>
              <w:top w:val="nil"/>
              <w:left w:val="nil"/>
              <w:bottom w:val="nil"/>
              <w:right w:val="nil"/>
            </w:tcBorders>
          </w:tcPr>
          <w:p w14:paraId="22FA686C" w14:textId="393E2F2E" w:rsidR="00324C2A"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Post</w:t>
            </w:r>
          </w:p>
        </w:tc>
        <w:tc>
          <w:tcPr>
            <w:tcW w:w="1223" w:type="dxa"/>
            <w:tcBorders>
              <w:top w:val="nil"/>
              <w:left w:val="nil"/>
              <w:bottom w:val="nil"/>
              <w:right w:val="nil"/>
            </w:tcBorders>
          </w:tcPr>
          <w:p w14:paraId="7B84BF50" w14:textId="5726FD4D" w:rsidR="00324C2A"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1,051,145</w:t>
            </w:r>
          </w:p>
        </w:tc>
        <w:tc>
          <w:tcPr>
            <w:tcW w:w="1529" w:type="dxa"/>
            <w:tcBorders>
              <w:top w:val="nil"/>
              <w:left w:val="nil"/>
              <w:bottom w:val="nil"/>
              <w:right w:val="nil"/>
            </w:tcBorders>
          </w:tcPr>
          <w:p w14:paraId="2EAC563A" w14:textId="47E76E94" w:rsidR="00324C2A"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0.607</w:t>
            </w:r>
          </w:p>
        </w:tc>
        <w:tc>
          <w:tcPr>
            <w:tcW w:w="1529" w:type="dxa"/>
            <w:tcBorders>
              <w:top w:val="nil"/>
              <w:left w:val="nil"/>
              <w:bottom w:val="nil"/>
              <w:right w:val="nil"/>
            </w:tcBorders>
          </w:tcPr>
          <w:p w14:paraId="2474B3C8" w14:textId="158A2F5E" w:rsidR="00324C2A"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0.488</w:t>
            </w:r>
          </w:p>
        </w:tc>
        <w:tc>
          <w:tcPr>
            <w:tcW w:w="1529" w:type="dxa"/>
            <w:tcBorders>
              <w:top w:val="nil"/>
              <w:left w:val="nil"/>
              <w:bottom w:val="nil"/>
              <w:right w:val="nil"/>
            </w:tcBorders>
          </w:tcPr>
          <w:p w14:paraId="2C21C8CA" w14:textId="5292EB61" w:rsidR="00324C2A"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0</w:t>
            </w:r>
          </w:p>
        </w:tc>
        <w:tc>
          <w:tcPr>
            <w:tcW w:w="1529" w:type="dxa"/>
            <w:tcBorders>
              <w:top w:val="nil"/>
              <w:left w:val="nil"/>
              <w:bottom w:val="nil"/>
              <w:right w:val="nil"/>
            </w:tcBorders>
          </w:tcPr>
          <w:p w14:paraId="7CF4D5DC" w14:textId="41D8362D" w:rsidR="00324C2A"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1</w:t>
            </w:r>
          </w:p>
        </w:tc>
      </w:tr>
      <w:tr w:rsidR="00941F71" w14:paraId="0A4260A3" w14:textId="77777777" w:rsidTr="00324C2A">
        <w:trPr>
          <w:trHeight w:val="415"/>
        </w:trPr>
        <w:tc>
          <w:tcPr>
            <w:tcW w:w="2917" w:type="dxa"/>
            <w:tcBorders>
              <w:top w:val="nil"/>
              <w:left w:val="nil"/>
              <w:bottom w:val="single" w:sz="18" w:space="0" w:color="auto"/>
              <w:right w:val="nil"/>
            </w:tcBorders>
          </w:tcPr>
          <w:p w14:paraId="26C96AC3" w14:textId="33023C04" w:rsidR="00941F71"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High-ESG Target</w:t>
            </w:r>
          </w:p>
        </w:tc>
        <w:tc>
          <w:tcPr>
            <w:tcW w:w="1223" w:type="dxa"/>
            <w:tcBorders>
              <w:top w:val="nil"/>
              <w:left w:val="nil"/>
              <w:bottom w:val="single" w:sz="18" w:space="0" w:color="auto"/>
              <w:right w:val="nil"/>
            </w:tcBorders>
          </w:tcPr>
          <w:p w14:paraId="181188D8" w14:textId="78F06F1A" w:rsidR="00941F71"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1,051,145</w:t>
            </w:r>
          </w:p>
        </w:tc>
        <w:tc>
          <w:tcPr>
            <w:tcW w:w="1529" w:type="dxa"/>
            <w:tcBorders>
              <w:top w:val="nil"/>
              <w:left w:val="nil"/>
              <w:bottom w:val="single" w:sz="18" w:space="0" w:color="auto"/>
              <w:right w:val="nil"/>
            </w:tcBorders>
          </w:tcPr>
          <w:p w14:paraId="73BB7D50" w14:textId="3F449DEF" w:rsidR="00941F71"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0.000</w:t>
            </w:r>
          </w:p>
        </w:tc>
        <w:tc>
          <w:tcPr>
            <w:tcW w:w="1529" w:type="dxa"/>
            <w:tcBorders>
              <w:top w:val="nil"/>
              <w:left w:val="nil"/>
              <w:bottom w:val="single" w:sz="18" w:space="0" w:color="auto"/>
              <w:right w:val="nil"/>
            </w:tcBorders>
          </w:tcPr>
          <w:p w14:paraId="7AC364C3" w14:textId="7D1D699B" w:rsidR="00941F71"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0.011</w:t>
            </w:r>
          </w:p>
        </w:tc>
        <w:tc>
          <w:tcPr>
            <w:tcW w:w="1529" w:type="dxa"/>
            <w:tcBorders>
              <w:top w:val="nil"/>
              <w:left w:val="nil"/>
              <w:bottom w:val="single" w:sz="18" w:space="0" w:color="auto"/>
              <w:right w:val="nil"/>
            </w:tcBorders>
          </w:tcPr>
          <w:p w14:paraId="34FD930A" w14:textId="695CBC3B" w:rsidR="00941F71"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0</w:t>
            </w:r>
          </w:p>
        </w:tc>
        <w:tc>
          <w:tcPr>
            <w:tcW w:w="1529" w:type="dxa"/>
            <w:tcBorders>
              <w:top w:val="nil"/>
              <w:left w:val="nil"/>
              <w:bottom w:val="single" w:sz="18" w:space="0" w:color="auto"/>
              <w:right w:val="nil"/>
            </w:tcBorders>
          </w:tcPr>
          <w:p w14:paraId="7EFEA665" w14:textId="17A3B027" w:rsidR="00941F71" w:rsidRPr="00023E48" w:rsidRDefault="00941F71" w:rsidP="00395FD6">
            <w:pPr>
              <w:widowControl w:val="0"/>
              <w:autoSpaceDE w:val="0"/>
              <w:autoSpaceDN w:val="0"/>
              <w:adjustRightInd w:val="0"/>
              <w:spacing w:line="240" w:lineRule="auto"/>
              <w:ind w:firstLine="0"/>
              <w:jc w:val="left"/>
              <w:rPr>
                <w:rFonts w:cstheme="minorHAnsi"/>
              </w:rPr>
            </w:pPr>
            <w:r>
              <w:rPr>
                <w:rFonts w:cstheme="minorHAnsi"/>
              </w:rPr>
              <w:t>1</w:t>
            </w:r>
          </w:p>
        </w:tc>
      </w:tr>
    </w:tbl>
    <w:p w14:paraId="4338D6E0" w14:textId="77777777" w:rsidR="00324C2A" w:rsidRDefault="00324C2A" w:rsidP="00153B93"/>
    <w:p w14:paraId="4A5047CB" w14:textId="449B220B" w:rsidR="00324C2A" w:rsidRDefault="00D939EA" w:rsidP="00153B93">
      <w:r>
        <w:t>The ES</w:t>
      </w:r>
      <w:r w:rsidR="007B78DD">
        <w:t>G</w:t>
      </w:r>
      <w:r>
        <w:t xml:space="preserve"> advantage variable measures the difference in ESG scores between the acquisition target and the acquirer in the year preceding the acquisition. The mean ESG advantage is approximately -0.76, indicating that, on average, targets tend to have slightly lower ESG scores that acquirers, though the wide range (-83.35 to 79.04) reflects substantial variation in the sample.</w:t>
      </w:r>
    </w:p>
    <w:p w14:paraId="3C86F79A" w14:textId="182DB6C5" w:rsidR="00D939EA" w:rsidRDefault="00D939EA" w:rsidP="00153B93">
      <w:r>
        <w:t>The Treatment and Post variables are binary indicators used in the difference-in-differences framework. Treatment equals one for firms that complete an acquisition during the sample period and zero otherwise. Post equals one for observations following the acquisition year and zero before. The high ESG Target variable identifies acquisitions where target firm had an ESG score above the acquirer, allowing for the exploration of heterogeneity in treatment effects.</w:t>
      </w:r>
    </w:p>
    <w:p w14:paraId="256CFD47" w14:textId="25E72D58" w:rsidR="00D939EA" w:rsidRDefault="00D939EA" w:rsidP="00153B93">
      <w:r>
        <w:t>Overall, the descriptive statistics indicate substantial variation in ESG performance and ESG advantage, providing a suitable basis for further analysis of the relationship between acquisitions and greenwashing.</w:t>
      </w:r>
    </w:p>
    <w:p w14:paraId="50D2C99F" w14:textId="3143EB04" w:rsidR="007B78DD" w:rsidRDefault="007B78DD" w:rsidP="007B78DD">
      <w:pPr>
        <w:pStyle w:val="Kop2"/>
      </w:pPr>
      <w:bookmarkStart w:id="16" w:name="_Toc202218707"/>
      <w:r>
        <w:t>Parallel trends and pre-trend assessment</w:t>
      </w:r>
      <w:bookmarkEnd w:id="16"/>
    </w:p>
    <w:p w14:paraId="64CAC57E" w14:textId="0A2C1D0A" w:rsidR="007B78DD" w:rsidRDefault="007B78DD" w:rsidP="007B78DD">
      <w:r>
        <w:t>A critical identifying assumption for the difference-in-differences (DiD) approach is that treated and control firms would have followed similar trends in ESG performance in the absence of treatment. To evaluate the plausibility of this parallel trends assumption, both visual and formal pre-trend assessments are conducted in this section.</w:t>
      </w:r>
    </w:p>
    <w:p w14:paraId="6C067DA4" w14:textId="4E7AB6B4" w:rsidR="007B78DD" w:rsidRDefault="007B78DD" w:rsidP="007B78DD">
      <w:pPr>
        <w:pStyle w:val="Kop3"/>
      </w:pPr>
      <w:bookmarkStart w:id="17" w:name="_Toc202218708"/>
      <w:r>
        <w:t>Visual pre-Trend Assessment</w:t>
      </w:r>
      <w:bookmarkEnd w:id="17"/>
    </w:p>
    <w:p w14:paraId="3AC4E9DD" w14:textId="261BD77D" w:rsidR="007B78DD" w:rsidRDefault="007B78DD" w:rsidP="007B78DD">
      <w:r>
        <w:t>Figure 1 presents an event study plot of the estimated dynamic treatment effects around the acquisition year, based on the methodology proposed by Callaway and Sant’Anna (2021) and implemented using the csdid estimator. The figure displays the average treatment effect on the treated (ATT) for each period relative to treatment, with separate estimates for pre-treatment and post-treatment periods.</w:t>
      </w:r>
    </w:p>
    <w:p w14:paraId="58199FAA" w14:textId="14C0C1BA" w:rsidR="007B78DD" w:rsidRDefault="007B78DD" w:rsidP="00807773">
      <w:r>
        <w:t xml:space="preserve">In </w:t>
      </w:r>
      <w:r w:rsidR="00807773">
        <w:t>the pre-treatment period, the ATT estimates fluctuate around zero without displaying a clear systematic upward or downward trend, although some variation is visible. This suggests that ESg performance for treated and control firms evolved similarly prior to treatment, providing visual support for the validity of the parallel trends assumption. Some deviations are observed in periods further away from treatment, which is common in event study settings due to limited data availability for those periods.</w:t>
      </w:r>
    </w:p>
    <w:p w14:paraId="1955784F" w14:textId="0CB564B4" w:rsidR="00807773" w:rsidRDefault="00807773" w:rsidP="00807773">
      <w:r>
        <w:t>In the post-treatment period, a positive and increasing ATT emerges, indicating that acquisitions are associated with an improvement in ESG performance over time for treated firms relative to the control group. This finding aligns with the expectation that acquiring high-ESG targets contributes to measurable ESG performance gains following the transaction.</w:t>
      </w:r>
    </w:p>
    <w:p w14:paraId="31D0E15C" w14:textId="20091372" w:rsidR="00807773" w:rsidRDefault="00807773" w:rsidP="00807773">
      <w:pPr>
        <w:pStyle w:val="FigureTitle"/>
      </w:pPr>
      <w:r>
        <w:t>Figure 1 pre-trend assessment</w:t>
      </w:r>
    </w:p>
    <w:p w14:paraId="1EBF88B9" w14:textId="0CA64ACC" w:rsidR="00807773" w:rsidRDefault="00807773" w:rsidP="007B78DD">
      <w:r w:rsidRPr="00807773">
        <w:rPr>
          <w:noProof/>
        </w:rPr>
        <w:drawing>
          <wp:inline distT="0" distB="0" distL="0" distR="0" wp14:anchorId="62903CB7" wp14:editId="387C767D">
            <wp:extent cx="5972810" cy="3585845"/>
            <wp:effectExtent l="0" t="0" r="8890" b="0"/>
            <wp:docPr id="1758729237" name="Afbeelding 1" descr="Afbeelding met tekst, diagram, schermopname, lijn&#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729237" name="Afbeelding 1" descr="Afbeelding met tekst, diagram, schermopname, lijn&#10;&#10;Door AI gegenereerde inhoud is mogelijk onjuist."/>
                    <pic:cNvPicPr/>
                  </pic:nvPicPr>
                  <pic:blipFill>
                    <a:blip r:embed="rId10"/>
                    <a:stretch>
                      <a:fillRect/>
                    </a:stretch>
                  </pic:blipFill>
                  <pic:spPr>
                    <a:xfrm>
                      <a:off x="0" y="0"/>
                      <a:ext cx="5972810" cy="3585845"/>
                    </a:xfrm>
                    <a:prstGeom prst="rect">
                      <a:avLst/>
                    </a:prstGeom>
                  </pic:spPr>
                </pic:pic>
              </a:graphicData>
            </a:graphic>
          </wp:inline>
        </w:drawing>
      </w:r>
    </w:p>
    <w:p w14:paraId="090EC07A" w14:textId="738C4693" w:rsidR="004B0B21" w:rsidRPr="007B78DD" w:rsidRDefault="004B0B21" w:rsidP="004B0B21">
      <w:pPr>
        <w:pStyle w:val="Kop3"/>
      </w:pPr>
      <w:bookmarkStart w:id="18" w:name="_Toc202218709"/>
      <w:r>
        <w:t>Formal pre-Trend test</w:t>
      </w:r>
      <w:bookmarkEnd w:id="18"/>
    </w:p>
    <w:p w14:paraId="3C38E3EB" w14:textId="0DC5C8FF" w:rsidR="005F3112" w:rsidRDefault="007E21A5" w:rsidP="005F3112">
      <w:r w:rsidRPr="007E21A5">
        <w:t xml:space="preserve">To complement the visual assessment, a formal pre-trend regression is performed, restricting the sample to the three years preceding the acquisition. Specifically, ESG performance is regressed on a linear time trend separately for treated and control firms. The results, presented in Table </w:t>
      </w:r>
      <w:r>
        <w:t>2</w:t>
      </w:r>
      <w:r w:rsidRPr="007E21A5">
        <w:t>, reveal a statistically significant negative trend in ESG performance prior to the acquisition for both treated and control firms.</w:t>
      </w:r>
    </w:p>
    <w:p w14:paraId="1B8B4E30" w14:textId="5827245A" w:rsidR="007E21A5" w:rsidRDefault="007E21A5" w:rsidP="007E21A5">
      <w:pPr>
        <w:pStyle w:val="TableTitle"/>
      </w:pPr>
      <w:r>
        <w:t>Table 2 pre-rend Assessment</w:t>
      </w:r>
    </w:p>
    <w:tbl>
      <w:tblPr>
        <w:tblW w:w="7200" w:type="dxa"/>
        <w:tblLayout w:type="fixed"/>
        <w:tblLook w:val="0000" w:firstRow="0" w:lastRow="0" w:firstColumn="0" w:lastColumn="0" w:noHBand="0" w:noVBand="0"/>
      </w:tblPr>
      <w:tblGrid>
        <w:gridCol w:w="2917"/>
        <w:gridCol w:w="2033"/>
        <w:gridCol w:w="2250"/>
      </w:tblGrid>
      <w:tr w:rsidR="007E21A5" w14:paraId="1A963193" w14:textId="77777777" w:rsidTr="007E21A5">
        <w:trPr>
          <w:trHeight w:val="392"/>
        </w:trPr>
        <w:tc>
          <w:tcPr>
            <w:tcW w:w="2917" w:type="dxa"/>
            <w:tcBorders>
              <w:top w:val="single" w:sz="18" w:space="0" w:color="auto"/>
              <w:left w:val="nil"/>
              <w:bottom w:val="single" w:sz="18" w:space="0" w:color="auto"/>
              <w:right w:val="nil"/>
            </w:tcBorders>
          </w:tcPr>
          <w:p w14:paraId="22DC29FD" w14:textId="7BC8403A" w:rsidR="007E21A5" w:rsidRPr="00023E48" w:rsidRDefault="007E21A5" w:rsidP="00395FD6">
            <w:pPr>
              <w:widowControl w:val="0"/>
              <w:autoSpaceDE w:val="0"/>
              <w:autoSpaceDN w:val="0"/>
              <w:adjustRightInd w:val="0"/>
              <w:spacing w:line="240" w:lineRule="auto"/>
              <w:ind w:firstLine="0"/>
              <w:jc w:val="left"/>
              <w:rPr>
                <w:rFonts w:cstheme="minorHAnsi"/>
              </w:rPr>
            </w:pPr>
            <w:r w:rsidRPr="00023E48">
              <w:rPr>
                <w:rFonts w:cstheme="minorHAnsi"/>
              </w:rPr>
              <w:t>Variable</w:t>
            </w:r>
          </w:p>
        </w:tc>
        <w:tc>
          <w:tcPr>
            <w:tcW w:w="2033" w:type="dxa"/>
            <w:tcBorders>
              <w:top w:val="single" w:sz="18" w:space="0" w:color="auto"/>
              <w:left w:val="nil"/>
              <w:bottom w:val="single" w:sz="18" w:space="0" w:color="auto"/>
              <w:right w:val="nil"/>
            </w:tcBorders>
          </w:tcPr>
          <w:p w14:paraId="734381C9" w14:textId="53574CC8" w:rsidR="007E21A5" w:rsidRPr="00023E48" w:rsidRDefault="007E21A5" w:rsidP="00395FD6">
            <w:pPr>
              <w:widowControl w:val="0"/>
              <w:autoSpaceDE w:val="0"/>
              <w:autoSpaceDN w:val="0"/>
              <w:adjustRightInd w:val="0"/>
              <w:spacing w:line="240" w:lineRule="auto"/>
              <w:ind w:firstLine="0"/>
              <w:jc w:val="left"/>
              <w:rPr>
                <w:rFonts w:cstheme="minorHAnsi"/>
              </w:rPr>
            </w:pPr>
            <w:r>
              <w:rPr>
                <w:rFonts w:cstheme="minorHAnsi"/>
              </w:rPr>
              <w:t>Treated Firms</w:t>
            </w:r>
          </w:p>
        </w:tc>
        <w:tc>
          <w:tcPr>
            <w:tcW w:w="2250" w:type="dxa"/>
            <w:tcBorders>
              <w:top w:val="single" w:sz="18" w:space="0" w:color="auto"/>
              <w:left w:val="nil"/>
              <w:bottom w:val="single" w:sz="18" w:space="0" w:color="auto"/>
              <w:right w:val="nil"/>
            </w:tcBorders>
          </w:tcPr>
          <w:p w14:paraId="7FD6E2AB" w14:textId="016DDCCC" w:rsidR="007E21A5" w:rsidRPr="00023E48" w:rsidRDefault="007E21A5" w:rsidP="00395FD6">
            <w:pPr>
              <w:widowControl w:val="0"/>
              <w:autoSpaceDE w:val="0"/>
              <w:autoSpaceDN w:val="0"/>
              <w:adjustRightInd w:val="0"/>
              <w:spacing w:line="240" w:lineRule="auto"/>
              <w:ind w:firstLine="0"/>
              <w:jc w:val="left"/>
              <w:rPr>
                <w:rFonts w:cstheme="minorHAnsi"/>
              </w:rPr>
            </w:pPr>
            <w:r>
              <w:rPr>
                <w:rFonts w:cstheme="minorHAnsi"/>
              </w:rPr>
              <w:t>Control Firms</w:t>
            </w:r>
          </w:p>
        </w:tc>
      </w:tr>
      <w:tr w:rsidR="007E21A5" w14:paraId="6EED15E3" w14:textId="77777777" w:rsidTr="007E21A5">
        <w:trPr>
          <w:trHeight w:val="415"/>
        </w:trPr>
        <w:tc>
          <w:tcPr>
            <w:tcW w:w="2917" w:type="dxa"/>
            <w:tcBorders>
              <w:top w:val="single" w:sz="18" w:space="0" w:color="auto"/>
              <w:left w:val="nil"/>
              <w:bottom w:val="nil"/>
              <w:right w:val="nil"/>
            </w:tcBorders>
          </w:tcPr>
          <w:p w14:paraId="0EF89B83" w14:textId="775237B0" w:rsidR="007E21A5" w:rsidRPr="00023E48" w:rsidRDefault="007E21A5" w:rsidP="00395FD6">
            <w:pPr>
              <w:widowControl w:val="0"/>
              <w:autoSpaceDE w:val="0"/>
              <w:autoSpaceDN w:val="0"/>
              <w:adjustRightInd w:val="0"/>
              <w:spacing w:line="240" w:lineRule="auto"/>
              <w:ind w:firstLine="0"/>
              <w:jc w:val="left"/>
              <w:rPr>
                <w:rFonts w:cstheme="minorHAnsi"/>
              </w:rPr>
            </w:pPr>
            <w:r>
              <w:rPr>
                <w:rFonts w:cstheme="minorHAnsi"/>
              </w:rPr>
              <w:t>Event Time</w:t>
            </w:r>
          </w:p>
        </w:tc>
        <w:tc>
          <w:tcPr>
            <w:tcW w:w="2033" w:type="dxa"/>
            <w:tcBorders>
              <w:top w:val="single" w:sz="18" w:space="0" w:color="auto"/>
              <w:left w:val="nil"/>
              <w:bottom w:val="nil"/>
              <w:right w:val="nil"/>
            </w:tcBorders>
          </w:tcPr>
          <w:p w14:paraId="7272B286" w14:textId="2865A912" w:rsidR="007E21A5" w:rsidRPr="00023E48" w:rsidRDefault="007E21A5" w:rsidP="00395FD6">
            <w:pPr>
              <w:widowControl w:val="0"/>
              <w:autoSpaceDE w:val="0"/>
              <w:autoSpaceDN w:val="0"/>
              <w:adjustRightInd w:val="0"/>
              <w:spacing w:line="240" w:lineRule="auto"/>
              <w:ind w:firstLine="0"/>
              <w:jc w:val="left"/>
              <w:rPr>
                <w:rFonts w:cstheme="minorHAnsi"/>
              </w:rPr>
            </w:pPr>
            <w:r>
              <w:rPr>
                <w:rFonts w:cstheme="minorHAnsi"/>
              </w:rPr>
              <w:t>-1.802 **</w:t>
            </w:r>
          </w:p>
        </w:tc>
        <w:tc>
          <w:tcPr>
            <w:tcW w:w="2250" w:type="dxa"/>
            <w:tcBorders>
              <w:top w:val="single" w:sz="18" w:space="0" w:color="auto"/>
              <w:left w:val="nil"/>
              <w:bottom w:val="nil"/>
              <w:right w:val="nil"/>
            </w:tcBorders>
          </w:tcPr>
          <w:p w14:paraId="3537B8E4" w14:textId="2585BC23" w:rsidR="007E21A5" w:rsidRPr="00023E48" w:rsidRDefault="007E21A5" w:rsidP="00395FD6">
            <w:pPr>
              <w:widowControl w:val="0"/>
              <w:autoSpaceDE w:val="0"/>
              <w:autoSpaceDN w:val="0"/>
              <w:adjustRightInd w:val="0"/>
              <w:spacing w:line="240" w:lineRule="auto"/>
              <w:ind w:firstLine="0"/>
              <w:jc w:val="left"/>
              <w:rPr>
                <w:rFonts w:cstheme="minorHAnsi"/>
              </w:rPr>
            </w:pPr>
            <w:r>
              <w:rPr>
                <w:rFonts w:cstheme="minorHAnsi"/>
              </w:rPr>
              <w:t>-1.305 ***</w:t>
            </w:r>
          </w:p>
        </w:tc>
      </w:tr>
      <w:tr w:rsidR="007E21A5" w14:paraId="0746428D" w14:textId="77777777" w:rsidTr="007E21A5">
        <w:trPr>
          <w:trHeight w:val="415"/>
        </w:trPr>
        <w:tc>
          <w:tcPr>
            <w:tcW w:w="2917" w:type="dxa"/>
            <w:tcBorders>
              <w:top w:val="nil"/>
              <w:left w:val="nil"/>
              <w:bottom w:val="nil"/>
              <w:right w:val="nil"/>
            </w:tcBorders>
          </w:tcPr>
          <w:p w14:paraId="186D9316" w14:textId="54CFD2C2" w:rsidR="007E21A5" w:rsidRDefault="007E21A5" w:rsidP="00395FD6">
            <w:pPr>
              <w:widowControl w:val="0"/>
              <w:autoSpaceDE w:val="0"/>
              <w:autoSpaceDN w:val="0"/>
              <w:adjustRightInd w:val="0"/>
              <w:spacing w:line="240" w:lineRule="auto"/>
              <w:ind w:firstLine="0"/>
              <w:jc w:val="left"/>
              <w:rPr>
                <w:rFonts w:cstheme="minorHAnsi"/>
              </w:rPr>
            </w:pPr>
            <w:r>
              <w:rPr>
                <w:rFonts w:cstheme="minorHAnsi"/>
              </w:rPr>
              <w:t>Constant</w:t>
            </w:r>
          </w:p>
        </w:tc>
        <w:tc>
          <w:tcPr>
            <w:tcW w:w="2033" w:type="dxa"/>
            <w:tcBorders>
              <w:top w:val="nil"/>
              <w:left w:val="nil"/>
              <w:bottom w:val="nil"/>
              <w:right w:val="nil"/>
            </w:tcBorders>
          </w:tcPr>
          <w:p w14:paraId="3EB082F1" w14:textId="6EB171BF" w:rsidR="007E21A5" w:rsidRDefault="007E21A5" w:rsidP="00395FD6">
            <w:pPr>
              <w:widowControl w:val="0"/>
              <w:autoSpaceDE w:val="0"/>
              <w:autoSpaceDN w:val="0"/>
              <w:adjustRightInd w:val="0"/>
              <w:spacing w:line="240" w:lineRule="auto"/>
              <w:ind w:firstLine="0"/>
              <w:jc w:val="left"/>
              <w:rPr>
                <w:rFonts w:cstheme="minorHAnsi"/>
              </w:rPr>
            </w:pPr>
            <w:r>
              <w:rPr>
                <w:rFonts w:cstheme="minorHAnsi"/>
              </w:rPr>
              <w:t>-4.005 **</w:t>
            </w:r>
          </w:p>
        </w:tc>
        <w:tc>
          <w:tcPr>
            <w:tcW w:w="2250" w:type="dxa"/>
            <w:tcBorders>
              <w:top w:val="nil"/>
              <w:left w:val="nil"/>
              <w:bottom w:val="nil"/>
              <w:right w:val="nil"/>
            </w:tcBorders>
          </w:tcPr>
          <w:p w14:paraId="149C2A20" w14:textId="7BA199E9" w:rsidR="007E21A5" w:rsidRDefault="007E21A5" w:rsidP="00395FD6">
            <w:pPr>
              <w:widowControl w:val="0"/>
              <w:autoSpaceDE w:val="0"/>
              <w:autoSpaceDN w:val="0"/>
              <w:adjustRightInd w:val="0"/>
              <w:spacing w:line="240" w:lineRule="auto"/>
              <w:ind w:firstLine="0"/>
              <w:jc w:val="left"/>
              <w:rPr>
                <w:rFonts w:cstheme="minorHAnsi"/>
              </w:rPr>
            </w:pPr>
            <w:r>
              <w:rPr>
                <w:rFonts w:cstheme="minorHAnsi"/>
              </w:rPr>
              <w:t>2.453 ***</w:t>
            </w:r>
          </w:p>
        </w:tc>
      </w:tr>
      <w:tr w:rsidR="007E21A5" w14:paraId="51A88B53" w14:textId="77777777" w:rsidTr="007E21A5">
        <w:trPr>
          <w:trHeight w:val="415"/>
        </w:trPr>
        <w:tc>
          <w:tcPr>
            <w:tcW w:w="2917" w:type="dxa"/>
            <w:tcBorders>
              <w:top w:val="nil"/>
              <w:left w:val="nil"/>
              <w:bottom w:val="nil"/>
              <w:right w:val="nil"/>
            </w:tcBorders>
          </w:tcPr>
          <w:p w14:paraId="2D73C4A9" w14:textId="72BB431A" w:rsidR="007E21A5" w:rsidRPr="00023E48" w:rsidRDefault="007E21A5" w:rsidP="00395FD6">
            <w:pPr>
              <w:widowControl w:val="0"/>
              <w:autoSpaceDE w:val="0"/>
              <w:autoSpaceDN w:val="0"/>
              <w:adjustRightInd w:val="0"/>
              <w:spacing w:line="240" w:lineRule="auto"/>
              <w:ind w:firstLine="0"/>
              <w:jc w:val="left"/>
              <w:rPr>
                <w:rFonts w:cstheme="minorHAnsi"/>
              </w:rPr>
            </w:pPr>
            <w:r>
              <w:rPr>
                <w:rFonts w:cstheme="minorHAnsi"/>
              </w:rPr>
              <w:t>Observations</w:t>
            </w:r>
          </w:p>
        </w:tc>
        <w:tc>
          <w:tcPr>
            <w:tcW w:w="2033" w:type="dxa"/>
            <w:tcBorders>
              <w:top w:val="nil"/>
              <w:left w:val="nil"/>
              <w:bottom w:val="nil"/>
              <w:right w:val="nil"/>
            </w:tcBorders>
          </w:tcPr>
          <w:p w14:paraId="4D4C4C07" w14:textId="7CD258B5" w:rsidR="007E21A5" w:rsidRPr="00023E48" w:rsidRDefault="007E21A5" w:rsidP="00395FD6">
            <w:pPr>
              <w:widowControl w:val="0"/>
              <w:autoSpaceDE w:val="0"/>
              <w:autoSpaceDN w:val="0"/>
              <w:adjustRightInd w:val="0"/>
              <w:spacing w:line="240" w:lineRule="auto"/>
              <w:ind w:firstLine="0"/>
              <w:jc w:val="left"/>
              <w:rPr>
                <w:rFonts w:cstheme="minorHAnsi"/>
              </w:rPr>
            </w:pPr>
            <w:r>
              <w:rPr>
                <w:rFonts w:cstheme="minorHAnsi"/>
              </w:rPr>
              <w:t>1875</w:t>
            </w:r>
          </w:p>
        </w:tc>
        <w:tc>
          <w:tcPr>
            <w:tcW w:w="2250" w:type="dxa"/>
            <w:tcBorders>
              <w:top w:val="nil"/>
              <w:left w:val="nil"/>
              <w:bottom w:val="nil"/>
              <w:right w:val="nil"/>
            </w:tcBorders>
          </w:tcPr>
          <w:p w14:paraId="030D9112" w14:textId="5CFDD5CB" w:rsidR="007E21A5" w:rsidRPr="00023E48" w:rsidRDefault="007E21A5" w:rsidP="00395FD6">
            <w:pPr>
              <w:widowControl w:val="0"/>
              <w:autoSpaceDE w:val="0"/>
              <w:autoSpaceDN w:val="0"/>
              <w:adjustRightInd w:val="0"/>
              <w:spacing w:line="240" w:lineRule="auto"/>
              <w:ind w:firstLine="0"/>
              <w:jc w:val="left"/>
              <w:rPr>
                <w:rFonts w:cstheme="minorHAnsi"/>
              </w:rPr>
            </w:pPr>
            <w:r>
              <w:rPr>
                <w:rFonts w:cstheme="minorHAnsi"/>
              </w:rPr>
              <w:t>5861</w:t>
            </w:r>
          </w:p>
        </w:tc>
      </w:tr>
      <w:tr w:rsidR="007E21A5" w14:paraId="0B0B368F" w14:textId="77777777" w:rsidTr="007E21A5">
        <w:trPr>
          <w:trHeight w:val="415"/>
        </w:trPr>
        <w:tc>
          <w:tcPr>
            <w:tcW w:w="2917" w:type="dxa"/>
            <w:tcBorders>
              <w:top w:val="nil"/>
              <w:left w:val="nil"/>
              <w:bottom w:val="single" w:sz="18" w:space="0" w:color="auto"/>
              <w:right w:val="nil"/>
            </w:tcBorders>
          </w:tcPr>
          <w:p w14:paraId="62705609" w14:textId="0C31EDA2" w:rsidR="007E21A5" w:rsidRPr="00023E48" w:rsidRDefault="007E21A5" w:rsidP="00395FD6">
            <w:pPr>
              <w:widowControl w:val="0"/>
              <w:autoSpaceDE w:val="0"/>
              <w:autoSpaceDN w:val="0"/>
              <w:adjustRightInd w:val="0"/>
              <w:spacing w:line="240" w:lineRule="auto"/>
              <w:ind w:firstLine="0"/>
              <w:jc w:val="left"/>
              <w:rPr>
                <w:rFonts w:cstheme="minorHAnsi"/>
              </w:rPr>
            </w:pPr>
            <w:r>
              <w:rPr>
                <w:rFonts w:cstheme="minorHAnsi"/>
              </w:rPr>
              <w:t>R-squared</w:t>
            </w:r>
          </w:p>
        </w:tc>
        <w:tc>
          <w:tcPr>
            <w:tcW w:w="2033" w:type="dxa"/>
            <w:tcBorders>
              <w:top w:val="nil"/>
              <w:left w:val="nil"/>
              <w:bottom w:val="single" w:sz="18" w:space="0" w:color="auto"/>
              <w:right w:val="nil"/>
            </w:tcBorders>
          </w:tcPr>
          <w:p w14:paraId="0AA18558" w14:textId="0A324D4A" w:rsidR="007E21A5" w:rsidRPr="00023E48" w:rsidRDefault="007E21A5" w:rsidP="00395FD6">
            <w:pPr>
              <w:widowControl w:val="0"/>
              <w:autoSpaceDE w:val="0"/>
              <w:autoSpaceDN w:val="0"/>
              <w:adjustRightInd w:val="0"/>
              <w:spacing w:line="240" w:lineRule="auto"/>
              <w:ind w:firstLine="0"/>
              <w:jc w:val="left"/>
              <w:rPr>
                <w:rFonts w:cstheme="minorHAnsi"/>
              </w:rPr>
            </w:pPr>
            <w:r>
              <w:rPr>
                <w:rFonts w:cstheme="minorHAnsi"/>
              </w:rPr>
              <w:t>0.002</w:t>
            </w:r>
          </w:p>
        </w:tc>
        <w:tc>
          <w:tcPr>
            <w:tcW w:w="2250" w:type="dxa"/>
            <w:tcBorders>
              <w:top w:val="nil"/>
              <w:left w:val="nil"/>
              <w:bottom w:val="single" w:sz="18" w:space="0" w:color="auto"/>
              <w:right w:val="nil"/>
            </w:tcBorders>
          </w:tcPr>
          <w:p w14:paraId="71852DEC" w14:textId="0B1E0F55" w:rsidR="007E21A5" w:rsidRPr="00023E48" w:rsidRDefault="007E21A5" w:rsidP="00395FD6">
            <w:pPr>
              <w:widowControl w:val="0"/>
              <w:autoSpaceDE w:val="0"/>
              <w:autoSpaceDN w:val="0"/>
              <w:adjustRightInd w:val="0"/>
              <w:spacing w:line="240" w:lineRule="auto"/>
              <w:ind w:firstLine="0"/>
              <w:jc w:val="left"/>
              <w:rPr>
                <w:rFonts w:cstheme="minorHAnsi"/>
              </w:rPr>
            </w:pPr>
            <w:r>
              <w:rPr>
                <w:rFonts w:cstheme="minorHAnsi"/>
              </w:rPr>
              <w:t>0.011</w:t>
            </w:r>
          </w:p>
        </w:tc>
      </w:tr>
    </w:tbl>
    <w:p w14:paraId="454C498A" w14:textId="77777777" w:rsidR="007E21A5" w:rsidRDefault="007E21A5" w:rsidP="007E21A5">
      <w:pPr>
        <w:pStyle w:val="TableFootnote"/>
      </w:pPr>
      <w:r w:rsidRPr="007E21A5">
        <w:t>Robust standard errors in parentheses. *** p &lt; 0.01, ** p &lt; 0.05, * p &lt; 0.10.</w:t>
      </w:r>
    </w:p>
    <w:p w14:paraId="5A52A40B" w14:textId="77777777" w:rsidR="007E21A5" w:rsidRDefault="007E21A5" w:rsidP="007E21A5"/>
    <w:p w14:paraId="4A08AAEF" w14:textId="1D582A12" w:rsidR="007E21A5" w:rsidRPr="007E21A5" w:rsidRDefault="007E21A5" w:rsidP="007E21A5">
      <w:r w:rsidRPr="007E21A5">
        <w:t>These findings indicate that both groups experienced declining ESG performance in the years leading up to the acquisition. While the negative pre-trend among treated firms raises concerns regarding the strict parallel trends assumption, the fact that control firms exhibit a comparable and statistically significant downward trend suggests that both groups were broadly following similar trajectories before the treatment.</w:t>
      </w:r>
    </w:p>
    <w:p w14:paraId="14CA5C83" w14:textId="2F6C19FB" w:rsidR="005F3112" w:rsidRDefault="007E21A5" w:rsidP="007E21A5">
      <w:r w:rsidRPr="007E21A5">
        <w:t>It should be noted, however, that formal pre-trend tests are limited by sample size and potential noise in ESG data, particularly for periods farther from the treatment year. As such, results should be interpreted with caution. Nevertheless, the combined visual and formal test provide reasonable support for the identifying assumption of the difference-in-differences (DiD) design.</w:t>
      </w:r>
    </w:p>
    <w:p w14:paraId="6F16462B" w14:textId="77777777" w:rsidR="007E21A5" w:rsidRPr="007E21A5" w:rsidRDefault="007E21A5" w:rsidP="007E21A5">
      <w:pPr>
        <w:pStyle w:val="TableNotes"/>
      </w:pPr>
    </w:p>
    <w:p w14:paraId="463F514F" w14:textId="23EAA472" w:rsidR="00FE71D2" w:rsidRDefault="00FE71D2" w:rsidP="005F3112">
      <w:pPr>
        <w:pStyle w:val="Kop2"/>
        <w:rPr>
          <w:szCs w:val="24"/>
        </w:rPr>
      </w:pPr>
      <w:bookmarkStart w:id="19" w:name="_Toc202218710"/>
      <w:r>
        <w:rPr>
          <w:szCs w:val="24"/>
        </w:rPr>
        <w:t>Difference-in-difference analysis</w:t>
      </w:r>
      <w:bookmarkEnd w:id="19"/>
    </w:p>
    <w:p w14:paraId="572D3ACE" w14:textId="77777777" w:rsidR="007E21A5" w:rsidRPr="007E21A5" w:rsidRDefault="007E21A5" w:rsidP="007E21A5">
      <w:r w:rsidRPr="007E21A5">
        <w:t>To formally assess the effect of M&amp;A activity on acquirer ESG performance, four difference-in-differences (DiD) models are estimated. The results are presented in Table 3.</w:t>
      </w:r>
    </w:p>
    <w:p w14:paraId="00C315F0" w14:textId="77777777" w:rsidR="007E21A5" w:rsidRDefault="007E21A5" w:rsidP="007E21A5"/>
    <w:p w14:paraId="1334716B" w14:textId="77777777" w:rsidR="007E21A5" w:rsidRDefault="007E21A5" w:rsidP="007E21A5"/>
    <w:p w14:paraId="54BB599B" w14:textId="77777777" w:rsidR="007E21A5" w:rsidRDefault="007E21A5" w:rsidP="007E21A5"/>
    <w:p w14:paraId="103BB0C2" w14:textId="77777777" w:rsidR="007E21A5" w:rsidRDefault="007E21A5" w:rsidP="007E21A5"/>
    <w:p w14:paraId="4B9FEC5D" w14:textId="77777777" w:rsidR="007E21A5" w:rsidRPr="007E21A5" w:rsidRDefault="007E21A5" w:rsidP="007E21A5"/>
    <w:p w14:paraId="55051898" w14:textId="776248B5" w:rsidR="007E21A5" w:rsidRPr="007E21A5" w:rsidRDefault="007E21A5" w:rsidP="007E21A5">
      <w:pPr>
        <w:pStyle w:val="TableTitle"/>
      </w:pPr>
      <w:r>
        <w:t>Table 3 Difference-in-differences model</w:t>
      </w:r>
    </w:p>
    <w:tbl>
      <w:tblPr>
        <w:tblW w:w="0" w:type="auto"/>
        <w:tblLayout w:type="fixed"/>
        <w:tblLook w:val="0000" w:firstRow="0" w:lastRow="0" w:firstColumn="0" w:lastColumn="0" w:noHBand="0" w:noVBand="0"/>
      </w:tblPr>
      <w:tblGrid>
        <w:gridCol w:w="2136"/>
        <w:gridCol w:w="1656"/>
        <w:gridCol w:w="1656"/>
        <w:gridCol w:w="1656"/>
        <w:gridCol w:w="1656"/>
      </w:tblGrid>
      <w:tr w:rsidR="00F37DD0" w14:paraId="7C7EA989" w14:textId="77777777" w:rsidTr="00395FD6">
        <w:tc>
          <w:tcPr>
            <w:tcW w:w="2136" w:type="dxa"/>
            <w:tcBorders>
              <w:top w:val="single" w:sz="18" w:space="0" w:color="auto"/>
              <w:left w:val="nil"/>
              <w:bottom w:val="single" w:sz="18" w:space="0" w:color="auto"/>
              <w:right w:val="nil"/>
            </w:tcBorders>
          </w:tcPr>
          <w:p w14:paraId="5AAED1EC" w14:textId="77777777" w:rsidR="00F37DD0" w:rsidRDefault="00F37DD0" w:rsidP="00395FD6">
            <w:pPr>
              <w:widowControl w:val="0"/>
              <w:autoSpaceDE w:val="0"/>
              <w:autoSpaceDN w:val="0"/>
              <w:adjustRightInd w:val="0"/>
              <w:spacing w:line="240" w:lineRule="auto"/>
              <w:rPr>
                <w:rFonts w:ascii="Times New Roman" w:hAnsi="Times New Roman"/>
              </w:rPr>
            </w:pPr>
            <w:r>
              <w:rPr>
                <w:rFonts w:ascii="Times New Roman" w:hAnsi="Times New Roman"/>
              </w:rPr>
              <w:t>Variable</w:t>
            </w:r>
          </w:p>
        </w:tc>
        <w:tc>
          <w:tcPr>
            <w:tcW w:w="1656" w:type="dxa"/>
            <w:tcBorders>
              <w:top w:val="single" w:sz="18" w:space="0" w:color="auto"/>
              <w:left w:val="nil"/>
              <w:bottom w:val="single" w:sz="18" w:space="0" w:color="auto"/>
              <w:right w:val="nil"/>
            </w:tcBorders>
          </w:tcPr>
          <w:p w14:paraId="7FB8283E" w14:textId="77777777"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Model 1</w:t>
            </w:r>
          </w:p>
        </w:tc>
        <w:tc>
          <w:tcPr>
            <w:tcW w:w="1656" w:type="dxa"/>
            <w:tcBorders>
              <w:top w:val="single" w:sz="18" w:space="0" w:color="auto"/>
              <w:left w:val="nil"/>
              <w:bottom w:val="single" w:sz="18" w:space="0" w:color="auto"/>
              <w:right w:val="nil"/>
            </w:tcBorders>
          </w:tcPr>
          <w:p w14:paraId="56ECC6BC" w14:textId="77777777"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Model 2</w:t>
            </w:r>
          </w:p>
        </w:tc>
        <w:tc>
          <w:tcPr>
            <w:tcW w:w="1656" w:type="dxa"/>
            <w:tcBorders>
              <w:top w:val="single" w:sz="18" w:space="0" w:color="auto"/>
              <w:left w:val="nil"/>
              <w:bottom w:val="single" w:sz="18" w:space="0" w:color="auto"/>
              <w:right w:val="nil"/>
            </w:tcBorders>
          </w:tcPr>
          <w:p w14:paraId="54911002" w14:textId="77777777"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Model 3</w:t>
            </w:r>
          </w:p>
        </w:tc>
        <w:tc>
          <w:tcPr>
            <w:tcW w:w="1656" w:type="dxa"/>
            <w:tcBorders>
              <w:top w:val="single" w:sz="18" w:space="0" w:color="auto"/>
              <w:left w:val="nil"/>
              <w:bottom w:val="single" w:sz="18" w:space="0" w:color="auto"/>
              <w:right w:val="nil"/>
            </w:tcBorders>
          </w:tcPr>
          <w:p w14:paraId="5C200447" w14:textId="77777777"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Model 4</w:t>
            </w:r>
          </w:p>
        </w:tc>
      </w:tr>
      <w:tr w:rsidR="00F37DD0" w14:paraId="3F5B8AAD" w14:textId="77777777" w:rsidTr="00395FD6">
        <w:tc>
          <w:tcPr>
            <w:tcW w:w="2136" w:type="dxa"/>
            <w:tcBorders>
              <w:top w:val="single" w:sz="18" w:space="0" w:color="auto"/>
              <w:left w:val="nil"/>
              <w:bottom w:val="nil"/>
              <w:right w:val="single" w:sz="18" w:space="0" w:color="auto"/>
            </w:tcBorders>
          </w:tcPr>
          <w:p w14:paraId="223AE69B" w14:textId="0BE92799" w:rsidR="00F37DD0" w:rsidRDefault="00F37DD0" w:rsidP="00395FD6">
            <w:pPr>
              <w:widowControl w:val="0"/>
              <w:autoSpaceDE w:val="0"/>
              <w:autoSpaceDN w:val="0"/>
              <w:adjustRightInd w:val="0"/>
              <w:spacing w:line="240" w:lineRule="auto"/>
              <w:rPr>
                <w:rFonts w:ascii="Times New Roman" w:hAnsi="Times New Roman"/>
              </w:rPr>
            </w:pPr>
            <w:r>
              <w:rPr>
                <w:rFonts w:ascii="Times New Roman" w:hAnsi="Times New Roman"/>
              </w:rPr>
              <w:t>Treatment * Post</w:t>
            </w:r>
          </w:p>
        </w:tc>
        <w:tc>
          <w:tcPr>
            <w:tcW w:w="1656" w:type="dxa"/>
            <w:tcBorders>
              <w:top w:val="single" w:sz="18" w:space="0" w:color="auto"/>
              <w:left w:val="single" w:sz="18" w:space="0" w:color="auto"/>
              <w:bottom w:val="nil"/>
              <w:right w:val="nil"/>
            </w:tcBorders>
          </w:tcPr>
          <w:p w14:paraId="48AD8945" w14:textId="5188359A"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2.150*</w:t>
            </w:r>
          </w:p>
        </w:tc>
        <w:tc>
          <w:tcPr>
            <w:tcW w:w="1656" w:type="dxa"/>
            <w:tcBorders>
              <w:top w:val="single" w:sz="18" w:space="0" w:color="auto"/>
              <w:left w:val="nil"/>
              <w:bottom w:val="nil"/>
              <w:right w:val="nil"/>
            </w:tcBorders>
          </w:tcPr>
          <w:p w14:paraId="4478086A" w14:textId="18EC7F5D" w:rsidR="00F37DD0" w:rsidRDefault="00F37DD0" w:rsidP="00395FD6">
            <w:pPr>
              <w:widowControl w:val="0"/>
              <w:autoSpaceDE w:val="0"/>
              <w:autoSpaceDN w:val="0"/>
              <w:adjustRightInd w:val="0"/>
              <w:spacing w:line="240" w:lineRule="auto"/>
              <w:jc w:val="center"/>
              <w:rPr>
                <w:rFonts w:ascii="Times New Roman" w:hAnsi="Times New Roman"/>
              </w:rPr>
            </w:pPr>
          </w:p>
        </w:tc>
        <w:tc>
          <w:tcPr>
            <w:tcW w:w="1656" w:type="dxa"/>
            <w:tcBorders>
              <w:top w:val="single" w:sz="18" w:space="0" w:color="auto"/>
              <w:left w:val="nil"/>
              <w:bottom w:val="nil"/>
              <w:right w:val="nil"/>
            </w:tcBorders>
          </w:tcPr>
          <w:p w14:paraId="4BE79702" w14:textId="65177FA1"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1.952*</w:t>
            </w:r>
          </w:p>
        </w:tc>
        <w:tc>
          <w:tcPr>
            <w:tcW w:w="1656" w:type="dxa"/>
            <w:tcBorders>
              <w:top w:val="single" w:sz="18" w:space="0" w:color="auto"/>
              <w:left w:val="nil"/>
              <w:bottom w:val="nil"/>
              <w:right w:val="nil"/>
            </w:tcBorders>
          </w:tcPr>
          <w:p w14:paraId="0E991307" w14:textId="0F8BE0A6" w:rsidR="00F37DD0" w:rsidRDefault="00F37DD0" w:rsidP="00395FD6">
            <w:pPr>
              <w:widowControl w:val="0"/>
              <w:autoSpaceDE w:val="0"/>
              <w:autoSpaceDN w:val="0"/>
              <w:adjustRightInd w:val="0"/>
              <w:spacing w:line="240" w:lineRule="auto"/>
              <w:jc w:val="center"/>
              <w:rPr>
                <w:rFonts w:ascii="Times New Roman" w:hAnsi="Times New Roman"/>
              </w:rPr>
            </w:pPr>
          </w:p>
        </w:tc>
      </w:tr>
      <w:tr w:rsidR="00F37DD0" w14:paraId="491AE31A" w14:textId="77777777" w:rsidTr="00395FD6">
        <w:tc>
          <w:tcPr>
            <w:tcW w:w="2136" w:type="dxa"/>
            <w:tcBorders>
              <w:top w:val="nil"/>
              <w:left w:val="nil"/>
              <w:bottom w:val="nil"/>
              <w:right w:val="single" w:sz="18" w:space="0" w:color="auto"/>
            </w:tcBorders>
          </w:tcPr>
          <w:p w14:paraId="35E3F20E"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single" w:sz="18" w:space="0" w:color="auto"/>
              <w:bottom w:val="nil"/>
              <w:right w:val="nil"/>
            </w:tcBorders>
          </w:tcPr>
          <w:p w14:paraId="04C9C973" w14:textId="5A4F215B"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w:t>
            </w:r>
            <w:r w:rsidR="000E6BB4">
              <w:rPr>
                <w:rFonts w:ascii="Times New Roman" w:hAnsi="Times New Roman"/>
              </w:rPr>
              <w:t>1.111</w:t>
            </w:r>
            <w:r>
              <w:rPr>
                <w:rFonts w:ascii="Times New Roman" w:hAnsi="Times New Roman"/>
              </w:rPr>
              <w:t>)</w:t>
            </w:r>
          </w:p>
        </w:tc>
        <w:tc>
          <w:tcPr>
            <w:tcW w:w="1656" w:type="dxa"/>
            <w:tcBorders>
              <w:top w:val="nil"/>
              <w:left w:val="nil"/>
              <w:bottom w:val="nil"/>
              <w:right w:val="nil"/>
            </w:tcBorders>
          </w:tcPr>
          <w:p w14:paraId="4C41E365" w14:textId="4702F44C" w:rsidR="00F37DD0" w:rsidRDefault="00F37DD0" w:rsidP="00395FD6">
            <w:pPr>
              <w:widowControl w:val="0"/>
              <w:autoSpaceDE w:val="0"/>
              <w:autoSpaceDN w:val="0"/>
              <w:adjustRightInd w:val="0"/>
              <w:spacing w:line="240" w:lineRule="auto"/>
              <w:jc w:val="center"/>
              <w:rPr>
                <w:rFonts w:ascii="Times New Roman" w:hAnsi="Times New Roman"/>
              </w:rPr>
            </w:pPr>
          </w:p>
        </w:tc>
        <w:tc>
          <w:tcPr>
            <w:tcW w:w="1656" w:type="dxa"/>
            <w:tcBorders>
              <w:top w:val="nil"/>
              <w:left w:val="nil"/>
              <w:bottom w:val="nil"/>
              <w:right w:val="nil"/>
            </w:tcBorders>
          </w:tcPr>
          <w:p w14:paraId="16BD7063" w14:textId="40F82432"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w:t>
            </w:r>
            <w:r w:rsidR="000E6BB4">
              <w:rPr>
                <w:rFonts w:ascii="Times New Roman" w:hAnsi="Times New Roman"/>
              </w:rPr>
              <w:t>1.121</w:t>
            </w:r>
            <w:r>
              <w:rPr>
                <w:rFonts w:ascii="Times New Roman" w:hAnsi="Times New Roman"/>
              </w:rPr>
              <w:t>)</w:t>
            </w:r>
          </w:p>
        </w:tc>
        <w:tc>
          <w:tcPr>
            <w:tcW w:w="1656" w:type="dxa"/>
            <w:tcBorders>
              <w:top w:val="nil"/>
              <w:left w:val="nil"/>
              <w:bottom w:val="nil"/>
              <w:right w:val="nil"/>
            </w:tcBorders>
          </w:tcPr>
          <w:p w14:paraId="7C8D3F82" w14:textId="10E3658E" w:rsidR="00F37DD0" w:rsidRDefault="00F37DD0" w:rsidP="00395FD6">
            <w:pPr>
              <w:widowControl w:val="0"/>
              <w:autoSpaceDE w:val="0"/>
              <w:autoSpaceDN w:val="0"/>
              <w:adjustRightInd w:val="0"/>
              <w:spacing w:line="240" w:lineRule="auto"/>
              <w:jc w:val="center"/>
              <w:rPr>
                <w:rFonts w:ascii="Times New Roman" w:hAnsi="Times New Roman"/>
              </w:rPr>
            </w:pPr>
          </w:p>
        </w:tc>
      </w:tr>
      <w:tr w:rsidR="00F37DD0" w14:paraId="2CD9C26F" w14:textId="77777777" w:rsidTr="00395FD6">
        <w:tc>
          <w:tcPr>
            <w:tcW w:w="2136" w:type="dxa"/>
            <w:tcBorders>
              <w:top w:val="nil"/>
              <w:left w:val="nil"/>
              <w:bottom w:val="nil"/>
              <w:right w:val="single" w:sz="18" w:space="0" w:color="auto"/>
            </w:tcBorders>
          </w:tcPr>
          <w:p w14:paraId="278739BC"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single" w:sz="18" w:space="0" w:color="auto"/>
              <w:bottom w:val="nil"/>
              <w:right w:val="nil"/>
            </w:tcBorders>
          </w:tcPr>
          <w:p w14:paraId="09BE9A3F"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70301828"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001BBC5B"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4315B26B" w14:textId="77777777" w:rsidR="00F37DD0" w:rsidRDefault="00F37DD0" w:rsidP="00395FD6">
            <w:pPr>
              <w:widowControl w:val="0"/>
              <w:autoSpaceDE w:val="0"/>
              <w:autoSpaceDN w:val="0"/>
              <w:adjustRightInd w:val="0"/>
              <w:spacing w:line="240" w:lineRule="auto"/>
              <w:rPr>
                <w:rFonts w:ascii="Times New Roman" w:hAnsi="Times New Roman"/>
              </w:rPr>
            </w:pPr>
          </w:p>
        </w:tc>
      </w:tr>
      <w:tr w:rsidR="00F37DD0" w14:paraId="58205E6E" w14:textId="77777777" w:rsidTr="00395FD6">
        <w:tc>
          <w:tcPr>
            <w:tcW w:w="2136" w:type="dxa"/>
            <w:tcBorders>
              <w:top w:val="nil"/>
              <w:left w:val="nil"/>
              <w:bottom w:val="nil"/>
              <w:right w:val="single" w:sz="18" w:space="0" w:color="auto"/>
            </w:tcBorders>
          </w:tcPr>
          <w:p w14:paraId="3904E4C8" w14:textId="7390F599" w:rsidR="00F37DD0" w:rsidRDefault="00F37DD0" w:rsidP="00395FD6">
            <w:pPr>
              <w:widowControl w:val="0"/>
              <w:autoSpaceDE w:val="0"/>
              <w:autoSpaceDN w:val="0"/>
              <w:adjustRightInd w:val="0"/>
              <w:spacing w:line="240" w:lineRule="auto"/>
              <w:rPr>
                <w:rFonts w:ascii="Times New Roman" w:hAnsi="Times New Roman"/>
              </w:rPr>
            </w:pPr>
            <w:r>
              <w:rPr>
                <w:rFonts w:ascii="Times New Roman" w:hAnsi="Times New Roman"/>
              </w:rPr>
              <w:t>High-ESG Target</w:t>
            </w:r>
          </w:p>
        </w:tc>
        <w:tc>
          <w:tcPr>
            <w:tcW w:w="1656" w:type="dxa"/>
            <w:tcBorders>
              <w:top w:val="nil"/>
              <w:left w:val="single" w:sz="18" w:space="0" w:color="auto"/>
              <w:bottom w:val="nil"/>
              <w:right w:val="nil"/>
            </w:tcBorders>
          </w:tcPr>
          <w:p w14:paraId="0BC998F0" w14:textId="3977D09D"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-0.617</w:t>
            </w:r>
          </w:p>
        </w:tc>
        <w:tc>
          <w:tcPr>
            <w:tcW w:w="1656" w:type="dxa"/>
            <w:tcBorders>
              <w:top w:val="nil"/>
              <w:left w:val="nil"/>
              <w:bottom w:val="nil"/>
              <w:right w:val="nil"/>
            </w:tcBorders>
          </w:tcPr>
          <w:p w14:paraId="4FFCDF37" w14:textId="4154EFCA"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-1.471</w:t>
            </w:r>
          </w:p>
        </w:tc>
        <w:tc>
          <w:tcPr>
            <w:tcW w:w="1656" w:type="dxa"/>
            <w:tcBorders>
              <w:top w:val="nil"/>
              <w:left w:val="nil"/>
              <w:bottom w:val="nil"/>
              <w:right w:val="nil"/>
            </w:tcBorders>
          </w:tcPr>
          <w:p w14:paraId="330C2B61" w14:textId="30DB4D9F" w:rsidR="00F37DD0" w:rsidRDefault="00F37DD0" w:rsidP="00395FD6">
            <w:pPr>
              <w:widowControl w:val="0"/>
              <w:autoSpaceDE w:val="0"/>
              <w:autoSpaceDN w:val="0"/>
              <w:adjustRightInd w:val="0"/>
              <w:spacing w:line="240" w:lineRule="auto"/>
              <w:jc w:val="center"/>
              <w:rPr>
                <w:rFonts w:ascii="Times New Roman" w:hAnsi="Times New Roman"/>
              </w:rPr>
            </w:pPr>
          </w:p>
        </w:tc>
        <w:tc>
          <w:tcPr>
            <w:tcW w:w="1656" w:type="dxa"/>
            <w:tcBorders>
              <w:top w:val="nil"/>
              <w:left w:val="nil"/>
              <w:bottom w:val="nil"/>
              <w:right w:val="nil"/>
            </w:tcBorders>
          </w:tcPr>
          <w:p w14:paraId="74E8FF61" w14:textId="2038B31A" w:rsidR="00F37DD0" w:rsidRDefault="00F37DD0" w:rsidP="00395FD6">
            <w:pPr>
              <w:widowControl w:val="0"/>
              <w:autoSpaceDE w:val="0"/>
              <w:autoSpaceDN w:val="0"/>
              <w:adjustRightInd w:val="0"/>
              <w:spacing w:line="240" w:lineRule="auto"/>
              <w:jc w:val="center"/>
              <w:rPr>
                <w:rFonts w:ascii="Times New Roman" w:hAnsi="Times New Roman"/>
              </w:rPr>
            </w:pPr>
          </w:p>
        </w:tc>
      </w:tr>
      <w:tr w:rsidR="00F37DD0" w14:paraId="42A585C5" w14:textId="77777777" w:rsidTr="00395FD6">
        <w:tc>
          <w:tcPr>
            <w:tcW w:w="2136" w:type="dxa"/>
            <w:tcBorders>
              <w:top w:val="nil"/>
              <w:left w:val="nil"/>
              <w:bottom w:val="nil"/>
              <w:right w:val="single" w:sz="18" w:space="0" w:color="auto"/>
            </w:tcBorders>
          </w:tcPr>
          <w:p w14:paraId="6CD39785"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single" w:sz="18" w:space="0" w:color="auto"/>
              <w:bottom w:val="nil"/>
              <w:right w:val="nil"/>
            </w:tcBorders>
          </w:tcPr>
          <w:p w14:paraId="0C68C94C" w14:textId="316F4FB7"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w:t>
            </w:r>
            <w:r w:rsidR="000E6BB4">
              <w:rPr>
                <w:rFonts w:ascii="Times New Roman" w:hAnsi="Times New Roman"/>
              </w:rPr>
              <w:t>2.601</w:t>
            </w:r>
            <w:r>
              <w:rPr>
                <w:rFonts w:ascii="Times New Roman" w:hAnsi="Times New Roman"/>
              </w:rPr>
              <w:t>)</w:t>
            </w:r>
          </w:p>
        </w:tc>
        <w:tc>
          <w:tcPr>
            <w:tcW w:w="1656" w:type="dxa"/>
            <w:tcBorders>
              <w:top w:val="nil"/>
              <w:left w:val="nil"/>
              <w:bottom w:val="nil"/>
              <w:right w:val="nil"/>
            </w:tcBorders>
          </w:tcPr>
          <w:p w14:paraId="2AFF2561" w14:textId="61DCDC5F"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w:t>
            </w:r>
            <w:r w:rsidR="000E6BB4">
              <w:rPr>
                <w:rFonts w:ascii="Times New Roman" w:hAnsi="Times New Roman"/>
              </w:rPr>
              <w:t>2.547</w:t>
            </w:r>
            <w:r>
              <w:rPr>
                <w:rFonts w:ascii="Times New Roman" w:hAnsi="Times New Roman"/>
              </w:rPr>
              <w:t>)</w:t>
            </w:r>
          </w:p>
        </w:tc>
        <w:tc>
          <w:tcPr>
            <w:tcW w:w="1656" w:type="dxa"/>
            <w:tcBorders>
              <w:top w:val="nil"/>
              <w:left w:val="nil"/>
              <w:bottom w:val="nil"/>
              <w:right w:val="nil"/>
            </w:tcBorders>
          </w:tcPr>
          <w:p w14:paraId="1949B9A1" w14:textId="727FEE06" w:rsidR="00F37DD0" w:rsidRDefault="00F37DD0" w:rsidP="00395FD6">
            <w:pPr>
              <w:widowControl w:val="0"/>
              <w:autoSpaceDE w:val="0"/>
              <w:autoSpaceDN w:val="0"/>
              <w:adjustRightInd w:val="0"/>
              <w:spacing w:line="240" w:lineRule="auto"/>
              <w:jc w:val="center"/>
              <w:rPr>
                <w:rFonts w:ascii="Times New Roman" w:hAnsi="Times New Roman"/>
              </w:rPr>
            </w:pPr>
          </w:p>
        </w:tc>
        <w:tc>
          <w:tcPr>
            <w:tcW w:w="1656" w:type="dxa"/>
            <w:tcBorders>
              <w:top w:val="nil"/>
              <w:left w:val="nil"/>
              <w:bottom w:val="nil"/>
              <w:right w:val="nil"/>
            </w:tcBorders>
          </w:tcPr>
          <w:p w14:paraId="3C632297" w14:textId="683DA6E6" w:rsidR="00F37DD0" w:rsidRDefault="00F37DD0" w:rsidP="00395FD6">
            <w:pPr>
              <w:widowControl w:val="0"/>
              <w:autoSpaceDE w:val="0"/>
              <w:autoSpaceDN w:val="0"/>
              <w:adjustRightInd w:val="0"/>
              <w:spacing w:line="240" w:lineRule="auto"/>
              <w:jc w:val="center"/>
              <w:rPr>
                <w:rFonts w:ascii="Times New Roman" w:hAnsi="Times New Roman"/>
              </w:rPr>
            </w:pPr>
          </w:p>
        </w:tc>
      </w:tr>
      <w:tr w:rsidR="00F37DD0" w14:paraId="1F3CC70A" w14:textId="77777777" w:rsidTr="00395FD6">
        <w:tc>
          <w:tcPr>
            <w:tcW w:w="2136" w:type="dxa"/>
            <w:tcBorders>
              <w:top w:val="nil"/>
              <w:left w:val="nil"/>
              <w:bottom w:val="nil"/>
              <w:right w:val="single" w:sz="18" w:space="0" w:color="auto"/>
            </w:tcBorders>
          </w:tcPr>
          <w:p w14:paraId="6309B98B"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single" w:sz="18" w:space="0" w:color="auto"/>
              <w:bottom w:val="nil"/>
              <w:right w:val="nil"/>
            </w:tcBorders>
          </w:tcPr>
          <w:p w14:paraId="072007AE"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72D34D30"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2F45265F"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0ADDCEC6" w14:textId="77777777" w:rsidR="00F37DD0" w:rsidRDefault="00F37DD0" w:rsidP="00395FD6">
            <w:pPr>
              <w:widowControl w:val="0"/>
              <w:autoSpaceDE w:val="0"/>
              <w:autoSpaceDN w:val="0"/>
              <w:adjustRightInd w:val="0"/>
              <w:spacing w:line="240" w:lineRule="auto"/>
              <w:rPr>
                <w:rFonts w:ascii="Times New Roman" w:hAnsi="Times New Roman"/>
              </w:rPr>
            </w:pPr>
          </w:p>
        </w:tc>
      </w:tr>
      <w:tr w:rsidR="00F37DD0" w14:paraId="3F3AB756" w14:textId="77777777" w:rsidTr="00395FD6">
        <w:tc>
          <w:tcPr>
            <w:tcW w:w="2136" w:type="dxa"/>
            <w:tcBorders>
              <w:top w:val="nil"/>
              <w:left w:val="nil"/>
              <w:bottom w:val="nil"/>
              <w:right w:val="single" w:sz="18" w:space="0" w:color="auto"/>
            </w:tcBorders>
          </w:tcPr>
          <w:p w14:paraId="79AC87C5" w14:textId="3120C80B" w:rsidR="00F37DD0" w:rsidRDefault="00F37DD0" w:rsidP="00395FD6">
            <w:pPr>
              <w:widowControl w:val="0"/>
              <w:autoSpaceDE w:val="0"/>
              <w:autoSpaceDN w:val="0"/>
              <w:adjustRightInd w:val="0"/>
              <w:spacing w:line="240" w:lineRule="auto"/>
              <w:rPr>
                <w:rFonts w:ascii="Times New Roman" w:hAnsi="Times New Roman"/>
              </w:rPr>
            </w:pPr>
            <w:r>
              <w:rPr>
                <w:rFonts w:ascii="Times New Roman" w:hAnsi="Times New Roman"/>
              </w:rPr>
              <w:t>ESG advantage</w:t>
            </w:r>
          </w:p>
        </w:tc>
        <w:tc>
          <w:tcPr>
            <w:tcW w:w="1656" w:type="dxa"/>
            <w:tcBorders>
              <w:top w:val="nil"/>
              <w:left w:val="single" w:sz="18" w:space="0" w:color="auto"/>
              <w:bottom w:val="nil"/>
              <w:right w:val="nil"/>
            </w:tcBorders>
          </w:tcPr>
          <w:p w14:paraId="6AE19929" w14:textId="3374A5E7" w:rsidR="00F37DD0" w:rsidRDefault="00F37DD0" w:rsidP="00395FD6">
            <w:pPr>
              <w:widowControl w:val="0"/>
              <w:autoSpaceDE w:val="0"/>
              <w:autoSpaceDN w:val="0"/>
              <w:adjustRightInd w:val="0"/>
              <w:spacing w:line="240" w:lineRule="auto"/>
              <w:jc w:val="center"/>
              <w:rPr>
                <w:rFonts w:ascii="Times New Roman" w:hAnsi="Times New Roman"/>
              </w:rPr>
            </w:pPr>
          </w:p>
        </w:tc>
        <w:tc>
          <w:tcPr>
            <w:tcW w:w="1656" w:type="dxa"/>
            <w:tcBorders>
              <w:top w:val="nil"/>
              <w:left w:val="nil"/>
              <w:bottom w:val="nil"/>
              <w:right w:val="nil"/>
            </w:tcBorders>
          </w:tcPr>
          <w:p w14:paraId="6BBD98D4" w14:textId="1FA90D6C" w:rsidR="00F37DD0" w:rsidRDefault="00F37DD0" w:rsidP="00395FD6">
            <w:pPr>
              <w:widowControl w:val="0"/>
              <w:autoSpaceDE w:val="0"/>
              <w:autoSpaceDN w:val="0"/>
              <w:adjustRightInd w:val="0"/>
              <w:spacing w:line="240" w:lineRule="auto"/>
              <w:jc w:val="center"/>
              <w:rPr>
                <w:rFonts w:ascii="Times New Roman" w:hAnsi="Times New Roman"/>
              </w:rPr>
            </w:pPr>
          </w:p>
        </w:tc>
        <w:tc>
          <w:tcPr>
            <w:tcW w:w="1656" w:type="dxa"/>
            <w:tcBorders>
              <w:top w:val="nil"/>
              <w:left w:val="nil"/>
              <w:bottom w:val="nil"/>
              <w:right w:val="nil"/>
            </w:tcBorders>
          </w:tcPr>
          <w:p w14:paraId="639CDC3F" w14:textId="7C569D40"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-0.019</w:t>
            </w:r>
          </w:p>
        </w:tc>
        <w:tc>
          <w:tcPr>
            <w:tcW w:w="1656" w:type="dxa"/>
            <w:tcBorders>
              <w:top w:val="nil"/>
              <w:left w:val="nil"/>
              <w:bottom w:val="nil"/>
              <w:right w:val="nil"/>
            </w:tcBorders>
          </w:tcPr>
          <w:p w14:paraId="13BA57FF" w14:textId="57C6A63A"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-0.</w:t>
            </w:r>
            <w:r w:rsidR="000E6BB4">
              <w:rPr>
                <w:rFonts w:ascii="Times New Roman" w:hAnsi="Times New Roman"/>
              </w:rPr>
              <w:t>028</w:t>
            </w:r>
          </w:p>
        </w:tc>
      </w:tr>
      <w:tr w:rsidR="00F37DD0" w14:paraId="5A01D8E6" w14:textId="77777777" w:rsidTr="00395FD6">
        <w:tc>
          <w:tcPr>
            <w:tcW w:w="2136" w:type="dxa"/>
            <w:tcBorders>
              <w:top w:val="nil"/>
              <w:left w:val="nil"/>
              <w:bottom w:val="nil"/>
              <w:right w:val="single" w:sz="18" w:space="0" w:color="auto"/>
            </w:tcBorders>
          </w:tcPr>
          <w:p w14:paraId="4A983A41"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single" w:sz="18" w:space="0" w:color="auto"/>
              <w:bottom w:val="nil"/>
              <w:right w:val="nil"/>
            </w:tcBorders>
          </w:tcPr>
          <w:p w14:paraId="4CFFAB8D" w14:textId="224713F2" w:rsidR="00F37DD0" w:rsidRDefault="00F37DD0" w:rsidP="00395FD6">
            <w:pPr>
              <w:widowControl w:val="0"/>
              <w:autoSpaceDE w:val="0"/>
              <w:autoSpaceDN w:val="0"/>
              <w:adjustRightInd w:val="0"/>
              <w:spacing w:line="240" w:lineRule="auto"/>
              <w:jc w:val="center"/>
              <w:rPr>
                <w:rFonts w:ascii="Times New Roman" w:hAnsi="Times New Roman"/>
              </w:rPr>
            </w:pPr>
          </w:p>
        </w:tc>
        <w:tc>
          <w:tcPr>
            <w:tcW w:w="1656" w:type="dxa"/>
            <w:tcBorders>
              <w:top w:val="nil"/>
              <w:left w:val="nil"/>
              <w:bottom w:val="nil"/>
              <w:right w:val="nil"/>
            </w:tcBorders>
          </w:tcPr>
          <w:p w14:paraId="07651532" w14:textId="3A3BB55A" w:rsidR="00F37DD0" w:rsidRDefault="00F37DD0" w:rsidP="00395FD6">
            <w:pPr>
              <w:widowControl w:val="0"/>
              <w:autoSpaceDE w:val="0"/>
              <w:autoSpaceDN w:val="0"/>
              <w:adjustRightInd w:val="0"/>
              <w:spacing w:line="240" w:lineRule="auto"/>
              <w:jc w:val="center"/>
              <w:rPr>
                <w:rFonts w:ascii="Times New Roman" w:hAnsi="Times New Roman"/>
              </w:rPr>
            </w:pPr>
          </w:p>
        </w:tc>
        <w:tc>
          <w:tcPr>
            <w:tcW w:w="1656" w:type="dxa"/>
            <w:tcBorders>
              <w:top w:val="nil"/>
              <w:left w:val="nil"/>
              <w:bottom w:val="nil"/>
              <w:right w:val="nil"/>
            </w:tcBorders>
          </w:tcPr>
          <w:p w14:paraId="4BEAD1E4" w14:textId="78EDA565"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(0.0</w:t>
            </w:r>
            <w:r w:rsidR="000E6BB4">
              <w:rPr>
                <w:rFonts w:ascii="Times New Roman" w:hAnsi="Times New Roman"/>
              </w:rPr>
              <w:t>23</w:t>
            </w:r>
            <w:r>
              <w:rPr>
                <w:rFonts w:ascii="Times New Roman" w:hAnsi="Times New Roman"/>
              </w:rPr>
              <w:t>)</w:t>
            </w:r>
          </w:p>
        </w:tc>
        <w:tc>
          <w:tcPr>
            <w:tcW w:w="1656" w:type="dxa"/>
            <w:tcBorders>
              <w:top w:val="nil"/>
              <w:left w:val="nil"/>
              <w:bottom w:val="nil"/>
              <w:right w:val="nil"/>
            </w:tcBorders>
          </w:tcPr>
          <w:p w14:paraId="0A82F08C" w14:textId="2641E262"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(0.</w:t>
            </w:r>
            <w:r w:rsidR="000E6BB4">
              <w:rPr>
                <w:rFonts w:ascii="Times New Roman" w:hAnsi="Times New Roman"/>
              </w:rPr>
              <w:t>018</w:t>
            </w:r>
            <w:r>
              <w:rPr>
                <w:rFonts w:ascii="Times New Roman" w:hAnsi="Times New Roman"/>
              </w:rPr>
              <w:t>)</w:t>
            </w:r>
          </w:p>
        </w:tc>
      </w:tr>
      <w:tr w:rsidR="00F37DD0" w14:paraId="007D5520" w14:textId="77777777" w:rsidTr="00395FD6">
        <w:tc>
          <w:tcPr>
            <w:tcW w:w="2136" w:type="dxa"/>
            <w:tcBorders>
              <w:top w:val="nil"/>
              <w:left w:val="nil"/>
              <w:bottom w:val="nil"/>
              <w:right w:val="single" w:sz="18" w:space="0" w:color="auto"/>
            </w:tcBorders>
          </w:tcPr>
          <w:p w14:paraId="13EAC9D9"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single" w:sz="18" w:space="0" w:color="auto"/>
              <w:bottom w:val="nil"/>
              <w:right w:val="nil"/>
            </w:tcBorders>
          </w:tcPr>
          <w:p w14:paraId="314E3897"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20DDB985"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7522F3C9"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58EF695E" w14:textId="77777777" w:rsidR="00F37DD0" w:rsidRDefault="00F37DD0" w:rsidP="00395FD6">
            <w:pPr>
              <w:widowControl w:val="0"/>
              <w:autoSpaceDE w:val="0"/>
              <w:autoSpaceDN w:val="0"/>
              <w:adjustRightInd w:val="0"/>
              <w:spacing w:line="240" w:lineRule="auto"/>
              <w:rPr>
                <w:rFonts w:ascii="Times New Roman" w:hAnsi="Times New Roman"/>
              </w:rPr>
            </w:pPr>
          </w:p>
        </w:tc>
      </w:tr>
      <w:tr w:rsidR="00F37DD0" w14:paraId="30CE8DE0" w14:textId="77777777" w:rsidTr="00395FD6">
        <w:tc>
          <w:tcPr>
            <w:tcW w:w="2136" w:type="dxa"/>
            <w:tcBorders>
              <w:top w:val="nil"/>
              <w:left w:val="nil"/>
              <w:bottom w:val="nil"/>
              <w:right w:val="single" w:sz="18" w:space="0" w:color="auto"/>
            </w:tcBorders>
          </w:tcPr>
          <w:p w14:paraId="15B32CF2"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single" w:sz="18" w:space="0" w:color="auto"/>
              <w:bottom w:val="nil"/>
              <w:right w:val="nil"/>
            </w:tcBorders>
          </w:tcPr>
          <w:p w14:paraId="15D007B3"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68C411F3"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44F192C2"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02980382" w14:textId="77777777" w:rsidR="00F37DD0" w:rsidRDefault="00F37DD0" w:rsidP="00395FD6">
            <w:pPr>
              <w:widowControl w:val="0"/>
              <w:autoSpaceDE w:val="0"/>
              <w:autoSpaceDN w:val="0"/>
              <w:adjustRightInd w:val="0"/>
              <w:spacing w:line="240" w:lineRule="auto"/>
              <w:rPr>
                <w:rFonts w:ascii="Times New Roman" w:hAnsi="Times New Roman"/>
              </w:rPr>
            </w:pPr>
          </w:p>
        </w:tc>
      </w:tr>
      <w:tr w:rsidR="00F37DD0" w14:paraId="09C81EBE" w14:textId="77777777" w:rsidTr="00395FD6">
        <w:tc>
          <w:tcPr>
            <w:tcW w:w="2136" w:type="dxa"/>
            <w:tcBorders>
              <w:top w:val="nil"/>
              <w:left w:val="nil"/>
              <w:bottom w:val="nil"/>
              <w:right w:val="single" w:sz="18" w:space="0" w:color="auto"/>
            </w:tcBorders>
          </w:tcPr>
          <w:p w14:paraId="7F258710" w14:textId="1E4936E0" w:rsidR="00F37DD0" w:rsidRDefault="00F37DD0" w:rsidP="00395FD6">
            <w:pPr>
              <w:widowControl w:val="0"/>
              <w:autoSpaceDE w:val="0"/>
              <w:autoSpaceDN w:val="0"/>
              <w:adjustRightInd w:val="0"/>
              <w:spacing w:line="240" w:lineRule="auto"/>
              <w:rPr>
                <w:rFonts w:ascii="Times New Roman" w:hAnsi="Times New Roman"/>
              </w:rPr>
            </w:pPr>
            <w:r>
              <w:rPr>
                <w:rFonts w:ascii="Times New Roman" w:hAnsi="Times New Roman"/>
              </w:rPr>
              <w:t>Industry FE</w:t>
            </w:r>
          </w:p>
        </w:tc>
        <w:tc>
          <w:tcPr>
            <w:tcW w:w="1656" w:type="dxa"/>
            <w:tcBorders>
              <w:top w:val="nil"/>
              <w:left w:val="single" w:sz="18" w:space="0" w:color="auto"/>
              <w:bottom w:val="nil"/>
              <w:right w:val="nil"/>
            </w:tcBorders>
          </w:tcPr>
          <w:p w14:paraId="5DBB75F5" w14:textId="7B556A31"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Yes</w:t>
            </w:r>
          </w:p>
        </w:tc>
        <w:tc>
          <w:tcPr>
            <w:tcW w:w="1656" w:type="dxa"/>
            <w:tcBorders>
              <w:top w:val="nil"/>
              <w:left w:val="nil"/>
              <w:bottom w:val="nil"/>
              <w:right w:val="nil"/>
            </w:tcBorders>
          </w:tcPr>
          <w:p w14:paraId="7BA92FA9" w14:textId="6EEFD3E0"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Yes</w:t>
            </w:r>
          </w:p>
        </w:tc>
        <w:tc>
          <w:tcPr>
            <w:tcW w:w="1656" w:type="dxa"/>
            <w:tcBorders>
              <w:top w:val="nil"/>
              <w:left w:val="nil"/>
              <w:bottom w:val="nil"/>
              <w:right w:val="nil"/>
            </w:tcBorders>
          </w:tcPr>
          <w:p w14:paraId="249669AC" w14:textId="5655DA00"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Yes</w:t>
            </w:r>
          </w:p>
        </w:tc>
        <w:tc>
          <w:tcPr>
            <w:tcW w:w="1656" w:type="dxa"/>
            <w:tcBorders>
              <w:top w:val="nil"/>
              <w:left w:val="nil"/>
              <w:bottom w:val="nil"/>
              <w:right w:val="nil"/>
            </w:tcBorders>
          </w:tcPr>
          <w:p w14:paraId="3960A7F4" w14:textId="4D2A7C52"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Yes</w:t>
            </w:r>
          </w:p>
        </w:tc>
      </w:tr>
      <w:tr w:rsidR="00F37DD0" w14:paraId="6D7D4DDE" w14:textId="77777777" w:rsidTr="00395FD6">
        <w:tc>
          <w:tcPr>
            <w:tcW w:w="2136" w:type="dxa"/>
            <w:tcBorders>
              <w:top w:val="nil"/>
              <w:left w:val="nil"/>
              <w:bottom w:val="nil"/>
              <w:right w:val="single" w:sz="18" w:space="0" w:color="auto"/>
            </w:tcBorders>
          </w:tcPr>
          <w:p w14:paraId="5D5003D0"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single" w:sz="18" w:space="0" w:color="auto"/>
              <w:bottom w:val="nil"/>
              <w:right w:val="nil"/>
            </w:tcBorders>
          </w:tcPr>
          <w:p w14:paraId="61AF2385" w14:textId="77777777" w:rsidR="00F37DD0" w:rsidRDefault="00F37DD0" w:rsidP="00395FD6">
            <w:pPr>
              <w:widowControl w:val="0"/>
              <w:autoSpaceDE w:val="0"/>
              <w:autoSpaceDN w:val="0"/>
              <w:adjustRightInd w:val="0"/>
              <w:spacing w:line="240" w:lineRule="auto"/>
              <w:jc w:val="center"/>
              <w:rPr>
                <w:rFonts w:ascii="Times New Roman" w:hAnsi="Times New Roman"/>
              </w:rPr>
            </w:pPr>
          </w:p>
        </w:tc>
        <w:tc>
          <w:tcPr>
            <w:tcW w:w="1656" w:type="dxa"/>
            <w:tcBorders>
              <w:top w:val="nil"/>
              <w:left w:val="nil"/>
              <w:bottom w:val="nil"/>
              <w:right w:val="nil"/>
            </w:tcBorders>
          </w:tcPr>
          <w:p w14:paraId="16F280CF" w14:textId="77777777" w:rsidR="00F37DD0" w:rsidRDefault="00F37DD0" w:rsidP="00395FD6">
            <w:pPr>
              <w:widowControl w:val="0"/>
              <w:autoSpaceDE w:val="0"/>
              <w:autoSpaceDN w:val="0"/>
              <w:adjustRightInd w:val="0"/>
              <w:spacing w:line="240" w:lineRule="auto"/>
              <w:jc w:val="center"/>
              <w:rPr>
                <w:rFonts w:ascii="Times New Roman" w:hAnsi="Times New Roman"/>
              </w:rPr>
            </w:pPr>
          </w:p>
        </w:tc>
        <w:tc>
          <w:tcPr>
            <w:tcW w:w="1656" w:type="dxa"/>
            <w:tcBorders>
              <w:top w:val="nil"/>
              <w:left w:val="nil"/>
              <w:bottom w:val="nil"/>
              <w:right w:val="nil"/>
            </w:tcBorders>
          </w:tcPr>
          <w:p w14:paraId="7044305B" w14:textId="6C16272C" w:rsidR="00F37DD0" w:rsidRDefault="00F37DD0" w:rsidP="00395FD6">
            <w:pPr>
              <w:widowControl w:val="0"/>
              <w:autoSpaceDE w:val="0"/>
              <w:autoSpaceDN w:val="0"/>
              <w:adjustRightInd w:val="0"/>
              <w:spacing w:line="240" w:lineRule="auto"/>
              <w:jc w:val="center"/>
              <w:rPr>
                <w:rFonts w:ascii="Times New Roman" w:hAnsi="Times New Roman"/>
              </w:rPr>
            </w:pPr>
          </w:p>
        </w:tc>
        <w:tc>
          <w:tcPr>
            <w:tcW w:w="1656" w:type="dxa"/>
            <w:tcBorders>
              <w:top w:val="nil"/>
              <w:left w:val="nil"/>
              <w:bottom w:val="nil"/>
              <w:right w:val="nil"/>
            </w:tcBorders>
          </w:tcPr>
          <w:p w14:paraId="030004E1" w14:textId="77777777" w:rsidR="00F37DD0" w:rsidRDefault="00F37DD0" w:rsidP="00395FD6">
            <w:pPr>
              <w:widowControl w:val="0"/>
              <w:autoSpaceDE w:val="0"/>
              <w:autoSpaceDN w:val="0"/>
              <w:adjustRightInd w:val="0"/>
              <w:spacing w:line="240" w:lineRule="auto"/>
              <w:jc w:val="center"/>
              <w:rPr>
                <w:rFonts w:ascii="Times New Roman" w:hAnsi="Times New Roman"/>
              </w:rPr>
            </w:pPr>
          </w:p>
        </w:tc>
      </w:tr>
      <w:tr w:rsidR="00F37DD0" w14:paraId="01365820" w14:textId="77777777" w:rsidTr="00395FD6">
        <w:tc>
          <w:tcPr>
            <w:tcW w:w="2136" w:type="dxa"/>
            <w:tcBorders>
              <w:top w:val="nil"/>
              <w:left w:val="nil"/>
              <w:bottom w:val="nil"/>
              <w:right w:val="single" w:sz="18" w:space="0" w:color="auto"/>
            </w:tcBorders>
          </w:tcPr>
          <w:p w14:paraId="7B213F0C"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single" w:sz="18" w:space="0" w:color="auto"/>
              <w:bottom w:val="nil"/>
              <w:right w:val="nil"/>
            </w:tcBorders>
          </w:tcPr>
          <w:p w14:paraId="457CA3DF"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59A78D3C"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0BE20DDE"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7A3AB3AB" w14:textId="77777777" w:rsidR="00F37DD0" w:rsidRDefault="00F37DD0" w:rsidP="00395FD6">
            <w:pPr>
              <w:widowControl w:val="0"/>
              <w:autoSpaceDE w:val="0"/>
              <w:autoSpaceDN w:val="0"/>
              <w:adjustRightInd w:val="0"/>
              <w:spacing w:line="240" w:lineRule="auto"/>
              <w:rPr>
                <w:rFonts w:ascii="Times New Roman" w:hAnsi="Times New Roman"/>
              </w:rPr>
            </w:pPr>
          </w:p>
        </w:tc>
      </w:tr>
      <w:tr w:rsidR="00F37DD0" w14:paraId="0458A3AA" w14:textId="77777777" w:rsidTr="00395FD6">
        <w:tc>
          <w:tcPr>
            <w:tcW w:w="2136" w:type="dxa"/>
            <w:tcBorders>
              <w:top w:val="nil"/>
              <w:left w:val="nil"/>
              <w:bottom w:val="nil"/>
              <w:right w:val="single" w:sz="18" w:space="0" w:color="auto"/>
            </w:tcBorders>
          </w:tcPr>
          <w:p w14:paraId="1CDF645F" w14:textId="5695E7EC" w:rsidR="00F37DD0" w:rsidRDefault="00F37DD0" w:rsidP="00395FD6">
            <w:pPr>
              <w:widowControl w:val="0"/>
              <w:autoSpaceDE w:val="0"/>
              <w:autoSpaceDN w:val="0"/>
              <w:adjustRightInd w:val="0"/>
              <w:spacing w:line="240" w:lineRule="auto"/>
              <w:rPr>
                <w:rFonts w:ascii="Times New Roman" w:hAnsi="Times New Roman"/>
              </w:rPr>
            </w:pPr>
            <w:r>
              <w:rPr>
                <w:rFonts w:ascii="Times New Roman" w:hAnsi="Times New Roman"/>
              </w:rPr>
              <w:t>Year FE</w:t>
            </w:r>
          </w:p>
        </w:tc>
        <w:tc>
          <w:tcPr>
            <w:tcW w:w="1656" w:type="dxa"/>
            <w:tcBorders>
              <w:top w:val="nil"/>
              <w:left w:val="single" w:sz="18" w:space="0" w:color="auto"/>
              <w:bottom w:val="nil"/>
              <w:right w:val="nil"/>
            </w:tcBorders>
          </w:tcPr>
          <w:p w14:paraId="411A5273" w14:textId="1A03AAC7"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Yes</w:t>
            </w:r>
          </w:p>
        </w:tc>
        <w:tc>
          <w:tcPr>
            <w:tcW w:w="1656" w:type="dxa"/>
            <w:tcBorders>
              <w:top w:val="nil"/>
              <w:left w:val="nil"/>
              <w:bottom w:val="nil"/>
              <w:right w:val="nil"/>
            </w:tcBorders>
          </w:tcPr>
          <w:p w14:paraId="29D9E520" w14:textId="38CA3DF5"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Yes</w:t>
            </w:r>
          </w:p>
        </w:tc>
        <w:tc>
          <w:tcPr>
            <w:tcW w:w="1656" w:type="dxa"/>
            <w:tcBorders>
              <w:top w:val="nil"/>
              <w:left w:val="nil"/>
              <w:bottom w:val="nil"/>
              <w:right w:val="nil"/>
            </w:tcBorders>
          </w:tcPr>
          <w:p w14:paraId="2737C89B" w14:textId="0AFD9717"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Yes</w:t>
            </w:r>
          </w:p>
        </w:tc>
        <w:tc>
          <w:tcPr>
            <w:tcW w:w="1656" w:type="dxa"/>
            <w:tcBorders>
              <w:top w:val="nil"/>
              <w:left w:val="nil"/>
              <w:bottom w:val="nil"/>
              <w:right w:val="nil"/>
            </w:tcBorders>
          </w:tcPr>
          <w:p w14:paraId="22179CD4" w14:textId="2280C569"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Yes</w:t>
            </w:r>
          </w:p>
        </w:tc>
      </w:tr>
      <w:tr w:rsidR="00F37DD0" w14:paraId="211F1607" w14:textId="77777777" w:rsidTr="00395FD6">
        <w:tc>
          <w:tcPr>
            <w:tcW w:w="2136" w:type="dxa"/>
            <w:tcBorders>
              <w:top w:val="nil"/>
              <w:left w:val="nil"/>
              <w:bottom w:val="nil"/>
              <w:right w:val="single" w:sz="18" w:space="0" w:color="auto"/>
            </w:tcBorders>
          </w:tcPr>
          <w:p w14:paraId="578B6B5A"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single" w:sz="18" w:space="0" w:color="auto"/>
              <w:bottom w:val="nil"/>
              <w:right w:val="nil"/>
            </w:tcBorders>
          </w:tcPr>
          <w:p w14:paraId="1AA2372F" w14:textId="77777777" w:rsidR="00F37DD0" w:rsidRDefault="00F37DD0" w:rsidP="00395FD6">
            <w:pPr>
              <w:widowControl w:val="0"/>
              <w:autoSpaceDE w:val="0"/>
              <w:autoSpaceDN w:val="0"/>
              <w:adjustRightInd w:val="0"/>
              <w:spacing w:line="240" w:lineRule="auto"/>
              <w:jc w:val="center"/>
              <w:rPr>
                <w:rFonts w:ascii="Times New Roman" w:hAnsi="Times New Roman"/>
              </w:rPr>
            </w:pPr>
          </w:p>
        </w:tc>
        <w:tc>
          <w:tcPr>
            <w:tcW w:w="1656" w:type="dxa"/>
            <w:tcBorders>
              <w:top w:val="nil"/>
              <w:left w:val="nil"/>
              <w:bottom w:val="nil"/>
              <w:right w:val="nil"/>
            </w:tcBorders>
          </w:tcPr>
          <w:p w14:paraId="5C2BD798" w14:textId="77777777" w:rsidR="00F37DD0" w:rsidRDefault="00F37DD0" w:rsidP="00395FD6">
            <w:pPr>
              <w:widowControl w:val="0"/>
              <w:autoSpaceDE w:val="0"/>
              <w:autoSpaceDN w:val="0"/>
              <w:adjustRightInd w:val="0"/>
              <w:spacing w:line="240" w:lineRule="auto"/>
              <w:jc w:val="center"/>
              <w:rPr>
                <w:rFonts w:ascii="Times New Roman" w:hAnsi="Times New Roman"/>
              </w:rPr>
            </w:pPr>
          </w:p>
        </w:tc>
        <w:tc>
          <w:tcPr>
            <w:tcW w:w="1656" w:type="dxa"/>
            <w:tcBorders>
              <w:top w:val="nil"/>
              <w:left w:val="nil"/>
              <w:bottom w:val="nil"/>
              <w:right w:val="nil"/>
            </w:tcBorders>
          </w:tcPr>
          <w:p w14:paraId="18FAD40A" w14:textId="41221381" w:rsidR="00F37DD0" w:rsidRDefault="00F37DD0" w:rsidP="00395FD6">
            <w:pPr>
              <w:widowControl w:val="0"/>
              <w:autoSpaceDE w:val="0"/>
              <w:autoSpaceDN w:val="0"/>
              <w:adjustRightInd w:val="0"/>
              <w:spacing w:line="240" w:lineRule="auto"/>
              <w:jc w:val="center"/>
              <w:rPr>
                <w:rFonts w:ascii="Times New Roman" w:hAnsi="Times New Roman"/>
              </w:rPr>
            </w:pPr>
          </w:p>
        </w:tc>
        <w:tc>
          <w:tcPr>
            <w:tcW w:w="1656" w:type="dxa"/>
            <w:tcBorders>
              <w:top w:val="nil"/>
              <w:left w:val="nil"/>
              <w:bottom w:val="nil"/>
              <w:right w:val="nil"/>
            </w:tcBorders>
          </w:tcPr>
          <w:p w14:paraId="69A533BC" w14:textId="77777777" w:rsidR="00F37DD0" w:rsidRDefault="00F37DD0" w:rsidP="00395FD6">
            <w:pPr>
              <w:widowControl w:val="0"/>
              <w:autoSpaceDE w:val="0"/>
              <w:autoSpaceDN w:val="0"/>
              <w:adjustRightInd w:val="0"/>
              <w:spacing w:line="240" w:lineRule="auto"/>
              <w:jc w:val="center"/>
              <w:rPr>
                <w:rFonts w:ascii="Times New Roman" w:hAnsi="Times New Roman"/>
              </w:rPr>
            </w:pPr>
          </w:p>
        </w:tc>
      </w:tr>
      <w:tr w:rsidR="00F37DD0" w14:paraId="5886B65F" w14:textId="77777777" w:rsidTr="00395FD6">
        <w:tc>
          <w:tcPr>
            <w:tcW w:w="2136" w:type="dxa"/>
            <w:tcBorders>
              <w:top w:val="nil"/>
              <w:left w:val="nil"/>
              <w:bottom w:val="nil"/>
              <w:right w:val="single" w:sz="18" w:space="0" w:color="auto"/>
            </w:tcBorders>
          </w:tcPr>
          <w:p w14:paraId="409CCBF2"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single" w:sz="18" w:space="0" w:color="auto"/>
              <w:bottom w:val="nil"/>
              <w:right w:val="nil"/>
            </w:tcBorders>
          </w:tcPr>
          <w:p w14:paraId="5A48E375"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394AEE40"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0AA2D290"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nil"/>
              <w:bottom w:val="nil"/>
              <w:right w:val="nil"/>
            </w:tcBorders>
          </w:tcPr>
          <w:p w14:paraId="23749277" w14:textId="77777777" w:rsidR="00F37DD0" w:rsidRDefault="00F37DD0" w:rsidP="00395FD6">
            <w:pPr>
              <w:widowControl w:val="0"/>
              <w:autoSpaceDE w:val="0"/>
              <w:autoSpaceDN w:val="0"/>
              <w:adjustRightInd w:val="0"/>
              <w:spacing w:line="240" w:lineRule="auto"/>
              <w:rPr>
                <w:rFonts w:ascii="Times New Roman" w:hAnsi="Times New Roman"/>
              </w:rPr>
            </w:pPr>
          </w:p>
        </w:tc>
      </w:tr>
      <w:tr w:rsidR="00F37DD0" w14:paraId="45ADF1AE" w14:textId="77777777" w:rsidTr="00395FD6">
        <w:tc>
          <w:tcPr>
            <w:tcW w:w="2136" w:type="dxa"/>
            <w:tcBorders>
              <w:top w:val="nil"/>
              <w:left w:val="nil"/>
              <w:bottom w:val="nil"/>
              <w:right w:val="single" w:sz="18" w:space="0" w:color="auto"/>
            </w:tcBorders>
          </w:tcPr>
          <w:p w14:paraId="56AF0F7D" w14:textId="77777777" w:rsidR="00F37DD0" w:rsidRDefault="00F37DD0" w:rsidP="00395FD6">
            <w:pPr>
              <w:widowControl w:val="0"/>
              <w:autoSpaceDE w:val="0"/>
              <w:autoSpaceDN w:val="0"/>
              <w:adjustRightInd w:val="0"/>
              <w:spacing w:line="240" w:lineRule="auto"/>
              <w:rPr>
                <w:rFonts w:ascii="Times New Roman" w:hAnsi="Times New Roman"/>
              </w:rPr>
            </w:pPr>
            <w:r>
              <w:rPr>
                <w:rFonts w:ascii="Times New Roman" w:hAnsi="Times New Roman"/>
              </w:rPr>
              <w:t>Constant</w:t>
            </w:r>
          </w:p>
        </w:tc>
        <w:tc>
          <w:tcPr>
            <w:tcW w:w="1656" w:type="dxa"/>
            <w:tcBorders>
              <w:top w:val="nil"/>
              <w:left w:val="single" w:sz="18" w:space="0" w:color="auto"/>
              <w:bottom w:val="nil"/>
              <w:right w:val="nil"/>
            </w:tcBorders>
          </w:tcPr>
          <w:p w14:paraId="14F21571" w14:textId="23685023"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17,477***</w:t>
            </w:r>
          </w:p>
        </w:tc>
        <w:tc>
          <w:tcPr>
            <w:tcW w:w="1656" w:type="dxa"/>
            <w:tcBorders>
              <w:top w:val="nil"/>
              <w:left w:val="nil"/>
              <w:bottom w:val="nil"/>
              <w:right w:val="nil"/>
            </w:tcBorders>
          </w:tcPr>
          <w:p w14:paraId="262D3A2A" w14:textId="5A6FDB9E"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17.698***</w:t>
            </w:r>
          </w:p>
        </w:tc>
        <w:tc>
          <w:tcPr>
            <w:tcW w:w="1656" w:type="dxa"/>
            <w:tcBorders>
              <w:top w:val="nil"/>
              <w:left w:val="nil"/>
              <w:bottom w:val="nil"/>
              <w:right w:val="nil"/>
            </w:tcBorders>
          </w:tcPr>
          <w:p w14:paraId="301D13E2" w14:textId="127ACCD5"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17.252***</w:t>
            </w:r>
          </w:p>
        </w:tc>
        <w:tc>
          <w:tcPr>
            <w:tcW w:w="1656" w:type="dxa"/>
            <w:tcBorders>
              <w:top w:val="nil"/>
              <w:left w:val="nil"/>
              <w:bottom w:val="nil"/>
              <w:right w:val="nil"/>
            </w:tcBorders>
          </w:tcPr>
          <w:p w14:paraId="66908889" w14:textId="45162EE3"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1</w:t>
            </w:r>
            <w:r w:rsidR="000E6BB4">
              <w:rPr>
                <w:rFonts w:ascii="Times New Roman" w:hAnsi="Times New Roman"/>
              </w:rPr>
              <w:t>7.448***</w:t>
            </w:r>
          </w:p>
        </w:tc>
      </w:tr>
      <w:tr w:rsidR="00F37DD0" w14:paraId="170AC545" w14:textId="77777777" w:rsidTr="00395FD6">
        <w:tc>
          <w:tcPr>
            <w:tcW w:w="2136" w:type="dxa"/>
            <w:tcBorders>
              <w:top w:val="nil"/>
              <w:left w:val="nil"/>
              <w:bottom w:val="single" w:sz="18" w:space="0" w:color="auto"/>
              <w:right w:val="single" w:sz="18" w:space="0" w:color="auto"/>
            </w:tcBorders>
          </w:tcPr>
          <w:p w14:paraId="3D1D7D1F" w14:textId="77777777" w:rsidR="00F37DD0" w:rsidRDefault="00F37DD0" w:rsidP="00395FD6">
            <w:pPr>
              <w:widowControl w:val="0"/>
              <w:autoSpaceDE w:val="0"/>
              <w:autoSpaceDN w:val="0"/>
              <w:adjustRightInd w:val="0"/>
              <w:spacing w:line="240" w:lineRule="auto"/>
              <w:rPr>
                <w:rFonts w:ascii="Times New Roman" w:hAnsi="Times New Roman"/>
              </w:rPr>
            </w:pPr>
          </w:p>
        </w:tc>
        <w:tc>
          <w:tcPr>
            <w:tcW w:w="1656" w:type="dxa"/>
            <w:tcBorders>
              <w:top w:val="nil"/>
              <w:left w:val="single" w:sz="18" w:space="0" w:color="auto"/>
              <w:bottom w:val="single" w:sz="18" w:space="0" w:color="auto"/>
              <w:right w:val="nil"/>
            </w:tcBorders>
          </w:tcPr>
          <w:p w14:paraId="2F55F118" w14:textId="4BED360E"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w:t>
            </w:r>
            <w:r w:rsidR="000E6BB4">
              <w:rPr>
                <w:rFonts w:ascii="Times New Roman" w:hAnsi="Times New Roman"/>
              </w:rPr>
              <w:t>2.675</w:t>
            </w:r>
            <w:r>
              <w:rPr>
                <w:rFonts w:ascii="Times New Roman" w:hAnsi="Times New Roman"/>
              </w:rPr>
              <w:t>)</w:t>
            </w:r>
          </w:p>
        </w:tc>
        <w:tc>
          <w:tcPr>
            <w:tcW w:w="1656" w:type="dxa"/>
            <w:tcBorders>
              <w:top w:val="nil"/>
              <w:left w:val="nil"/>
              <w:bottom w:val="single" w:sz="18" w:space="0" w:color="auto"/>
              <w:right w:val="nil"/>
            </w:tcBorders>
          </w:tcPr>
          <w:p w14:paraId="0F0EEF9A" w14:textId="41489E1F"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w:t>
            </w:r>
            <w:r w:rsidR="000E6BB4">
              <w:rPr>
                <w:rFonts w:ascii="Times New Roman" w:hAnsi="Times New Roman"/>
              </w:rPr>
              <w:t>2.681</w:t>
            </w:r>
            <w:r>
              <w:rPr>
                <w:rFonts w:ascii="Times New Roman" w:hAnsi="Times New Roman"/>
              </w:rPr>
              <w:t>)</w:t>
            </w:r>
          </w:p>
        </w:tc>
        <w:tc>
          <w:tcPr>
            <w:tcW w:w="1656" w:type="dxa"/>
            <w:tcBorders>
              <w:top w:val="nil"/>
              <w:left w:val="nil"/>
              <w:bottom w:val="single" w:sz="18" w:space="0" w:color="auto"/>
              <w:right w:val="nil"/>
            </w:tcBorders>
          </w:tcPr>
          <w:p w14:paraId="4B0A9E2B" w14:textId="1DA62D40"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w:t>
            </w:r>
            <w:r w:rsidR="000E6BB4">
              <w:rPr>
                <w:rFonts w:ascii="Times New Roman" w:hAnsi="Times New Roman"/>
              </w:rPr>
              <w:t>2.679</w:t>
            </w:r>
            <w:r>
              <w:rPr>
                <w:rFonts w:ascii="Times New Roman" w:hAnsi="Times New Roman"/>
              </w:rPr>
              <w:t>)</w:t>
            </w:r>
          </w:p>
        </w:tc>
        <w:tc>
          <w:tcPr>
            <w:tcW w:w="1656" w:type="dxa"/>
            <w:tcBorders>
              <w:top w:val="nil"/>
              <w:left w:val="nil"/>
              <w:bottom w:val="single" w:sz="18" w:space="0" w:color="auto"/>
              <w:right w:val="nil"/>
            </w:tcBorders>
          </w:tcPr>
          <w:p w14:paraId="7162AC70" w14:textId="35A8FE3A"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w:t>
            </w:r>
            <w:r w:rsidR="000E6BB4">
              <w:rPr>
                <w:rFonts w:ascii="Times New Roman" w:hAnsi="Times New Roman"/>
              </w:rPr>
              <w:t>2.679</w:t>
            </w:r>
            <w:r>
              <w:rPr>
                <w:rFonts w:ascii="Times New Roman" w:hAnsi="Times New Roman"/>
              </w:rPr>
              <w:t>)</w:t>
            </w:r>
          </w:p>
        </w:tc>
      </w:tr>
      <w:tr w:rsidR="00F37DD0" w14:paraId="6466D59F" w14:textId="77777777" w:rsidTr="00395FD6">
        <w:tc>
          <w:tcPr>
            <w:tcW w:w="2136" w:type="dxa"/>
            <w:tcBorders>
              <w:top w:val="single" w:sz="18" w:space="0" w:color="auto"/>
              <w:left w:val="nil"/>
              <w:bottom w:val="nil"/>
              <w:right w:val="single" w:sz="18" w:space="0" w:color="auto"/>
            </w:tcBorders>
          </w:tcPr>
          <w:p w14:paraId="133E9613" w14:textId="77777777" w:rsidR="00F37DD0" w:rsidRDefault="00F37DD0" w:rsidP="00395FD6">
            <w:pPr>
              <w:widowControl w:val="0"/>
              <w:autoSpaceDE w:val="0"/>
              <w:autoSpaceDN w:val="0"/>
              <w:adjustRightInd w:val="0"/>
              <w:spacing w:line="240" w:lineRule="auto"/>
              <w:rPr>
                <w:rFonts w:ascii="Times New Roman" w:hAnsi="Times New Roman"/>
              </w:rPr>
            </w:pPr>
            <w:r>
              <w:rPr>
                <w:rFonts w:ascii="Times New Roman" w:hAnsi="Times New Roman"/>
              </w:rPr>
              <w:t>Observations</w:t>
            </w:r>
          </w:p>
        </w:tc>
        <w:tc>
          <w:tcPr>
            <w:tcW w:w="1656" w:type="dxa"/>
            <w:tcBorders>
              <w:top w:val="single" w:sz="18" w:space="0" w:color="auto"/>
              <w:left w:val="single" w:sz="18" w:space="0" w:color="auto"/>
              <w:bottom w:val="nil"/>
              <w:right w:val="nil"/>
            </w:tcBorders>
          </w:tcPr>
          <w:p w14:paraId="63101E9B" w14:textId="38B0962C"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7650</w:t>
            </w:r>
          </w:p>
        </w:tc>
        <w:tc>
          <w:tcPr>
            <w:tcW w:w="1656" w:type="dxa"/>
            <w:tcBorders>
              <w:top w:val="single" w:sz="18" w:space="0" w:color="auto"/>
              <w:left w:val="nil"/>
              <w:bottom w:val="nil"/>
              <w:right w:val="nil"/>
            </w:tcBorders>
          </w:tcPr>
          <w:p w14:paraId="7C7319FD" w14:textId="4F95FC3D"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7650</w:t>
            </w:r>
          </w:p>
        </w:tc>
        <w:tc>
          <w:tcPr>
            <w:tcW w:w="1656" w:type="dxa"/>
            <w:tcBorders>
              <w:top w:val="single" w:sz="18" w:space="0" w:color="auto"/>
              <w:left w:val="nil"/>
              <w:bottom w:val="nil"/>
              <w:right w:val="nil"/>
            </w:tcBorders>
          </w:tcPr>
          <w:p w14:paraId="66B8FE83" w14:textId="33664BC0"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7650</w:t>
            </w:r>
          </w:p>
        </w:tc>
        <w:tc>
          <w:tcPr>
            <w:tcW w:w="1656" w:type="dxa"/>
            <w:tcBorders>
              <w:top w:val="single" w:sz="18" w:space="0" w:color="auto"/>
              <w:left w:val="nil"/>
              <w:bottom w:val="nil"/>
              <w:right w:val="nil"/>
            </w:tcBorders>
          </w:tcPr>
          <w:p w14:paraId="6208CE51" w14:textId="08A78EF1"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7650</w:t>
            </w:r>
          </w:p>
        </w:tc>
      </w:tr>
      <w:tr w:rsidR="00F37DD0" w14:paraId="7C5CB4D1" w14:textId="77777777" w:rsidTr="00395FD6">
        <w:tc>
          <w:tcPr>
            <w:tcW w:w="2136" w:type="dxa"/>
            <w:tcBorders>
              <w:top w:val="nil"/>
              <w:left w:val="nil"/>
              <w:bottom w:val="nil"/>
              <w:right w:val="single" w:sz="18" w:space="0" w:color="auto"/>
            </w:tcBorders>
          </w:tcPr>
          <w:p w14:paraId="581E2EF8" w14:textId="77777777" w:rsidR="00F37DD0" w:rsidRDefault="00F37DD0" w:rsidP="00395FD6">
            <w:pPr>
              <w:widowControl w:val="0"/>
              <w:autoSpaceDE w:val="0"/>
              <w:autoSpaceDN w:val="0"/>
              <w:adjustRightInd w:val="0"/>
              <w:spacing w:line="240" w:lineRule="auto"/>
              <w:ind w:firstLine="0"/>
              <w:rPr>
                <w:rFonts w:ascii="Times New Roman" w:hAnsi="Times New Roman"/>
              </w:rPr>
            </w:pPr>
            <w:r>
              <w:rPr>
                <w:rFonts w:ascii="Times New Roman" w:hAnsi="Times New Roman"/>
              </w:rPr>
              <w:t xml:space="preserve">   R squared </w:t>
            </w:r>
          </w:p>
        </w:tc>
        <w:tc>
          <w:tcPr>
            <w:tcW w:w="1656" w:type="dxa"/>
            <w:tcBorders>
              <w:top w:val="nil"/>
              <w:left w:val="single" w:sz="18" w:space="0" w:color="auto"/>
              <w:bottom w:val="nil"/>
              <w:right w:val="nil"/>
            </w:tcBorders>
          </w:tcPr>
          <w:p w14:paraId="18FCC3C0" w14:textId="719299E3"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0.0</w:t>
            </w:r>
            <w:r w:rsidR="000E6BB4">
              <w:rPr>
                <w:rFonts w:ascii="Times New Roman" w:hAnsi="Times New Roman"/>
              </w:rPr>
              <w:t>32</w:t>
            </w:r>
          </w:p>
        </w:tc>
        <w:tc>
          <w:tcPr>
            <w:tcW w:w="1656" w:type="dxa"/>
            <w:tcBorders>
              <w:top w:val="nil"/>
              <w:left w:val="nil"/>
              <w:bottom w:val="nil"/>
              <w:right w:val="nil"/>
            </w:tcBorders>
          </w:tcPr>
          <w:p w14:paraId="33EE668E" w14:textId="7A25A5B9"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0.</w:t>
            </w:r>
            <w:r w:rsidR="000E6BB4">
              <w:rPr>
                <w:rFonts w:ascii="Times New Roman" w:hAnsi="Times New Roman"/>
              </w:rPr>
              <w:t>031</w:t>
            </w:r>
          </w:p>
        </w:tc>
        <w:tc>
          <w:tcPr>
            <w:tcW w:w="1656" w:type="dxa"/>
            <w:tcBorders>
              <w:top w:val="nil"/>
              <w:left w:val="nil"/>
              <w:bottom w:val="nil"/>
              <w:right w:val="nil"/>
            </w:tcBorders>
          </w:tcPr>
          <w:p w14:paraId="5BE12C34" w14:textId="72FAAD35"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0.</w:t>
            </w:r>
            <w:r w:rsidR="000E6BB4">
              <w:rPr>
                <w:rFonts w:ascii="Times New Roman" w:hAnsi="Times New Roman"/>
              </w:rPr>
              <w:t>032</w:t>
            </w:r>
          </w:p>
        </w:tc>
        <w:tc>
          <w:tcPr>
            <w:tcW w:w="1656" w:type="dxa"/>
            <w:tcBorders>
              <w:top w:val="nil"/>
              <w:left w:val="nil"/>
              <w:bottom w:val="nil"/>
              <w:right w:val="nil"/>
            </w:tcBorders>
          </w:tcPr>
          <w:p w14:paraId="68699FD4" w14:textId="6830CD64"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0.0</w:t>
            </w:r>
            <w:r w:rsidR="000E6BB4">
              <w:rPr>
                <w:rFonts w:ascii="Times New Roman" w:hAnsi="Times New Roman"/>
              </w:rPr>
              <w:t>32</w:t>
            </w:r>
          </w:p>
        </w:tc>
      </w:tr>
      <w:tr w:rsidR="00F37DD0" w14:paraId="48E72EAA" w14:textId="77777777" w:rsidTr="00395FD6">
        <w:tc>
          <w:tcPr>
            <w:tcW w:w="2136" w:type="dxa"/>
            <w:tcBorders>
              <w:top w:val="nil"/>
              <w:left w:val="nil"/>
              <w:right w:val="single" w:sz="18" w:space="0" w:color="auto"/>
            </w:tcBorders>
          </w:tcPr>
          <w:p w14:paraId="0B91ABF1" w14:textId="77777777" w:rsidR="00F37DD0" w:rsidRDefault="00F37DD0" w:rsidP="00395FD6">
            <w:pPr>
              <w:widowControl w:val="0"/>
              <w:autoSpaceDE w:val="0"/>
              <w:autoSpaceDN w:val="0"/>
              <w:adjustRightInd w:val="0"/>
              <w:spacing w:line="240" w:lineRule="auto"/>
              <w:rPr>
                <w:rFonts w:ascii="Times New Roman" w:hAnsi="Times New Roman"/>
              </w:rPr>
            </w:pPr>
            <w:r>
              <w:rPr>
                <w:rFonts w:ascii="Times New Roman" w:hAnsi="Times New Roman"/>
              </w:rPr>
              <w:t>Root MSE</w:t>
            </w:r>
          </w:p>
        </w:tc>
        <w:tc>
          <w:tcPr>
            <w:tcW w:w="1656" w:type="dxa"/>
            <w:tcBorders>
              <w:top w:val="nil"/>
              <w:left w:val="single" w:sz="18" w:space="0" w:color="auto"/>
              <w:right w:val="nil"/>
            </w:tcBorders>
          </w:tcPr>
          <w:p w14:paraId="6E7DF352" w14:textId="233C4FDD"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30.888</w:t>
            </w:r>
          </w:p>
        </w:tc>
        <w:tc>
          <w:tcPr>
            <w:tcW w:w="1656" w:type="dxa"/>
            <w:tcBorders>
              <w:top w:val="nil"/>
              <w:left w:val="nil"/>
              <w:right w:val="nil"/>
            </w:tcBorders>
          </w:tcPr>
          <w:p w14:paraId="70EC8886" w14:textId="65A50EF9"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30.895</w:t>
            </w:r>
          </w:p>
        </w:tc>
        <w:tc>
          <w:tcPr>
            <w:tcW w:w="1656" w:type="dxa"/>
            <w:tcBorders>
              <w:top w:val="nil"/>
              <w:left w:val="nil"/>
              <w:right w:val="nil"/>
            </w:tcBorders>
          </w:tcPr>
          <w:p w14:paraId="3D3E60B6" w14:textId="3947EC88"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30.883</w:t>
            </w:r>
          </w:p>
        </w:tc>
        <w:tc>
          <w:tcPr>
            <w:tcW w:w="1656" w:type="dxa"/>
            <w:tcBorders>
              <w:top w:val="nil"/>
              <w:left w:val="nil"/>
              <w:right w:val="nil"/>
            </w:tcBorders>
          </w:tcPr>
          <w:p w14:paraId="1D10EC7A" w14:textId="6463A4F3"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30.89</w:t>
            </w:r>
          </w:p>
        </w:tc>
      </w:tr>
      <w:tr w:rsidR="00F37DD0" w14:paraId="198B6409" w14:textId="77777777" w:rsidTr="00395FD6">
        <w:tc>
          <w:tcPr>
            <w:tcW w:w="2136" w:type="dxa"/>
            <w:tcBorders>
              <w:top w:val="nil"/>
              <w:left w:val="nil"/>
              <w:bottom w:val="single" w:sz="18" w:space="0" w:color="auto"/>
              <w:right w:val="single" w:sz="18" w:space="0" w:color="auto"/>
            </w:tcBorders>
          </w:tcPr>
          <w:p w14:paraId="67F61CC7" w14:textId="77777777" w:rsidR="00F37DD0" w:rsidRDefault="00F37DD0" w:rsidP="00395FD6">
            <w:pPr>
              <w:widowControl w:val="0"/>
              <w:autoSpaceDE w:val="0"/>
              <w:autoSpaceDN w:val="0"/>
              <w:adjustRightInd w:val="0"/>
              <w:spacing w:line="240" w:lineRule="auto"/>
              <w:rPr>
                <w:rFonts w:ascii="Times New Roman" w:hAnsi="Times New Roman"/>
              </w:rPr>
            </w:pPr>
            <w:r>
              <w:rPr>
                <w:rFonts w:ascii="Times New Roman" w:hAnsi="Times New Roman"/>
              </w:rPr>
              <w:t>df</w:t>
            </w:r>
          </w:p>
        </w:tc>
        <w:tc>
          <w:tcPr>
            <w:tcW w:w="1656" w:type="dxa"/>
            <w:tcBorders>
              <w:top w:val="nil"/>
              <w:left w:val="single" w:sz="18" w:space="0" w:color="auto"/>
              <w:bottom w:val="single" w:sz="18" w:space="0" w:color="auto"/>
              <w:right w:val="nil"/>
            </w:tcBorders>
          </w:tcPr>
          <w:p w14:paraId="67BAE325" w14:textId="666993F2"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1172</w:t>
            </w:r>
          </w:p>
        </w:tc>
        <w:tc>
          <w:tcPr>
            <w:tcW w:w="1656" w:type="dxa"/>
            <w:tcBorders>
              <w:top w:val="nil"/>
              <w:left w:val="nil"/>
              <w:bottom w:val="single" w:sz="18" w:space="0" w:color="auto"/>
              <w:right w:val="nil"/>
            </w:tcBorders>
          </w:tcPr>
          <w:p w14:paraId="07A8EF04" w14:textId="27FCC775"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1172</w:t>
            </w:r>
          </w:p>
        </w:tc>
        <w:tc>
          <w:tcPr>
            <w:tcW w:w="1656" w:type="dxa"/>
            <w:tcBorders>
              <w:top w:val="nil"/>
              <w:left w:val="nil"/>
              <w:bottom w:val="single" w:sz="18" w:space="0" w:color="auto"/>
              <w:right w:val="nil"/>
            </w:tcBorders>
          </w:tcPr>
          <w:p w14:paraId="76E6277E" w14:textId="43380918" w:rsidR="00F37DD0" w:rsidRDefault="000E6BB4"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1172</w:t>
            </w:r>
          </w:p>
        </w:tc>
        <w:tc>
          <w:tcPr>
            <w:tcW w:w="1656" w:type="dxa"/>
            <w:tcBorders>
              <w:top w:val="nil"/>
              <w:left w:val="nil"/>
              <w:bottom w:val="single" w:sz="18" w:space="0" w:color="auto"/>
              <w:right w:val="nil"/>
            </w:tcBorders>
          </w:tcPr>
          <w:p w14:paraId="76861211" w14:textId="544E01E2" w:rsidR="00F37DD0" w:rsidRDefault="00F37DD0" w:rsidP="00395FD6">
            <w:pPr>
              <w:widowControl w:val="0"/>
              <w:autoSpaceDE w:val="0"/>
              <w:autoSpaceDN w:val="0"/>
              <w:adjustRightInd w:val="0"/>
              <w:spacing w:line="240" w:lineRule="auto"/>
              <w:jc w:val="center"/>
              <w:rPr>
                <w:rFonts w:ascii="Times New Roman" w:hAnsi="Times New Roman"/>
              </w:rPr>
            </w:pPr>
            <w:r>
              <w:rPr>
                <w:rFonts w:ascii="Times New Roman" w:hAnsi="Times New Roman"/>
              </w:rPr>
              <w:t>1</w:t>
            </w:r>
            <w:r w:rsidR="000E6BB4">
              <w:rPr>
                <w:rFonts w:ascii="Times New Roman" w:hAnsi="Times New Roman"/>
              </w:rPr>
              <w:t>172</w:t>
            </w:r>
          </w:p>
        </w:tc>
      </w:tr>
    </w:tbl>
    <w:p w14:paraId="2EA87E57" w14:textId="7BBD5B6E" w:rsidR="00FE71D2" w:rsidRDefault="007E21A5" w:rsidP="007E21A5">
      <w:pPr>
        <w:pStyle w:val="TableFootnote"/>
      </w:pPr>
      <w:r w:rsidRPr="007E21A5">
        <w:t>Robust standard errors in parentheses. *** p &lt; 0.01, ** p &lt; 0.05, * p &lt; 0.10.</w:t>
      </w:r>
      <w:r w:rsidRPr="007E21A5">
        <w:br/>
      </w:r>
    </w:p>
    <w:p w14:paraId="5AA6BA96" w14:textId="77777777" w:rsidR="00E41D2B" w:rsidRPr="00E41D2B" w:rsidRDefault="00E41D2B" w:rsidP="00E41D2B">
      <w:pPr>
        <w:rPr>
          <w:rFonts w:ascii="Times New Roman" w:hAnsi="Times New Roman"/>
          <w:lang w:eastAsia="nl-NL"/>
        </w:rPr>
      </w:pPr>
      <w:r w:rsidRPr="00E41D2B">
        <w:t>In Model 1, the basic DiD specification is estimated using the full sample and focuses on whether firms that engage in acquisitions, regardless of the target's ESG profile, experience changes in their own ESG performance. The coefficient for the interaction term Treatment × Post is positive and statistically significant at the 10% level (</w:t>
      </w:r>
      <w:r>
        <w:t>β</w:t>
      </w:r>
      <w:r w:rsidRPr="00E41D2B">
        <w:t xml:space="preserve"> = 2.150, p = 0.053), suggesting that, on average, firms completing an acquisition exhibit an increase of 2.15 points in ESG performance following the transaction compared to non-acquirers. This indicates that M&amp;A activity, in general, is associated with subsequent improvements in ESG ratings, potentially reflecting either strategic sustainability efforts or greenwashing behavior.</w:t>
      </w:r>
    </w:p>
    <w:p w14:paraId="4950E8F4" w14:textId="77777777" w:rsidR="00E41D2B" w:rsidRPr="00E41D2B" w:rsidRDefault="00E41D2B" w:rsidP="00E41D2B">
      <w:r w:rsidRPr="00E41D2B">
        <w:t>The High ESG Target variable in Model 1 captures whether acquiring a high-ESG target specifically contributes to ESG improvements. The negative but statistically insignificant coefficient (</w:t>
      </w:r>
      <w:r>
        <w:t>β</w:t>
      </w:r>
      <w:r w:rsidRPr="00E41D2B">
        <w:t xml:space="preserve"> = -0.617, p = 0.812) indicates no meaningful difference in ESG change between firms acquiring high versus low ESG targets prior to the acquisition.</w:t>
      </w:r>
    </w:p>
    <w:p w14:paraId="4005B806" w14:textId="77777777" w:rsidR="00E41D2B" w:rsidRPr="00E41D2B" w:rsidRDefault="00E41D2B" w:rsidP="00E41D2B">
      <w:r w:rsidRPr="00E41D2B">
        <w:t>Model 2 restricts the sample to treated firms only to explore within-group heterogeneity based on the ESG characteristics of the target. Again, the coefficient for High ESG Target is negative and statistically insignificant (</w:t>
      </w:r>
      <w:r>
        <w:t>β</w:t>
      </w:r>
      <w:r w:rsidRPr="00E41D2B">
        <w:t xml:space="preserve"> = -1.471, p = 0.564), providing no evidence that acquiring a high-ESG target leads to significantly different ESG outcomes among acquirers.</w:t>
      </w:r>
    </w:p>
    <w:p w14:paraId="3671A0C9" w14:textId="77777777" w:rsidR="00E41D2B" w:rsidRPr="00E41D2B" w:rsidRDefault="00E41D2B" w:rsidP="00E41D2B">
      <w:r w:rsidRPr="00E41D2B">
        <w:t>Models 3 and 4 replace the binary High ESG Target variable with a continuous measure of ESG advantage, capturing the difference in ESG scores between target and acquirer prior to the acquisition. Model 3, based on the full sample, shows a small and statistically insignificant effect of ESG advantage on ESG change, while the interaction term Treatment × Post remains positive and statistically significant at the 10% level (</w:t>
      </w:r>
      <w:r>
        <w:t>β</w:t>
      </w:r>
      <w:r w:rsidRPr="00E41D2B">
        <w:t xml:space="preserve"> = 1.952, p = 0.082). Model 4, restricted to treated firms, similarly shows no significant relationship between ESG advantage and ESG change.</w:t>
      </w:r>
    </w:p>
    <w:p w14:paraId="40321A5C" w14:textId="77777777" w:rsidR="00E41D2B" w:rsidRPr="00E41D2B" w:rsidRDefault="00E41D2B" w:rsidP="00E41D2B">
      <w:r w:rsidRPr="00E41D2B">
        <w:t>Overall, the DiD results provide modest evidence that completing an acquisition, regardless of target characteristics, is associated with improved ESG performance for the acquirer. However, the absence of significant effects for High ESG Target, ESG advantage, and within-group heterogeneity indicates that these ESG improvements are not systematically driven by the ESG characteristics of the target firm. These findings suggest that while M&amp;A activity may be linked to ESG performance changes, the underlying mechanisms require further investigation.</w:t>
      </w:r>
    </w:p>
    <w:p w14:paraId="5F442AE8" w14:textId="4838CDE3" w:rsidR="005F3112" w:rsidRPr="005F3112" w:rsidRDefault="005F3112" w:rsidP="005F3112">
      <w:pPr>
        <w:pStyle w:val="Kop2"/>
        <w:rPr>
          <w:szCs w:val="24"/>
        </w:rPr>
      </w:pPr>
      <w:bookmarkStart w:id="20" w:name="_Toc202218711"/>
      <w:r>
        <w:t>Hypotheses evaluation</w:t>
      </w:r>
      <w:bookmarkEnd w:id="20"/>
    </w:p>
    <w:p w14:paraId="6D247F0F" w14:textId="77777777" w:rsidR="005F3112" w:rsidRDefault="005F3112" w:rsidP="005F3112">
      <w:r>
        <w:t>This section evaluates the two hypotheses in light of the results presented in Chapter 4. The aim is to provide a concise and evidence-based summary of whether each hypothesis is supported by the data and to establish a clear foundation for the theoretical discussion in Chapter 5.</w:t>
      </w:r>
    </w:p>
    <w:p w14:paraId="0C3DF39B" w14:textId="77777777" w:rsidR="00526125" w:rsidRDefault="005F3112" w:rsidP="00526125">
      <w:pPr>
        <w:rPr>
          <w:lang w:val="en-GB"/>
        </w:rPr>
      </w:pPr>
      <w:r>
        <w:t xml:space="preserve"> </w:t>
      </w:r>
      <w:r>
        <w:rPr>
          <w:i/>
          <w:iCs/>
        </w:rPr>
        <w:t xml:space="preserve">H1: </w:t>
      </w:r>
      <w:r w:rsidRPr="005F3112">
        <w:rPr>
          <w:i/>
          <w:iCs/>
          <w:lang w:val="en-GB"/>
        </w:rPr>
        <w:t>Firms that engage in acquisitions of high-ESG targets experience an increase in their overall ESG ratings after the acquisition.</w:t>
      </w:r>
    </w:p>
    <w:p w14:paraId="4E94BD3A" w14:textId="77777777" w:rsidR="00E41D2B" w:rsidRPr="00E41D2B" w:rsidRDefault="00E41D2B" w:rsidP="00E41D2B">
      <w:r w:rsidRPr="00E41D2B">
        <w:t>The difference-in-differences analysis in Section 4.4 provides only limited support for Hypothesis 1. While the interaction term Treatment × Post is positive and statistically significant at the 10% level in both the full-sample models (Models 1 and 3), it is important to emphasize that these models consider all acquisitions, regardless of the ESG characteristics of the target. Thus, the results suggest that completing an acquisition in general is associated with an increase in the acquirer’s ESG performance relative to non-acquirers.</w:t>
      </w:r>
    </w:p>
    <w:p w14:paraId="3B2C2958" w14:textId="77777777" w:rsidR="00E41D2B" w:rsidRPr="00E41D2B" w:rsidRDefault="00E41D2B" w:rsidP="00E41D2B">
      <w:r w:rsidRPr="00E41D2B">
        <w:t>However, when the ESG characteristics of the target are explicitly considered through the High ESG Target indicator (Model 1) or the ESG advantage measure (Model 3), no statistically significant relationship is observed. This implies that the observed ESG improvements following acquisitions are not systematically explained by acquiring high-ESG targets.</w:t>
      </w:r>
    </w:p>
    <w:p w14:paraId="283AF58E" w14:textId="77777777" w:rsidR="00E41D2B" w:rsidRPr="00E41D2B" w:rsidRDefault="00E41D2B" w:rsidP="00E41D2B">
      <w:r w:rsidRPr="00E41D2B">
        <w:t>Moreover, the analysis restricted to treated firms (Models 2 and 4) similarly finds no significant within-group heterogeneity based on target ESG characteristics. These results, together with the formal pre-trend tests, which showed no strong pre-treatment divergence between treated and control firms, provide only partial support for Hypothesis 1. While acquisitions appear to be associated with improved ESG ratings, there is no evidence that this effect is specific to high-ESG target acquisitions.</w:t>
      </w:r>
    </w:p>
    <w:p w14:paraId="78EB013B" w14:textId="77777777" w:rsidR="00E41D2B" w:rsidRPr="00E41D2B" w:rsidRDefault="00E41D2B" w:rsidP="00E41D2B">
      <w:r w:rsidRPr="00E41D2B">
        <w:t>In conclusion, the results indicate that firms engaging in acquisitions may experience an improvement in ESG performance post-transaction. However, this improvement cannot be directly attributed to the ESG profile of the target, suggesting that alternative mechanisms, such as signaling effects or internal post-merger initiatives, may be driving the observed changes.</w:t>
      </w:r>
    </w:p>
    <w:p w14:paraId="2B863428" w14:textId="6FC15DC7" w:rsidR="005F3112" w:rsidRDefault="005F3112" w:rsidP="005F3112">
      <w:pPr>
        <w:rPr>
          <w:i/>
          <w:iCs/>
          <w:lang w:val="en-GB"/>
        </w:rPr>
      </w:pPr>
      <w:r>
        <w:rPr>
          <w:i/>
          <w:iCs/>
        </w:rPr>
        <w:t xml:space="preserve">H2: </w:t>
      </w:r>
      <w:r w:rsidRPr="005F3112">
        <w:rPr>
          <w:i/>
          <w:iCs/>
          <w:lang w:val="en-GB"/>
        </w:rPr>
        <w:t>The acquirer’s post-merger ESG improvement is primarily driven by the acquired company’s pre-existing ESG performance.</w:t>
      </w:r>
    </w:p>
    <w:p w14:paraId="2DBAC1D5" w14:textId="77777777" w:rsidR="00E41D2B" w:rsidRPr="00E41D2B" w:rsidRDefault="00E41D2B" w:rsidP="00E41D2B">
      <w:r w:rsidRPr="00E41D2B">
        <w:t>The empirical evidence provides no support for Hypothesis 2. Across all models, neither the binary High ESG Target variable nor the continuous ESG advantage measure shows a statistically significant relationship with post-acquisition ESG changes. This holds both for the full sample and when focusing exclusively on treated firms.</w:t>
      </w:r>
    </w:p>
    <w:p w14:paraId="70AAE630" w14:textId="77777777" w:rsidR="00E41D2B" w:rsidRPr="00E41D2B" w:rsidRDefault="00E41D2B" w:rsidP="00E41D2B">
      <w:r w:rsidRPr="00E41D2B">
        <w:t>These findings suggest that the ESG characteristics of the target company do not systematically explain variations in ESG performance following an acquisition. Consequently, the observed ESG improvements are unlikely to be a direct result of inheriting the superior ESG performance of the target.</w:t>
      </w:r>
    </w:p>
    <w:p w14:paraId="674DC02A" w14:textId="31F26096" w:rsidR="00E41D2B" w:rsidRPr="00E41D2B" w:rsidRDefault="00E41D2B" w:rsidP="00E41D2B">
      <w:r w:rsidRPr="00E41D2B">
        <w:t>Overall, Hypothesis 2 is not supported by the data, implying that other factors</w:t>
      </w:r>
      <w:r>
        <w:t xml:space="preserve">, </w:t>
      </w:r>
      <w:r w:rsidRPr="00E41D2B">
        <w:t>such as managerial signaling, stakeholder expectations, or integration practices</w:t>
      </w:r>
      <w:r>
        <w:t xml:space="preserve">, </w:t>
      </w:r>
      <w:r w:rsidRPr="00E41D2B">
        <w:t>may play a more important role in shaping post-acquisition ESG outcomes.</w:t>
      </w:r>
    </w:p>
    <w:p w14:paraId="69330A07" w14:textId="77777777" w:rsidR="00526125" w:rsidRDefault="00526125" w:rsidP="005F3112">
      <w:pPr>
        <w:rPr>
          <w:i/>
          <w:iCs/>
        </w:rPr>
      </w:pPr>
    </w:p>
    <w:p w14:paraId="577F6A66" w14:textId="3A70293E" w:rsidR="00B30AB4" w:rsidRPr="005F3112" w:rsidRDefault="00B30AB4" w:rsidP="00E41D2B">
      <w:pPr>
        <w:ind w:firstLine="0"/>
      </w:pPr>
    </w:p>
    <w:p w14:paraId="1D8DA0E6" w14:textId="77777777" w:rsidR="0052186F" w:rsidRDefault="00B30AB4" w:rsidP="00B30AB4">
      <w:pPr>
        <w:pStyle w:val="Kop1"/>
      </w:pPr>
      <w:bookmarkStart w:id="21" w:name="_Toc202218712"/>
      <w:r>
        <w:t>Discussion</w:t>
      </w:r>
      <w:bookmarkEnd w:id="21"/>
    </w:p>
    <w:p w14:paraId="2E1991FD" w14:textId="77777777" w:rsidR="00E41D2B" w:rsidRDefault="00E41D2B" w:rsidP="00E41D2B">
      <w:pPr>
        <w:pStyle w:val="Kop2"/>
      </w:pPr>
      <w:bookmarkStart w:id="22" w:name="_Toc202218713"/>
      <w:r>
        <w:t>Interpretation of findings and theoretical implications</w:t>
      </w:r>
      <w:bookmarkEnd w:id="22"/>
    </w:p>
    <w:p w14:paraId="26025999" w14:textId="77777777" w:rsidR="00E41D2B" w:rsidRPr="00E41D2B" w:rsidRDefault="00E41D2B" w:rsidP="00E41D2B">
      <w:pPr>
        <w:rPr>
          <w:rFonts w:ascii="Times New Roman" w:hAnsi="Times New Roman"/>
          <w:lang w:eastAsia="nl-NL"/>
        </w:rPr>
      </w:pPr>
      <w:r w:rsidRPr="00E41D2B">
        <w:t>This study set out to examine whether mergers and acquisitions (M&amp;A) serve as a mechanism for improving corporate ESG (Environmental, Social, and Governance) performance, and to what extent such improvements are linked to the ESG characteristics of the target firm. Building on prior research regarding corporate greenwashing, strategic signaling, and ESG performance dynamics in M&amp;A (e.g., Lyon &amp; Montgomery, 2015; Ioannou &amp; Serafeim, 2015), the empirical analysis offers important insights into the relationship between M&amp;A activity and ESG outcomes.</w:t>
      </w:r>
    </w:p>
    <w:p w14:paraId="43340F62" w14:textId="77777777" w:rsidR="00E41D2B" w:rsidRPr="00E41D2B" w:rsidRDefault="00E41D2B" w:rsidP="00E41D2B">
      <w:r w:rsidRPr="00E41D2B">
        <w:t>The results provide modest evidence that firms engaging in acquisitions experience an increase in their ESG performance relative to non-acquiring firms. In both full-sample models, the interaction term capturing the post-acquisition period for treated firms is positive and statistically significant at the 10% level. This suggests that M&amp;A activity may be associated with improved ESG performance, supporting theoretical arguments that acquisitions can be used strategically to enhance sustainability profiles, either through genuine integration of ESG practices or through reputational signaling (Lyon &amp; Montgomery, 2015).</w:t>
      </w:r>
    </w:p>
    <w:p w14:paraId="3F3F0369" w14:textId="77777777" w:rsidR="00E41D2B" w:rsidRDefault="00E41D2B" w:rsidP="00E41D2B">
      <w:r>
        <w:t>However, a more nuanced interpretation reveals important limitations to this finding. First, the effect is statistically weak, significant only at the 10% level, and absent in the treated-firm subsample. Second, and more importantly, no statistically significant relationship is observed between ESG performance improvements and the ESG characteristics of the target firm. Both the binary High-ESG Target variable and the continuous ESG advantage measure fail to show a meaningful effect, indicating that ESG improvements post-acquisition are not systematically explained by acquiring targets with superior ESG profiles.</w:t>
      </w:r>
    </w:p>
    <w:p w14:paraId="6F72A0B1" w14:textId="77777777" w:rsidR="00E41D2B" w:rsidRDefault="00E41D2B" w:rsidP="00E41D2B">
      <w:r>
        <w:t>These findings challenge the notion that ESG-related M&amp;A activity functions primarily as a mechanism for transferring superior ESG capabilities or practices from the target to the acquirer. Instead, they align more closely with theories of post-acquisition strategic signaling and greenwashing concerns (Marquis &amp; Toffel, 2016; Lyon &amp; Montgomery, 2015). It is plausible that firms undertake acquisitions, or publicly emphasize them, as a means of improving their perceived ESG performance—regardless of the actual ESG characteristics of the target.</w:t>
      </w:r>
    </w:p>
    <w:p w14:paraId="1B8BA66E" w14:textId="77777777" w:rsidR="00E41D2B" w:rsidRDefault="00E41D2B" w:rsidP="00E41D2B">
      <w:r>
        <w:t>Furthermore, the absence of significant within-group heterogeneity among treated firms suggests that other factors beyond target ESG profile—such as post-merger integration processes, managerial commitment to sustainability, or external stakeholder pressure—may be more influential in determining ESG outcomes following acquisitions.</w:t>
      </w:r>
    </w:p>
    <w:p w14:paraId="577C94D0" w14:textId="77777777" w:rsidR="00E41D2B" w:rsidRDefault="00E41D2B" w:rsidP="00E41D2B">
      <w:r>
        <w:t>From a theoretical perspective, these results contribute to the growing literature at the intersection of M&amp;A and ESG by providing empirical evidence that improvements in ESG performance post-acquisition cannot be solely attributed to the target's ESG characteristics. This highlights the importance of considering alternative explanations, including managerial signaling motives, integration challenges, and stakeholder expectations, when evaluating ESG outcomes in the context of M&amp;A.</w:t>
      </w:r>
    </w:p>
    <w:p w14:paraId="6165DB02" w14:textId="77777777" w:rsidR="00E41D2B" w:rsidRPr="00EA11DA" w:rsidRDefault="00E41D2B" w:rsidP="00E41D2B">
      <w:r>
        <w:t>Finally, the results underscore the need for caution when interpreting post-acquisition ESG improvements. While such improvements may appear consistent with strategic sustainability integration, they may also reflect more superficial, symbolic actions designed to enhance firms' reputational capital without substantial operational change—consistent with prior concerns about corporate greenwashing (Lyon &amp; Montgomery, 2015; Marquis &amp; Toffel, 2016).</w:t>
      </w:r>
    </w:p>
    <w:p w14:paraId="1B8FC7B3" w14:textId="77777777" w:rsidR="00E41D2B" w:rsidRDefault="00E41D2B" w:rsidP="00E41D2B">
      <w:pPr>
        <w:pStyle w:val="Kop2"/>
      </w:pPr>
      <w:bookmarkStart w:id="23" w:name="_Toc202218714"/>
      <w:r>
        <w:t>Practical and managerial implications</w:t>
      </w:r>
      <w:bookmarkEnd w:id="23"/>
    </w:p>
    <w:p w14:paraId="75ECEE0C" w14:textId="77777777" w:rsidR="00E41D2B" w:rsidRPr="00E41D2B" w:rsidRDefault="00E41D2B" w:rsidP="00E41D2B">
      <w:pPr>
        <w:rPr>
          <w:rFonts w:ascii="Times New Roman" w:hAnsi="Times New Roman"/>
          <w:lang w:eastAsia="nl-NL"/>
        </w:rPr>
      </w:pPr>
      <w:r w:rsidRPr="00E41D2B">
        <w:t>The findings of this study carry several relevant implications for both corporate decision-makers and stakeholders concerned with the ESG performance of acquiring firms.</w:t>
      </w:r>
    </w:p>
    <w:p w14:paraId="1D754244" w14:textId="77777777" w:rsidR="00E41D2B" w:rsidRPr="00E41D2B" w:rsidRDefault="00E41D2B" w:rsidP="00E41D2B">
      <w:r w:rsidRPr="00E41D2B">
        <w:t>First, the results suggest that engaging in M&amp;A activity is associated with a modest increase in the acquirer's ESG performance relative to non-acquirers. While this effect is statistically weak and should be interpreted cautiously, it highlights the potential for M&amp;A transactions to serve as a tool for enhancing a firm’s sustainability profile. Managers seeking to improve their company’s ESG ratings may view acquisitions as part of a broader sustainability strategy, whether through the integration of ESG-oriented practices, signaling of ESG commitment, or meeting stakeholder expectations.</w:t>
      </w:r>
    </w:p>
    <w:p w14:paraId="367BE094" w14:textId="77777777" w:rsidR="00E41D2B" w:rsidRDefault="00E41D2B" w:rsidP="00E41D2B">
      <w:r w:rsidRPr="00E41D2B">
        <w:t xml:space="preserve">However, the absence of a statistically significant relationship between ESG performance improvements and the ESG characteristics of the target firm warrants careful reflection. </w:t>
      </w:r>
      <w:r>
        <w:t>Acquiring a high-ESG target does not, in itself, guarantee improvements in the acquirer's ESG performance. This finding implies that merely selecting targets with strong ESG credentials is insufficient if post-merger integration, governance alignment, and genuine ESG commitment are lacking. Therefore, for M&amp;A to yield meaningful ESG benefits, managers must go beyond target selection and ensure that ESG priorities are effectively embedded into post-acquisition processes and organizational culture.</w:t>
      </w:r>
    </w:p>
    <w:p w14:paraId="4963583E" w14:textId="77777777" w:rsidR="00E41D2B" w:rsidRDefault="00E41D2B" w:rsidP="00E41D2B">
      <w:r>
        <w:t>Furthermore, the results raise concerns for investors, regulators, and other stakeholders about the potential for symbolic ESG signaling or greenwashing behavior following M&amp;A transactions. The observed ESG improvements among acquirers, irrespective of target ESG characteristics, suggest that some of these changes may reflect superficial reporting or reputational management rather than substantive sustainability improvements. This underscores the need for stakeholders to critically assess post-acquisition ESG developments, looking beyond headline figures to evaluate whether improvements are underpinned by real changes in operations, governance, and corporate values.</w:t>
      </w:r>
    </w:p>
    <w:p w14:paraId="033D317F" w14:textId="77777777" w:rsidR="00E41D2B" w:rsidRDefault="00E41D2B" w:rsidP="00E41D2B">
      <w:r>
        <w:t>For policymakers and ESG rating agencies, these findings point to the importance of refining ESG assessment methodologies to distinguish between genuine, operational improvements and potential symbolic ESG enhancements associated with corporate events such as M&amp;A. Enhanced transparency requirements, independent verification of ESG claims, and closer monitoring of post-acquisition ESG trajectories could help reduce the risk of greenwashing and promote more meaningful ESG progress within the corporate sector.</w:t>
      </w:r>
    </w:p>
    <w:p w14:paraId="5DA088FC" w14:textId="77777777" w:rsidR="00E41D2B" w:rsidRDefault="00E41D2B" w:rsidP="00E41D2B">
      <w:r>
        <w:t>Finally, for acquiring firms with strategic ESG ambitions, this study highlights the importance of viewing M&amp;A not as a shortcut to enhanced ESG performance, but as one component of a broader, integrated sustainability strategy. Acquisitions can contribute to ESG progress, but only when coupled with deliberate efforts to integrate sustainability into organizational practices, align with stakeholder expectations, and ensure that ESG improvements are both substantive and credible.</w:t>
      </w:r>
    </w:p>
    <w:p w14:paraId="276C2821" w14:textId="77777777" w:rsidR="00EA11DA" w:rsidRPr="00EA11DA" w:rsidRDefault="00EA11DA" w:rsidP="00EA11DA"/>
    <w:p w14:paraId="138589BE" w14:textId="77777777" w:rsidR="0052186F" w:rsidRDefault="0052186F" w:rsidP="0052186F">
      <w:pPr>
        <w:pStyle w:val="Kop2"/>
      </w:pPr>
      <w:bookmarkStart w:id="24" w:name="_Toc202218715"/>
      <w:r>
        <w:t>Limitations and directions for future research</w:t>
      </w:r>
      <w:bookmarkEnd w:id="24"/>
    </w:p>
    <w:p w14:paraId="1057FE25" w14:textId="77777777" w:rsidR="006941FA" w:rsidRPr="006941FA" w:rsidRDefault="006941FA" w:rsidP="006941FA">
      <w:pPr>
        <w:rPr>
          <w:rFonts w:ascii="Times New Roman" w:hAnsi="Times New Roman"/>
          <w:lang w:eastAsia="nl-NL"/>
        </w:rPr>
      </w:pPr>
      <w:r w:rsidRPr="006941FA">
        <w:t>While this study provides novel insights into the role of mergers and acquisitions (M&amp;A) as a potential mechanism for firms to improve their ESG profile, several limitations should be acknowledged.</w:t>
      </w:r>
    </w:p>
    <w:p w14:paraId="1ABD80CC" w14:textId="72B785CA" w:rsidR="006941FA" w:rsidRPr="006941FA" w:rsidRDefault="006941FA" w:rsidP="006941FA">
      <w:r w:rsidRPr="006941FA">
        <w:t>First, although the difference-in-differences (DiD) approach employed in this study is designed to address endogeneity and isolate the effect of high-ESG acquisitions, the possibility of</w:t>
      </w:r>
      <w:r>
        <w:t xml:space="preserve"> reverse causality </w:t>
      </w:r>
      <w:r w:rsidRPr="006941FA">
        <w:t>cannot be entirely ruled out. It is conceivable that firms already on a positive ESG trajectory may be both more likely to pursue high-ESG targets and to experience continued ESG improvements post-acquisition, irrespective of the deal itself. Although we control for observable firm characteristics and conduct robustness checks, unobserved factors such as managerial attitudes or strategic intent may still influence both acquisition behavior and ESG outcomes.</w:t>
      </w:r>
    </w:p>
    <w:p w14:paraId="7302E427" w14:textId="0F29EF87" w:rsidR="006941FA" w:rsidRPr="006941FA" w:rsidRDefault="006941FA" w:rsidP="006941FA">
      <w:r w:rsidRPr="006941FA">
        <w:t>Second, despite efforts to account fo</w:t>
      </w:r>
      <w:r>
        <w:t>r pre-existing trends,</w:t>
      </w:r>
      <w:r w:rsidRPr="006941FA">
        <w:t xml:space="preserve"> such as through pre-trend analysis and parallel trends tests, capturing the complex and sometimes symbolic nature of greenwashing remains inherently challenging. ESG ratings may reflect inherited characteristics of the target rather than substantive post-merger change, but disentangling these effects is limited by the granularity of available data. Future research could benefit from incorporating more qualitative measures of post-acquisition integration of sustainability practices to assess whether firms genuinely adopt the ESG standards of their targets.</w:t>
      </w:r>
    </w:p>
    <w:p w14:paraId="50F7A866" w14:textId="5AF4B78D" w:rsidR="006941FA" w:rsidRPr="006941FA" w:rsidRDefault="006941FA" w:rsidP="006941FA">
      <w:r w:rsidRPr="006941FA">
        <w:t>Third, this study focuses primarily on</w:t>
      </w:r>
      <w:r>
        <w:t xml:space="preserve"> quantitative ESG rating changes, </w:t>
      </w:r>
      <w:r w:rsidRPr="006941FA">
        <w:t>which, while widely used, may not capture all relevant dimensions of greenwashing or strategic signaling. ESG scores can be influenced by disclosure practices and external perceptions rather than actual improvements in operations or governance structures. As such, there is a risk that observed ESG improvements reflect symbolic rather than substantive change, a concern that underscores the need for more comprehensive, multi-dimensional assessments of ESG performance.</w:t>
      </w:r>
    </w:p>
    <w:p w14:paraId="48043130" w14:textId="072D37C0" w:rsidR="006941FA" w:rsidRPr="006941FA" w:rsidRDefault="006941FA" w:rsidP="006941FA">
      <w:r w:rsidRPr="006941FA">
        <w:t xml:space="preserve">Finally, the role </w:t>
      </w:r>
      <w:r>
        <w:t xml:space="preserve">of managerial discretion </w:t>
      </w:r>
      <w:r w:rsidRPr="006941FA">
        <w:t>in shaping ESG outcomes warrants further investigation. Managers may leverage CSR and ESG decisions strategically, aligning them with broader corporate objectives or stakeholder expectations, rather than pursuing purely normative sustainability goals (Schmitz &amp; Schrader, 2015). The present study does not explicitly account for managerial motivations or internal decision-making processes, which may be a critical driver of both acquisition choices and post-merger ESG trajectories.</w:t>
      </w:r>
    </w:p>
    <w:p w14:paraId="63DFD9FF" w14:textId="77777777" w:rsidR="006941FA" w:rsidRPr="006941FA" w:rsidRDefault="006941FA" w:rsidP="006941FA">
      <w:r w:rsidRPr="006941FA">
        <w:t>Overall, while the results provide empirical support for the notion that high-ESG acquisitions are associated with improved ESG ratings for acquiring firms, these limitations highlight the complexity of interpreting such outcomes. Future research could build on these findings by exploring alternative data sources, incorporating qualitative assessments, and more explicitly examining managerial strategic behavior in the context of ESG-driven M&amp;A activity.</w:t>
      </w:r>
    </w:p>
    <w:p w14:paraId="604DB78E" w14:textId="4105946C" w:rsidR="00D04F77" w:rsidRDefault="00D04F77" w:rsidP="0052186F">
      <w:r>
        <w:br w:type="page"/>
      </w:r>
    </w:p>
    <w:p w14:paraId="2C86674A" w14:textId="722DC0E3" w:rsidR="005B54D3" w:rsidRDefault="005B54D3" w:rsidP="005B54D3">
      <w:pPr>
        <w:pStyle w:val="Kop1"/>
      </w:pPr>
      <w:bookmarkStart w:id="25" w:name="_Toc202218716"/>
      <w:r>
        <w:t>References</w:t>
      </w:r>
      <w:bookmarkEnd w:id="25"/>
    </w:p>
    <w:p w14:paraId="766F4CEA" w14:textId="77777777" w:rsidR="00476D28" w:rsidRPr="006C2B2E" w:rsidRDefault="00476D28" w:rsidP="006C2B2E">
      <w:pPr>
        <w:rPr>
          <w:lang w:val="nl-NL"/>
        </w:rPr>
      </w:pPr>
      <w:r w:rsidRPr="00476D28">
        <w:rPr>
          <w:lang w:val="nl-NL"/>
        </w:rPr>
        <w:t xml:space="preserve">Aktas, N., de Bodt, E., &amp; Cousin, J.-G. (2011). </w:t>
      </w:r>
      <w:r w:rsidRPr="006C2B2E">
        <w:t xml:space="preserve">Do financial markets care about SRI? Evidence from mergers and acquisitions. </w:t>
      </w:r>
      <w:r w:rsidRPr="006C2B2E">
        <w:rPr>
          <w:rStyle w:val="Nadruk"/>
        </w:rPr>
        <w:t>Journal of Banking &amp; Finance</w:t>
      </w:r>
      <w:r w:rsidRPr="006C2B2E">
        <w:t xml:space="preserve">, 35(7), 1753–1761. </w:t>
      </w:r>
      <w:hyperlink r:id="rId11" w:history="1">
        <w:r w:rsidRPr="006C2B2E">
          <w:rPr>
            <w:rStyle w:val="Hyperlink"/>
            <w:lang w:val="nl-NL"/>
          </w:rPr>
          <w:t>https://doi.org/10.1016/j.jbankfin.2010.12.006</w:t>
        </w:r>
      </w:hyperlink>
      <w:r w:rsidRPr="006C2B2E">
        <w:rPr>
          <w:lang w:val="nl-NL"/>
        </w:rPr>
        <w:t xml:space="preserve"> </w:t>
      </w:r>
    </w:p>
    <w:p w14:paraId="26E6A738" w14:textId="77777777" w:rsidR="00476D28" w:rsidRPr="006C2B2E" w:rsidRDefault="00476D28" w:rsidP="006C2B2E">
      <w:r w:rsidRPr="006C2B2E">
        <w:rPr>
          <w:lang w:val="nl-NL"/>
        </w:rPr>
        <w:t xml:space="preserve">Amel-Zadeh, A., &amp; Serafeim, G. (2018). </w:t>
      </w:r>
      <w:r w:rsidRPr="006C2B2E">
        <w:t xml:space="preserve">Why and how investors use ESG information: Evidence from a global survey. </w:t>
      </w:r>
      <w:r w:rsidRPr="006C2B2E">
        <w:rPr>
          <w:rStyle w:val="Nadruk"/>
        </w:rPr>
        <w:t>Financial Analysts Journal</w:t>
      </w:r>
      <w:r w:rsidRPr="006C2B2E">
        <w:t xml:space="preserve">, 74(3), 87–103. </w:t>
      </w:r>
      <w:hyperlink r:id="rId12" w:history="1">
        <w:r w:rsidRPr="00E2112D">
          <w:rPr>
            <w:rStyle w:val="Hyperlink"/>
          </w:rPr>
          <w:t>https://doi.org/10.2469/faj.v74.n3.2</w:t>
        </w:r>
      </w:hyperlink>
      <w:r>
        <w:t xml:space="preserve"> </w:t>
      </w:r>
    </w:p>
    <w:p w14:paraId="79A9CCB5" w14:textId="77777777" w:rsidR="00476D28" w:rsidRPr="006C2B2E" w:rsidRDefault="00476D28" w:rsidP="006C2B2E">
      <w:r w:rsidRPr="006C2B2E">
        <w:t xml:space="preserve">Arouri, M., Le, H. T., &amp; Pijourlet, G. (2019). CSR performance and the value of cash holdings: International evidence. </w:t>
      </w:r>
      <w:r w:rsidRPr="006C2B2E">
        <w:rPr>
          <w:rStyle w:val="Nadruk"/>
        </w:rPr>
        <w:t>Journal of Business Ethics</w:t>
      </w:r>
      <w:r w:rsidRPr="006C2B2E">
        <w:t xml:space="preserve">, 157(2), 451–471. </w:t>
      </w:r>
    </w:p>
    <w:p w14:paraId="021F32E5" w14:textId="77777777" w:rsidR="00476D28" w:rsidRPr="006C2B2E" w:rsidRDefault="00476D28" w:rsidP="006C2B2E">
      <w:r w:rsidRPr="006C2B2E">
        <w:t xml:space="preserve">Berrone, P., Gelabert, L., Massa-Saluzzo, F., &amp; Rousseau, H. E. (2013). “What the stakeholders are expecting?” An investigation of the antecedents of environmental legitimacy. </w:t>
      </w:r>
      <w:r w:rsidRPr="006C2B2E">
        <w:rPr>
          <w:rStyle w:val="Nadruk"/>
        </w:rPr>
        <w:t>Journal of Business Ethics</w:t>
      </w:r>
      <w:r w:rsidRPr="006C2B2E">
        <w:t xml:space="preserve">, 114(3), 337–353. </w:t>
      </w:r>
    </w:p>
    <w:p w14:paraId="01F0277A" w14:textId="77777777" w:rsidR="00476D28" w:rsidRPr="006C2B2E" w:rsidRDefault="00476D28" w:rsidP="006C2B2E">
      <w:r w:rsidRPr="006C2B2E">
        <w:t xml:space="preserve">Boone, A. L., &amp; Uysal, V. B. (2020). Reputational incentives in mergers and acquisitions. </w:t>
      </w:r>
      <w:r w:rsidRPr="006C2B2E">
        <w:rPr>
          <w:rStyle w:val="Nadruk"/>
        </w:rPr>
        <w:t>Journal of Financial Economics</w:t>
      </w:r>
      <w:r w:rsidRPr="006C2B2E">
        <w:t xml:space="preserve">, 136(2), 366–388. </w:t>
      </w:r>
      <w:hyperlink r:id="rId13" w:history="1">
        <w:r w:rsidRPr="00E2112D">
          <w:rPr>
            <w:rStyle w:val="Hyperlink"/>
          </w:rPr>
          <w:t>https://doi.org/10.1016/j.jfineco.2019.09.002</w:t>
        </w:r>
      </w:hyperlink>
      <w:r>
        <w:t xml:space="preserve"> </w:t>
      </w:r>
    </w:p>
    <w:p w14:paraId="75273435" w14:textId="77777777" w:rsidR="00476D28" w:rsidRPr="00476D28" w:rsidRDefault="00476D28" w:rsidP="00476D28">
      <w:r w:rsidRPr="00476D28">
        <w:t xml:space="preserve">Boone, A. L., &amp; Uysal, V. B. (2020). Reputational incentives in mergers and acquisitions. </w:t>
      </w:r>
      <w:r w:rsidRPr="00476D28">
        <w:rPr>
          <w:i/>
          <w:iCs/>
        </w:rPr>
        <w:t>Journal of Financial Economics, 136</w:t>
      </w:r>
      <w:r w:rsidRPr="00476D28">
        <w:t xml:space="preserve">(2), 366–388. </w:t>
      </w:r>
      <w:hyperlink r:id="rId14" w:history="1">
        <w:r w:rsidRPr="00E2112D">
          <w:rPr>
            <w:rStyle w:val="Hyperlink"/>
          </w:rPr>
          <w:t>https://doi.org/10.1016/j.jfineco.2019.09.002</w:t>
        </w:r>
      </w:hyperlink>
      <w:r>
        <w:t xml:space="preserve"> </w:t>
      </w:r>
    </w:p>
    <w:p w14:paraId="7C0AD1A0" w14:textId="77777777" w:rsidR="00476D28" w:rsidRPr="00476D28" w:rsidRDefault="00476D28" w:rsidP="00476D28">
      <w:r w:rsidRPr="00476D28">
        <w:t xml:space="preserve">Bryant, P. T., Hunton, J. E., &amp; Stone, D. N. (2020). The threat of competition and disclosures of forward-looking information: Evidence from the renewable energy industry. </w:t>
      </w:r>
      <w:r w:rsidRPr="00476D28">
        <w:rPr>
          <w:i/>
          <w:iCs/>
        </w:rPr>
        <w:t>Accounting, Organizations and Society, 84</w:t>
      </w:r>
      <w:r w:rsidRPr="00476D28">
        <w:t xml:space="preserve">, 101095. </w:t>
      </w:r>
    </w:p>
    <w:p w14:paraId="4618F3EA" w14:textId="77777777" w:rsidR="00476D28" w:rsidRPr="006C2B2E" w:rsidRDefault="00476D28" w:rsidP="006C2B2E">
      <w:r w:rsidRPr="006C2B2E">
        <w:t xml:space="preserve">Connelly, B. L., Certo, S. T., Ireland, R. D., &amp; Reutzel, C. R. (2011). Signaling theory: A review and assessment. </w:t>
      </w:r>
      <w:r w:rsidRPr="006C2B2E">
        <w:rPr>
          <w:rStyle w:val="Nadruk"/>
        </w:rPr>
        <w:t>Journal of Management</w:t>
      </w:r>
      <w:r w:rsidRPr="006C2B2E">
        <w:t xml:space="preserve">, 37(1), 39–67. </w:t>
      </w:r>
      <w:hyperlink r:id="rId15" w:history="1">
        <w:r w:rsidRPr="00E2112D">
          <w:rPr>
            <w:rStyle w:val="Hyperlink"/>
          </w:rPr>
          <w:t>https://doi.org/10.1177/0149206310388419</w:t>
        </w:r>
      </w:hyperlink>
      <w:r>
        <w:t xml:space="preserve"> </w:t>
      </w:r>
    </w:p>
    <w:p w14:paraId="46523D89" w14:textId="77777777" w:rsidR="00476D28" w:rsidRPr="00476D28" w:rsidRDefault="00476D28" w:rsidP="006C2B2E">
      <w:pPr>
        <w:rPr>
          <w:lang w:val="nl-NL"/>
        </w:rPr>
      </w:pPr>
      <w:r w:rsidRPr="006C2B2E">
        <w:t xml:space="preserve">Delmas, M. A., &amp; Burbano, V. C. (2011). The drivers of greenwashing. </w:t>
      </w:r>
      <w:r w:rsidRPr="006C2B2E">
        <w:rPr>
          <w:rStyle w:val="Nadruk"/>
        </w:rPr>
        <w:t>California Management Review</w:t>
      </w:r>
      <w:r w:rsidRPr="006C2B2E">
        <w:t xml:space="preserve">, 54(1), 64–87. </w:t>
      </w:r>
      <w:hyperlink r:id="rId16" w:history="1">
        <w:r w:rsidRPr="00476D28">
          <w:rPr>
            <w:rStyle w:val="Hyperlink"/>
            <w:lang w:val="nl-NL"/>
          </w:rPr>
          <w:t>https://doi.org/10.1525/cmr.2011.54.1.64</w:t>
        </w:r>
      </w:hyperlink>
      <w:r w:rsidRPr="00476D28">
        <w:rPr>
          <w:lang w:val="nl-NL"/>
        </w:rPr>
        <w:t xml:space="preserve"> </w:t>
      </w:r>
    </w:p>
    <w:p w14:paraId="5C0F8F54" w14:textId="77777777" w:rsidR="00476D28" w:rsidRPr="006C2B2E" w:rsidRDefault="00476D28" w:rsidP="006C2B2E">
      <w:r w:rsidRPr="00476D28">
        <w:rPr>
          <w:lang w:val="nl-NL"/>
        </w:rPr>
        <w:t xml:space="preserve">Deng, X., Kang, J., &amp; Low, B. S. (2013). </w:t>
      </w:r>
      <w:r w:rsidRPr="006C2B2E">
        <w:t xml:space="preserve">Corporate social responsibility and stakeholder value maximization: Evidence from mergers. </w:t>
      </w:r>
      <w:r w:rsidRPr="006C2B2E">
        <w:rPr>
          <w:rStyle w:val="Nadruk"/>
        </w:rPr>
        <w:t>Journal of Financial Economics</w:t>
      </w:r>
      <w:r w:rsidRPr="006C2B2E">
        <w:t xml:space="preserve">, 110(1), 87–109. </w:t>
      </w:r>
      <w:hyperlink r:id="rId17" w:history="1">
        <w:r w:rsidRPr="00E2112D">
          <w:rPr>
            <w:rStyle w:val="Hyperlink"/>
          </w:rPr>
          <w:t>https://doi.org/10.1016/j.jfineco.2013.04.014</w:t>
        </w:r>
      </w:hyperlink>
      <w:r>
        <w:t xml:space="preserve"> </w:t>
      </w:r>
    </w:p>
    <w:p w14:paraId="5BFA6C32" w14:textId="77777777" w:rsidR="00476D28" w:rsidRPr="00476D28" w:rsidRDefault="00476D28" w:rsidP="00476D28">
      <w:r w:rsidRPr="00476D28">
        <w:t xml:space="preserve">Du, S. (2015). Strategic corporate social responsibility reporting and chatter: An exploratory study of the impact of Facebook chatter on CSR reporting. </w:t>
      </w:r>
      <w:r w:rsidRPr="00476D28">
        <w:rPr>
          <w:i/>
          <w:iCs/>
        </w:rPr>
        <w:t>Journal of Business Ethics, 132</w:t>
      </w:r>
      <w:r w:rsidRPr="00476D28">
        <w:t xml:space="preserve">(4), 793–805. </w:t>
      </w:r>
      <w:hyperlink r:id="rId18" w:history="1">
        <w:r w:rsidRPr="00E2112D">
          <w:rPr>
            <w:rStyle w:val="Hyperlink"/>
          </w:rPr>
          <w:t>https://doi.org/10.1007/s10551-014-2324-2</w:t>
        </w:r>
      </w:hyperlink>
      <w:r>
        <w:t xml:space="preserve"> </w:t>
      </w:r>
    </w:p>
    <w:p w14:paraId="31159C79" w14:textId="77777777" w:rsidR="00476D28" w:rsidRPr="006C2B2E" w:rsidRDefault="00476D28" w:rsidP="006C2B2E">
      <w:r w:rsidRPr="006C2B2E">
        <w:t xml:space="preserve">Eccles, R. G., Ioannou, I., &amp; Serafeim, G. (2014). The impact of a corporate culture of sustainability on corporate behavior and performance. </w:t>
      </w:r>
      <w:r w:rsidRPr="006C2B2E">
        <w:rPr>
          <w:rStyle w:val="Nadruk"/>
        </w:rPr>
        <w:t>Harvard Business School Working Paper</w:t>
      </w:r>
      <w:r w:rsidRPr="006C2B2E">
        <w:t xml:space="preserve">, No. 12-035. </w:t>
      </w:r>
      <w:hyperlink r:id="rId19" w:history="1">
        <w:r w:rsidRPr="00E2112D">
          <w:rPr>
            <w:rStyle w:val="Hyperlink"/>
          </w:rPr>
          <w:t>https://doi.org/10.2139/ssrn.1964011</w:t>
        </w:r>
      </w:hyperlink>
      <w:r>
        <w:t xml:space="preserve"> </w:t>
      </w:r>
    </w:p>
    <w:p w14:paraId="25208D6C" w14:textId="77777777" w:rsidR="00476D28" w:rsidRPr="006C2B2E" w:rsidRDefault="00476D28" w:rsidP="006C2B2E">
      <w:r w:rsidRPr="006C2B2E">
        <w:t xml:space="preserve">Eccles, R. G., Newquist, S. C., &amp; Schatz, R. (2014). Reputation and its risks. </w:t>
      </w:r>
      <w:r w:rsidRPr="006C2B2E">
        <w:rPr>
          <w:rStyle w:val="Nadruk"/>
        </w:rPr>
        <w:t>Harvard Business Review</w:t>
      </w:r>
      <w:r w:rsidRPr="006C2B2E">
        <w:t>, 85(2), 104–112</w:t>
      </w:r>
      <w:r>
        <w:t>.</w:t>
      </w:r>
    </w:p>
    <w:p w14:paraId="6CDE3C4D" w14:textId="77777777" w:rsidR="00476D28" w:rsidRPr="006C2B2E" w:rsidRDefault="00476D28" w:rsidP="006C2B2E">
      <w:r w:rsidRPr="006C2B2E">
        <w:t xml:space="preserve">Etzion, D., &amp; Ferraro, F. (2010). The role of analogy in the institutionalization of sustainability reporting. </w:t>
      </w:r>
      <w:r w:rsidRPr="006C2B2E">
        <w:rPr>
          <w:rStyle w:val="Nadruk"/>
        </w:rPr>
        <w:t>Organization Science</w:t>
      </w:r>
      <w:r w:rsidRPr="006C2B2E">
        <w:t xml:space="preserve">, 21(5), 1092–1107. </w:t>
      </w:r>
      <w:hyperlink r:id="rId20" w:history="1">
        <w:r w:rsidRPr="00E2112D">
          <w:rPr>
            <w:rStyle w:val="Hyperlink"/>
          </w:rPr>
          <w:t>https://doi.org/10.1287/orsc.1090.0494</w:t>
        </w:r>
      </w:hyperlink>
      <w:r>
        <w:t xml:space="preserve"> </w:t>
      </w:r>
    </w:p>
    <w:p w14:paraId="24BC4E89" w14:textId="77777777" w:rsidR="00476D28" w:rsidRPr="006C2B2E" w:rsidRDefault="00476D28" w:rsidP="006C2B2E">
      <w:r w:rsidRPr="006C2B2E">
        <w:t xml:space="preserve">Fatemi, A., Fooladi, I., &amp; Tehranian, H. (2015). Valuation effects of corporate social responsibility. </w:t>
      </w:r>
      <w:r w:rsidRPr="006C2B2E">
        <w:rPr>
          <w:rStyle w:val="Nadruk"/>
        </w:rPr>
        <w:t>Journal of Banking &amp; Finance</w:t>
      </w:r>
      <w:r w:rsidRPr="006C2B2E">
        <w:t xml:space="preserve">, 59, 182–192. </w:t>
      </w:r>
      <w:hyperlink r:id="rId21" w:history="1">
        <w:r w:rsidRPr="00E2112D">
          <w:rPr>
            <w:rStyle w:val="Hyperlink"/>
          </w:rPr>
          <w:t>https://doi.org/10.1016/j.jbankfin.2015.04.028</w:t>
        </w:r>
      </w:hyperlink>
      <w:r>
        <w:t xml:space="preserve"> </w:t>
      </w:r>
    </w:p>
    <w:p w14:paraId="671D9B49" w14:textId="77777777" w:rsidR="00476D28" w:rsidRPr="006C2B2E" w:rsidRDefault="00476D28" w:rsidP="006C2B2E">
      <w:r w:rsidRPr="006C2B2E">
        <w:t xml:space="preserve">Freeman, R. E. (1984). </w:t>
      </w:r>
      <w:r w:rsidRPr="006C2B2E">
        <w:rPr>
          <w:rStyle w:val="Nadruk"/>
        </w:rPr>
        <w:t>Strategic management: A stakeholder approach</w:t>
      </w:r>
      <w:r w:rsidRPr="006C2B2E">
        <w:t>. Boston, MA: Pitman.</w:t>
      </w:r>
    </w:p>
    <w:p w14:paraId="75DB1E3A" w14:textId="77777777" w:rsidR="00476D28" w:rsidRPr="00476D28" w:rsidRDefault="00476D28" w:rsidP="00476D28">
      <w:pPr>
        <w:rPr>
          <w:lang w:val="nl-NL"/>
        </w:rPr>
      </w:pPr>
      <w:r w:rsidRPr="00476D28">
        <w:t xml:space="preserve">Garrow, N., &amp; Valentine, S. V. (2012). The sense and nonsense of corporate social responsibility. </w:t>
      </w:r>
      <w:r w:rsidRPr="00476D28">
        <w:rPr>
          <w:i/>
          <w:iCs/>
        </w:rPr>
        <w:t>Journal of Business Ethics, 108</w:t>
      </w:r>
      <w:r w:rsidRPr="00476D28">
        <w:t xml:space="preserve">(1), 359–370. </w:t>
      </w:r>
      <w:hyperlink r:id="rId22" w:history="1">
        <w:r w:rsidRPr="00476D28">
          <w:rPr>
            <w:rStyle w:val="Hyperlink"/>
            <w:lang w:val="nl-NL"/>
          </w:rPr>
          <w:t>https://doi.org/10.1007/s10551-011-1091-7</w:t>
        </w:r>
      </w:hyperlink>
      <w:r w:rsidRPr="00476D28">
        <w:rPr>
          <w:lang w:val="nl-NL"/>
        </w:rPr>
        <w:t xml:space="preserve"> </w:t>
      </w:r>
    </w:p>
    <w:p w14:paraId="722387AF" w14:textId="77777777" w:rsidR="00476D28" w:rsidRPr="00476D28" w:rsidRDefault="00476D28" w:rsidP="00476D28">
      <w:r w:rsidRPr="00476D28">
        <w:rPr>
          <w:lang w:val="nl-NL"/>
        </w:rPr>
        <w:t xml:space="preserve">Ghitti, M., Kalaitzoglou, I., &amp; Verwijmeren, P. (2020). </w:t>
      </w:r>
      <w:r w:rsidRPr="00476D28">
        <w:t xml:space="preserve">Shareholder activism and firms’ voluntary disclosure of climate change risks. </w:t>
      </w:r>
      <w:r w:rsidRPr="00476D28">
        <w:rPr>
          <w:i/>
          <w:iCs/>
        </w:rPr>
        <w:t>Journal of Banking &amp; Finance, 112</w:t>
      </w:r>
      <w:r w:rsidRPr="00476D28">
        <w:t>, 105273.</w:t>
      </w:r>
      <w:r>
        <w:t xml:space="preserve"> </w:t>
      </w:r>
    </w:p>
    <w:p w14:paraId="58194513" w14:textId="77777777" w:rsidR="00476D28" w:rsidRPr="006C2B2E" w:rsidRDefault="00476D28" w:rsidP="006C2B2E">
      <w:r w:rsidRPr="006C2B2E">
        <w:t xml:space="preserve">Hart, S. L. (1995). A natural-resource-based view of the firm. </w:t>
      </w:r>
      <w:r w:rsidRPr="006C2B2E">
        <w:rPr>
          <w:rStyle w:val="Nadruk"/>
        </w:rPr>
        <w:t>Academy of Management Review</w:t>
      </w:r>
      <w:r w:rsidRPr="006C2B2E">
        <w:t xml:space="preserve">, 20(4), 986–1014. </w:t>
      </w:r>
      <w:hyperlink r:id="rId23" w:history="1">
        <w:r w:rsidRPr="00E2112D">
          <w:rPr>
            <w:rStyle w:val="Hyperlink"/>
          </w:rPr>
          <w:t>https://doi.org/10.5465/amr.1995.9512280033</w:t>
        </w:r>
      </w:hyperlink>
      <w:r>
        <w:t xml:space="preserve"> </w:t>
      </w:r>
    </w:p>
    <w:p w14:paraId="5C7BD785" w14:textId="77777777" w:rsidR="00476D28" w:rsidRPr="006C2B2E" w:rsidRDefault="00476D28" w:rsidP="006C2B2E">
      <w:r w:rsidRPr="006C2B2E">
        <w:t xml:space="preserve">Krüger, P. (2015). Corporate goodness and shareholder wealth. </w:t>
      </w:r>
      <w:r w:rsidRPr="006C2B2E">
        <w:rPr>
          <w:rStyle w:val="Nadruk"/>
        </w:rPr>
        <w:t>Journal of Financial Economics</w:t>
      </w:r>
      <w:r w:rsidRPr="006C2B2E">
        <w:t xml:space="preserve">, 115(2), 304–329. </w:t>
      </w:r>
      <w:hyperlink r:id="rId24" w:history="1">
        <w:r w:rsidRPr="00E2112D">
          <w:rPr>
            <w:rStyle w:val="Hyperlink"/>
          </w:rPr>
          <w:t>https://doi.org/10.1016/j.jfineco.2014.09.008</w:t>
        </w:r>
      </w:hyperlink>
      <w:r>
        <w:t xml:space="preserve"> </w:t>
      </w:r>
    </w:p>
    <w:p w14:paraId="1607FF8E" w14:textId="77777777" w:rsidR="00476D28" w:rsidRPr="006C2B2E" w:rsidRDefault="00476D28" w:rsidP="006C2B2E">
      <w:r w:rsidRPr="006C2B2E">
        <w:t xml:space="preserve">Li, B., Xu, L., McIver, R., Wu, Q., &amp; Pan, A. (2020). Green M&amp;A, legitimacy and risk-taking: Evidence from China’s heavy polluters. </w:t>
      </w:r>
      <w:r w:rsidRPr="006C2B2E">
        <w:rPr>
          <w:rStyle w:val="Nadruk"/>
        </w:rPr>
        <w:t>Accounting &amp; Finance</w:t>
      </w:r>
      <w:r w:rsidRPr="006C2B2E">
        <w:t xml:space="preserve">, 60(1), 97–127. </w:t>
      </w:r>
      <w:hyperlink r:id="rId25" w:history="1">
        <w:r w:rsidRPr="00E2112D">
          <w:rPr>
            <w:rStyle w:val="Hyperlink"/>
          </w:rPr>
          <w:t>https://doi.org/10.1111/acfi.12512</w:t>
        </w:r>
      </w:hyperlink>
      <w:r>
        <w:t xml:space="preserve"> </w:t>
      </w:r>
    </w:p>
    <w:p w14:paraId="4BE3B630" w14:textId="77777777" w:rsidR="00476D28" w:rsidRPr="006C2B2E" w:rsidRDefault="00476D28" w:rsidP="006C2B2E">
      <w:r w:rsidRPr="006C2B2E">
        <w:t xml:space="preserve">Lyon, T. P., &amp; Maxwell, J. W. (2011). Greenwash: Corporate environmental disclosure under threat of audit. </w:t>
      </w:r>
      <w:r w:rsidRPr="006C2B2E">
        <w:rPr>
          <w:rStyle w:val="Nadruk"/>
        </w:rPr>
        <w:t>Journal of Economics &amp; Management Strategy</w:t>
      </w:r>
      <w:r w:rsidRPr="006C2B2E">
        <w:t xml:space="preserve">, 20(1), 3–41. </w:t>
      </w:r>
      <w:hyperlink r:id="rId26" w:history="1">
        <w:r w:rsidRPr="00E2112D">
          <w:rPr>
            <w:rStyle w:val="Hyperlink"/>
          </w:rPr>
          <w:t>https://doi.org/10.1111/j.1530-9134.2010.00282.x</w:t>
        </w:r>
      </w:hyperlink>
      <w:r>
        <w:t xml:space="preserve"> </w:t>
      </w:r>
    </w:p>
    <w:p w14:paraId="79D133D7" w14:textId="77777777" w:rsidR="00476D28" w:rsidRPr="006C2B2E" w:rsidRDefault="00476D28" w:rsidP="006C2B2E">
      <w:r w:rsidRPr="006C2B2E">
        <w:t xml:space="preserve">Lyon, T. P., &amp; Montgomery, A. W. (2015). The means and end of greenwash. </w:t>
      </w:r>
      <w:r w:rsidRPr="006C2B2E">
        <w:rPr>
          <w:rStyle w:val="Nadruk"/>
        </w:rPr>
        <w:t>Organization &amp; Environment</w:t>
      </w:r>
      <w:r w:rsidRPr="006C2B2E">
        <w:t xml:space="preserve">, 28(2), 223–249. </w:t>
      </w:r>
      <w:hyperlink r:id="rId27" w:history="1">
        <w:r w:rsidRPr="00E2112D">
          <w:rPr>
            <w:rStyle w:val="Hyperlink"/>
          </w:rPr>
          <w:t>https://doi.org/10.1177/1086026615575332</w:t>
        </w:r>
      </w:hyperlink>
      <w:r>
        <w:t xml:space="preserve"> </w:t>
      </w:r>
    </w:p>
    <w:p w14:paraId="69BEA83A" w14:textId="77777777" w:rsidR="00476D28" w:rsidRPr="006C2B2E" w:rsidRDefault="00476D28" w:rsidP="006C2B2E">
      <w:r w:rsidRPr="006C2B2E">
        <w:t xml:space="preserve">Mahoney, L. S., Thorne, L., Cecil, L., &amp; LaGore, W. (2013). A research note on standalone corporate social responsibility reports: Signaling or greenwashing? </w:t>
      </w:r>
      <w:r w:rsidRPr="006C2B2E">
        <w:rPr>
          <w:rStyle w:val="Nadruk"/>
        </w:rPr>
        <w:t>Critical Perspectives on Accounting</w:t>
      </w:r>
      <w:r w:rsidRPr="006C2B2E">
        <w:t xml:space="preserve">, 24(4-5), 350–359. </w:t>
      </w:r>
      <w:hyperlink r:id="rId28" w:history="1">
        <w:r w:rsidRPr="00E2112D">
          <w:rPr>
            <w:rStyle w:val="Hyperlink"/>
          </w:rPr>
          <w:t>https://doi.org/10.1016/j.cpa.2012.09.008</w:t>
        </w:r>
      </w:hyperlink>
      <w:r>
        <w:t xml:space="preserve"> </w:t>
      </w:r>
    </w:p>
    <w:p w14:paraId="5248B347" w14:textId="77777777" w:rsidR="00476D28" w:rsidRPr="00476D28" w:rsidRDefault="00476D28" w:rsidP="00476D28">
      <w:r w:rsidRPr="00476D28">
        <w:t xml:space="preserve">Mansfield, E. R., &amp; Helms, B. P. (1982). Detecting multicollinearity. </w:t>
      </w:r>
      <w:r w:rsidRPr="00476D28">
        <w:rPr>
          <w:i/>
          <w:iCs/>
        </w:rPr>
        <w:t>The American Statistician, 36</w:t>
      </w:r>
      <w:r w:rsidRPr="00476D28">
        <w:t xml:space="preserve">(3a), 158–160. </w:t>
      </w:r>
      <w:hyperlink r:id="rId29" w:history="1">
        <w:r w:rsidRPr="00E2112D">
          <w:rPr>
            <w:rStyle w:val="Hyperlink"/>
          </w:rPr>
          <w:t>https://doi.org/10.1080/00031305.1982.10482818</w:t>
        </w:r>
      </w:hyperlink>
      <w:r>
        <w:t xml:space="preserve"> </w:t>
      </w:r>
    </w:p>
    <w:p w14:paraId="4A128E73" w14:textId="77777777" w:rsidR="00476D28" w:rsidRPr="006C2B2E" w:rsidRDefault="00476D28" w:rsidP="006C2B2E">
      <w:r w:rsidRPr="006C2B2E">
        <w:t xml:space="preserve">Marquis, C., &amp; Toffel, M. W. (2012). When do firms greenwash? Corporate visibility, civil society scrutiny, and environmental disclosure. </w:t>
      </w:r>
      <w:r w:rsidRPr="006C2B2E">
        <w:rPr>
          <w:rStyle w:val="Nadruk"/>
        </w:rPr>
        <w:t>Organization Science</w:t>
      </w:r>
      <w:r w:rsidRPr="006C2B2E">
        <w:t xml:space="preserve">, 27(2), 483–504. </w:t>
      </w:r>
      <w:hyperlink r:id="rId30" w:history="1">
        <w:r w:rsidRPr="00E2112D">
          <w:rPr>
            <w:rStyle w:val="Hyperlink"/>
          </w:rPr>
          <w:t>https://doi.org/10.1287/orsc.2015.1036</w:t>
        </w:r>
      </w:hyperlink>
      <w:r>
        <w:t xml:space="preserve"> </w:t>
      </w:r>
    </w:p>
    <w:p w14:paraId="44EF9B95" w14:textId="77777777" w:rsidR="00476D28" w:rsidRPr="006C2B2E" w:rsidRDefault="00476D28" w:rsidP="006C2B2E">
      <w:r w:rsidRPr="006C2B2E">
        <w:t xml:space="preserve">Naveed, S. (2024). </w:t>
      </w:r>
      <w:r w:rsidRPr="006C2B2E">
        <w:rPr>
          <w:rStyle w:val="Nadruk"/>
        </w:rPr>
        <w:t>ESG rating improvements through mergers and acquisitions: Do low ESG-rated firms strategically acquire their high ESG-rated peers?</w:t>
      </w:r>
      <w:r w:rsidRPr="006C2B2E">
        <w:t xml:space="preserve"> (Master’s thesis, Concordia University).</w:t>
      </w:r>
    </w:p>
    <w:p w14:paraId="373079BF" w14:textId="77777777" w:rsidR="00476D28" w:rsidRPr="006C2B2E" w:rsidRDefault="00476D28" w:rsidP="006C2B2E">
      <w:r w:rsidRPr="00476D28">
        <w:rPr>
          <w:lang w:val="nl-NL"/>
        </w:rPr>
        <w:t xml:space="preserve">Nguyen, D. T., Michayluk, D., Van de Venter, G., &amp; Walker, S. (2025). </w:t>
      </w:r>
      <w:r w:rsidRPr="006C2B2E">
        <w:t xml:space="preserve">Improvement in sustainability: Evidence from the mergers and acquisitions market. </w:t>
      </w:r>
      <w:r w:rsidRPr="006C2B2E">
        <w:rPr>
          <w:rStyle w:val="Nadruk"/>
        </w:rPr>
        <w:t>Australian Journal of Management</w:t>
      </w:r>
      <w:r w:rsidRPr="006C2B2E">
        <w:t xml:space="preserve">, 50(2), 484–523. </w:t>
      </w:r>
      <w:hyperlink r:id="rId31" w:tgtFrame="_new" w:history="1">
        <w:r w:rsidRPr="006C2B2E">
          <w:rPr>
            <w:rStyle w:val="Hyperlink"/>
          </w:rPr>
          <w:t>https://doi.org/10.1177/03128962231222824</w:t>
        </w:r>
      </w:hyperlink>
    </w:p>
    <w:p w14:paraId="59BB6D53" w14:textId="77777777" w:rsidR="00476D28" w:rsidRPr="006C2B2E" w:rsidRDefault="00476D28" w:rsidP="006C2B2E">
      <w:r w:rsidRPr="006C2B2E">
        <w:t xml:space="preserve">Pfeffer, J., &amp; Salancik, G. R. (1978). </w:t>
      </w:r>
      <w:r w:rsidRPr="006C2B2E">
        <w:rPr>
          <w:rStyle w:val="Nadruk"/>
        </w:rPr>
        <w:t>The external control of organizations: A resource dependence perspective</w:t>
      </w:r>
      <w:r w:rsidRPr="006C2B2E">
        <w:t>. New York, NY: Harper &amp; Row.</w:t>
      </w:r>
    </w:p>
    <w:p w14:paraId="065DFA4C" w14:textId="77777777" w:rsidR="00476D28" w:rsidRDefault="00476D28" w:rsidP="00476D28">
      <w:r w:rsidRPr="00476D28">
        <w:t xml:space="preserve">Rosenbaum, P. R., &amp; Rubin, D. B. (1983). The central role of the propensity score in observational studies for causal effects. </w:t>
      </w:r>
      <w:r w:rsidRPr="00476D28">
        <w:rPr>
          <w:i/>
          <w:iCs/>
        </w:rPr>
        <w:t>Biometrika, 70</w:t>
      </w:r>
      <w:r w:rsidRPr="00476D28">
        <w:t xml:space="preserve">(1), 41–55. </w:t>
      </w:r>
      <w:hyperlink r:id="rId32" w:history="1">
        <w:r w:rsidRPr="00E2112D">
          <w:rPr>
            <w:rStyle w:val="Hyperlink"/>
          </w:rPr>
          <w:t>https://doi.org/10.1093/biomet/70.1.41</w:t>
        </w:r>
      </w:hyperlink>
      <w:r>
        <w:t xml:space="preserve"> </w:t>
      </w:r>
    </w:p>
    <w:p w14:paraId="6E5286AC" w14:textId="74BD8B4B" w:rsidR="00476D28" w:rsidRPr="00476D28" w:rsidRDefault="00476D28" w:rsidP="00476D28">
      <w:r w:rsidRPr="00476D28">
        <w:t xml:space="preserve">Schmitz, J., &amp; Schrader, J. (2015). Corporate social responsibility: A microeconomic explanation for CSR behavior. </w:t>
      </w:r>
      <w:r w:rsidRPr="00476D28">
        <w:rPr>
          <w:i/>
          <w:iCs/>
        </w:rPr>
        <w:t>Business Ethics: A European Review, 24</w:t>
      </w:r>
      <w:r w:rsidRPr="00476D28">
        <w:t xml:space="preserve">(3), 326–341. </w:t>
      </w:r>
      <w:hyperlink r:id="rId33" w:history="1">
        <w:r w:rsidRPr="00476D28">
          <w:rPr>
            <w:rStyle w:val="Hyperlink"/>
          </w:rPr>
          <w:t>https://doi.org/10.1111/beer.12088</w:t>
        </w:r>
      </w:hyperlink>
      <w:r w:rsidRPr="00476D28">
        <w:t xml:space="preserve"> </w:t>
      </w:r>
    </w:p>
    <w:p w14:paraId="5E57F3B9" w14:textId="77777777" w:rsidR="00476D28" w:rsidRPr="006C2B2E" w:rsidRDefault="00476D28" w:rsidP="006C2B2E">
      <w:r w:rsidRPr="006C2B2E">
        <w:t xml:space="preserve">Seele, P., &amp; Gatti, L. (2017). Greenwashing revisited: In search of a typology and accusation‐based definition incorporating legitimacy strategies. </w:t>
      </w:r>
      <w:r w:rsidRPr="006C2B2E">
        <w:rPr>
          <w:rStyle w:val="Nadruk"/>
        </w:rPr>
        <w:t>Business Strategy and the Environment</w:t>
      </w:r>
      <w:r w:rsidRPr="006C2B2E">
        <w:t xml:space="preserve">, 26(2), 239–252. </w:t>
      </w:r>
      <w:hyperlink r:id="rId34" w:history="1">
        <w:r w:rsidRPr="00E2112D">
          <w:rPr>
            <w:rStyle w:val="Hyperlink"/>
          </w:rPr>
          <w:t>https://doi.org/10.1002/bse.1912</w:t>
        </w:r>
      </w:hyperlink>
      <w:r>
        <w:t xml:space="preserve"> </w:t>
      </w:r>
    </w:p>
    <w:p w14:paraId="6F2DF04C" w14:textId="77777777" w:rsidR="00476D28" w:rsidRPr="006C2B2E" w:rsidRDefault="00476D28" w:rsidP="006C2B2E">
      <w:r w:rsidRPr="006C2B2E">
        <w:t xml:space="preserve">Spence, M. (1973). Job market signaling. </w:t>
      </w:r>
      <w:r w:rsidRPr="006C2B2E">
        <w:rPr>
          <w:rStyle w:val="Nadruk"/>
        </w:rPr>
        <w:t>The Quarterly Journal of Economics</w:t>
      </w:r>
      <w:r w:rsidRPr="006C2B2E">
        <w:t xml:space="preserve">, 87(3), 355–374. </w:t>
      </w:r>
      <w:hyperlink r:id="rId35" w:history="1">
        <w:r w:rsidRPr="00E2112D">
          <w:rPr>
            <w:rStyle w:val="Hyperlink"/>
          </w:rPr>
          <w:t>https://doi.org/10.2307/1882010</w:t>
        </w:r>
      </w:hyperlink>
      <w:r>
        <w:t xml:space="preserve"> </w:t>
      </w:r>
    </w:p>
    <w:p w14:paraId="5068899F" w14:textId="77777777" w:rsidR="00476D28" w:rsidRDefault="00476D28" w:rsidP="00476D28">
      <w:pPr>
        <w:rPr>
          <w:rStyle w:val="Nadruk"/>
          <w:i w:val="0"/>
          <w:iCs w:val="0"/>
        </w:rPr>
      </w:pPr>
      <w:r w:rsidRPr="006C2B2E">
        <w:t xml:space="preserve">Walker, K., &amp; Wan, F. (2012). The harm of symbolic actions and greenwashing: Corporate actions and communications on environmental performance and their financial implications. </w:t>
      </w:r>
      <w:r>
        <w:rPr>
          <w:rStyle w:val="Nadruk"/>
        </w:rPr>
        <w:t>Journal of Business Ethics</w:t>
      </w:r>
      <w:r>
        <w:t xml:space="preserve">, 109(2), 227–242. </w:t>
      </w:r>
      <w:hyperlink r:id="rId36" w:history="1">
        <w:r w:rsidRPr="00E2112D">
          <w:rPr>
            <w:rStyle w:val="Hyperlink"/>
          </w:rPr>
          <w:t>https://doi.org/10.1007/s10551-011-1122-4</w:t>
        </w:r>
      </w:hyperlink>
      <w:r>
        <w:t xml:space="preserve"> </w:t>
      </w:r>
    </w:p>
    <w:p w14:paraId="557475E6" w14:textId="77777777" w:rsidR="00476D28" w:rsidRPr="00476D28" w:rsidRDefault="00476D28" w:rsidP="00476D28">
      <w:r w:rsidRPr="00476D28">
        <w:t xml:space="preserve">Weber, Y. (1996). Corporate culture fit and performance in mergers and acquisitions. </w:t>
      </w:r>
      <w:r w:rsidRPr="00476D28">
        <w:rPr>
          <w:i/>
          <w:iCs/>
        </w:rPr>
        <w:t>Human Relations, 49</w:t>
      </w:r>
      <w:r w:rsidRPr="00476D28">
        <w:t xml:space="preserve">(9), 1181–1202. </w:t>
      </w:r>
      <w:hyperlink r:id="rId37" w:history="1">
        <w:r w:rsidRPr="00E2112D">
          <w:rPr>
            <w:rStyle w:val="Hyperlink"/>
          </w:rPr>
          <w:t>https://doi.org/10.1177/001872679604900905</w:t>
        </w:r>
      </w:hyperlink>
      <w:r>
        <w:t xml:space="preserve"> </w:t>
      </w:r>
    </w:p>
    <w:p w14:paraId="6FDBC9ED" w14:textId="77777777" w:rsidR="00476D28" w:rsidRPr="00476D28" w:rsidRDefault="00476D28" w:rsidP="00476D28">
      <w:pPr>
        <w:rPr>
          <w:lang w:val="nl-NL"/>
        </w:rPr>
      </w:pPr>
      <w:r w:rsidRPr="00476D28">
        <w:t xml:space="preserve">Zyglidopoulos, S. C. (2002). The social and environmental responsibilities of multinationals: Evidence from the Brent Spar case. </w:t>
      </w:r>
      <w:r w:rsidRPr="00476D28">
        <w:rPr>
          <w:i/>
          <w:iCs/>
          <w:lang w:val="nl-NL"/>
        </w:rPr>
        <w:t>Journal of Business Ethics, 36</w:t>
      </w:r>
      <w:r w:rsidRPr="00476D28">
        <w:rPr>
          <w:lang w:val="nl-NL"/>
        </w:rPr>
        <w:t xml:space="preserve">(1–2), 141–151. </w:t>
      </w:r>
      <w:hyperlink r:id="rId38" w:history="1">
        <w:r w:rsidRPr="00E2112D">
          <w:rPr>
            <w:rStyle w:val="Hyperlink"/>
            <w:lang w:val="nl-NL"/>
          </w:rPr>
          <w:t>https://doi.org/10.1023/A:1014299720440</w:t>
        </w:r>
      </w:hyperlink>
      <w:r>
        <w:rPr>
          <w:lang w:val="nl-NL"/>
        </w:rPr>
        <w:t xml:space="preserve"> </w:t>
      </w:r>
    </w:p>
    <w:p w14:paraId="71477960" w14:textId="1D8CDDC7" w:rsidR="00702CAD" w:rsidRDefault="00702CAD">
      <w:pPr>
        <w:spacing w:line="240" w:lineRule="auto"/>
        <w:ind w:firstLine="0"/>
        <w:jc w:val="left"/>
      </w:pPr>
      <w:r>
        <w:br w:type="page"/>
      </w:r>
    </w:p>
    <w:p w14:paraId="4024DB82" w14:textId="15BCBC4E" w:rsidR="004D7199" w:rsidRDefault="00702CAD" w:rsidP="00702CAD">
      <w:pPr>
        <w:pStyle w:val="Kop1"/>
      </w:pPr>
      <w:bookmarkStart w:id="26" w:name="_Toc202218717"/>
      <w:r>
        <w:t>Appendices</w:t>
      </w:r>
      <w:bookmarkEnd w:id="26"/>
    </w:p>
    <w:p w14:paraId="3E7347B3" w14:textId="1D7B6ADC" w:rsidR="00702CAD" w:rsidRDefault="00702CAD" w:rsidP="00702CAD">
      <w:pPr>
        <w:pStyle w:val="Kop2"/>
      </w:pPr>
      <w:bookmarkStart w:id="27" w:name="_Toc202218718"/>
      <w:r>
        <w:t>Appendix A – Documentation of generative AI Usage</w:t>
      </w:r>
      <w:bookmarkEnd w:id="27"/>
    </w:p>
    <w:p w14:paraId="706DF722" w14:textId="090144C7" w:rsidR="00702CAD" w:rsidRDefault="00702CAD" w:rsidP="00702CAD">
      <w:r>
        <w:t>This appendix provides a detailed account of the use of Generative AI tools during the development and writing of this thesis. These tools were used to support coding, data analysis, and/or the refinement of language, ensuring clarity and precision in the presentation of findings. All outputs generated were critically evaluated and, where necessary, modified by myself to align with the objectives of this research.</w:t>
      </w:r>
    </w:p>
    <w:p w14:paraId="06D92A32" w14:textId="37325C50" w:rsidR="00702CAD" w:rsidRDefault="00702CAD" w:rsidP="00380B5F">
      <w:pPr>
        <w:ind w:left="202" w:firstLine="0"/>
      </w:pPr>
      <w:r>
        <w:t>Tools Used</w:t>
      </w:r>
    </w:p>
    <w:tbl>
      <w:tblPr>
        <w:tblStyle w:val="Tabelraster"/>
        <w:tblW w:w="0" w:type="auto"/>
        <w:tblInd w:w="2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9"/>
        <w:gridCol w:w="3066"/>
        <w:gridCol w:w="3069"/>
      </w:tblGrid>
      <w:tr w:rsidR="00380B5F" w14:paraId="7C2AD087" w14:textId="77777777" w:rsidTr="00380B5F">
        <w:tc>
          <w:tcPr>
            <w:tcW w:w="3132" w:type="dxa"/>
            <w:tcBorders>
              <w:bottom w:val="single" w:sz="18" w:space="0" w:color="auto"/>
            </w:tcBorders>
          </w:tcPr>
          <w:p w14:paraId="206ECBB3" w14:textId="3B7A9BAA" w:rsidR="00380B5F" w:rsidRDefault="00380B5F" w:rsidP="00380B5F">
            <w:pPr>
              <w:ind w:firstLine="0"/>
            </w:pPr>
            <w:r>
              <w:t>Tool</w:t>
            </w:r>
          </w:p>
        </w:tc>
        <w:tc>
          <w:tcPr>
            <w:tcW w:w="3132" w:type="dxa"/>
            <w:tcBorders>
              <w:bottom w:val="single" w:sz="18" w:space="0" w:color="auto"/>
            </w:tcBorders>
          </w:tcPr>
          <w:p w14:paraId="55894281" w14:textId="5C070AA4" w:rsidR="00380B5F" w:rsidRDefault="00380B5F" w:rsidP="00380B5F">
            <w:pPr>
              <w:ind w:firstLine="0"/>
            </w:pPr>
            <w:r>
              <w:t>Version</w:t>
            </w:r>
          </w:p>
        </w:tc>
        <w:tc>
          <w:tcPr>
            <w:tcW w:w="3132" w:type="dxa"/>
            <w:tcBorders>
              <w:bottom w:val="single" w:sz="18" w:space="0" w:color="auto"/>
            </w:tcBorders>
          </w:tcPr>
          <w:p w14:paraId="0DC93CB6" w14:textId="1131C77E" w:rsidR="00380B5F" w:rsidRDefault="00380B5F" w:rsidP="00380B5F">
            <w:pPr>
              <w:ind w:firstLine="0"/>
            </w:pPr>
            <w:r>
              <w:t>Provider</w:t>
            </w:r>
          </w:p>
        </w:tc>
      </w:tr>
      <w:tr w:rsidR="00380B5F" w14:paraId="5C0E9813" w14:textId="77777777" w:rsidTr="00380B5F">
        <w:tc>
          <w:tcPr>
            <w:tcW w:w="3132" w:type="dxa"/>
            <w:tcBorders>
              <w:top w:val="single" w:sz="18" w:space="0" w:color="auto"/>
            </w:tcBorders>
          </w:tcPr>
          <w:p w14:paraId="1F5ADDE0" w14:textId="51650C4D" w:rsidR="00380B5F" w:rsidRDefault="00380B5F" w:rsidP="00380B5F">
            <w:pPr>
              <w:ind w:firstLine="0"/>
            </w:pPr>
            <w:r>
              <w:t>ChatGPT</w:t>
            </w:r>
          </w:p>
        </w:tc>
        <w:tc>
          <w:tcPr>
            <w:tcW w:w="3132" w:type="dxa"/>
            <w:tcBorders>
              <w:top w:val="single" w:sz="18" w:space="0" w:color="auto"/>
            </w:tcBorders>
          </w:tcPr>
          <w:p w14:paraId="7BFE9F02" w14:textId="1914ED9D" w:rsidR="00380B5F" w:rsidRDefault="00380B5F" w:rsidP="00380B5F">
            <w:pPr>
              <w:ind w:firstLine="0"/>
            </w:pPr>
            <w:r>
              <w:t>GPT-4</w:t>
            </w:r>
          </w:p>
        </w:tc>
        <w:tc>
          <w:tcPr>
            <w:tcW w:w="3132" w:type="dxa"/>
            <w:tcBorders>
              <w:top w:val="single" w:sz="18" w:space="0" w:color="auto"/>
            </w:tcBorders>
          </w:tcPr>
          <w:p w14:paraId="7226F840" w14:textId="35837948" w:rsidR="00380B5F" w:rsidRDefault="00380B5F" w:rsidP="00380B5F">
            <w:pPr>
              <w:ind w:firstLine="0"/>
            </w:pPr>
            <w:r>
              <w:t>OpenAI</w:t>
            </w:r>
          </w:p>
        </w:tc>
      </w:tr>
    </w:tbl>
    <w:p w14:paraId="075C7A5C" w14:textId="77777777" w:rsidR="00380B5F" w:rsidRDefault="00380B5F" w:rsidP="00380B5F"/>
    <w:p w14:paraId="4B136DBA" w14:textId="3618FAC6" w:rsidR="00702CAD" w:rsidRDefault="00702CAD" w:rsidP="00380B5F">
      <w:pPr>
        <w:ind w:left="202" w:firstLine="0"/>
      </w:pPr>
      <w:r>
        <w:t>Scope of Use</w:t>
      </w:r>
      <w:r w:rsidR="00380B5F">
        <w:t>:</w:t>
      </w:r>
    </w:p>
    <w:p w14:paraId="762CFD66" w14:textId="5F47E90A" w:rsidR="00702CAD" w:rsidRDefault="00380B5F" w:rsidP="00380B5F">
      <w:pPr>
        <w:pStyle w:val="Lijstalinea"/>
        <w:numPr>
          <w:ilvl w:val="0"/>
          <w:numId w:val="38"/>
        </w:numPr>
      </w:pPr>
      <w:r>
        <w:t>Coding and Data Analysis</w:t>
      </w:r>
    </w:p>
    <w:p w14:paraId="51FC7EB2" w14:textId="77777777" w:rsidR="00380B5F" w:rsidRDefault="00380B5F" w:rsidP="00380B5F">
      <w:pPr>
        <w:pStyle w:val="Lijstalinea"/>
        <w:numPr>
          <w:ilvl w:val="0"/>
          <w:numId w:val="40"/>
        </w:numPr>
      </w:pPr>
      <w:r>
        <w:t>Tool: ChatGPT (GPT-4)</w:t>
      </w:r>
    </w:p>
    <w:p w14:paraId="5E9552F2" w14:textId="12436397" w:rsidR="00380B5F" w:rsidRDefault="00380B5F" w:rsidP="00380B5F">
      <w:pPr>
        <w:pStyle w:val="Lijstalinea"/>
        <w:numPr>
          <w:ilvl w:val="0"/>
          <w:numId w:val="40"/>
        </w:numPr>
      </w:pPr>
      <w:r>
        <w:t>Purpose: Generating initial code for analyzing a dataset on M&amp;A deals. Assisted with debugging errors in STATA scripts for regression analysis.</w:t>
      </w:r>
    </w:p>
    <w:p w14:paraId="219BF76A" w14:textId="0338940E" w:rsidR="00380B5F" w:rsidRDefault="00380B5F" w:rsidP="00380B5F">
      <w:pPr>
        <w:pStyle w:val="Lijstalinea"/>
        <w:numPr>
          <w:ilvl w:val="0"/>
          <w:numId w:val="40"/>
        </w:numPr>
      </w:pPr>
      <w:r>
        <w:t>My role: The AI suggestions were reviewed, adjusted, and integrated with original code to ensure correctness and alignment with the research question.</w:t>
      </w:r>
    </w:p>
    <w:p w14:paraId="776F6DC1" w14:textId="359CE852" w:rsidR="00380B5F" w:rsidRDefault="00380B5F" w:rsidP="00380B5F">
      <w:pPr>
        <w:pStyle w:val="Lijstalinea"/>
        <w:numPr>
          <w:ilvl w:val="0"/>
          <w:numId w:val="40"/>
        </w:numPr>
      </w:pPr>
      <w:r>
        <w:t>My reflection: AI helped me improve my coding in STATA. In a later stage in the analysis I was able to apply similar method without the help of the AI</w:t>
      </w:r>
    </w:p>
    <w:p w14:paraId="1CA5D9DE" w14:textId="4C747BF2" w:rsidR="00380B5F" w:rsidRDefault="00380B5F" w:rsidP="00380B5F">
      <w:pPr>
        <w:pStyle w:val="Lijstalinea"/>
        <w:numPr>
          <w:ilvl w:val="0"/>
          <w:numId w:val="41"/>
        </w:numPr>
      </w:pPr>
      <w:r>
        <w:t>Applied in Section: Chapter 4 and appendix B</w:t>
      </w:r>
    </w:p>
    <w:p w14:paraId="5F38CC77" w14:textId="0C365D4C" w:rsidR="00380B5F" w:rsidRDefault="00380B5F" w:rsidP="009D74B3">
      <w:pPr>
        <w:pStyle w:val="Lijstalinea"/>
        <w:numPr>
          <w:ilvl w:val="0"/>
          <w:numId w:val="38"/>
        </w:numPr>
      </w:pPr>
      <w:r>
        <w:t>Writing and Grammar Refinement</w:t>
      </w:r>
    </w:p>
    <w:p w14:paraId="3ABB8464" w14:textId="171B3300" w:rsidR="00380B5F" w:rsidRDefault="00380B5F" w:rsidP="00380B5F">
      <w:pPr>
        <w:pStyle w:val="Lijstalinea"/>
        <w:numPr>
          <w:ilvl w:val="0"/>
          <w:numId w:val="39"/>
        </w:numPr>
      </w:pPr>
      <w:r>
        <w:t>Tool: ChatGPT (GPT-4)</w:t>
      </w:r>
    </w:p>
    <w:p w14:paraId="1786C98A" w14:textId="0D682710" w:rsidR="00380B5F" w:rsidRDefault="00380B5F" w:rsidP="00380B5F">
      <w:pPr>
        <w:pStyle w:val="Lijstalinea"/>
        <w:numPr>
          <w:ilvl w:val="0"/>
          <w:numId w:val="39"/>
        </w:numPr>
      </w:pPr>
      <w:r>
        <w:t>Purpose: Improved clarity and fluency in writing. Suggestions were provided to restructure complex sentences in the literature review and discussion sections</w:t>
      </w:r>
    </w:p>
    <w:p w14:paraId="35343604" w14:textId="047A10B5" w:rsidR="00380B5F" w:rsidRDefault="00380B5F" w:rsidP="00380B5F">
      <w:pPr>
        <w:pStyle w:val="Lijstalinea"/>
        <w:numPr>
          <w:ilvl w:val="0"/>
          <w:numId w:val="39"/>
        </w:numPr>
      </w:pPr>
      <w:r>
        <w:t>My role: AI-generated suggestions were critically reviewed and revised before inclusion. No sections were directly copied verbatim without editing.</w:t>
      </w:r>
    </w:p>
    <w:p w14:paraId="4C462CB4" w14:textId="6DD5509C" w:rsidR="00380B5F" w:rsidRDefault="00380B5F" w:rsidP="00380B5F">
      <w:pPr>
        <w:pStyle w:val="Lijstalinea"/>
        <w:numPr>
          <w:ilvl w:val="0"/>
          <w:numId w:val="39"/>
        </w:numPr>
      </w:pPr>
      <w:r>
        <w:t>My reflection: AI helped me to better structure my text, and to be more concise in writing while expressing the same content</w:t>
      </w:r>
    </w:p>
    <w:p w14:paraId="4323364C" w14:textId="22F3A3F0" w:rsidR="00380B5F" w:rsidRDefault="00380B5F" w:rsidP="00380B5F">
      <w:pPr>
        <w:pStyle w:val="Lijstalinea"/>
        <w:numPr>
          <w:ilvl w:val="0"/>
          <w:numId w:val="39"/>
        </w:numPr>
      </w:pPr>
      <w:r>
        <w:t>Applied in Section: Chapter 1, Chapter 2, Chapter 3, Chapter 4, Chapter, 5</w:t>
      </w:r>
    </w:p>
    <w:p w14:paraId="324C54B2" w14:textId="0B0298D3" w:rsidR="00EA11DA" w:rsidRDefault="00EA11DA">
      <w:pPr>
        <w:spacing w:line="240" w:lineRule="auto"/>
        <w:ind w:firstLine="0"/>
        <w:jc w:val="left"/>
      </w:pPr>
      <w:r>
        <w:br w:type="page"/>
      </w:r>
    </w:p>
    <w:p w14:paraId="7DAD80FC" w14:textId="6E92750B" w:rsidR="00EA11DA" w:rsidRDefault="00EA11DA" w:rsidP="00EA11DA">
      <w:pPr>
        <w:pStyle w:val="Kop2"/>
      </w:pPr>
      <w:bookmarkStart w:id="28" w:name="_Toc202218719"/>
      <w:r>
        <w:t>Appendix B – Stata code</w:t>
      </w:r>
      <w:bookmarkEnd w:id="28"/>
    </w:p>
    <w:p w14:paraId="34FDB58C" w14:textId="77777777" w:rsidR="00E41D2B" w:rsidRDefault="00E41D2B" w:rsidP="00E41D2B">
      <w:r>
        <w:t xml:space="preserve">clear all </w:t>
      </w:r>
    </w:p>
    <w:p w14:paraId="042A8F8F" w14:textId="77777777" w:rsidR="00E41D2B" w:rsidRDefault="00E41D2B" w:rsidP="00E41D2B">
      <w:r>
        <w:t>set more off</w:t>
      </w:r>
    </w:p>
    <w:p w14:paraId="6FD2104D" w14:textId="77777777" w:rsidR="00E41D2B" w:rsidRDefault="00E41D2B" w:rsidP="00E41D2B"/>
    <w:p w14:paraId="68C85261" w14:textId="77777777" w:rsidR="00E41D2B" w:rsidRDefault="00E41D2B" w:rsidP="00E41D2B">
      <w:r>
        <w:t>**# Importing and merging off different data sets</w:t>
      </w:r>
    </w:p>
    <w:p w14:paraId="680D4F8B" w14:textId="77777777" w:rsidR="00E41D2B" w:rsidRDefault="00E41D2B" w:rsidP="00E41D2B">
      <w:r>
        <w:t>import excel using "MT25_LuukHendriks(S1036793)_Final_version.xlsx", sheet("Data1") firstrow clear</w:t>
      </w:r>
    </w:p>
    <w:p w14:paraId="61B16E72" w14:textId="77777777" w:rsidR="00E41D2B" w:rsidRDefault="00E41D2B" w:rsidP="00E41D2B"/>
    <w:p w14:paraId="6EE6FB48" w14:textId="77777777" w:rsidR="00E41D2B" w:rsidRDefault="00E41D2B" w:rsidP="00E41D2B">
      <w:r>
        <w:t>ds</w:t>
      </w:r>
    </w:p>
    <w:p w14:paraId="2E42DA44" w14:textId="77777777" w:rsidR="00E41D2B" w:rsidRDefault="00E41D2B" w:rsidP="00E41D2B">
      <w:r>
        <w:t>destring ESG*, replace ignore(",") force</w:t>
      </w:r>
    </w:p>
    <w:p w14:paraId="55BC25C3" w14:textId="77777777" w:rsidR="00E41D2B" w:rsidRDefault="00E41D2B" w:rsidP="00E41D2B">
      <w:r>
        <w:t>destring ESGCont*, replace ignore(",") force</w:t>
      </w:r>
    </w:p>
    <w:p w14:paraId="2E01997C" w14:textId="77777777" w:rsidR="00E41D2B" w:rsidRDefault="00E41D2B" w:rsidP="00E41D2B">
      <w:r>
        <w:t>destring ESGComb*, replace ignore(",") force</w:t>
      </w:r>
    </w:p>
    <w:p w14:paraId="0E69F641" w14:textId="77777777" w:rsidR="00E41D2B" w:rsidRDefault="00E41D2B" w:rsidP="00E41D2B">
      <w:r>
        <w:t>destring ENV**, replace ignore(",") force</w:t>
      </w:r>
    </w:p>
    <w:p w14:paraId="1218C4AD" w14:textId="77777777" w:rsidR="00E41D2B" w:rsidRDefault="00E41D2B" w:rsidP="00E41D2B">
      <w:r>
        <w:t>destring SOC**, replace ignore(",") force</w:t>
      </w:r>
    </w:p>
    <w:p w14:paraId="5B3DE901" w14:textId="77777777" w:rsidR="00E41D2B" w:rsidRDefault="00E41D2B" w:rsidP="00E41D2B">
      <w:r>
        <w:t>destring GOV**, replace ignore(",") force</w:t>
      </w:r>
    </w:p>
    <w:p w14:paraId="7120A221" w14:textId="77777777" w:rsidR="00E41D2B" w:rsidRDefault="00E41D2B" w:rsidP="00E41D2B"/>
    <w:p w14:paraId="0BF8B2DE" w14:textId="77777777" w:rsidR="00E41D2B" w:rsidRDefault="00E41D2B" w:rsidP="00E41D2B">
      <w:r>
        <w:t>reshape long ESG ENV SOC GOV ESGCont ESGComb, i(ISIN) j(year)</w:t>
      </w:r>
    </w:p>
    <w:p w14:paraId="5EF2B142" w14:textId="77777777" w:rsidR="00E41D2B" w:rsidRDefault="00E41D2B" w:rsidP="00E41D2B"/>
    <w:p w14:paraId="1F871D2D" w14:textId="77777777" w:rsidR="00E41D2B" w:rsidRDefault="00E41D2B" w:rsidP="00E41D2B">
      <w:r>
        <w:t>drop NAME DATEOFINCORPORATION TRBCECONSECNAME TRBCECONSECCODE TRBCBUSISECCODE TRBCBUSISECNAME TRBCINDGRPCODE TRBCINDUSTRYCODE TRBCINDGRPNAME TRBCINDUSTRYNAME ACTIVITYCODE ACTIVITYNAME</w:t>
      </w:r>
    </w:p>
    <w:p w14:paraId="1D7705EA" w14:textId="77777777" w:rsidR="00E41D2B" w:rsidRDefault="00E41D2B" w:rsidP="00E41D2B"/>
    <w:p w14:paraId="7A2AAF2E" w14:textId="77777777" w:rsidR="00E41D2B" w:rsidRDefault="00E41D2B" w:rsidP="00E41D2B">
      <w:r>
        <w:t>save esg_long.dta, replace</w:t>
      </w:r>
    </w:p>
    <w:p w14:paraId="528F7B5C" w14:textId="77777777" w:rsidR="00E41D2B" w:rsidRDefault="00E41D2B" w:rsidP="00E41D2B"/>
    <w:p w14:paraId="657C57CE" w14:textId="77777777" w:rsidR="00E41D2B" w:rsidRDefault="00E41D2B" w:rsidP="00E41D2B">
      <w:r>
        <w:t>import excel using "MT25_LuukHendriks(S1036793)_Final_version.xlsx", sheet("Data2") firstrow clear</w:t>
      </w:r>
    </w:p>
    <w:p w14:paraId="6E415C70" w14:textId="77777777" w:rsidR="00E41D2B" w:rsidRDefault="00E41D2B" w:rsidP="00E41D2B"/>
    <w:p w14:paraId="5C843663" w14:textId="77777777" w:rsidR="00E41D2B" w:rsidRDefault="00E41D2B" w:rsidP="00E41D2B">
      <w:r>
        <w:t>rename DealNumber deal_id</w:t>
      </w:r>
    </w:p>
    <w:p w14:paraId="57275DFD" w14:textId="77777777" w:rsidR="00E41D2B" w:rsidRDefault="00E41D2B" w:rsidP="00E41D2B">
      <w:r>
        <w:t>rename TargetISIN~r target_ISIN</w:t>
      </w:r>
    </w:p>
    <w:p w14:paraId="1C4D8D93" w14:textId="77777777" w:rsidR="00E41D2B" w:rsidRDefault="00E41D2B" w:rsidP="00E41D2B">
      <w:r>
        <w:t>rename Completedd~e completed_date</w:t>
      </w:r>
    </w:p>
    <w:p w14:paraId="663D11FF" w14:textId="77777777" w:rsidR="00E41D2B" w:rsidRDefault="00E41D2B" w:rsidP="00E41D2B">
      <w:r>
        <w:t>rename AcquirorIS~r acquiror_ISIN</w:t>
      </w:r>
    </w:p>
    <w:p w14:paraId="4FE85C6C" w14:textId="77777777" w:rsidR="00E41D2B" w:rsidRDefault="00E41D2B" w:rsidP="00E41D2B">
      <w:r>
        <w:t>rename Targetname target_name</w:t>
      </w:r>
    </w:p>
    <w:p w14:paraId="202E6D95" w14:textId="77777777" w:rsidR="00E41D2B" w:rsidRDefault="00E41D2B" w:rsidP="00E41D2B">
      <w:r>
        <w:t>rename Dealvaluet~D deal_value_usd</w:t>
      </w:r>
    </w:p>
    <w:p w14:paraId="302EB882" w14:textId="77777777" w:rsidR="00E41D2B" w:rsidRDefault="00E41D2B" w:rsidP="00E41D2B">
      <w:r>
        <w:t>rename Dealtype deal_type</w:t>
      </w:r>
    </w:p>
    <w:p w14:paraId="0B6922BB" w14:textId="77777777" w:rsidR="00E41D2B" w:rsidRDefault="00E41D2B" w:rsidP="00E41D2B">
      <w:r>
        <w:t>rename Dealstatus deal_status</w:t>
      </w:r>
    </w:p>
    <w:p w14:paraId="5B6608B1" w14:textId="77777777" w:rsidR="00E41D2B" w:rsidRDefault="00E41D2B" w:rsidP="00E41D2B">
      <w:r>
        <w:t>rename Targetcoun~e target_country</w:t>
      </w:r>
    </w:p>
    <w:p w14:paraId="7468674F" w14:textId="77777777" w:rsidR="00E41D2B" w:rsidRDefault="00E41D2B" w:rsidP="00E41D2B"/>
    <w:p w14:paraId="645028F3" w14:textId="77777777" w:rsidR="00E41D2B" w:rsidRDefault="00E41D2B" w:rsidP="00E41D2B">
      <w:r>
        <w:t xml:space="preserve">drop A Acquirorname target_name deal_type deal_status Announceddate O </w:t>
      </w:r>
    </w:p>
    <w:p w14:paraId="723FD7CD" w14:textId="77777777" w:rsidR="00E41D2B" w:rsidRDefault="00E41D2B" w:rsidP="00E41D2B"/>
    <w:p w14:paraId="1646D866" w14:textId="77777777" w:rsidR="00E41D2B" w:rsidRDefault="00E41D2B" w:rsidP="00E41D2B">
      <w:r>
        <w:t>gen year = .</w:t>
      </w:r>
    </w:p>
    <w:p w14:paraId="36E87D86" w14:textId="77777777" w:rsidR="00E41D2B" w:rsidRDefault="00E41D2B" w:rsidP="00E41D2B">
      <w:r>
        <w:t>expand 23</w:t>
      </w:r>
    </w:p>
    <w:p w14:paraId="10244790" w14:textId="77777777" w:rsidR="00E41D2B" w:rsidRDefault="00E41D2B" w:rsidP="00E41D2B">
      <w:r>
        <w:t>bysort deal_id (year): gen year_offset = _n - 1</w:t>
      </w:r>
    </w:p>
    <w:p w14:paraId="5ADA1689" w14:textId="77777777" w:rsidR="00E41D2B" w:rsidRDefault="00E41D2B" w:rsidP="00E41D2B">
      <w:r>
        <w:t>gen year_full = 2002 + year_offset</w:t>
      </w:r>
    </w:p>
    <w:p w14:paraId="7B9F5A96" w14:textId="77777777" w:rsidR="00E41D2B" w:rsidRDefault="00E41D2B" w:rsidP="00E41D2B">
      <w:r>
        <w:t>drop year_offset year</w:t>
      </w:r>
    </w:p>
    <w:p w14:paraId="2B631E03" w14:textId="77777777" w:rsidR="00E41D2B" w:rsidRDefault="00E41D2B" w:rsidP="00E41D2B">
      <w:r>
        <w:t>rename year_full year</w:t>
      </w:r>
    </w:p>
    <w:p w14:paraId="148313C3" w14:textId="77777777" w:rsidR="00E41D2B" w:rsidRDefault="00E41D2B" w:rsidP="00E41D2B"/>
    <w:p w14:paraId="0399DBF0" w14:textId="77777777" w:rsidR="00E41D2B" w:rsidRDefault="00E41D2B" w:rsidP="00E41D2B">
      <w:r>
        <w:t>save deals_panel.dta, replace</w:t>
      </w:r>
    </w:p>
    <w:p w14:paraId="40972D3A" w14:textId="77777777" w:rsidR="00E41D2B" w:rsidRDefault="00E41D2B" w:rsidP="00E41D2B"/>
    <w:p w14:paraId="02AED5E7" w14:textId="77777777" w:rsidR="00E41D2B" w:rsidRDefault="00E41D2B" w:rsidP="00E41D2B">
      <w:r>
        <w:t>use esg_long.dta, clear</w:t>
      </w:r>
    </w:p>
    <w:p w14:paraId="0850AB81" w14:textId="77777777" w:rsidR="00E41D2B" w:rsidRDefault="00E41D2B" w:rsidP="00E41D2B">
      <w:r>
        <w:t>gen ESG_original = ESG</w:t>
      </w:r>
    </w:p>
    <w:p w14:paraId="19D02A44" w14:textId="77777777" w:rsidR="00E41D2B" w:rsidRDefault="00E41D2B" w:rsidP="00E41D2B">
      <w:r>
        <w:t>rename ESG ESG_target</w:t>
      </w:r>
    </w:p>
    <w:p w14:paraId="61F2383A" w14:textId="77777777" w:rsidR="00E41D2B" w:rsidRDefault="00E41D2B" w:rsidP="00E41D2B">
      <w:r>
        <w:t>rename ENV ENV_target</w:t>
      </w:r>
    </w:p>
    <w:p w14:paraId="2463E93E" w14:textId="77777777" w:rsidR="00E41D2B" w:rsidRDefault="00E41D2B" w:rsidP="00E41D2B">
      <w:r>
        <w:t>rename SOC SOC_target</w:t>
      </w:r>
    </w:p>
    <w:p w14:paraId="27F7BB5A" w14:textId="77777777" w:rsidR="00E41D2B" w:rsidRDefault="00E41D2B" w:rsidP="00E41D2B">
      <w:r>
        <w:t>rename GOV GOV_target</w:t>
      </w:r>
    </w:p>
    <w:p w14:paraId="65DB3EA4" w14:textId="77777777" w:rsidR="00E41D2B" w:rsidRDefault="00E41D2B" w:rsidP="00E41D2B">
      <w:r>
        <w:t>save esg_target.dta, replace</w:t>
      </w:r>
    </w:p>
    <w:p w14:paraId="26FEF657" w14:textId="77777777" w:rsidR="00E41D2B" w:rsidRDefault="00E41D2B" w:rsidP="00E41D2B"/>
    <w:p w14:paraId="1E3D3C80" w14:textId="77777777" w:rsidR="00E41D2B" w:rsidRDefault="00E41D2B" w:rsidP="00E41D2B">
      <w:r>
        <w:t>use esg_long.dta, clear</w:t>
      </w:r>
    </w:p>
    <w:p w14:paraId="2E46CC9F" w14:textId="77777777" w:rsidR="00E41D2B" w:rsidRDefault="00E41D2B" w:rsidP="00E41D2B">
      <w:r>
        <w:t>rename ESG ESG_acq</w:t>
      </w:r>
    </w:p>
    <w:p w14:paraId="6D24CC98" w14:textId="77777777" w:rsidR="00E41D2B" w:rsidRDefault="00E41D2B" w:rsidP="00E41D2B">
      <w:r>
        <w:t>rename ENV ENV_acq</w:t>
      </w:r>
    </w:p>
    <w:p w14:paraId="37C9E572" w14:textId="77777777" w:rsidR="00E41D2B" w:rsidRDefault="00E41D2B" w:rsidP="00E41D2B">
      <w:r>
        <w:t>rename SOC SOC_acq</w:t>
      </w:r>
    </w:p>
    <w:p w14:paraId="57741490" w14:textId="77777777" w:rsidR="00E41D2B" w:rsidRDefault="00E41D2B" w:rsidP="00E41D2B">
      <w:r>
        <w:t>rename GOV GOV_acq</w:t>
      </w:r>
    </w:p>
    <w:p w14:paraId="1B45C376" w14:textId="77777777" w:rsidR="00E41D2B" w:rsidRDefault="00E41D2B" w:rsidP="00E41D2B">
      <w:r>
        <w:t>save esg_acq.dta, replace</w:t>
      </w:r>
    </w:p>
    <w:p w14:paraId="5E6855F7" w14:textId="77777777" w:rsidR="00E41D2B" w:rsidRDefault="00E41D2B" w:rsidP="00E41D2B"/>
    <w:p w14:paraId="63B6C53C" w14:textId="77777777" w:rsidR="00E41D2B" w:rsidRDefault="00E41D2B" w:rsidP="00E41D2B">
      <w:r>
        <w:t>use deals_panel.dta, clear</w:t>
      </w:r>
    </w:p>
    <w:p w14:paraId="75B98D33" w14:textId="77777777" w:rsidR="00E41D2B" w:rsidRDefault="00E41D2B" w:rsidP="00E41D2B">
      <w:r>
        <w:t>rename target_ISIN ISIN</w:t>
      </w:r>
    </w:p>
    <w:p w14:paraId="6A6AC7C6" w14:textId="77777777" w:rsidR="00E41D2B" w:rsidRDefault="00E41D2B" w:rsidP="00E41D2B">
      <w:r>
        <w:t>merge m:1 ISIN year using esg_target.dta</w:t>
      </w:r>
    </w:p>
    <w:p w14:paraId="1D7EE6A6" w14:textId="77777777" w:rsidR="00E41D2B" w:rsidRDefault="00E41D2B" w:rsidP="00E41D2B">
      <w:r>
        <w:t>rename ISIN target_ISIN</w:t>
      </w:r>
    </w:p>
    <w:p w14:paraId="2863417A" w14:textId="77777777" w:rsidR="00E41D2B" w:rsidRDefault="00E41D2B" w:rsidP="00E41D2B">
      <w:r>
        <w:t>drop _merge</w:t>
      </w:r>
    </w:p>
    <w:p w14:paraId="02D3B0A1" w14:textId="77777777" w:rsidR="00E41D2B" w:rsidRDefault="00E41D2B" w:rsidP="00E41D2B"/>
    <w:p w14:paraId="0E2BB2A9" w14:textId="77777777" w:rsidR="00E41D2B" w:rsidRDefault="00E41D2B" w:rsidP="00E41D2B">
      <w:r>
        <w:t>save target_esg_merged.dta, replace</w:t>
      </w:r>
    </w:p>
    <w:p w14:paraId="3D71AA48" w14:textId="77777777" w:rsidR="00E41D2B" w:rsidRDefault="00E41D2B" w:rsidP="00E41D2B"/>
    <w:p w14:paraId="4C9E4F11" w14:textId="77777777" w:rsidR="00E41D2B" w:rsidRDefault="00E41D2B" w:rsidP="00E41D2B">
      <w:r>
        <w:t>use target_esg_merged.dta, clear</w:t>
      </w:r>
    </w:p>
    <w:p w14:paraId="704C20E1" w14:textId="77777777" w:rsidR="00E41D2B" w:rsidRDefault="00E41D2B" w:rsidP="00E41D2B"/>
    <w:p w14:paraId="3396528C" w14:textId="77777777" w:rsidR="00E41D2B" w:rsidRDefault="00E41D2B" w:rsidP="00E41D2B">
      <w:r>
        <w:t>rename acquiror_ISIN ISIN</w:t>
      </w:r>
    </w:p>
    <w:p w14:paraId="28E9939C" w14:textId="77777777" w:rsidR="00E41D2B" w:rsidRDefault="00E41D2B" w:rsidP="00E41D2B">
      <w:r>
        <w:t>merge m:m ISIN year using esg_acq.dta</w:t>
      </w:r>
    </w:p>
    <w:p w14:paraId="23D09DD7" w14:textId="77777777" w:rsidR="00E41D2B" w:rsidRDefault="00E41D2B" w:rsidP="00E41D2B">
      <w:r>
        <w:t>rename ISIN acquiror_ISIN</w:t>
      </w:r>
    </w:p>
    <w:p w14:paraId="1544169A" w14:textId="77777777" w:rsidR="00E41D2B" w:rsidRDefault="00E41D2B" w:rsidP="00E41D2B">
      <w:r>
        <w:t>drop _merge</w:t>
      </w:r>
    </w:p>
    <w:p w14:paraId="7023CF16" w14:textId="77777777" w:rsidR="00E41D2B" w:rsidRDefault="00E41D2B" w:rsidP="00E41D2B"/>
    <w:p w14:paraId="28CC613A" w14:textId="77777777" w:rsidR="00E41D2B" w:rsidRDefault="00E41D2B" w:rsidP="00E41D2B">
      <w:r>
        <w:t xml:space="preserve">save esg_merged.dta, replace </w:t>
      </w:r>
    </w:p>
    <w:p w14:paraId="43BAA6A4" w14:textId="77777777" w:rsidR="00E41D2B" w:rsidRDefault="00E41D2B" w:rsidP="00E41D2B"/>
    <w:p w14:paraId="6A97C0BC" w14:textId="77777777" w:rsidR="00E41D2B" w:rsidRDefault="00E41D2B" w:rsidP="00E41D2B">
      <w:r>
        <w:t>drop if missing(ESG_target)</w:t>
      </w:r>
    </w:p>
    <w:p w14:paraId="5AC9E05C" w14:textId="77777777" w:rsidR="00E41D2B" w:rsidRDefault="00E41D2B" w:rsidP="00E41D2B">
      <w:r>
        <w:t>drop if missing(ESG_acq)</w:t>
      </w:r>
    </w:p>
    <w:p w14:paraId="0DB11120" w14:textId="77777777" w:rsidR="00E41D2B" w:rsidRDefault="00E41D2B" w:rsidP="00E41D2B">
      <w:r>
        <w:t>drop if missing(completed_date)</w:t>
      </w:r>
    </w:p>
    <w:p w14:paraId="5CEABB16" w14:textId="77777777" w:rsidR="00E41D2B" w:rsidRDefault="00E41D2B" w:rsidP="00E41D2B">
      <w:r>
        <w:t>sort deal_id year</w:t>
      </w:r>
    </w:p>
    <w:p w14:paraId="34181941" w14:textId="77777777" w:rsidR="00E41D2B" w:rsidRDefault="00E41D2B" w:rsidP="00E41D2B"/>
    <w:p w14:paraId="1B8D996C" w14:textId="77777777" w:rsidR="00E41D2B" w:rsidRDefault="00E41D2B" w:rsidP="00E41D2B">
      <w:r>
        <w:t>gen completed_year = year(completed_date)</w:t>
      </w:r>
    </w:p>
    <w:p w14:paraId="224390AA" w14:textId="77777777" w:rsidR="00E41D2B" w:rsidRDefault="00E41D2B" w:rsidP="00E41D2B">
      <w:r>
        <w:t>save esg_merged.dta, replace</w:t>
      </w:r>
    </w:p>
    <w:p w14:paraId="151187BA" w14:textId="77777777" w:rsidR="00E41D2B" w:rsidRDefault="00E41D2B" w:rsidP="00E41D2B"/>
    <w:p w14:paraId="5C90A65D" w14:textId="77777777" w:rsidR="00E41D2B" w:rsidRDefault="00E41D2B" w:rsidP="00E41D2B">
      <w:r>
        <w:t>import excel using "MT25_LuukHendriks(S1036793)_Final_version.xlsx", sheet("Data3") firstrow clear</w:t>
      </w:r>
    </w:p>
    <w:p w14:paraId="344B15AD" w14:textId="77777777" w:rsidR="00E41D2B" w:rsidRDefault="00E41D2B" w:rsidP="00E41D2B"/>
    <w:p w14:paraId="3F8B6A29" w14:textId="77777777" w:rsidR="00E41D2B" w:rsidRDefault="00E41D2B" w:rsidP="00E41D2B">
      <w:r>
        <w:t>ds</w:t>
      </w:r>
    </w:p>
    <w:p w14:paraId="62747857" w14:textId="77777777" w:rsidR="00E41D2B" w:rsidRDefault="00E41D2B" w:rsidP="00E41D2B">
      <w:r>
        <w:t>destring Inv*, replace ignore(",") force</w:t>
      </w:r>
    </w:p>
    <w:p w14:paraId="29398C74" w14:textId="77777777" w:rsidR="00E41D2B" w:rsidRDefault="00E41D2B" w:rsidP="00E41D2B">
      <w:r>
        <w:t>destring Emi*, replace ignore(",") force</w:t>
      </w:r>
    </w:p>
    <w:p w14:paraId="1FCE18BB" w14:textId="77777777" w:rsidR="00E41D2B" w:rsidRDefault="00E41D2B" w:rsidP="00E41D2B">
      <w:r>
        <w:t>destring Ene*, replace ignore(",") force</w:t>
      </w:r>
    </w:p>
    <w:p w14:paraId="40978890" w14:textId="77777777" w:rsidR="00E41D2B" w:rsidRDefault="00E41D2B" w:rsidP="00E41D2B">
      <w:r>
        <w:t>destring Wat*, replace ignore(",") force</w:t>
      </w:r>
    </w:p>
    <w:p w14:paraId="105ED2DC" w14:textId="77777777" w:rsidR="00E41D2B" w:rsidRDefault="00E41D2B" w:rsidP="00E41D2B">
      <w:r>
        <w:t>destring Was*, replace ignore(",") force</w:t>
      </w:r>
    </w:p>
    <w:p w14:paraId="20CBED88" w14:textId="77777777" w:rsidR="00E41D2B" w:rsidRDefault="00E41D2B" w:rsidP="00E41D2B">
      <w:r>
        <w:t>destring los*, replace ignore(",") force</w:t>
      </w:r>
    </w:p>
    <w:p w14:paraId="4A64494E" w14:textId="77777777" w:rsidR="00E41D2B" w:rsidRDefault="00E41D2B" w:rsidP="00E41D2B">
      <w:r>
        <w:t>destring Temp*, replace ignore(",") force</w:t>
      </w:r>
    </w:p>
    <w:p w14:paraId="045D1972" w14:textId="77777777" w:rsidR="00E41D2B" w:rsidRDefault="00E41D2B" w:rsidP="00E41D2B">
      <w:r>
        <w:t>destring tra*, replace ignore(",") force</w:t>
      </w:r>
    </w:p>
    <w:p w14:paraId="02A5D14E" w14:textId="77777777" w:rsidR="00E41D2B" w:rsidRDefault="00E41D2B" w:rsidP="00E41D2B">
      <w:r>
        <w:t>destring lev*, replace ignore(",") force</w:t>
      </w:r>
    </w:p>
    <w:p w14:paraId="2E5B5B3A" w14:textId="77777777" w:rsidR="00E41D2B" w:rsidRDefault="00E41D2B" w:rsidP="00E41D2B">
      <w:r>
        <w:t>destring ROA*, replace ignore(",") force</w:t>
      </w:r>
    </w:p>
    <w:p w14:paraId="01C79B44" w14:textId="77777777" w:rsidR="00E41D2B" w:rsidRDefault="00E41D2B" w:rsidP="00E41D2B">
      <w:r>
        <w:t>destring emp*, replace ignore(",") force</w:t>
      </w:r>
    </w:p>
    <w:p w14:paraId="619C25FD" w14:textId="77777777" w:rsidR="00E41D2B" w:rsidRDefault="00E41D2B" w:rsidP="00E41D2B"/>
    <w:p w14:paraId="3E6A5426" w14:textId="77777777" w:rsidR="00E41D2B" w:rsidRDefault="00E41D2B" w:rsidP="00E41D2B">
      <w:r>
        <w:t>drop if strpos(ISIN, "$$") &gt; 0</w:t>
      </w:r>
    </w:p>
    <w:p w14:paraId="102AFC3E" w14:textId="77777777" w:rsidR="00E41D2B" w:rsidRDefault="00E41D2B" w:rsidP="00E41D2B">
      <w:r>
        <w:t>duplicates report ISIN</w:t>
      </w:r>
    </w:p>
    <w:p w14:paraId="5C1B801B" w14:textId="77777777" w:rsidR="00E41D2B" w:rsidRDefault="00E41D2B" w:rsidP="00E41D2B">
      <w:r>
        <w:t>duplicates list ISIN</w:t>
      </w:r>
    </w:p>
    <w:p w14:paraId="260E84BF" w14:textId="77777777" w:rsidR="00E41D2B" w:rsidRDefault="00E41D2B" w:rsidP="00E41D2B">
      <w:r>
        <w:t>duplicates drop ISIN, force</w:t>
      </w:r>
    </w:p>
    <w:p w14:paraId="16074D4F" w14:textId="77777777" w:rsidR="00E41D2B" w:rsidRDefault="00E41D2B" w:rsidP="00E41D2B"/>
    <w:p w14:paraId="312D92D6" w14:textId="77777777" w:rsidR="00E41D2B" w:rsidRDefault="00E41D2B" w:rsidP="00E41D2B">
      <w:r>
        <w:t>reshape long Inv Emi Ene Wat Was los Temp tra lev ROA emp, i(ISIN) j(year)</w:t>
      </w:r>
    </w:p>
    <w:p w14:paraId="3C66EBFE" w14:textId="77777777" w:rsidR="00E41D2B" w:rsidRDefault="00E41D2B" w:rsidP="00E41D2B"/>
    <w:p w14:paraId="5378375B" w14:textId="77777777" w:rsidR="00E41D2B" w:rsidRPr="00E41D2B" w:rsidRDefault="00E41D2B" w:rsidP="00E41D2B">
      <w:pPr>
        <w:rPr>
          <w:lang w:val="nl-NL"/>
        </w:rPr>
      </w:pPr>
      <w:r w:rsidRPr="00E41D2B">
        <w:rPr>
          <w:lang w:val="nl-NL"/>
        </w:rPr>
        <w:t>drop Inv Emi Ene Wat Was los Temp tra emp</w:t>
      </w:r>
    </w:p>
    <w:p w14:paraId="45F06DDB" w14:textId="77777777" w:rsidR="00E41D2B" w:rsidRPr="00E41D2B" w:rsidRDefault="00E41D2B" w:rsidP="00E41D2B">
      <w:pPr>
        <w:rPr>
          <w:lang w:val="nl-NL"/>
        </w:rPr>
      </w:pPr>
    </w:p>
    <w:p w14:paraId="33B3558F" w14:textId="77777777" w:rsidR="00E41D2B" w:rsidRDefault="00E41D2B" w:rsidP="00E41D2B">
      <w:r>
        <w:t>save ope_long.dta, replace</w:t>
      </w:r>
    </w:p>
    <w:p w14:paraId="01E6111D" w14:textId="77777777" w:rsidR="00E41D2B" w:rsidRDefault="00E41D2B" w:rsidP="00E41D2B"/>
    <w:p w14:paraId="722B47EB" w14:textId="77777777" w:rsidR="00E41D2B" w:rsidRDefault="00E41D2B" w:rsidP="00E41D2B">
      <w:r>
        <w:t>use esg_merged.dta, clear</w:t>
      </w:r>
    </w:p>
    <w:p w14:paraId="01730008" w14:textId="77777777" w:rsidR="00E41D2B" w:rsidRDefault="00E41D2B" w:rsidP="00E41D2B"/>
    <w:p w14:paraId="33D4EE7A" w14:textId="77777777" w:rsidR="00E41D2B" w:rsidRDefault="00E41D2B" w:rsidP="00E41D2B">
      <w:r>
        <w:t>rename acquiror_ISIN ISIN</w:t>
      </w:r>
    </w:p>
    <w:p w14:paraId="0ACD8150" w14:textId="77777777" w:rsidR="00E41D2B" w:rsidRDefault="00E41D2B" w:rsidP="00E41D2B">
      <w:r>
        <w:t>merge m:m ISIN year using ope_long.dta</w:t>
      </w:r>
    </w:p>
    <w:p w14:paraId="08E68184" w14:textId="77777777" w:rsidR="00E41D2B" w:rsidRDefault="00E41D2B" w:rsidP="00E41D2B">
      <w:r>
        <w:t>rename ISIN acquiror_ISIN</w:t>
      </w:r>
    </w:p>
    <w:p w14:paraId="0E035D91" w14:textId="77777777" w:rsidR="00E41D2B" w:rsidRDefault="00E41D2B" w:rsidP="00E41D2B">
      <w:r>
        <w:t>drop _merge</w:t>
      </w:r>
    </w:p>
    <w:p w14:paraId="32292CC6" w14:textId="77777777" w:rsidR="00E41D2B" w:rsidRDefault="00E41D2B" w:rsidP="00E41D2B"/>
    <w:p w14:paraId="70A786C0" w14:textId="77777777" w:rsidR="00E41D2B" w:rsidRDefault="00E41D2B" w:rsidP="00E41D2B">
      <w:r>
        <w:t>drop if missing(deal_id)</w:t>
      </w:r>
    </w:p>
    <w:p w14:paraId="65E95BA3" w14:textId="77777777" w:rsidR="00E41D2B" w:rsidRDefault="00E41D2B" w:rsidP="00E41D2B"/>
    <w:p w14:paraId="446D6364" w14:textId="77777777" w:rsidR="00E41D2B" w:rsidRDefault="00E41D2B" w:rsidP="00E41D2B">
      <w:r>
        <w:t xml:space="preserve">drop ESGCont ESGComb ESG_original  </w:t>
      </w:r>
    </w:p>
    <w:p w14:paraId="338AD1BD" w14:textId="77777777" w:rsidR="00E41D2B" w:rsidRDefault="00E41D2B" w:rsidP="00E41D2B"/>
    <w:p w14:paraId="6F9D1467" w14:textId="77777777" w:rsidR="00E41D2B" w:rsidRDefault="00E41D2B" w:rsidP="00E41D2B">
      <w:r>
        <w:t>save total_merged.dta, replace</w:t>
      </w:r>
    </w:p>
    <w:p w14:paraId="78249DF7" w14:textId="77777777" w:rsidR="00E41D2B" w:rsidRDefault="00E41D2B" w:rsidP="00E41D2B">
      <w:r>
        <w:t>**# Bookmark #4</w:t>
      </w:r>
    </w:p>
    <w:p w14:paraId="2FCCF1F6" w14:textId="77777777" w:rsidR="00E41D2B" w:rsidRDefault="00E41D2B" w:rsidP="00E41D2B"/>
    <w:p w14:paraId="646B2D20" w14:textId="77777777" w:rsidR="00E41D2B" w:rsidRDefault="00E41D2B" w:rsidP="00E41D2B">
      <w:r>
        <w:t>import excel using "MT25_LuukHendriks(S1036793)_Final_version.xlsx", sheet("Data4") firstrow clear</w:t>
      </w:r>
    </w:p>
    <w:p w14:paraId="7EAF1EC1" w14:textId="77777777" w:rsidR="00E41D2B" w:rsidRDefault="00E41D2B" w:rsidP="00E41D2B"/>
    <w:p w14:paraId="1F3BD52A" w14:textId="77777777" w:rsidR="00E41D2B" w:rsidRDefault="00E41D2B" w:rsidP="00E41D2B">
      <w:r>
        <w:t>ds</w:t>
      </w:r>
    </w:p>
    <w:p w14:paraId="556D7A42" w14:textId="77777777" w:rsidR="00E41D2B" w:rsidRDefault="00E41D2B" w:rsidP="00E41D2B">
      <w:r>
        <w:t>destring ESG*, replace ignore(",") force</w:t>
      </w:r>
    </w:p>
    <w:p w14:paraId="63F8132F" w14:textId="77777777" w:rsidR="00E41D2B" w:rsidRDefault="00E41D2B" w:rsidP="00E41D2B">
      <w:r>
        <w:t>destring ENV*, replace ignore(",") force</w:t>
      </w:r>
    </w:p>
    <w:p w14:paraId="3F04F0C7" w14:textId="77777777" w:rsidR="00E41D2B" w:rsidRDefault="00E41D2B" w:rsidP="00E41D2B">
      <w:r>
        <w:t>destring SOC*, replace ignore(",") force</w:t>
      </w:r>
    </w:p>
    <w:p w14:paraId="3B95E20D" w14:textId="77777777" w:rsidR="00E41D2B" w:rsidRDefault="00E41D2B" w:rsidP="00E41D2B">
      <w:r>
        <w:t>destring GOV*, replace ignore(",") force</w:t>
      </w:r>
    </w:p>
    <w:p w14:paraId="000DEBD0" w14:textId="77777777" w:rsidR="00E41D2B" w:rsidRDefault="00E41D2B" w:rsidP="00E41D2B">
      <w:r>
        <w:t>destring TRESGCS*, replace ignore(",") force</w:t>
      </w:r>
    </w:p>
    <w:p w14:paraId="311C2AEF" w14:textId="77777777" w:rsidR="00E41D2B" w:rsidRDefault="00E41D2B" w:rsidP="00E41D2B">
      <w:r>
        <w:t>destring TRESGCCS*, replace ignore(",") force</w:t>
      </w:r>
    </w:p>
    <w:p w14:paraId="20A7D849" w14:textId="77777777" w:rsidR="00E41D2B" w:rsidRDefault="00E41D2B" w:rsidP="00E41D2B"/>
    <w:p w14:paraId="6221383E" w14:textId="77777777" w:rsidR="00E41D2B" w:rsidRDefault="00E41D2B" w:rsidP="00E41D2B">
      <w:r>
        <w:t>duplicates report ISIN</w:t>
      </w:r>
    </w:p>
    <w:p w14:paraId="2F77868E" w14:textId="77777777" w:rsidR="00E41D2B" w:rsidRDefault="00E41D2B" w:rsidP="00E41D2B">
      <w:r>
        <w:t>duplicates drop ISIN, force</w:t>
      </w:r>
    </w:p>
    <w:p w14:paraId="1771BBDF" w14:textId="77777777" w:rsidR="00E41D2B" w:rsidRDefault="00E41D2B" w:rsidP="00E41D2B"/>
    <w:p w14:paraId="01411C07" w14:textId="77777777" w:rsidR="00E41D2B" w:rsidRDefault="00E41D2B" w:rsidP="00E41D2B">
      <w:r>
        <w:t>reshape long ESG ENV SOC GOV TRESGCS TRESGCCS, i(ISIN) j(year)</w:t>
      </w:r>
    </w:p>
    <w:p w14:paraId="39DCECFE" w14:textId="77777777" w:rsidR="00E41D2B" w:rsidRDefault="00E41D2B" w:rsidP="00E41D2B"/>
    <w:p w14:paraId="6B7CABCE" w14:textId="77777777" w:rsidR="00E41D2B" w:rsidRDefault="00E41D2B" w:rsidP="00E41D2B">
      <w:r>
        <w:t>save esg_trend.dta, replace</w:t>
      </w:r>
    </w:p>
    <w:p w14:paraId="28D7F9D8" w14:textId="77777777" w:rsidR="00E41D2B" w:rsidRDefault="00E41D2B" w:rsidP="00E41D2B"/>
    <w:p w14:paraId="00989EA0" w14:textId="77777777" w:rsidR="00E41D2B" w:rsidRDefault="00E41D2B" w:rsidP="00E41D2B">
      <w:r>
        <w:t>import excel using "MT25_LuukHendriks(S1036793)_Final_version.xlsx", sheet("Data5") firstrow clear</w:t>
      </w:r>
    </w:p>
    <w:p w14:paraId="7A0A1AB7" w14:textId="77777777" w:rsidR="00E41D2B" w:rsidRDefault="00E41D2B" w:rsidP="00E41D2B"/>
    <w:p w14:paraId="70AFE054" w14:textId="77777777" w:rsidR="00E41D2B" w:rsidRDefault="00E41D2B" w:rsidP="00E41D2B">
      <w:r>
        <w:t>duplicates report ISIN</w:t>
      </w:r>
    </w:p>
    <w:p w14:paraId="263DFA04" w14:textId="77777777" w:rsidR="00E41D2B" w:rsidRDefault="00E41D2B" w:rsidP="00E41D2B">
      <w:r>
        <w:t>duplicates drop ISIN, force</w:t>
      </w:r>
    </w:p>
    <w:p w14:paraId="32AD3CE7" w14:textId="77777777" w:rsidR="00E41D2B" w:rsidRDefault="00E41D2B" w:rsidP="00E41D2B"/>
    <w:p w14:paraId="3B062E67" w14:textId="77777777" w:rsidR="00E41D2B" w:rsidRDefault="00E41D2B" w:rsidP="00E41D2B">
      <w:r>
        <w:t>save esg_trend2.dta, replace</w:t>
      </w:r>
    </w:p>
    <w:p w14:paraId="772F0001" w14:textId="77777777" w:rsidR="00E41D2B" w:rsidRDefault="00E41D2B" w:rsidP="00E41D2B"/>
    <w:p w14:paraId="6120175A" w14:textId="77777777" w:rsidR="00E41D2B" w:rsidRDefault="00E41D2B" w:rsidP="00E41D2B">
      <w:r>
        <w:t>use esg_trend, clear</w:t>
      </w:r>
    </w:p>
    <w:p w14:paraId="272CD49A" w14:textId="77777777" w:rsidR="00E41D2B" w:rsidRDefault="00E41D2B" w:rsidP="00E41D2B">
      <w:r>
        <w:t>merge m:1 ISIN using esg_trend2.dta</w:t>
      </w:r>
    </w:p>
    <w:p w14:paraId="7DE4E9EA" w14:textId="77777777" w:rsidR="00E41D2B" w:rsidRDefault="00E41D2B" w:rsidP="00E41D2B">
      <w:r>
        <w:t>drop _merge</w:t>
      </w:r>
    </w:p>
    <w:p w14:paraId="51EEAB45" w14:textId="77777777" w:rsidR="00E41D2B" w:rsidRDefault="00E41D2B" w:rsidP="00E41D2B">
      <w:r>
        <w:t>save esg_trend3.dta, replace</w:t>
      </w:r>
    </w:p>
    <w:p w14:paraId="4C2D5A3F" w14:textId="77777777" w:rsidR="00E41D2B" w:rsidRDefault="00E41D2B" w:rsidP="00E41D2B"/>
    <w:p w14:paraId="02EBF71C" w14:textId="77777777" w:rsidR="00E41D2B" w:rsidRDefault="00E41D2B" w:rsidP="00E41D2B"/>
    <w:p w14:paraId="3173A6F1" w14:textId="77777777" w:rsidR="00E41D2B" w:rsidRDefault="00E41D2B" w:rsidP="00E41D2B">
      <w:r>
        <w:t>use total_merged.dta, clear</w:t>
      </w:r>
    </w:p>
    <w:p w14:paraId="3CD8471E" w14:textId="77777777" w:rsidR="00E41D2B" w:rsidRDefault="00E41D2B" w:rsidP="00E41D2B">
      <w:r>
        <w:t>append using esg_trend3.dta</w:t>
      </w:r>
    </w:p>
    <w:p w14:paraId="502D1307" w14:textId="77777777" w:rsidR="00E41D2B" w:rsidRDefault="00E41D2B" w:rsidP="00E41D2B">
      <w:r>
        <w:t>save total_merged.dta, replace</w:t>
      </w:r>
    </w:p>
    <w:p w14:paraId="6C3FD82B" w14:textId="77777777" w:rsidR="00E41D2B" w:rsidRDefault="00E41D2B" w:rsidP="00E41D2B"/>
    <w:p w14:paraId="6854E7A6" w14:textId="77777777" w:rsidR="00E41D2B" w:rsidRDefault="00E41D2B" w:rsidP="00E41D2B">
      <w:r>
        <w:t>use total_merged.dta, clear</w:t>
      </w:r>
    </w:p>
    <w:p w14:paraId="1C47B93A" w14:textId="77777777" w:rsidR="00E41D2B" w:rsidRDefault="00E41D2B" w:rsidP="00E41D2B"/>
    <w:p w14:paraId="0699AB75" w14:textId="77777777" w:rsidR="00E41D2B" w:rsidRDefault="00E41D2B" w:rsidP="00E41D2B">
      <w:r>
        <w:t>**# Generating variables</w:t>
      </w:r>
    </w:p>
    <w:p w14:paraId="5053629F" w14:textId="77777777" w:rsidR="00E41D2B" w:rsidRDefault="00E41D2B" w:rsidP="00E41D2B">
      <w:r>
        <w:t>destring ROA, replace ignore(",") force</w:t>
      </w:r>
    </w:p>
    <w:p w14:paraId="29FB53AA" w14:textId="77777777" w:rsidR="00E41D2B" w:rsidRDefault="00E41D2B" w:rsidP="00E41D2B">
      <w:r>
        <w:t>destring lev, replace ignore(",") force</w:t>
      </w:r>
    </w:p>
    <w:p w14:paraId="29C57BCC" w14:textId="77777777" w:rsidR="00E41D2B" w:rsidRDefault="00E41D2B" w:rsidP="00E41D2B">
      <w:r>
        <w:t>destring Predealacquirormarketcapital, replace ignore(",") force</w:t>
      </w:r>
    </w:p>
    <w:p w14:paraId="182B0F30" w14:textId="77777777" w:rsidR="00E41D2B" w:rsidRDefault="00E41D2B" w:rsidP="00E41D2B"/>
    <w:p w14:paraId="46F26241" w14:textId="77777777" w:rsidR="00E41D2B" w:rsidRDefault="00E41D2B" w:rsidP="00E41D2B">
      <w:r>
        <w:t>replace deal_id = "0" if missing(deal_id)</w:t>
      </w:r>
    </w:p>
    <w:p w14:paraId="5BB02BD5" w14:textId="77777777" w:rsidR="00E41D2B" w:rsidRDefault="00E41D2B" w:rsidP="00E41D2B"/>
    <w:p w14:paraId="108E6A84" w14:textId="77777777" w:rsidR="00E41D2B" w:rsidRDefault="00E41D2B" w:rsidP="00E41D2B">
      <w:r>
        <w:t>sort ISIN year</w:t>
      </w:r>
    </w:p>
    <w:p w14:paraId="4298FF27" w14:textId="77777777" w:rsidR="00E41D2B" w:rsidRDefault="00E41D2B" w:rsidP="00E41D2B">
      <w:r>
        <w:t>gen ESG_lead_control = ESG[_n+1] if ISIN == ISIN[_n+1] &amp; deal_id == "0"</w:t>
      </w:r>
    </w:p>
    <w:p w14:paraId="028153AA" w14:textId="77777777" w:rsidR="00E41D2B" w:rsidRDefault="00E41D2B" w:rsidP="00E41D2B">
      <w:r>
        <w:t>gen ESG_lag_control  = ESG[_n-1] if ISIN == ISIN[_n-1] &amp; deal_id == "0"</w:t>
      </w:r>
    </w:p>
    <w:p w14:paraId="367341BA" w14:textId="77777777" w:rsidR="00E41D2B" w:rsidRDefault="00E41D2B" w:rsidP="00E41D2B">
      <w:r>
        <w:t>gen ESG_lead_treat = ESG_acq[_n+1] if ISIN == ISIN[_n+1] &amp; deal_id != "0"</w:t>
      </w:r>
    </w:p>
    <w:p w14:paraId="7EAD5369" w14:textId="77777777" w:rsidR="00E41D2B" w:rsidRDefault="00E41D2B" w:rsidP="00E41D2B">
      <w:r>
        <w:t>gen ESG_lag_treat  = ESG_acq[_n-1] if ISIN == ISIN[_n-1] &amp; deal_id != "0"</w:t>
      </w:r>
    </w:p>
    <w:p w14:paraId="5A65E7FE" w14:textId="77777777" w:rsidR="00E41D2B" w:rsidRDefault="00E41D2B" w:rsidP="00E41D2B">
      <w:r>
        <w:t>gen ESG_change = .</w:t>
      </w:r>
    </w:p>
    <w:p w14:paraId="1281D710" w14:textId="77777777" w:rsidR="00E41D2B" w:rsidRDefault="00E41D2B" w:rsidP="00E41D2B">
      <w:r>
        <w:t>replace ESG_change = ESG_lead_control - ESG_lag_control if deal_id == "0"</w:t>
      </w:r>
    </w:p>
    <w:p w14:paraId="1A2447D9" w14:textId="77777777" w:rsidR="00E41D2B" w:rsidRDefault="00E41D2B" w:rsidP="00E41D2B">
      <w:r>
        <w:t>replace ESG_change = ESG_lead_treat - ESG_lag_treat if deal_id != "0"</w:t>
      </w:r>
    </w:p>
    <w:p w14:paraId="7CE50ACC" w14:textId="77777777" w:rsidR="00E41D2B" w:rsidRDefault="00E41D2B" w:rsidP="00E41D2B"/>
    <w:p w14:paraId="79DC326F" w14:textId="77777777" w:rsidR="00E41D2B" w:rsidRDefault="00E41D2B" w:rsidP="00E41D2B">
      <w:r>
        <w:t>drop ESG_lead_control ESG_lag_control ESG_lead_treat ESG_lag_treat</w:t>
      </w:r>
    </w:p>
    <w:p w14:paraId="0F87D61F" w14:textId="77777777" w:rsidR="00E41D2B" w:rsidRDefault="00E41D2B" w:rsidP="00E41D2B"/>
    <w:p w14:paraId="692E183C" w14:textId="77777777" w:rsidR="00E41D2B" w:rsidRDefault="00E41D2B" w:rsidP="00E41D2B">
      <w:r>
        <w:t>gen ISIN_clean = ISIN</w:t>
      </w:r>
    </w:p>
    <w:p w14:paraId="28649FBF" w14:textId="77777777" w:rsidR="00E41D2B" w:rsidRDefault="00E41D2B" w:rsidP="00E41D2B">
      <w:r>
        <w:t>replace ISIN_clean = acquiror_ISIN if missing(ISIN_clean)</w:t>
      </w:r>
    </w:p>
    <w:p w14:paraId="37513615" w14:textId="77777777" w:rsidR="00E41D2B" w:rsidRDefault="00E41D2B" w:rsidP="00E41D2B">
      <w:r>
        <w:t>replace ISIN_clean = target_ISIN if missing(ISIN_clean)</w:t>
      </w:r>
    </w:p>
    <w:p w14:paraId="41949959" w14:textId="77777777" w:rsidR="00E41D2B" w:rsidRDefault="00E41D2B" w:rsidP="00E41D2B">
      <w:r>
        <w:t>replace ISIN_clean = "control_" + string(_n) if missing(ISIN_clean)</w:t>
      </w:r>
    </w:p>
    <w:p w14:paraId="7CCBBD60" w14:textId="77777777" w:rsidR="00E41D2B" w:rsidRDefault="00E41D2B" w:rsidP="00E41D2B">
      <w:r>
        <w:t>egen group_id = group(ISIN_clean deal_id)</w:t>
      </w:r>
    </w:p>
    <w:p w14:paraId="2F2D081C" w14:textId="77777777" w:rsidR="00E41D2B" w:rsidRDefault="00E41D2B" w:rsidP="00E41D2B"/>
    <w:p w14:paraId="6D9CD3F0" w14:textId="77777777" w:rsidR="00E41D2B" w:rsidRDefault="00E41D2B" w:rsidP="00E41D2B">
      <w:r>
        <w:t>duplicates report group_id year</w:t>
      </w:r>
    </w:p>
    <w:p w14:paraId="347BA01D" w14:textId="77777777" w:rsidR="00E41D2B" w:rsidRDefault="00E41D2B" w:rsidP="00E41D2B"/>
    <w:p w14:paraId="05BA512E" w14:textId="77777777" w:rsidR="00E41D2B" w:rsidRDefault="00E41D2B" w:rsidP="00E41D2B">
      <w:r>
        <w:t>xtset group_id year</w:t>
      </w:r>
    </w:p>
    <w:p w14:paraId="57C9009D" w14:textId="77777777" w:rsidR="00E41D2B" w:rsidRDefault="00E41D2B" w:rsidP="00E41D2B">
      <w:r>
        <w:t>gen Treatment = !missing(completed_year)</w:t>
      </w:r>
    </w:p>
    <w:p w14:paraId="55297BFF" w14:textId="77777777" w:rsidR="00E41D2B" w:rsidRDefault="00E41D2B" w:rsidP="00E41D2B"/>
    <w:p w14:paraId="3386D43B" w14:textId="77777777" w:rsidR="00E41D2B" w:rsidRDefault="00E41D2B" w:rsidP="00E41D2B">
      <w:r>
        <w:t>gen HighESGTarget = .</w:t>
      </w:r>
    </w:p>
    <w:p w14:paraId="5688B92B" w14:textId="77777777" w:rsidR="00E41D2B" w:rsidRDefault="00E41D2B" w:rsidP="00E41D2B">
      <w:r>
        <w:t>replace HighESGTarget = (ESG_target &gt; ESG_acq) if year == completed_year - 1 &amp; !missing(completed_year)</w:t>
      </w:r>
    </w:p>
    <w:p w14:paraId="56348960" w14:textId="77777777" w:rsidR="00E41D2B" w:rsidRDefault="00E41D2B" w:rsidP="00E41D2B">
      <w:r>
        <w:t>replace HighESGTarget = 0 if year == completed_year - 1 &amp; !missing(completed_year) &amp; HighESGTarget == .</w:t>
      </w:r>
    </w:p>
    <w:p w14:paraId="38871126" w14:textId="77777777" w:rsidR="00E41D2B" w:rsidRDefault="00E41D2B" w:rsidP="00E41D2B">
      <w:r>
        <w:t>replace HighESGTarget = 0 if missing(HighESGTarget)</w:t>
      </w:r>
    </w:p>
    <w:p w14:paraId="30A9C083" w14:textId="77777777" w:rsidR="00E41D2B" w:rsidRDefault="00E41D2B" w:rsidP="00E41D2B"/>
    <w:p w14:paraId="7B4B3608" w14:textId="77777777" w:rsidR="00E41D2B" w:rsidRDefault="00E41D2B" w:rsidP="00E41D2B">
      <w:r>
        <w:t>save used_data.dta, replace</w:t>
      </w:r>
    </w:p>
    <w:p w14:paraId="0F64C5F3" w14:textId="77777777" w:rsidR="00E41D2B" w:rsidRDefault="00E41D2B" w:rsidP="00E41D2B">
      <w:r>
        <w:t>**# Diff-in-diff Analysis</w:t>
      </w:r>
    </w:p>
    <w:p w14:paraId="280AA444" w14:textId="77777777" w:rsidR="00E41D2B" w:rsidRDefault="00E41D2B" w:rsidP="00E41D2B">
      <w:r>
        <w:t>use used_data.dta, clear</w:t>
      </w:r>
    </w:p>
    <w:p w14:paraId="3B4C85E4" w14:textId="77777777" w:rsidR="00E41D2B" w:rsidRDefault="00E41D2B" w:rsidP="00E41D2B"/>
    <w:p w14:paraId="01B956B8" w14:textId="77777777" w:rsidR="00E41D2B" w:rsidRDefault="00E41D2B" w:rsidP="00E41D2B">
      <w:r>
        <w:t>gen ESG_advantage = 0</w:t>
      </w:r>
    </w:p>
    <w:p w14:paraId="3E4090FC" w14:textId="77777777" w:rsidR="00E41D2B" w:rsidRDefault="00E41D2B" w:rsidP="00E41D2B">
      <w:r>
        <w:t>replace ESG_advantage = ESG_target - ESG_acq if Treatment == 1</w:t>
      </w:r>
    </w:p>
    <w:p w14:paraId="4E06D99B" w14:textId="77777777" w:rsidR="00E41D2B" w:rsidRDefault="00E41D2B" w:rsidP="00E41D2B"/>
    <w:p w14:paraId="77D6F9C7" w14:textId="77777777" w:rsidR="00E41D2B" w:rsidRDefault="00E41D2B" w:rsidP="00E41D2B">
      <w:r>
        <w:t>sort ISIN_clean year</w:t>
      </w:r>
    </w:p>
    <w:p w14:paraId="0D394BC5" w14:textId="77777777" w:rsidR="00E41D2B" w:rsidRDefault="00E41D2B" w:rsidP="00E41D2B">
      <w:r>
        <w:t>drop if missing(year)</w:t>
      </w:r>
    </w:p>
    <w:p w14:paraId="6A1C7D6F" w14:textId="77777777" w:rsidR="00E41D2B" w:rsidRDefault="00E41D2B" w:rsidP="00E41D2B"/>
    <w:p w14:paraId="6205065B" w14:textId="77777777" w:rsidR="00E41D2B" w:rsidRDefault="00E41D2B" w:rsidP="00E41D2B">
      <w:r>
        <w:t>set seed 12345</w:t>
      </w:r>
    </w:p>
    <w:p w14:paraId="75D1B4A3" w14:textId="77777777" w:rsidR="00E41D2B" w:rsidRDefault="00E41D2B" w:rsidP="00E41D2B">
      <w:r>
        <w:t>gen placebo_year = .</w:t>
      </w:r>
    </w:p>
    <w:p w14:paraId="090BBA6B" w14:textId="77777777" w:rsidR="00E41D2B" w:rsidRDefault="00E41D2B" w:rsidP="00E41D2B">
      <w:r>
        <w:t>egen random_draw = mean(runiform()), by(group_id)</w:t>
      </w:r>
    </w:p>
    <w:p w14:paraId="21FB4F40" w14:textId="77777777" w:rsidR="00E41D2B" w:rsidRDefault="00E41D2B" w:rsidP="00E41D2B">
      <w:r>
        <w:t>replace placebo_year = floor(random_draw * (2020 - 2002 + 1)) + 2002 if Treatment == 0</w:t>
      </w:r>
    </w:p>
    <w:p w14:paraId="411BFC74" w14:textId="77777777" w:rsidR="00E41D2B" w:rsidRDefault="00E41D2B" w:rsidP="00E41D2B">
      <w:r>
        <w:t>tab placebo_year if Treatment == 0</w:t>
      </w:r>
    </w:p>
    <w:p w14:paraId="69B0BC70" w14:textId="77777777" w:rsidR="00E41D2B" w:rsidRDefault="00E41D2B" w:rsidP="00E41D2B"/>
    <w:p w14:paraId="3C3A0DC6" w14:textId="77777777" w:rsidR="00E41D2B" w:rsidRDefault="00E41D2B" w:rsidP="00E41D2B">
      <w:r>
        <w:t>gen event_time = .</w:t>
      </w:r>
    </w:p>
    <w:p w14:paraId="1A2F2CCA" w14:textId="77777777" w:rsidR="00E41D2B" w:rsidRDefault="00E41D2B" w:rsidP="00E41D2B">
      <w:r>
        <w:t>replace event_time = year - completed_year if Treatment == 1</w:t>
      </w:r>
    </w:p>
    <w:p w14:paraId="1ED5FC47" w14:textId="77777777" w:rsidR="00E41D2B" w:rsidRDefault="00E41D2B" w:rsidP="00E41D2B">
      <w:r>
        <w:t>replace event_time = year - placebo_year if Treatment == 0</w:t>
      </w:r>
    </w:p>
    <w:p w14:paraId="123C00CB" w14:textId="77777777" w:rsidR="00E41D2B" w:rsidRDefault="00E41D2B" w:rsidP="00E41D2B">
      <w:r>
        <w:t>summarize event_time if Treatment == 1</w:t>
      </w:r>
    </w:p>
    <w:p w14:paraId="22F72CC9" w14:textId="77777777" w:rsidR="00E41D2B" w:rsidRDefault="00E41D2B" w:rsidP="00E41D2B">
      <w:r>
        <w:t>summarize event_time if Treatment == 0</w:t>
      </w:r>
    </w:p>
    <w:p w14:paraId="7F7DE7F8" w14:textId="77777777" w:rsidR="00E41D2B" w:rsidRDefault="00E41D2B" w:rsidP="00E41D2B"/>
    <w:p w14:paraId="1C3903D7" w14:textId="77777777" w:rsidR="00E41D2B" w:rsidRDefault="00E41D2B" w:rsidP="00E41D2B">
      <w:r>
        <w:t>gen Post = .</w:t>
      </w:r>
    </w:p>
    <w:p w14:paraId="52551490" w14:textId="77777777" w:rsidR="00E41D2B" w:rsidRDefault="00E41D2B" w:rsidP="00E41D2B">
      <w:r>
        <w:t>replace Post = (event_time &gt;= 0) if !missing(event_time)</w:t>
      </w:r>
    </w:p>
    <w:p w14:paraId="2502C0C4" w14:textId="77777777" w:rsidR="00E41D2B" w:rsidRDefault="00E41D2B" w:rsidP="00E41D2B">
      <w:r>
        <w:t>tab Post Treatment</w:t>
      </w:r>
    </w:p>
    <w:p w14:paraId="75A9DA9E" w14:textId="77777777" w:rsidR="00E41D2B" w:rsidRDefault="00E41D2B" w:rsidP="00E41D2B"/>
    <w:p w14:paraId="1034E12D" w14:textId="77777777" w:rsidR="00E41D2B" w:rsidRDefault="00E41D2B" w:rsidP="00E41D2B">
      <w:r>
        <w:t>summarize ESG_change ESG_advantage Treatment Post HighESGTarget</w:t>
      </w:r>
    </w:p>
    <w:p w14:paraId="57AF45E6" w14:textId="77777777" w:rsidR="00E41D2B" w:rsidRDefault="00E41D2B" w:rsidP="00E41D2B"/>
    <w:p w14:paraId="7A197E7D" w14:textId="77777777" w:rsidR="00E41D2B" w:rsidRDefault="00E41D2B" w:rsidP="00E41D2B">
      <w:r>
        <w:t>tabulate ESG if Post == 1 &amp; Treatment == 1</w:t>
      </w:r>
    </w:p>
    <w:p w14:paraId="3F167DDE" w14:textId="77777777" w:rsidR="00E41D2B" w:rsidRDefault="00E41D2B" w:rsidP="00E41D2B"/>
    <w:p w14:paraId="5CE77C3F" w14:textId="77777777" w:rsidR="00E41D2B" w:rsidRDefault="00E41D2B" w:rsidP="00E41D2B">
      <w:r>
        <w:t>replace ESG = ESG_acq if missing(ESG)</w:t>
      </w:r>
    </w:p>
    <w:p w14:paraId="37966B7B" w14:textId="77777777" w:rsidR="00E41D2B" w:rsidRDefault="00E41D2B" w:rsidP="00E41D2B"/>
    <w:p w14:paraId="20A62B6C" w14:textId="77777777" w:rsidR="00E41D2B" w:rsidRDefault="00E41D2B" w:rsidP="00E41D2B">
      <w:r>
        <w:t>drop HighESGTarget</w:t>
      </w:r>
    </w:p>
    <w:p w14:paraId="21DC8AA1" w14:textId="77777777" w:rsidR="00E41D2B" w:rsidRDefault="00E41D2B" w:rsidP="00E41D2B">
      <w:r>
        <w:t>gen HighESGTarget = .</w:t>
      </w:r>
    </w:p>
    <w:p w14:paraId="24BF0567" w14:textId="77777777" w:rsidR="00E41D2B" w:rsidRDefault="00E41D2B" w:rsidP="00E41D2B">
      <w:r>
        <w:t>replace HighESGTarget = (ESG_target &gt; ESG_acq) if year == completed_year - 1 &amp; !missing(completed_year)</w:t>
      </w:r>
    </w:p>
    <w:p w14:paraId="4F3EFBC3" w14:textId="77777777" w:rsidR="00E41D2B" w:rsidRDefault="00E41D2B" w:rsidP="00E41D2B">
      <w:r>
        <w:t>replace HighESGTarget = 0 if year == completed_year - 1 &amp; !missing(completed_year) &amp; HighESGTarget == .</w:t>
      </w:r>
    </w:p>
    <w:p w14:paraId="3E4D3C49" w14:textId="77777777" w:rsidR="00E41D2B" w:rsidRDefault="00E41D2B" w:rsidP="00E41D2B">
      <w:r>
        <w:t>replace HighESGTarget = 0 if missing(HighESGTarget)</w:t>
      </w:r>
    </w:p>
    <w:p w14:paraId="340E8B32" w14:textId="77777777" w:rsidR="00E41D2B" w:rsidRDefault="00E41D2B" w:rsidP="00E41D2B"/>
    <w:p w14:paraId="2CFECC5D" w14:textId="77777777" w:rsidR="00E41D2B" w:rsidRDefault="00E41D2B" w:rsidP="00E41D2B">
      <w:r>
        <w:t>gen did_interaction = Treatment * Post</w:t>
      </w:r>
    </w:p>
    <w:p w14:paraId="45F2E566" w14:textId="77777777" w:rsidR="00E41D2B" w:rsidRDefault="00E41D2B" w:rsidP="00E41D2B"/>
    <w:p w14:paraId="12575D30" w14:textId="77777777" w:rsidR="00E41D2B" w:rsidRDefault="00E41D2B" w:rsidP="00E41D2B">
      <w:r>
        <w:t>ssc install csdid, replace</w:t>
      </w:r>
    </w:p>
    <w:p w14:paraId="3C9EB9D4" w14:textId="77777777" w:rsidR="00E41D2B" w:rsidRDefault="00E41D2B" w:rsidP="00E41D2B">
      <w:r>
        <w:t>ssc install drdid, replace</w:t>
      </w:r>
    </w:p>
    <w:p w14:paraId="304BC71E" w14:textId="77777777" w:rsidR="00E41D2B" w:rsidRDefault="00E41D2B" w:rsidP="00E41D2B"/>
    <w:p w14:paraId="6622A037" w14:textId="77777777" w:rsidR="00E41D2B" w:rsidRDefault="00E41D2B" w:rsidP="00E41D2B">
      <w:r>
        <w:t>replace completed_year = 0 if missing(completed_year)</w:t>
      </w:r>
    </w:p>
    <w:p w14:paraId="59694169" w14:textId="77777777" w:rsidR="00E41D2B" w:rsidRDefault="00E41D2B" w:rsidP="00E41D2B"/>
    <w:p w14:paraId="35FF3468" w14:textId="77777777" w:rsidR="00E41D2B" w:rsidRDefault="00E41D2B" w:rsidP="00E41D2B">
      <w:r>
        <w:t>csdid ESG_change , ivar(group_id) time(year) gvar(completed_year)</w:t>
      </w:r>
    </w:p>
    <w:p w14:paraId="1A8A5CC4" w14:textId="77777777" w:rsidR="00E41D2B" w:rsidRDefault="00E41D2B" w:rsidP="00E41D2B">
      <w:r>
        <w:t xml:space="preserve">estat all </w:t>
      </w:r>
    </w:p>
    <w:p w14:paraId="49157CA8" w14:textId="77777777" w:rsidR="00E41D2B" w:rsidRDefault="00E41D2B" w:rsidP="00E41D2B">
      <w:r>
        <w:t>tab completed_year</w:t>
      </w:r>
    </w:p>
    <w:p w14:paraId="585C0E60" w14:textId="77777777" w:rsidR="00E41D2B" w:rsidRDefault="00E41D2B" w:rsidP="00E41D2B">
      <w:r>
        <w:t>csdid_plot, group(2018)</w:t>
      </w:r>
    </w:p>
    <w:p w14:paraId="5EA04E71" w14:textId="77777777" w:rsidR="00E41D2B" w:rsidRDefault="00E41D2B" w:rsidP="00E41D2B">
      <w:r>
        <w:t>csdid_plot, agg</w:t>
      </w:r>
    </w:p>
    <w:p w14:paraId="46EE2F86" w14:textId="77777777" w:rsidR="00E41D2B" w:rsidRDefault="00E41D2B" w:rsidP="00E41D2B">
      <w:r>
        <w:t>summarize ESG_change Treatment Post HighESGTarget</w:t>
      </w:r>
    </w:p>
    <w:p w14:paraId="3AA205CA" w14:textId="77777777" w:rsidR="00E41D2B" w:rsidRDefault="00E41D2B" w:rsidP="00E41D2B"/>
    <w:p w14:paraId="74C4F59D" w14:textId="77777777" w:rsidR="00E41D2B" w:rsidRDefault="00E41D2B" w:rsidP="00E41D2B">
      <w:r>
        <w:t>reg ESG_change i.Treatment##i.Post##i.HighESGTarget i.SICCODE1 i.year, cluster(group_id)</w:t>
      </w:r>
    </w:p>
    <w:p w14:paraId="430F8311" w14:textId="77777777" w:rsidR="00E41D2B" w:rsidRDefault="00E41D2B" w:rsidP="00E41D2B">
      <w:r>
        <w:t>reg ESG_change HighESGTarget i.SICCODE1 i.year, cluster(group_id)</w:t>
      </w:r>
    </w:p>
    <w:p w14:paraId="452406E8" w14:textId="77777777" w:rsidR="00E41D2B" w:rsidRDefault="00E41D2B" w:rsidP="00E41D2B">
      <w:r>
        <w:t>reg ESG_change i.Treatment##i.Post##c.ESG_advantage i.SICCODE1 i.year, cluster(group_id)</w:t>
      </w:r>
    </w:p>
    <w:p w14:paraId="1229C30F" w14:textId="77777777" w:rsidR="00E41D2B" w:rsidRDefault="00E41D2B" w:rsidP="00E41D2B">
      <w:r>
        <w:t>reg ESG_change ESG_advantage i.SICCODE1 i.year, cluster(group_id)</w:t>
      </w:r>
    </w:p>
    <w:p w14:paraId="672CC294" w14:textId="77777777" w:rsidR="00E41D2B" w:rsidRDefault="00E41D2B" w:rsidP="00E41D2B"/>
    <w:p w14:paraId="3B31A772" w14:textId="77777777" w:rsidR="00E41D2B" w:rsidRDefault="00E41D2B" w:rsidP="00E41D2B">
      <w:r>
        <w:t>collapse (mean) ESG_change, by(event_time Treatment)</w:t>
      </w:r>
    </w:p>
    <w:p w14:paraId="7AF187AB" w14:textId="77777777" w:rsidR="00E41D2B" w:rsidRDefault="00E41D2B" w:rsidP="00E41D2B"/>
    <w:p w14:paraId="1EEEA15C" w14:textId="77777777" w:rsidR="00E41D2B" w:rsidRDefault="00E41D2B" w:rsidP="00E41D2B">
      <w:r>
        <w:t>reg ESG_change event_time if Treatment == 1 &amp; event_time &lt; 0 &amp; event_time &gt;= -3</w:t>
      </w:r>
    </w:p>
    <w:p w14:paraId="58BCFD73" w14:textId="43B1122D" w:rsidR="00EA11DA" w:rsidRPr="00EA11DA" w:rsidRDefault="00E41D2B" w:rsidP="00E41D2B">
      <w:r>
        <w:t>reg ESG_change event_time if Treatment == 0 &amp; event_time &lt; 0 &amp; event_time &gt;= -3</w:t>
      </w:r>
    </w:p>
    <w:p w14:paraId="75D32597" w14:textId="77777777" w:rsidR="00380B5F" w:rsidRDefault="00380B5F" w:rsidP="00380B5F">
      <w:pPr>
        <w:ind w:left="562" w:firstLine="0"/>
      </w:pPr>
    </w:p>
    <w:p w14:paraId="6D26CDA5" w14:textId="77777777" w:rsidR="00380B5F" w:rsidRPr="00702CAD" w:rsidRDefault="00380B5F" w:rsidP="00380B5F">
      <w:pPr>
        <w:pStyle w:val="Lijstalinea"/>
        <w:ind w:left="562" w:firstLine="0"/>
      </w:pPr>
    </w:p>
    <w:sectPr w:rsidR="00380B5F" w:rsidRPr="00702CAD" w:rsidSect="004B0B21">
      <w:headerReference w:type="first" r:id="rId39"/>
      <w:footerReference w:type="first" r:id="rId40"/>
      <w:pgSz w:w="12240" w:h="15840"/>
      <w:pgMar w:top="1417" w:right="1417" w:bottom="1417" w:left="1417" w:header="720" w:footer="720" w:gutter="0"/>
      <w:pgNumType w:start="1"/>
      <w:cols w:space="36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748A10" w14:textId="77777777" w:rsidR="00B44326" w:rsidRPr="00623E36" w:rsidRDefault="00B44326" w:rsidP="00520C49">
      <w:pPr>
        <w:spacing w:line="240" w:lineRule="auto"/>
      </w:pPr>
      <w:r w:rsidRPr="00623E36">
        <w:separator/>
      </w:r>
    </w:p>
  </w:endnote>
  <w:endnote w:type="continuationSeparator" w:id="0">
    <w:p w14:paraId="4ECAC590" w14:textId="77777777" w:rsidR="00B44326" w:rsidRPr="00623E36" w:rsidRDefault="00B44326" w:rsidP="00520C49">
      <w:pPr>
        <w:spacing w:line="240" w:lineRule="auto"/>
      </w:pPr>
      <w:r w:rsidRPr="00623E3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sto MT">
    <w:panose1 w:val="020406030505050303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0000003" w:usb1="00000000" w:usb2="00000000" w:usb3="00000000" w:csb0="00000001" w:csb1="00000000"/>
  </w:font>
  <w:font w:name="TimesLTStd-Roman">
    <w:altName w:val="Times New Roman"/>
    <w:panose1 w:val="00000000000000000000"/>
    <w:charset w:val="4D"/>
    <w:family w:val="auto"/>
    <w:notTrueType/>
    <w:pitch w:val="default"/>
    <w:sig w:usb0="00000003" w:usb1="00000000" w:usb2="00000000" w:usb3="00000000" w:csb0="00000001" w:csb1="00000000"/>
  </w:font>
  <w:font w:name="TimesLTStd-Italic">
    <w:altName w:val="Times New Roman"/>
    <w:panose1 w:val="00000000000000000000"/>
    <w:charset w:val="4D"/>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Lucida Grande">
    <w:altName w:val="Segoe UI"/>
    <w:charset w:val="00"/>
    <w:family w:val="auto"/>
    <w:pitch w:val="variable"/>
    <w:sig w:usb0="00000000" w:usb1="5000A1FF" w:usb2="00000000" w:usb3="00000000" w:csb0="000001BF" w:csb1="00000000"/>
  </w:font>
  <w:font w:name="Open Sans">
    <w:panose1 w:val="020B0606030504020204"/>
    <w:charset w:val="00"/>
    <w:family w:val="swiss"/>
    <w:pitch w:val="variable"/>
    <w:sig w:usb0="E00002EF" w:usb1="4000205B" w:usb2="00000028"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26075877"/>
      <w:docPartObj>
        <w:docPartGallery w:val="Page Numbers (Bottom of Page)"/>
        <w:docPartUnique/>
      </w:docPartObj>
    </w:sdtPr>
    <w:sdtEndPr/>
    <w:sdtContent>
      <w:p w14:paraId="73DC5756" w14:textId="77777777" w:rsidR="00DE274E" w:rsidRPr="00623E36" w:rsidRDefault="00DE274E">
        <w:pPr>
          <w:pStyle w:val="Voettekst"/>
          <w:jc w:val="center"/>
        </w:pPr>
        <w:r w:rsidRPr="00623E36">
          <w:fldChar w:fldCharType="begin"/>
        </w:r>
        <w:r w:rsidRPr="00623E36">
          <w:instrText xml:space="preserve"> PAGE   \* MERGEFORMAT </w:instrText>
        </w:r>
        <w:r w:rsidRPr="00623E36">
          <w:fldChar w:fldCharType="separate"/>
        </w:r>
        <w:r w:rsidRPr="00623E36">
          <w:t>2</w:t>
        </w:r>
        <w:r w:rsidRPr="00623E36">
          <w:fldChar w:fldCharType="end"/>
        </w:r>
      </w:p>
    </w:sdtContent>
  </w:sdt>
  <w:p w14:paraId="670F69C3" w14:textId="77777777" w:rsidR="00DE274E" w:rsidRPr="00623E36" w:rsidRDefault="00DE274E">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C2B985" w14:textId="77777777" w:rsidR="00B44326" w:rsidRPr="00623E36" w:rsidRDefault="00B44326" w:rsidP="00520C49"/>
  </w:footnote>
  <w:footnote w:type="continuationSeparator" w:id="0">
    <w:p w14:paraId="1C9EFCA0" w14:textId="77777777" w:rsidR="00B44326" w:rsidRPr="00623E36" w:rsidRDefault="00B44326" w:rsidP="00520C49">
      <w:pPr>
        <w:spacing w:line="240" w:lineRule="auto"/>
      </w:pPr>
      <w:r w:rsidRPr="00623E36">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1E0391" w14:textId="5080D570" w:rsidR="00B60492" w:rsidRPr="00623E36" w:rsidRDefault="00B60492">
    <w:pPr>
      <w:pStyle w:val="Koptekst"/>
    </w:pPr>
  </w:p>
  <w:p w14:paraId="277BC584" w14:textId="77777777" w:rsidR="00B60492" w:rsidRPr="00623E36" w:rsidRDefault="00B60492">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3ADC8E0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65FE49FC"/>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08064BDA"/>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E9840BF4"/>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2BDE333C"/>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676ADA38"/>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5A40BF7A"/>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2788D718"/>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19867AF2"/>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CCFA3A42"/>
    <w:lvl w:ilvl="0">
      <w:start w:val="1"/>
      <w:numFmt w:val="lowerRoman"/>
      <w:lvlText w:val="(%1)"/>
      <w:lvlJc w:val="right"/>
      <w:pPr>
        <w:ind w:left="835" w:hanging="360"/>
      </w:pPr>
      <w:rPr>
        <w:rFonts w:hint="default"/>
      </w:rPr>
    </w:lvl>
  </w:abstractNum>
  <w:abstractNum w:abstractNumId="10" w15:restartNumberingAfterBreak="0">
    <w:nsid w:val="FFFFFF89"/>
    <w:multiLevelType w:val="singleLevel"/>
    <w:tmpl w:val="F0C0ACD4"/>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884628C"/>
    <w:multiLevelType w:val="hybridMultilevel"/>
    <w:tmpl w:val="786AF044"/>
    <w:lvl w:ilvl="0" w:tplc="613C9F36">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BB97093"/>
    <w:multiLevelType w:val="hybridMultilevel"/>
    <w:tmpl w:val="B2CE093E"/>
    <w:lvl w:ilvl="0" w:tplc="91E6BAF4">
      <w:start w:val="1"/>
      <w:numFmt w:val="decimal"/>
      <w:lvlText w:val="%1."/>
      <w:lvlJc w:val="left"/>
      <w:pPr>
        <w:ind w:left="562" w:hanging="360"/>
      </w:pPr>
      <w:rPr>
        <w:rFonts w:hint="default"/>
      </w:rPr>
    </w:lvl>
    <w:lvl w:ilvl="1" w:tplc="04130019">
      <w:start w:val="1"/>
      <w:numFmt w:val="lowerLetter"/>
      <w:lvlText w:val="%2."/>
      <w:lvlJc w:val="left"/>
      <w:pPr>
        <w:ind w:left="1282" w:hanging="360"/>
      </w:pPr>
    </w:lvl>
    <w:lvl w:ilvl="2" w:tplc="0413001B" w:tentative="1">
      <w:start w:val="1"/>
      <w:numFmt w:val="lowerRoman"/>
      <w:lvlText w:val="%3."/>
      <w:lvlJc w:val="right"/>
      <w:pPr>
        <w:ind w:left="2002" w:hanging="180"/>
      </w:pPr>
    </w:lvl>
    <w:lvl w:ilvl="3" w:tplc="0413000F" w:tentative="1">
      <w:start w:val="1"/>
      <w:numFmt w:val="decimal"/>
      <w:lvlText w:val="%4."/>
      <w:lvlJc w:val="left"/>
      <w:pPr>
        <w:ind w:left="2722" w:hanging="360"/>
      </w:pPr>
    </w:lvl>
    <w:lvl w:ilvl="4" w:tplc="04130019" w:tentative="1">
      <w:start w:val="1"/>
      <w:numFmt w:val="lowerLetter"/>
      <w:lvlText w:val="%5."/>
      <w:lvlJc w:val="left"/>
      <w:pPr>
        <w:ind w:left="3442" w:hanging="360"/>
      </w:pPr>
    </w:lvl>
    <w:lvl w:ilvl="5" w:tplc="0413001B" w:tentative="1">
      <w:start w:val="1"/>
      <w:numFmt w:val="lowerRoman"/>
      <w:lvlText w:val="%6."/>
      <w:lvlJc w:val="right"/>
      <w:pPr>
        <w:ind w:left="4162" w:hanging="180"/>
      </w:pPr>
    </w:lvl>
    <w:lvl w:ilvl="6" w:tplc="0413000F" w:tentative="1">
      <w:start w:val="1"/>
      <w:numFmt w:val="decimal"/>
      <w:lvlText w:val="%7."/>
      <w:lvlJc w:val="left"/>
      <w:pPr>
        <w:ind w:left="4882" w:hanging="360"/>
      </w:pPr>
    </w:lvl>
    <w:lvl w:ilvl="7" w:tplc="04130019" w:tentative="1">
      <w:start w:val="1"/>
      <w:numFmt w:val="lowerLetter"/>
      <w:lvlText w:val="%8."/>
      <w:lvlJc w:val="left"/>
      <w:pPr>
        <w:ind w:left="5602" w:hanging="360"/>
      </w:pPr>
    </w:lvl>
    <w:lvl w:ilvl="8" w:tplc="0413001B" w:tentative="1">
      <w:start w:val="1"/>
      <w:numFmt w:val="lowerRoman"/>
      <w:lvlText w:val="%9."/>
      <w:lvlJc w:val="right"/>
      <w:pPr>
        <w:ind w:left="6322" w:hanging="180"/>
      </w:pPr>
    </w:lvl>
  </w:abstractNum>
  <w:abstractNum w:abstractNumId="13" w15:restartNumberingAfterBreak="0">
    <w:nsid w:val="0DD569BE"/>
    <w:multiLevelType w:val="hybridMultilevel"/>
    <w:tmpl w:val="C6E25184"/>
    <w:lvl w:ilvl="0" w:tplc="EAD8F558">
      <w:numFmt w:val="bullet"/>
      <w:lvlText w:val="-"/>
      <w:lvlJc w:val="left"/>
      <w:pPr>
        <w:ind w:left="562" w:hanging="360"/>
      </w:pPr>
      <w:rPr>
        <w:rFonts w:ascii="Calibri" w:eastAsia="Calisto MT" w:hAnsi="Calibri" w:cs="Calibri" w:hint="default"/>
      </w:rPr>
    </w:lvl>
    <w:lvl w:ilvl="1" w:tplc="04130003" w:tentative="1">
      <w:start w:val="1"/>
      <w:numFmt w:val="bullet"/>
      <w:lvlText w:val="o"/>
      <w:lvlJc w:val="left"/>
      <w:pPr>
        <w:ind w:left="1282" w:hanging="360"/>
      </w:pPr>
      <w:rPr>
        <w:rFonts w:ascii="Courier New" w:hAnsi="Courier New" w:cs="Courier New" w:hint="default"/>
      </w:rPr>
    </w:lvl>
    <w:lvl w:ilvl="2" w:tplc="04130005" w:tentative="1">
      <w:start w:val="1"/>
      <w:numFmt w:val="bullet"/>
      <w:lvlText w:val=""/>
      <w:lvlJc w:val="left"/>
      <w:pPr>
        <w:ind w:left="2002" w:hanging="360"/>
      </w:pPr>
      <w:rPr>
        <w:rFonts w:ascii="Wingdings" w:hAnsi="Wingdings" w:hint="default"/>
      </w:rPr>
    </w:lvl>
    <w:lvl w:ilvl="3" w:tplc="04130001" w:tentative="1">
      <w:start w:val="1"/>
      <w:numFmt w:val="bullet"/>
      <w:lvlText w:val=""/>
      <w:lvlJc w:val="left"/>
      <w:pPr>
        <w:ind w:left="2722" w:hanging="360"/>
      </w:pPr>
      <w:rPr>
        <w:rFonts w:ascii="Symbol" w:hAnsi="Symbol" w:hint="default"/>
      </w:rPr>
    </w:lvl>
    <w:lvl w:ilvl="4" w:tplc="04130003" w:tentative="1">
      <w:start w:val="1"/>
      <w:numFmt w:val="bullet"/>
      <w:lvlText w:val="o"/>
      <w:lvlJc w:val="left"/>
      <w:pPr>
        <w:ind w:left="3442" w:hanging="360"/>
      </w:pPr>
      <w:rPr>
        <w:rFonts w:ascii="Courier New" w:hAnsi="Courier New" w:cs="Courier New" w:hint="default"/>
      </w:rPr>
    </w:lvl>
    <w:lvl w:ilvl="5" w:tplc="04130005" w:tentative="1">
      <w:start w:val="1"/>
      <w:numFmt w:val="bullet"/>
      <w:lvlText w:val=""/>
      <w:lvlJc w:val="left"/>
      <w:pPr>
        <w:ind w:left="4162" w:hanging="360"/>
      </w:pPr>
      <w:rPr>
        <w:rFonts w:ascii="Wingdings" w:hAnsi="Wingdings" w:hint="default"/>
      </w:rPr>
    </w:lvl>
    <w:lvl w:ilvl="6" w:tplc="04130001" w:tentative="1">
      <w:start w:val="1"/>
      <w:numFmt w:val="bullet"/>
      <w:lvlText w:val=""/>
      <w:lvlJc w:val="left"/>
      <w:pPr>
        <w:ind w:left="4882" w:hanging="360"/>
      </w:pPr>
      <w:rPr>
        <w:rFonts w:ascii="Symbol" w:hAnsi="Symbol" w:hint="default"/>
      </w:rPr>
    </w:lvl>
    <w:lvl w:ilvl="7" w:tplc="04130003" w:tentative="1">
      <w:start w:val="1"/>
      <w:numFmt w:val="bullet"/>
      <w:lvlText w:val="o"/>
      <w:lvlJc w:val="left"/>
      <w:pPr>
        <w:ind w:left="5602" w:hanging="360"/>
      </w:pPr>
      <w:rPr>
        <w:rFonts w:ascii="Courier New" w:hAnsi="Courier New" w:cs="Courier New" w:hint="default"/>
      </w:rPr>
    </w:lvl>
    <w:lvl w:ilvl="8" w:tplc="04130005" w:tentative="1">
      <w:start w:val="1"/>
      <w:numFmt w:val="bullet"/>
      <w:lvlText w:val=""/>
      <w:lvlJc w:val="left"/>
      <w:pPr>
        <w:ind w:left="6322" w:hanging="360"/>
      </w:pPr>
      <w:rPr>
        <w:rFonts w:ascii="Wingdings" w:hAnsi="Wingdings" w:hint="default"/>
      </w:rPr>
    </w:lvl>
  </w:abstractNum>
  <w:abstractNum w:abstractNumId="14" w15:restartNumberingAfterBreak="0">
    <w:nsid w:val="0FA8441B"/>
    <w:multiLevelType w:val="hybridMultilevel"/>
    <w:tmpl w:val="DE62E49C"/>
    <w:lvl w:ilvl="0" w:tplc="BCBAD8EE">
      <w:numFmt w:val="bullet"/>
      <w:lvlText w:val="-"/>
      <w:lvlJc w:val="left"/>
      <w:pPr>
        <w:ind w:left="720" w:hanging="360"/>
      </w:pPr>
      <w:rPr>
        <w:rFonts w:ascii="Calibri" w:eastAsia="Calisto MT"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12A33151"/>
    <w:multiLevelType w:val="hybridMultilevel"/>
    <w:tmpl w:val="D20CBCBE"/>
    <w:lvl w:ilvl="0" w:tplc="72720882">
      <w:start w:val="1"/>
      <w:numFmt w:val="decimal"/>
      <w:lvlText w:val="%1."/>
      <w:lvlJc w:val="left"/>
      <w:pPr>
        <w:ind w:left="562" w:hanging="360"/>
      </w:pPr>
      <w:rPr>
        <w:rFonts w:hint="default"/>
      </w:rPr>
    </w:lvl>
    <w:lvl w:ilvl="1" w:tplc="04130019" w:tentative="1">
      <w:start w:val="1"/>
      <w:numFmt w:val="lowerLetter"/>
      <w:lvlText w:val="%2."/>
      <w:lvlJc w:val="left"/>
      <w:pPr>
        <w:ind w:left="1282" w:hanging="360"/>
      </w:pPr>
    </w:lvl>
    <w:lvl w:ilvl="2" w:tplc="0413001B" w:tentative="1">
      <w:start w:val="1"/>
      <w:numFmt w:val="lowerRoman"/>
      <w:lvlText w:val="%3."/>
      <w:lvlJc w:val="right"/>
      <w:pPr>
        <w:ind w:left="2002" w:hanging="180"/>
      </w:pPr>
    </w:lvl>
    <w:lvl w:ilvl="3" w:tplc="0413000F" w:tentative="1">
      <w:start w:val="1"/>
      <w:numFmt w:val="decimal"/>
      <w:lvlText w:val="%4."/>
      <w:lvlJc w:val="left"/>
      <w:pPr>
        <w:ind w:left="2722" w:hanging="360"/>
      </w:pPr>
    </w:lvl>
    <w:lvl w:ilvl="4" w:tplc="04130019" w:tentative="1">
      <w:start w:val="1"/>
      <w:numFmt w:val="lowerLetter"/>
      <w:lvlText w:val="%5."/>
      <w:lvlJc w:val="left"/>
      <w:pPr>
        <w:ind w:left="3442" w:hanging="360"/>
      </w:pPr>
    </w:lvl>
    <w:lvl w:ilvl="5" w:tplc="0413001B" w:tentative="1">
      <w:start w:val="1"/>
      <w:numFmt w:val="lowerRoman"/>
      <w:lvlText w:val="%6."/>
      <w:lvlJc w:val="right"/>
      <w:pPr>
        <w:ind w:left="4162" w:hanging="180"/>
      </w:pPr>
    </w:lvl>
    <w:lvl w:ilvl="6" w:tplc="0413000F" w:tentative="1">
      <w:start w:val="1"/>
      <w:numFmt w:val="decimal"/>
      <w:lvlText w:val="%7."/>
      <w:lvlJc w:val="left"/>
      <w:pPr>
        <w:ind w:left="4882" w:hanging="360"/>
      </w:pPr>
    </w:lvl>
    <w:lvl w:ilvl="7" w:tplc="04130019" w:tentative="1">
      <w:start w:val="1"/>
      <w:numFmt w:val="lowerLetter"/>
      <w:lvlText w:val="%8."/>
      <w:lvlJc w:val="left"/>
      <w:pPr>
        <w:ind w:left="5602" w:hanging="360"/>
      </w:pPr>
    </w:lvl>
    <w:lvl w:ilvl="8" w:tplc="0413001B" w:tentative="1">
      <w:start w:val="1"/>
      <w:numFmt w:val="lowerRoman"/>
      <w:lvlText w:val="%9."/>
      <w:lvlJc w:val="right"/>
      <w:pPr>
        <w:ind w:left="6322" w:hanging="180"/>
      </w:pPr>
    </w:lvl>
  </w:abstractNum>
  <w:abstractNum w:abstractNumId="16" w15:restartNumberingAfterBreak="0">
    <w:nsid w:val="14761B0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160C0CE0"/>
    <w:multiLevelType w:val="hybridMultilevel"/>
    <w:tmpl w:val="4D24B050"/>
    <w:lvl w:ilvl="0" w:tplc="BE427E64">
      <w:start w:val="1"/>
      <w:numFmt w:val="bullet"/>
      <w:lvlText w:val="-"/>
      <w:lvlJc w:val="left"/>
      <w:pPr>
        <w:ind w:left="562" w:hanging="360"/>
      </w:pPr>
      <w:rPr>
        <w:rFonts w:ascii="Calibri" w:eastAsia="Calisto MT" w:hAnsi="Calibri" w:cs="Calibri" w:hint="default"/>
      </w:rPr>
    </w:lvl>
    <w:lvl w:ilvl="1" w:tplc="04130003" w:tentative="1">
      <w:start w:val="1"/>
      <w:numFmt w:val="bullet"/>
      <w:lvlText w:val="o"/>
      <w:lvlJc w:val="left"/>
      <w:pPr>
        <w:ind w:left="1282" w:hanging="360"/>
      </w:pPr>
      <w:rPr>
        <w:rFonts w:ascii="Courier New" w:hAnsi="Courier New" w:cs="Courier New" w:hint="default"/>
      </w:rPr>
    </w:lvl>
    <w:lvl w:ilvl="2" w:tplc="04130005" w:tentative="1">
      <w:start w:val="1"/>
      <w:numFmt w:val="bullet"/>
      <w:lvlText w:val=""/>
      <w:lvlJc w:val="left"/>
      <w:pPr>
        <w:ind w:left="2002" w:hanging="360"/>
      </w:pPr>
      <w:rPr>
        <w:rFonts w:ascii="Wingdings" w:hAnsi="Wingdings" w:hint="default"/>
      </w:rPr>
    </w:lvl>
    <w:lvl w:ilvl="3" w:tplc="04130001" w:tentative="1">
      <w:start w:val="1"/>
      <w:numFmt w:val="bullet"/>
      <w:lvlText w:val=""/>
      <w:lvlJc w:val="left"/>
      <w:pPr>
        <w:ind w:left="2722" w:hanging="360"/>
      </w:pPr>
      <w:rPr>
        <w:rFonts w:ascii="Symbol" w:hAnsi="Symbol" w:hint="default"/>
      </w:rPr>
    </w:lvl>
    <w:lvl w:ilvl="4" w:tplc="04130003" w:tentative="1">
      <w:start w:val="1"/>
      <w:numFmt w:val="bullet"/>
      <w:lvlText w:val="o"/>
      <w:lvlJc w:val="left"/>
      <w:pPr>
        <w:ind w:left="3442" w:hanging="360"/>
      </w:pPr>
      <w:rPr>
        <w:rFonts w:ascii="Courier New" w:hAnsi="Courier New" w:cs="Courier New" w:hint="default"/>
      </w:rPr>
    </w:lvl>
    <w:lvl w:ilvl="5" w:tplc="04130005" w:tentative="1">
      <w:start w:val="1"/>
      <w:numFmt w:val="bullet"/>
      <w:lvlText w:val=""/>
      <w:lvlJc w:val="left"/>
      <w:pPr>
        <w:ind w:left="4162" w:hanging="360"/>
      </w:pPr>
      <w:rPr>
        <w:rFonts w:ascii="Wingdings" w:hAnsi="Wingdings" w:hint="default"/>
      </w:rPr>
    </w:lvl>
    <w:lvl w:ilvl="6" w:tplc="04130001" w:tentative="1">
      <w:start w:val="1"/>
      <w:numFmt w:val="bullet"/>
      <w:lvlText w:val=""/>
      <w:lvlJc w:val="left"/>
      <w:pPr>
        <w:ind w:left="4882" w:hanging="360"/>
      </w:pPr>
      <w:rPr>
        <w:rFonts w:ascii="Symbol" w:hAnsi="Symbol" w:hint="default"/>
      </w:rPr>
    </w:lvl>
    <w:lvl w:ilvl="7" w:tplc="04130003" w:tentative="1">
      <w:start w:val="1"/>
      <w:numFmt w:val="bullet"/>
      <w:lvlText w:val="o"/>
      <w:lvlJc w:val="left"/>
      <w:pPr>
        <w:ind w:left="5602" w:hanging="360"/>
      </w:pPr>
      <w:rPr>
        <w:rFonts w:ascii="Courier New" w:hAnsi="Courier New" w:cs="Courier New" w:hint="default"/>
      </w:rPr>
    </w:lvl>
    <w:lvl w:ilvl="8" w:tplc="04130005" w:tentative="1">
      <w:start w:val="1"/>
      <w:numFmt w:val="bullet"/>
      <w:lvlText w:val=""/>
      <w:lvlJc w:val="left"/>
      <w:pPr>
        <w:ind w:left="6322" w:hanging="360"/>
      </w:pPr>
      <w:rPr>
        <w:rFonts w:ascii="Wingdings" w:hAnsi="Wingdings" w:hint="default"/>
      </w:rPr>
    </w:lvl>
  </w:abstractNum>
  <w:abstractNum w:abstractNumId="18" w15:restartNumberingAfterBreak="0">
    <w:nsid w:val="17CB03E6"/>
    <w:multiLevelType w:val="hybridMultilevel"/>
    <w:tmpl w:val="7868AD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196906D1"/>
    <w:multiLevelType w:val="hybridMultilevel"/>
    <w:tmpl w:val="7F2AD8BC"/>
    <w:lvl w:ilvl="0" w:tplc="04130001">
      <w:start w:val="1"/>
      <w:numFmt w:val="bullet"/>
      <w:lvlText w:val=""/>
      <w:lvlJc w:val="left"/>
      <w:pPr>
        <w:ind w:left="1914" w:hanging="360"/>
      </w:pPr>
      <w:rPr>
        <w:rFonts w:ascii="Symbol" w:hAnsi="Symbol" w:hint="default"/>
      </w:rPr>
    </w:lvl>
    <w:lvl w:ilvl="1" w:tplc="04130003" w:tentative="1">
      <w:start w:val="1"/>
      <w:numFmt w:val="bullet"/>
      <w:lvlText w:val="o"/>
      <w:lvlJc w:val="left"/>
      <w:pPr>
        <w:ind w:left="2634" w:hanging="360"/>
      </w:pPr>
      <w:rPr>
        <w:rFonts w:ascii="Courier New" w:hAnsi="Courier New" w:cs="Courier New" w:hint="default"/>
      </w:rPr>
    </w:lvl>
    <w:lvl w:ilvl="2" w:tplc="04130005" w:tentative="1">
      <w:start w:val="1"/>
      <w:numFmt w:val="bullet"/>
      <w:lvlText w:val=""/>
      <w:lvlJc w:val="left"/>
      <w:pPr>
        <w:ind w:left="3354" w:hanging="360"/>
      </w:pPr>
      <w:rPr>
        <w:rFonts w:ascii="Wingdings" w:hAnsi="Wingdings" w:hint="default"/>
      </w:rPr>
    </w:lvl>
    <w:lvl w:ilvl="3" w:tplc="04130001" w:tentative="1">
      <w:start w:val="1"/>
      <w:numFmt w:val="bullet"/>
      <w:lvlText w:val=""/>
      <w:lvlJc w:val="left"/>
      <w:pPr>
        <w:ind w:left="4074" w:hanging="360"/>
      </w:pPr>
      <w:rPr>
        <w:rFonts w:ascii="Symbol" w:hAnsi="Symbol" w:hint="default"/>
      </w:rPr>
    </w:lvl>
    <w:lvl w:ilvl="4" w:tplc="04130003" w:tentative="1">
      <w:start w:val="1"/>
      <w:numFmt w:val="bullet"/>
      <w:lvlText w:val="o"/>
      <w:lvlJc w:val="left"/>
      <w:pPr>
        <w:ind w:left="4794" w:hanging="360"/>
      </w:pPr>
      <w:rPr>
        <w:rFonts w:ascii="Courier New" w:hAnsi="Courier New" w:cs="Courier New" w:hint="default"/>
      </w:rPr>
    </w:lvl>
    <w:lvl w:ilvl="5" w:tplc="04130005" w:tentative="1">
      <w:start w:val="1"/>
      <w:numFmt w:val="bullet"/>
      <w:lvlText w:val=""/>
      <w:lvlJc w:val="left"/>
      <w:pPr>
        <w:ind w:left="5514" w:hanging="360"/>
      </w:pPr>
      <w:rPr>
        <w:rFonts w:ascii="Wingdings" w:hAnsi="Wingdings" w:hint="default"/>
      </w:rPr>
    </w:lvl>
    <w:lvl w:ilvl="6" w:tplc="04130001" w:tentative="1">
      <w:start w:val="1"/>
      <w:numFmt w:val="bullet"/>
      <w:lvlText w:val=""/>
      <w:lvlJc w:val="left"/>
      <w:pPr>
        <w:ind w:left="6234" w:hanging="360"/>
      </w:pPr>
      <w:rPr>
        <w:rFonts w:ascii="Symbol" w:hAnsi="Symbol" w:hint="default"/>
      </w:rPr>
    </w:lvl>
    <w:lvl w:ilvl="7" w:tplc="04130003" w:tentative="1">
      <w:start w:val="1"/>
      <w:numFmt w:val="bullet"/>
      <w:lvlText w:val="o"/>
      <w:lvlJc w:val="left"/>
      <w:pPr>
        <w:ind w:left="6954" w:hanging="360"/>
      </w:pPr>
      <w:rPr>
        <w:rFonts w:ascii="Courier New" w:hAnsi="Courier New" w:cs="Courier New" w:hint="default"/>
      </w:rPr>
    </w:lvl>
    <w:lvl w:ilvl="8" w:tplc="04130005" w:tentative="1">
      <w:start w:val="1"/>
      <w:numFmt w:val="bullet"/>
      <w:lvlText w:val=""/>
      <w:lvlJc w:val="left"/>
      <w:pPr>
        <w:ind w:left="7674" w:hanging="360"/>
      </w:pPr>
      <w:rPr>
        <w:rFonts w:ascii="Wingdings" w:hAnsi="Wingdings" w:hint="default"/>
      </w:rPr>
    </w:lvl>
  </w:abstractNum>
  <w:abstractNum w:abstractNumId="20" w15:restartNumberingAfterBreak="0">
    <w:nsid w:val="214F1A85"/>
    <w:multiLevelType w:val="hybridMultilevel"/>
    <w:tmpl w:val="9CB8B7BE"/>
    <w:lvl w:ilvl="0" w:tplc="883019BC">
      <w:start w:val="1"/>
      <w:numFmt w:val="decimal"/>
      <w:lvlText w:val="%1."/>
      <w:lvlJc w:val="left"/>
      <w:pPr>
        <w:ind w:left="720" w:hanging="360"/>
      </w:pPr>
      <w:rPr>
        <w:rFonts w:eastAsia="Calisto MT" w:hint="default"/>
        <w:b w:val="0"/>
        <w:color w:val="auto"/>
        <w:sz w:val="24"/>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28027E83"/>
    <w:multiLevelType w:val="hybridMultilevel"/>
    <w:tmpl w:val="2C68D8F0"/>
    <w:lvl w:ilvl="0" w:tplc="E36E908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96D7F6C"/>
    <w:multiLevelType w:val="hybridMultilevel"/>
    <w:tmpl w:val="42704DBE"/>
    <w:lvl w:ilvl="0" w:tplc="F5D20E92">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E44260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3C746977"/>
    <w:multiLevelType w:val="hybridMultilevel"/>
    <w:tmpl w:val="5E90544C"/>
    <w:lvl w:ilvl="0" w:tplc="04130001">
      <w:start w:val="1"/>
      <w:numFmt w:val="bullet"/>
      <w:lvlText w:val=""/>
      <w:lvlJc w:val="left"/>
      <w:pPr>
        <w:ind w:left="562" w:hanging="360"/>
      </w:pPr>
      <w:rPr>
        <w:rFonts w:ascii="Symbol" w:hAnsi="Symbol" w:hint="default"/>
      </w:rPr>
    </w:lvl>
    <w:lvl w:ilvl="1" w:tplc="FFFFFFFF" w:tentative="1">
      <w:start w:val="1"/>
      <w:numFmt w:val="lowerLetter"/>
      <w:lvlText w:val="%2."/>
      <w:lvlJc w:val="left"/>
      <w:pPr>
        <w:ind w:left="1282" w:hanging="360"/>
      </w:pPr>
    </w:lvl>
    <w:lvl w:ilvl="2" w:tplc="FFFFFFFF" w:tentative="1">
      <w:start w:val="1"/>
      <w:numFmt w:val="lowerRoman"/>
      <w:lvlText w:val="%3."/>
      <w:lvlJc w:val="right"/>
      <w:pPr>
        <w:ind w:left="2002" w:hanging="180"/>
      </w:pPr>
    </w:lvl>
    <w:lvl w:ilvl="3" w:tplc="FFFFFFFF" w:tentative="1">
      <w:start w:val="1"/>
      <w:numFmt w:val="decimal"/>
      <w:lvlText w:val="%4."/>
      <w:lvlJc w:val="left"/>
      <w:pPr>
        <w:ind w:left="2722" w:hanging="360"/>
      </w:pPr>
    </w:lvl>
    <w:lvl w:ilvl="4" w:tplc="FFFFFFFF" w:tentative="1">
      <w:start w:val="1"/>
      <w:numFmt w:val="lowerLetter"/>
      <w:lvlText w:val="%5."/>
      <w:lvlJc w:val="left"/>
      <w:pPr>
        <w:ind w:left="3442" w:hanging="360"/>
      </w:pPr>
    </w:lvl>
    <w:lvl w:ilvl="5" w:tplc="FFFFFFFF" w:tentative="1">
      <w:start w:val="1"/>
      <w:numFmt w:val="lowerRoman"/>
      <w:lvlText w:val="%6."/>
      <w:lvlJc w:val="right"/>
      <w:pPr>
        <w:ind w:left="4162" w:hanging="180"/>
      </w:pPr>
    </w:lvl>
    <w:lvl w:ilvl="6" w:tplc="FFFFFFFF" w:tentative="1">
      <w:start w:val="1"/>
      <w:numFmt w:val="decimal"/>
      <w:lvlText w:val="%7."/>
      <w:lvlJc w:val="left"/>
      <w:pPr>
        <w:ind w:left="4882" w:hanging="360"/>
      </w:pPr>
    </w:lvl>
    <w:lvl w:ilvl="7" w:tplc="FFFFFFFF" w:tentative="1">
      <w:start w:val="1"/>
      <w:numFmt w:val="lowerLetter"/>
      <w:lvlText w:val="%8."/>
      <w:lvlJc w:val="left"/>
      <w:pPr>
        <w:ind w:left="5602" w:hanging="360"/>
      </w:pPr>
    </w:lvl>
    <w:lvl w:ilvl="8" w:tplc="FFFFFFFF" w:tentative="1">
      <w:start w:val="1"/>
      <w:numFmt w:val="lowerRoman"/>
      <w:lvlText w:val="%9."/>
      <w:lvlJc w:val="right"/>
      <w:pPr>
        <w:ind w:left="6322" w:hanging="180"/>
      </w:pPr>
    </w:lvl>
  </w:abstractNum>
  <w:abstractNum w:abstractNumId="25" w15:restartNumberingAfterBreak="0">
    <w:nsid w:val="3E6C70B0"/>
    <w:multiLevelType w:val="hybridMultilevel"/>
    <w:tmpl w:val="2266E73A"/>
    <w:lvl w:ilvl="0" w:tplc="210EA054">
      <w:start w:val="1"/>
      <w:numFmt w:val="decimal"/>
      <w:lvlText w:val="%1."/>
      <w:lvlJc w:val="left"/>
      <w:pPr>
        <w:ind w:left="720" w:hanging="360"/>
      </w:pPr>
      <w:rPr>
        <w:rFonts w:eastAsia="Calisto MT" w:hint="default"/>
        <w:b w:val="0"/>
        <w:color w:val="auto"/>
        <w:sz w:val="24"/>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3FB36D86"/>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7" w15:restartNumberingAfterBreak="0">
    <w:nsid w:val="410C1AC1"/>
    <w:multiLevelType w:val="hybridMultilevel"/>
    <w:tmpl w:val="475C0494"/>
    <w:lvl w:ilvl="0" w:tplc="04130001">
      <w:start w:val="1"/>
      <w:numFmt w:val="bullet"/>
      <w:lvlText w:val=""/>
      <w:lvlJc w:val="left"/>
      <w:pPr>
        <w:ind w:left="562" w:hanging="360"/>
      </w:pPr>
      <w:rPr>
        <w:rFonts w:ascii="Symbol" w:hAnsi="Symbol" w:hint="default"/>
      </w:rPr>
    </w:lvl>
    <w:lvl w:ilvl="1" w:tplc="04130003" w:tentative="1">
      <w:start w:val="1"/>
      <w:numFmt w:val="bullet"/>
      <w:lvlText w:val="o"/>
      <w:lvlJc w:val="left"/>
      <w:pPr>
        <w:ind w:left="1282" w:hanging="360"/>
      </w:pPr>
      <w:rPr>
        <w:rFonts w:ascii="Courier New" w:hAnsi="Courier New" w:cs="Courier New" w:hint="default"/>
      </w:rPr>
    </w:lvl>
    <w:lvl w:ilvl="2" w:tplc="04130005" w:tentative="1">
      <w:start w:val="1"/>
      <w:numFmt w:val="bullet"/>
      <w:lvlText w:val=""/>
      <w:lvlJc w:val="left"/>
      <w:pPr>
        <w:ind w:left="2002" w:hanging="360"/>
      </w:pPr>
      <w:rPr>
        <w:rFonts w:ascii="Wingdings" w:hAnsi="Wingdings" w:hint="default"/>
      </w:rPr>
    </w:lvl>
    <w:lvl w:ilvl="3" w:tplc="04130001" w:tentative="1">
      <w:start w:val="1"/>
      <w:numFmt w:val="bullet"/>
      <w:lvlText w:val=""/>
      <w:lvlJc w:val="left"/>
      <w:pPr>
        <w:ind w:left="2722" w:hanging="360"/>
      </w:pPr>
      <w:rPr>
        <w:rFonts w:ascii="Symbol" w:hAnsi="Symbol" w:hint="default"/>
      </w:rPr>
    </w:lvl>
    <w:lvl w:ilvl="4" w:tplc="04130003" w:tentative="1">
      <w:start w:val="1"/>
      <w:numFmt w:val="bullet"/>
      <w:lvlText w:val="o"/>
      <w:lvlJc w:val="left"/>
      <w:pPr>
        <w:ind w:left="3442" w:hanging="360"/>
      </w:pPr>
      <w:rPr>
        <w:rFonts w:ascii="Courier New" w:hAnsi="Courier New" w:cs="Courier New" w:hint="default"/>
      </w:rPr>
    </w:lvl>
    <w:lvl w:ilvl="5" w:tplc="04130005" w:tentative="1">
      <w:start w:val="1"/>
      <w:numFmt w:val="bullet"/>
      <w:lvlText w:val=""/>
      <w:lvlJc w:val="left"/>
      <w:pPr>
        <w:ind w:left="4162" w:hanging="360"/>
      </w:pPr>
      <w:rPr>
        <w:rFonts w:ascii="Wingdings" w:hAnsi="Wingdings" w:hint="default"/>
      </w:rPr>
    </w:lvl>
    <w:lvl w:ilvl="6" w:tplc="04130001" w:tentative="1">
      <w:start w:val="1"/>
      <w:numFmt w:val="bullet"/>
      <w:lvlText w:val=""/>
      <w:lvlJc w:val="left"/>
      <w:pPr>
        <w:ind w:left="4882" w:hanging="360"/>
      </w:pPr>
      <w:rPr>
        <w:rFonts w:ascii="Symbol" w:hAnsi="Symbol" w:hint="default"/>
      </w:rPr>
    </w:lvl>
    <w:lvl w:ilvl="7" w:tplc="04130003" w:tentative="1">
      <w:start w:val="1"/>
      <w:numFmt w:val="bullet"/>
      <w:lvlText w:val="o"/>
      <w:lvlJc w:val="left"/>
      <w:pPr>
        <w:ind w:left="5602" w:hanging="360"/>
      </w:pPr>
      <w:rPr>
        <w:rFonts w:ascii="Courier New" w:hAnsi="Courier New" w:cs="Courier New" w:hint="default"/>
      </w:rPr>
    </w:lvl>
    <w:lvl w:ilvl="8" w:tplc="04130005" w:tentative="1">
      <w:start w:val="1"/>
      <w:numFmt w:val="bullet"/>
      <w:lvlText w:val=""/>
      <w:lvlJc w:val="left"/>
      <w:pPr>
        <w:ind w:left="6322" w:hanging="360"/>
      </w:pPr>
      <w:rPr>
        <w:rFonts w:ascii="Wingdings" w:hAnsi="Wingdings" w:hint="default"/>
      </w:rPr>
    </w:lvl>
  </w:abstractNum>
  <w:abstractNum w:abstractNumId="28" w15:restartNumberingAfterBreak="0">
    <w:nsid w:val="4206195E"/>
    <w:multiLevelType w:val="multilevel"/>
    <w:tmpl w:val="08090025"/>
    <w:lvl w:ilvl="0">
      <w:start w:val="1"/>
      <w:numFmt w:val="decimal"/>
      <w:pStyle w:val="Kop1"/>
      <w:lvlText w:val="%1"/>
      <w:lvlJc w:val="left"/>
      <w:pPr>
        <w:ind w:left="432" w:hanging="432"/>
      </w:pPr>
    </w:lvl>
    <w:lvl w:ilvl="1">
      <w:start w:val="1"/>
      <w:numFmt w:val="decimal"/>
      <w:pStyle w:val="Kop2"/>
      <w:lvlText w:val="%1.%2"/>
      <w:lvlJc w:val="left"/>
      <w:pPr>
        <w:ind w:left="576" w:hanging="576"/>
      </w:pPr>
    </w:lvl>
    <w:lvl w:ilvl="2">
      <w:start w:val="1"/>
      <w:numFmt w:val="decimal"/>
      <w:pStyle w:val="Kop3"/>
      <w:lvlText w:val="%1.%2.%3"/>
      <w:lvlJc w:val="left"/>
      <w:pPr>
        <w:ind w:left="720" w:hanging="720"/>
      </w:pPr>
    </w:lvl>
    <w:lvl w:ilvl="3">
      <w:start w:val="1"/>
      <w:numFmt w:val="decimal"/>
      <w:pStyle w:val="Kop4"/>
      <w:lvlText w:val="%1.%2.%3.%4"/>
      <w:lvlJc w:val="left"/>
      <w:pPr>
        <w:ind w:left="864" w:hanging="864"/>
      </w:pPr>
    </w:lvl>
    <w:lvl w:ilvl="4">
      <w:start w:val="1"/>
      <w:numFmt w:val="decimal"/>
      <w:pStyle w:val="Kop5"/>
      <w:lvlText w:val="%1.%2.%3.%4.%5"/>
      <w:lvlJc w:val="left"/>
      <w:pPr>
        <w:ind w:left="1008" w:hanging="1008"/>
      </w:pPr>
    </w:lvl>
    <w:lvl w:ilvl="5">
      <w:start w:val="1"/>
      <w:numFmt w:val="decimal"/>
      <w:pStyle w:val="Kop6"/>
      <w:lvlText w:val="%1.%2.%3.%4.%5.%6"/>
      <w:lvlJc w:val="left"/>
      <w:pPr>
        <w:ind w:left="1152" w:hanging="1152"/>
      </w:pPr>
    </w:lvl>
    <w:lvl w:ilvl="6">
      <w:start w:val="1"/>
      <w:numFmt w:val="decimal"/>
      <w:pStyle w:val="Kop7"/>
      <w:lvlText w:val="%1.%2.%3.%4.%5.%6.%7"/>
      <w:lvlJc w:val="left"/>
      <w:pPr>
        <w:ind w:left="1296" w:hanging="1296"/>
      </w:pPr>
    </w:lvl>
    <w:lvl w:ilvl="7">
      <w:start w:val="1"/>
      <w:numFmt w:val="decimal"/>
      <w:pStyle w:val="Kop8"/>
      <w:lvlText w:val="%1.%2.%3.%4.%5.%6.%7.%8"/>
      <w:lvlJc w:val="left"/>
      <w:pPr>
        <w:ind w:left="1440" w:hanging="1440"/>
      </w:pPr>
    </w:lvl>
    <w:lvl w:ilvl="8">
      <w:start w:val="1"/>
      <w:numFmt w:val="decimal"/>
      <w:pStyle w:val="Kop9"/>
      <w:lvlText w:val="%1.%2.%3.%4.%5.%6.%7.%8.%9"/>
      <w:lvlJc w:val="left"/>
      <w:pPr>
        <w:ind w:left="1584" w:hanging="1584"/>
      </w:pPr>
    </w:lvl>
  </w:abstractNum>
  <w:abstractNum w:abstractNumId="29" w15:restartNumberingAfterBreak="0">
    <w:nsid w:val="43F67049"/>
    <w:multiLevelType w:val="hybridMultilevel"/>
    <w:tmpl w:val="110E9DE6"/>
    <w:lvl w:ilvl="0" w:tplc="ABB81DA8">
      <w:start w:val="1"/>
      <w:numFmt w:val="decimal"/>
      <w:pStyle w:val="Lijstnummering"/>
      <w:lvlText w:val="%1)"/>
      <w:lvlJc w:val="left"/>
      <w:pPr>
        <w:ind w:left="1195" w:hanging="360"/>
      </w:pPr>
      <w:rPr>
        <w:rFonts w:hint="default"/>
      </w:rPr>
    </w:lvl>
    <w:lvl w:ilvl="1" w:tplc="04090019" w:tentative="1">
      <w:start w:val="1"/>
      <w:numFmt w:val="lowerLetter"/>
      <w:lvlText w:val="%2."/>
      <w:lvlJc w:val="left"/>
      <w:pPr>
        <w:ind w:left="-1190" w:hanging="360"/>
      </w:pPr>
    </w:lvl>
    <w:lvl w:ilvl="2" w:tplc="0409001B" w:tentative="1">
      <w:start w:val="1"/>
      <w:numFmt w:val="lowerRoman"/>
      <w:lvlText w:val="%3."/>
      <w:lvlJc w:val="right"/>
      <w:pPr>
        <w:ind w:left="-470" w:hanging="180"/>
      </w:pPr>
    </w:lvl>
    <w:lvl w:ilvl="3" w:tplc="0409000F" w:tentative="1">
      <w:start w:val="1"/>
      <w:numFmt w:val="decimal"/>
      <w:lvlText w:val="%4."/>
      <w:lvlJc w:val="left"/>
      <w:pPr>
        <w:ind w:left="250" w:hanging="360"/>
      </w:pPr>
    </w:lvl>
    <w:lvl w:ilvl="4" w:tplc="04090019" w:tentative="1">
      <w:start w:val="1"/>
      <w:numFmt w:val="lowerLetter"/>
      <w:lvlText w:val="%5."/>
      <w:lvlJc w:val="left"/>
      <w:pPr>
        <w:ind w:left="970" w:hanging="360"/>
      </w:pPr>
    </w:lvl>
    <w:lvl w:ilvl="5" w:tplc="0409001B" w:tentative="1">
      <w:start w:val="1"/>
      <w:numFmt w:val="lowerRoman"/>
      <w:lvlText w:val="%6."/>
      <w:lvlJc w:val="right"/>
      <w:pPr>
        <w:ind w:left="1690" w:hanging="180"/>
      </w:pPr>
    </w:lvl>
    <w:lvl w:ilvl="6" w:tplc="0409000F" w:tentative="1">
      <w:start w:val="1"/>
      <w:numFmt w:val="decimal"/>
      <w:lvlText w:val="%7."/>
      <w:lvlJc w:val="left"/>
      <w:pPr>
        <w:ind w:left="2410" w:hanging="360"/>
      </w:pPr>
    </w:lvl>
    <w:lvl w:ilvl="7" w:tplc="04090019" w:tentative="1">
      <w:start w:val="1"/>
      <w:numFmt w:val="lowerLetter"/>
      <w:lvlText w:val="%8."/>
      <w:lvlJc w:val="left"/>
      <w:pPr>
        <w:ind w:left="3130" w:hanging="360"/>
      </w:pPr>
    </w:lvl>
    <w:lvl w:ilvl="8" w:tplc="0409001B" w:tentative="1">
      <w:start w:val="1"/>
      <w:numFmt w:val="lowerRoman"/>
      <w:lvlText w:val="%9."/>
      <w:lvlJc w:val="right"/>
      <w:pPr>
        <w:ind w:left="3850" w:hanging="180"/>
      </w:pPr>
    </w:lvl>
  </w:abstractNum>
  <w:abstractNum w:abstractNumId="30" w15:restartNumberingAfterBreak="0">
    <w:nsid w:val="5442290C"/>
    <w:multiLevelType w:val="hybridMultilevel"/>
    <w:tmpl w:val="61F2DE14"/>
    <w:lvl w:ilvl="0" w:tplc="F80467B0">
      <w:numFmt w:val="bullet"/>
      <w:lvlText w:val="-"/>
      <w:lvlJc w:val="left"/>
      <w:pPr>
        <w:ind w:left="562" w:hanging="360"/>
      </w:pPr>
      <w:rPr>
        <w:rFonts w:ascii="Calibri" w:eastAsia="Calisto MT" w:hAnsi="Calibri" w:cs="Calibri" w:hint="default"/>
      </w:rPr>
    </w:lvl>
    <w:lvl w:ilvl="1" w:tplc="04130003" w:tentative="1">
      <w:start w:val="1"/>
      <w:numFmt w:val="bullet"/>
      <w:lvlText w:val="o"/>
      <w:lvlJc w:val="left"/>
      <w:pPr>
        <w:ind w:left="1282" w:hanging="360"/>
      </w:pPr>
      <w:rPr>
        <w:rFonts w:ascii="Courier New" w:hAnsi="Courier New" w:cs="Courier New" w:hint="default"/>
      </w:rPr>
    </w:lvl>
    <w:lvl w:ilvl="2" w:tplc="04130005" w:tentative="1">
      <w:start w:val="1"/>
      <w:numFmt w:val="bullet"/>
      <w:lvlText w:val=""/>
      <w:lvlJc w:val="left"/>
      <w:pPr>
        <w:ind w:left="2002" w:hanging="360"/>
      </w:pPr>
      <w:rPr>
        <w:rFonts w:ascii="Wingdings" w:hAnsi="Wingdings" w:hint="default"/>
      </w:rPr>
    </w:lvl>
    <w:lvl w:ilvl="3" w:tplc="04130001" w:tentative="1">
      <w:start w:val="1"/>
      <w:numFmt w:val="bullet"/>
      <w:lvlText w:val=""/>
      <w:lvlJc w:val="left"/>
      <w:pPr>
        <w:ind w:left="2722" w:hanging="360"/>
      </w:pPr>
      <w:rPr>
        <w:rFonts w:ascii="Symbol" w:hAnsi="Symbol" w:hint="default"/>
      </w:rPr>
    </w:lvl>
    <w:lvl w:ilvl="4" w:tplc="04130003" w:tentative="1">
      <w:start w:val="1"/>
      <w:numFmt w:val="bullet"/>
      <w:lvlText w:val="o"/>
      <w:lvlJc w:val="left"/>
      <w:pPr>
        <w:ind w:left="3442" w:hanging="360"/>
      </w:pPr>
      <w:rPr>
        <w:rFonts w:ascii="Courier New" w:hAnsi="Courier New" w:cs="Courier New" w:hint="default"/>
      </w:rPr>
    </w:lvl>
    <w:lvl w:ilvl="5" w:tplc="04130005" w:tentative="1">
      <w:start w:val="1"/>
      <w:numFmt w:val="bullet"/>
      <w:lvlText w:val=""/>
      <w:lvlJc w:val="left"/>
      <w:pPr>
        <w:ind w:left="4162" w:hanging="360"/>
      </w:pPr>
      <w:rPr>
        <w:rFonts w:ascii="Wingdings" w:hAnsi="Wingdings" w:hint="default"/>
      </w:rPr>
    </w:lvl>
    <w:lvl w:ilvl="6" w:tplc="04130001" w:tentative="1">
      <w:start w:val="1"/>
      <w:numFmt w:val="bullet"/>
      <w:lvlText w:val=""/>
      <w:lvlJc w:val="left"/>
      <w:pPr>
        <w:ind w:left="4882" w:hanging="360"/>
      </w:pPr>
      <w:rPr>
        <w:rFonts w:ascii="Symbol" w:hAnsi="Symbol" w:hint="default"/>
      </w:rPr>
    </w:lvl>
    <w:lvl w:ilvl="7" w:tplc="04130003" w:tentative="1">
      <w:start w:val="1"/>
      <w:numFmt w:val="bullet"/>
      <w:lvlText w:val="o"/>
      <w:lvlJc w:val="left"/>
      <w:pPr>
        <w:ind w:left="5602" w:hanging="360"/>
      </w:pPr>
      <w:rPr>
        <w:rFonts w:ascii="Courier New" w:hAnsi="Courier New" w:cs="Courier New" w:hint="default"/>
      </w:rPr>
    </w:lvl>
    <w:lvl w:ilvl="8" w:tplc="04130005" w:tentative="1">
      <w:start w:val="1"/>
      <w:numFmt w:val="bullet"/>
      <w:lvlText w:val=""/>
      <w:lvlJc w:val="left"/>
      <w:pPr>
        <w:ind w:left="6322" w:hanging="360"/>
      </w:pPr>
      <w:rPr>
        <w:rFonts w:ascii="Wingdings" w:hAnsi="Wingdings" w:hint="default"/>
      </w:rPr>
    </w:lvl>
  </w:abstractNum>
  <w:abstractNum w:abstractNumId="31" w15:restartNumberingAfterBreak="0">
    <w:nsid w:val="599322E7"/>
    <w:multiLevelType w:val="hybridMultilevel"/>
    <w:tmpl w:val="C00AC814"/>
    <w:lvl w:ilvl="0" w:tplc="9FCAA9B2">
      <w:start w:val="1"/>
      <w:numFmt w:val="decimal"/>
      <w:lvlText w:val="%1."/>
      <w:lvlJc w:val="left"/>
      <w:pPr>
        <w:ind w:left="562" w:hanging="360"/>
      </w:pPr>
      <w:rPr>
        <w:rFonts w:hint="default"/>
      </w:rPr>
    </w:lvl>
    <w:lvl w:ilvl="1" w:tplc="04130019" w:tentative="1">
      <w:start w:val="1"/>
      <w:numFmt w:val="lowerLetter"/>
      <w:lvlText w:val="%2."/>
      <w:lvlJc w:val="left"/>
      <w:pPr>
        <w:ind w:left="1282" w:hanging="360"/>
      </w:pPr>
    </w:lvl>
    <w:lvl w:ilvl="2" w:tplc="0413001B" w:tentative="1">
      <w:start w:val="1"/>
      <w:numFmt w:val="lowerRoman"/>
      <w:lvlText w:val="%3."/>
      <w:lvlJc w:val="right"/>
      <w:pPr>
        <w:ind w:left="2002" w:hanging="180"/>
      </w:pPr>
    </w:lvl>
    <w:lvl w:ilvl="3" w:tplc="0413000F" w:tentative="1">
      <w:start w:val="1"/>
      <w:numFmt w:val="decimal"/>
      <w:lvlText w:val="%4."/>
      <w:lvlJc w:val="left"/>
      <w:pPr>
        <w:ind w:left="2722" w:hanging="360"/>
      </w:pPr>
    </w:lvl>
    <w:lvl w:ilvl="4" w:tplc="04130019" w:tentative="1">
      <w:start w:val="1"/>
      <w:numFmt w:val="lowerLetter"/>
      <w:lvlText w:val="%5."/>
      <w:lvlJc w:val="left"/>
      <w:pPr>
        <w:ind w:left="3442" w:hanging="360"/>
      </w:pPr>
    </w:lvl>
    <w:lvl w:ilvl="5" w:tplc="0413001B" w:tentative="1">
      <w:start w:val="1"/>
      <w:numFmt w:val="lowerRoman"/>
      <w:lvlText w:val="%6."/>
      <w:lvlJc w:val="right"/>
      <w:pPr>
        <w:ind w:left="4162" w:hanging="180"/>
      </w:pPr>
    </w:lvl>
    <w:lvl w:ilvl="6" w:tplc="0413000F" w:tentative="1">
      <w:start w:val="1"/>
      <w:numFmt w:val="decimal"/>
      <w:lvlText w:val="%7."/>
      <w:lvlJc w:val="left"/>
      <w:pPr>
        <w:ind w:left="4882" w:hanging="360"/>
      </w:pPr>
    </w:lvl>
    <w:lvl w:ilvl="7" w:tplc="04130019" w:tentative="1">
      <w:start w:val="1"/>
      <w:numFmt w:val="lowerLetter"/>
      <w:lvlText w:val="%8."/>
      <w:lvlJc w:val="left"/>
      <w:pPr>
        <w:ind w:left="5602" w:hanging="360"/>
      </w:pPr>
    </w:lvl>
    <w:lvl w:ilvl="8" w:tplc="0413001B" w:tentative="1">
      <w:start w:val="1"/>
      <w:numFmt w:val="lowerRoman"/>
      <w:lvlText w:val="%9."/>
      <w:lvlJc w:val="right"/>
      <w:pPr>
        <w:ind w:left="6322" w:hanging="180"/>
      </w:pPr>
    </w:lvl>
  </w:abstractNum>
  <w:abstractNum w:abstractNumId="32" w15:restartNumberingAfterBreak="0">
    <w:nsid w:val="59C05D32"/>
    <w:multiLevelType w:val="hybridMultilevel"/>
    <w:tmpl w:val="33B4C61E"/>
    <w:lvl w:ilvl="0" w:tplc="24983DF6">
      <w:start w:val="1"/>
      <w:numFmt w:val="bullet"/>
      <w:pStyle w:val="Lijstopsomteken"/>
      <w:lvlText w:val=""/>
      <w:lvlJc w:val="left"/>
      <w:pPr>
        <w:ind w:left="562" w:hanging="360"/>
      </w:pPr>
      <w:rPr>
        <w:rFonts w:ascii="Symbol" w:hAnsi="Symbol" w:hint="default"/>
      </w:rPr>
    </w:lvl>
    <w:lvl w:ilvl="1" w:tplc="04090003" w:tentative="1">
      <w:start w:val="1"/>
      <w:numFmt w:val="bullet"/>
      <w:lvlText w:val="o"/>
      <w:lvlJc w:val="left"/>
      <w:pPr>
        <w:ind w:left="1282" w:hanging="360"/>
      </w:pPr>
      <w:rPr>
        <w:rFonts w:ascii="Courier New" w:hAnsi="Courier New" w:cs="Wingdings" w:hint="default"/>
      </w:rPr>
    </w:lvl>
    <w:lvl w:ilvl="2" w:tplc="04090005" w:tentative="1">
      <w:start w:val="1"/>
      <w:numFmt w:val="bullet"/>
      <w:lvlText w:val=""/>
      <w:lvlJc w:val="left"/>
      <w:pPr>
        <w:ind w:left="2002" w:hanging="360"/>
      </w:pPr>
      <w:rPr>
        <w:rFonts w:ascii="Wingdings" w:hAnsi="Wingdings" w:hint="default"/>
      </w:rPr>
    </w:lvl>
    <w:lvl w:ilvl="3" w:tplc="04090001" w:tentative="1">
      <w:start w:val="1"/>
      <w:numFmt w:val="bullet"/>
      <w:lvlText w:val=""/>
      <w:lvlJc w:val="left"/>
      <w:pPr>
        <w:ind w:left="2722" w:hanging="360"/>
      </w:pPr>
      <w:rPr>
        <w:rFonts w:ascii="Symbol" w:hAnsi="Symbol" w:hint="default"/>
      </w:rPr>
    </w:lvl>
    <w:lvl w:ilvl="4" w:tplc="04090003" w:tentative="1">
      <w:start w:val="1"/>
      <w:numFmt w:val="bullet"/>
      <w:lvlText w:val="o"/>
      <w:lvlJc w:val="left"/>
      <w:pPr>
        <w:ind w:left="3442" w:hanging="360"/>
      </w:pPr>
      <w:rPr>
        <w:rFonts w:ascii="Courier New" w:hAnsi="Courier New" w:cs="Wingdings" w:hint="default"/>
      </w:rPr>
    </w:lvl>
    <w:lvl w:ilvl="5" w:tplc="04090005" w:tentative="1">
      <w:start w:val="1"/>
      <w:numFmt w:val="bullet"/>
      <w:lvlText w:val=""/>
      <w:lvlJc w:val="left"/>
      <w:pPr>
        <w:ind w:left="4162" w:hanging="360"/>
      </w:pPr>
      <w:rPr>
        <w:rFonts w:ascii="Wingdings" w:hAnsi="Wingdings" w:hint="default"/>
      </w:rPr>
    </w:lvl>
    <w:lvl w:ilvl="6" w:tplc="04090001" w:tentative="1">
      <w:start w:val="1"/>
      <w:numFmt w:val="bullet"/>
      <w:lvlText w:val=""/>
      <w:lvlJc w:val="left"/>
      <w:pPr>
        <w:ind w:left="4882" w:hanging="360"/>
      </w:pPr>
      <w:rPr>
        <w:rFonts w:ascii="Symbol" w:hAnsi="Symbol" w:hint="default"/>
      </w:rPr>
    </w:lvl>
    <w:lvl w:ilvl="7" w:tplc="04090003" w:tentative="1">
      <w:start w:val="1"/>
      <w:numFmt w:val="bullet"/>
      <w:lvlText w:val="o"/>
      <w:lvlJc w:val="left"/>
      <w:pPr>
        <w:ind w:left="5602" w:hanging="360"/>
      </w:pPr>
      <w:rPr>
        <w:rFonts w:ascii="Courier New" w:hAnsi="Courier New" w:cs="Wingdings" w:hint="default"/>
      </w:rPr>
    </w:lvl>
    <w:lvl w:ilvl="8" w:tplc="04090005" w:tentative="1">
      <w:start w:val="1"/>
      <w:numFmt w:val="bullet"/>
      <w:lvlText w:val=""/>
      <w:lvlJc w:val="left"/>
      <w:pPr>
        <w:ind w:left="6322" w:hanging="360"/>
      </w:pPr>
      <w:rPr>
        <w:rFonts w:ascii="Wingdings" w:hAnsi="Wingdings" w:hint="default"/>
      </w:rPr>
    </w:lvl>
  </w:abstractNum>
  <w:abstractNum w:abstractNumId="33" w15:restartNumberingAfterBreak="0">
    <w:nsid w:val="5A3978EB"/>
    <w:multiLevelType w:val="multilevel"/>
    <w:tmpl w:val="0DD2A90E"/>
    <w:lvl w:ilvl="0">
      <w:start w:val="1"/>
      <w:numFmt w:val="lowerRoman"/>
      <w:lvlText w:val="(%1)"/>
      <w:lvlJc w:val="left"/>
      <w:pPr>
        <w:ind w:left="1195" w:hanging="360"/>
      </w:pPr>
      <w:rPr>
        <w:rFonts w:hint="default"/>
      </w:rPr>
    </w:lvl>
    <w:lvl w:ilvl="1">
      <w:start w:val="1"/>
      <w:numFmt w:val="lowerLetter"/>
      <w:lvlText w:val="%2."/>
      <w:lvlJc w:val="left"/>
      <w:pPr>
        <w:ind w:left="1915" w:hanging="360"/>
      </w:pPr>
    </w:lvl>
    <w:lvl w:ilvl="2">
      <w:start w:val="1"/>
      <w:numFmt w:val="lowerRoman"/>
      <w:lvlText w:val="%3."/>
      <w:lvlJc w:val="right"/>
      <w:pPr>
        <w:ind w:left="2635" w:hanging="180"/>
      </w:pPr>
    </w:lvl>
    <w:lvl w:ilvl="3">
      <w:start w:val="1"/>
      <w:numFmt w:val="decimal"/>
      <w:lvlText w:val="%4."/>
      <w:lvlJc w:val="left"/>
      <w:pPr>
        <w:ind w:left="3355" w:hanging="360"/>
      </w:pPr>
    </w:lvl>
    <w:lvl w:ilvl="4">
      <w:start w:val="1"/>
      <w:numFmt w:val="lowerLetter"/>
      <w:lvlText w:val="%5."/>
      <w:lvlJc w:val="left"/>
      <w:pPr>
        <w:ind w:left="4075" w:hanging="360"/>
      </w:pPr>
    </w:lvl>
    <w:lvl w:ilvl="5">
      <w:start w:val="1"/>
      <w:numFmt w:val="lowerRoman"/>
      <w:lvlText w:val="%6."/>
      <w:lvlJc w:val="right"/>
      <w:pPr>
        <w:ind w:left="4795" w:hanging="180"/>
      </w:pPr>
    </w:lvl>
    <w:lvl w:ilvl="6">
      <w:start w:val="1"/>
      <w:numFmt w:val="decimal"/>
      <w:lvlText w:val="%7."/>
      <w:lvlJc w:val="left"/>
      <w:pPr>
        <w:ind w:left="5515" w:hanging="360"/>
      </w:pPr>
    </w:lvl>
    <w:lvl w:ilvl="7">
      <w:start w:val="1"/>
      <w:numFmt w:val="lowerLetter"/>
      <w:lvlText w:val="%8."/>
      <w:lvlJc w:val="left"/>
      <w:pPr>
        <w:ind w:left="6235" w:hanging="360"/>
      </w:pPr>
    </w:lvl>
    <w:lvl w:ilvl="8">
      <w:start w:val="1"/>
      <w:numFmt w:val="lowerRoman"/>
      <w:lvlText w:val="%9."/>
      <w:lvlJc w:val="right"/>
      <w:pPr>
        <w:ind w:left="6955" w:hanging="180"/>
      </w:pPr>
    </w:lvl>
  </w:abstractNum>
  <w:abstractNum w:abstractNumId="34" w15:restartNumberingAfterBreak="0">
    <w:nsid w:val="5B4245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E762748"/>
    <w:multiLevelType w:val="multilevel"/>
    <w:tmpl w:val="462EC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E9D73CC"/>
    <w:multiLevelType w:val="hybridMultilevel"/>
    <w:tmpl w:val="08225042"/>
    <w:lvl w:ilvl="0" w:tplc="04130001">
      <w:start w:val="1"/>
      <w:numFmt w:val="bullet"/>
      <w:lvlText w:val=""/>
      <w:lvlJc w:val="left"/>
      <w:pPr>
        <w:ind w:left="562" w:hanging="360"/>
      </w:pPr>
      <w:rPr>
        <w:rFonts w:ascii="Symbol" w:hAnsi="Symbol" w:hint="default"/>
      </w:rPr>
    </w:lvl>
    <w:lvl w:ilvl="1" w:tplc="FFFFFFFF" w:tentative="1">
      <w:start w:val="1"/>
      <w:numFmt w:val="lowerLetter"/>
      <w:lvlText w:val="%2."/>
      <w:lvlJc w:val="left"/>
      <w:pPr>
        <w:ind w:left="1282" w:hanging="360"/>
      </w:pPr>
    </w:lvl>
    <w:lvl w:ilvl="2" w:tplc="FFFFFFFF" w:tentative="1">
      <w:start w:val="1"/>
      <w:numFmt w:val="lowerRoman"/>
      <w:lvlText w:val="%3."/>
      <w:lvlJc w:val="right"/>
      <w:pPr>
        <w:ind w:left="2002" w:hanging="180"/>
      </w:pPr>
    </w:lvl>
    <w:lvl w:ilvl="3" w:tplc="FFFFFFFF" w:tentative="1">
      <w:start w:val="1"/>
      <w:numFmt w:val="decimal"/>
      <w:lvlText w:val="%4."/>
      <w:lvlJc w:val="left"/>
      <w:pPr>
        <w:ind w:left="2722" w:hanging="360"/>
      </w:pPr>
    </w:lvl>
    <w:lvl w:ilvl="4" w:tplc="FFFFFFFF" w:tentative="1">
      <w:start w:val="1"/>
      <w:numFmt w:val="lowerLetter"/>
      <w:lvlText w:val="%5."/>
      <w:lvlJc w:val="left"/>
      <w:pPr>
        <w:ind w:left="3442" w:hanging="360"/>
      </w:pPr>
    </w:lvl>
    <w:lvl w:ilvl="5" w:tplc="FFFFFFFF" w:tentative="1">
      <w:start w:val="1"/>
      <w:numFmt w:val="lowerRoman"/>
      <w:lvlText w:val="%6."/>
      <w:lvlJc w:val="right"/>
      <w:pPr>
        <w:ind w:left="4162" w:hanging="180"/>
      </w:pPr>
    </w:lvl>
    <w:lvl w:ilvl="6" w:tplc="FFFFFFFF" w:tentative="1">
      <w:start w:val="1"/>
      <w:numFmt w:val="decimal"/>
      <w:lvlText w:val="%7."/>
      <w:lvlJc w:val="left"/>
      <w:pPr>
        <w:ind w:left="4882" w:hanging="360"/>
      </w:pPr>
    </w:lvl>
    <w:lvl w:ilvl="7" w:tplc="FFFFFFFF" w:tentative="1">
      <w:start w:val="1"/>
      <w:numFmt w:val="lowerLetter"/>
      <w:lvlText w:val="%8."/>
      <w:lvlJc w:val="left"/>
      <w:pPr>
        <w:ind w:left="5602" w:hanging="360"/>
      </w:pPr>
    </w:lvl>
    <w:lvl w:ilvl="8" w:tplc="FFFFFFFF" w:tentative="1">
      <w:start w:val="1"/>
      <w:numFmt w:val="lowerRoman"/>
      <w:lvlText w:val="%9."/>
      <w:lvlJc w:val="right"/>
      <w:pPr>
        <w:ind w:left="6322" w:hanging="180"/>
      </w:pPr>
    </w:lvl>
  </w:abstractNum>
  <w:abstractNum w:abstractNumId="37" w15:restartNumberingAfterBreak="0">
    <w:nsid w:val="62896638"/>
    <w:multiLevelType w:val="hybridMultilevel"/>
    <w:tmpl w:val="CE343676"/>
    <w:lvl w:ilvl="0" w:tplc="37A8A31A">
      <w:numFmt w:val="bullet"/>
      <w:lvlText w:val="-"/>
      <w:lvlJc w:val="left"/>
      <w:pPr>
        <w:ind w:left="562" w:hanging="360"/>
      </w:pPr>
      <w:rPr>
        <w:rFonts w:ascii="Calibri" w:eastAsia="Calisto MT" w:hAnsi="Calibri" w:cs="Calibri" w:hint="default"/>
      </w:rPr>
    </w:lvl>
    <w:lvl w:ilvl="1" w:tplc="04130003" w:tentative="1">
      <w:start w:val="1"/>
      <w:numFmt w:val="bullet"/>
      <w:lvlText w:val="o"/>
      <w:lvlJc w:val="left"/>
      <w:pPr>
        <w:ind w:left="1282" w:hanging="360"/>
      </w:pPr>
      <w:rPr>
        <w:rFonts w:ascii="Courier New" w:hAnsi="Courier New" w:cs="Courier New" w:hint="default"/>
      </w:rPr>
    </w:lvl>
    <w:lvl w:ilvl="2" w:tplc="04130005" w:tentative="1">
      <w:start w:val="1"/>
      <w:numFmt w:val="bullet"/>
      <w:lvlText w:val=""/>
      <w:lvlJc w:val="left"/>
      <w:pPr>
        <w:ind w:left="2002" w:hanging="360"/>
      </w:pPr>
      <w:rPr>
        <w:rFonts w:ascii="Wingdings" w:hAnsi="Wingdings" w:hint="default"/>
      </w:rPr>
    </w:lvl>
    <w:lvl w:ilvl="3" w:tplc="04130001" w:tentative="1">
      <w:start w:val="1"/>
      <w:numFmt w:val="bullet"/>
      <w:lvlText w:val=""/>
      <w:lvlJc w:val="left"/>
      <w:pPr>
        <w:ind w:left="2722" w:hanging="360"/>
      </w:pPr>
      <w:rPr>
        <w:rFonts w:ascii="Symbol" w:hAnsi="Symbol" w:hint="default"/>
      </w:rPr>
    </w:lvl>
    <w:lvl w:ilvl="4" w:tplc="04130003" w:tentative="1">
      <w:start w:val="1"/>
      <w:numFmt w:val="bullet"/>
      <w:lvlText w:val="o"/>
      <w:lvlJc w:val="left"/>
      <w:pPr>
        <w:ind w:left="3442" w:hanging="360"/>
      </w:pPr>
      <w:rPr>
        <w:rFonts w:ascii="Courier New" w:hAnsi="Courier New" w:cs="Courier New" w:hint="default"/>
      </w:rPr>
    </w:lvl>
    <w:lvl w:ilvl="5" w:tplc="04130005" w:tentative="1">
      <w:start w:val="1"/>
      <w:numFmt w:val="bullet"/>
      <w:lvlText w:val=""/>
      <w:lvlJc w:val="left"/>
      <w:pPr>
        <w:ind w:left="4162" w:hanging="360"/>
      </w:pPr>
      <w:rPr>
        <w:rFonts w:ascii="Wingdings" w:hAnsi="Wingdings" w:hint="default"/>
      </w:rPr>
    </w:lvl>
    <w:lvl w:ilvl="6" w:tplc="04130001" w:tentative="1">
      <w:start w:val="1"/>
      <w:numFmt w:val="bullet"/>
      <w:lvlText w:val=""/>
      <w:lvlJc w:val="left"/>
      <w:pPr>
        <w:ind w:left="4882" w:hanging="360"/>
      </w:pPr>
      <w:rPr>
        <w:rFonts w:ascii="Symbol" w:hAnsi="Symbol" w:hint="default"/>
      </w:rPr>
    </w:lvl>
    <w:lvl w:ilvl="7" w:tplc="04130003" w:tentative="1">
      <w:start w:val="1"/>
      <w:numFmt w:val="bullet"/>
      <w:lvlText w:val="o"/>
      <w:lvlJc w:val="left"/>
      <w:pPr>
        <w:ind w:left="5602" w:hanging="360"/>
      </w:pPr>
      <w:rPr>
        <w:rFonts w:ascii="Courier New" w:hAnsi="Courier New" w:cs="Courier New" w:hint="default"/>
      </w:rPr>
    </w:lvl>
    <w:lvl w:ilvl="8" w:tplc="04130005" w:tentative="1">
      <w:start w:val="1"/>
      <w:numFmt w:val="bullet"/>
      <w:lvlText w:val=""/>
      <w:lvlJc w:val="left"/>
      <w:pPr>
        <w:ind w:left="6322" w:hanging="360"/>
      </w:pPr>
      <w:rPr>
        <w:rFonts w:ascii="Wingdings" w:hAnsi="Wingdings" w:hint="default"/>
      </w:rPr>
    </w:lvl>
  </w:abstractNum>
  <w:abstractNum w:abstractNumId="38" w15:restartNumberingAfterBreak="0">
    <w:nsid w:val="6C054DAC"/>
    <w:multiLevelType w:val="hybridMultilevel"/>
    <w:tmpl w:val="B6AC5DB4"/>
    <w:lvl w:ilvl="0" w:tplc="3A78685A">
      <w:start w:val="1"/>
      <w:numFmt w:val="bullet"/>
      <w:lvlText w:val=""/>
      <w:lvlJc w:val="left"/>
      <w:pPr>
        <w:tabs>
          <w:tab w:val="num" w:pos="202"/>
        </w:tabs>
        <w:ind w:left="202" w:hanging="202"/>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DAF1783"/>
    <w:multiLevelType w:val="hybridMultilevel"/>
    <w:tmpl w:val="20441418"/>
    <w:lvl w:ilvl="0" w:tplc="6D782C90">
      <w:start w:val="1"/>
      <w:numFmt w:val="bullet"/>
      <w:lvlText w:val="-"/>
      <w:lvlJc w:val="left"/>
      <w:pPr>
        <w:ind w:left="562" w:hanging="360"/>
      </w:pPr>
      <w:rPr>
        <w:rFonts w:ascii="Calibri" w:eastAsia="Calisto MT" w:hAnsi="Calibri" w:cs="Calibri" w:hint="default"/>
      </w:rPr>
    </w:lvl>
    <w:lvl w:ilvl="1" w:tplc="04130003" w:tentative="1">
      <w:start w:val="1"/>
      <w:numFmt w:val="bullet"/>
      <w:lvlText w:val="o"/>
      <w:lvlJc w:val="left"/>
      <w:pPr>
        <w:ind w:left="1282" w:hanging="360"/>
      </w:pPr>
      <w:rPr>
        <w:rFonts w:ascii="Courier New" w:hAnsi="Courier New" w:cs="Courier New" w:hint="default"/>
      </w:rPr>
    </w:lvl>
    <w:lvl w:ilvl="2" w:tplc="04130005" w:tentative="1">
      <w:start w:val="1"/>
      <w:numFmt w:val="bullet"/>
      <w:lvlText w:val=""/>
      <w:lvlJc w:val="left"/>
      <w:pPr>
        <w:ind w:left="2002" w:hanging="360"/>
      </w:pPr>
      <w:rPr>
        <w:rFonts w:ascii="Wingdings" w:hAnsi="Wingdings" w:hint="default"/>
      </w:rPr>
    </w:lvl>
    <w:lvl w:ilvl="3" w:tplc="04130001" w:tentative="1">
      <w:start w:val="1"/>
      <w:numFmt w:val="bullet"/>
      <w:lvlText w:val=""/>
      <w:lvlJc w:val="left"/>
      <w:pPr>
        <w:ind w:left="2722" w:hanging="360"/>
      </w:pPr>
      <w:rPr>
        <w:rFonts w:ascii="Symbol" w:hAnsi="Symbol" w:hint="default"/>
      </w:rPr>
    </w:lvl>
    <w:lvl w:ilvl="4" w:tplc="04130003" w:tentative="1">
      <w:start w:val="1"/>
      <w:numFmt w:val="bullet"/>
      <w:lvlText w:val="o"/>
      <w:lvlJc w:val="left"/>
      <w:pPr>
        <w:ind w:left="3442" w:hanging="360"/>
      </w:pPr>
      <w:rPr>
        <w:rFonts w:ascii="Courier New" w:hAnsi="Courier New" w:cs="Courier New" w:hint="default"/>
      </w:rPr>
    </w:lvl>
    <w:lvl w:ilvl="5" w:tplc="04130005" w:tentative="1">
      <w:start w:val="1"/>
      <w:numFmt w:val="bullet"/>
      <w:lvlText w:val=""/>
      <w:lvlJc w:val="left"/>
      <w:pPr>
        <w:ind w:left="4162" w:hanging="360"/>
      </w:pPr>
      <w:rPr>
        <w:rFonts w:ascii="Wingdings" w:hAnsi="Wingdings" w:hint="default"/>
      </w:rPr>
    </w:lvl>
    <w:lvl w:ilvl="6" w:tplc="04130001" w:tentative="1">
      <w:start w:val="1"/>
      <w:numFmt w:val="bullet"/>
      <w:lvlText w:val=""/>
      <w:lvlJc w:val="left"/>
      <w:pPr>
        <w:ind w:left="4882" w:hanging="360"/>
      </w:pPr>
      <w:rPr>
        <w:rFonts w:ascii="Symbol" w:hAnsi="Symbol" w:hint="default"/>
      </w:rPr>
    </w:lvl>
    <w:lvl w:ilvl="7" w:tplc="04130003" w:tentative="1">
      <w:start w:val="1"/>
      <w:numFmt w:val="bullet"/>
      <w:lvlText w:val="o"/>
      <w:lvlJc w:val="left"/>
      <w:pPr>
        <w:ind w:left="5602" w:hanging="360"/>
      </w:pPr>
      <w:rPr>
        <w:rFonts w:ascii="Courier New" w:hAnsi="Courier New" w:cs="Courier New" w:hint="default"/>
      </w:rPr>
    </w:lvl>
    <w:lvl w:ilvl="8" w:tplc="04130005" w:tentative="1">
      <w:start w:val="1"/>
      <w:numFmt w:val="bullet"/>
      <w:lvlText w:val=""/>
      <w:lvlJc w:val="left"/>
      <w:pPr>
        <w:ind w:left="6322" w:hanging="360"/>
      </w:pPr>
      <w:rPr>
        <w:rFonts w:ascii="Wingdings" w:hAnsi="Wingdings" w:hint="default"/>
      </w:rPr>
    </w:lvl>
  </w:abstractNum>
  <w:abstractNum w:abstractNumId="40" w15:restartNumberingAfterBreak="0">
    <w:nsid w:val="758E09F5"/>
    <w:multiLevelType w:val="multilevel"/>
    <w:tmpl w:val="11B22F1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2077699146">
    <w:abstractNumId w:val="38"/>
  </w:num>
  <w:num w:numId="2" w16cid:durableId="1358235353">
    <w:abstractNumId w:val="22"/>
  </w:num>
  <w:num w:numId="3" w16cid:durableId="460224564">
    <w:abstractNumId w:val="10"/>
  </w:num>
  <w:num w:numId="4" w16cid:durableId="1343050389">
    <w:abstractNumId w:val="7"/>
  </w:num>
  <w:num w:numId="5" w16cid:durableId="921449105">
    <w:abstractNumId w:val="8"/>
  </w:num>
  <w:num w:numId="6" w16cid:durableId="681591907">
    <w:abstractNumId w:val="6"/>
  </w:num>
  <w:num w:numId="7" w16cid:durableId="1649435321">
    <w:abstractNumId w:val="5"/>
  </w:num>
  <w:num w:numId="8" w16cid:durableId="448817017">
    <w:abstractNumId w:val="4"/>
  </w:num>
  <w:num w:numId="9" w16cid:durableId="2074812350">
    <w:abstractNumId w:val="3"/>
  </w:num>
  <w:num w:numId="10" w16cid:durableId="1726757028">
    <w:abstractNumId w:val="2"/>
  </w:num>
  <w:num w:numId="11" w16cid:durableId="909535192">
    <w:abstractNumId w:val="1"/>
  </w:num>
  <w:num w:numId="12" w16cid:durableId="2116705370">
    <w:abstractNumId w:val="9"/>
  </w:num>
  <w:num w:numId="13" w16cid:durableId="2089108401">
    <w:abstractNumId w:val="0"/>
  </w:num>
  <w:num w:numId="14" w16cid:durableId="1745638720">
    <w:abstractNumId w:val="34"/>
  </w:num>
  <w:num w:numId="15" w16cid:durableId="1594318145">
    <w:abstractNumId w:val="23"/>
  </w:num>
  <w:num w:numId="16" w16cid:durableId="1493328289">
    <w:abstractNumId w:val="26"/>
  </w:num>
  <w:num w:numId="17" w16cid:durableId="434902863">
    <w:abstractNumId w:val="32"/>
  </w:num>
  <w:num w:numId="18" w16cid:durableId="2091271645">
    <w:abstractNumId w:val="29"/>
  </w:num>
  <w:num w:numId="19" w16cid:durableId="1967858338">
    <w:abstractNumId w:val="16"/>
  </w:num>
  <w:num w:numId="20" w16cid:durableId="331879801">
    <w:abstractNumId w:val="33"/>
  </w:num>
  <w:num w:numId="21" w16cid:durableId="1874809092">
    <w:abstractNumId w:val="28"/>
  </w:num>
  <w:num w:numId="22" w16cid:durableId="1580945409">
    <w:abstractNumId w:val="21"/>
  </w:num>
  <w:num w:numId="23" w16cid:durableId="102070541">
    <w:abstractNumId w:val="40"/>
  </w:num>
  <w:num w:numId="24" w16cid:durableId="651954283">
    <w:abstractNumId w:val="11"/>
  </w:num>
  <w:num w:numId="25" w16cid:durableId="868765566">
    <w:abstractNumId w:val="18"/>
  </w:num>
  <w:num w:numId="26" w16cid:durableId="495534439">
    <w:abstractNumId w:val="35"/>
  </w:num>
  <w:num w:numId="27" w16cid:durableId="1620186490">
    <w:abstractNumId w:val="19"/>
  </w:num>
  <w:num w:numId="28" w16cid:durableId="697895362">
    <w:abstractNumId w:val="25"/>
  </w:num>
  <w:num w:numId="29" w16cid:durableId="170609580">
    <w:abstractNumId w:val="12"/>
  </w:num>
  <w:num w:numId="30" w16cid:durableId="654921468">
    <w:abstractNumId w:val="17"/>
  </w:num>
  <w:num w:numId="31" w16cid:durableId="246698831">
    <w:abstractNumId w:val="39"/>
  </w:num>
  <w:num w:numId="32" w16cid:durableId="1948582931">
    <w:abstractNumId w:val="13"/>
  </w:num>
  <w:num w:numId="33" w16cid:durableId="798651326">
    <w:abstractNumId w:val="37"/>
  </w:num>
  <w:num w:numId="34" w16cid:durableId="317274411">
    <w:abstractNumId w:val="14"/>
  </w:num>
  <w:num w:numId="35" w16cid:durableId="744381015">
    <w:abstractNumId w:val="30"/>
  </w:num>
  <w:num w:numId="36" w16cid:durableId="598291213">
    <w:abstractNumId w:val="20"/>
  </w:num>
  <w:num w:numId="37" w16cid:durableId="1633749804">
    <w:abstractNumId w:val="31"/>
  </w:num>
  <w:num w:numId="38" w16cid:durableId="183638345">
    <w:abstractNumId w:val="15"/>
  </w:num>
  <w:num w:numId="39" w16cid:durableId="443036129">
    <w:abstractNumId w:val="27"/>
  </w:num>
  <w:num w:numId="40" w16cid:durableId="995836194">
    <w:abstractNumId w:val="36"/>
  </w:num>
  <w:num w:numId="41" w16cid:durableId="145741301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0"/>
  <w:defaultTabStop w:val="720"/>
  <w:hyphenationZone w:val="425"/>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DAzsTAyNDYwMjI1NTZS0lEKTi0uzszPAykwrQUAIeLVhCwAAAA="/>
  </w:docVars>
  <w:rsids>
    <w:rsidRoot w:val="00F73045"/>
    <w:rsid w:val="00004E05"/>
    <w:rsid w:val="00013190"/>
    <w:rsid w:val="00040003"/>
    <w:rsid w:val="00056735"/>
    <w:rsid w:val="00084C11"/>
    <w:rsid w:val="00092F73"/>
    <w:rsid w:val="000A3D73"/>
    <w:rsid w:val="000B5DFD"/>
    <w:rsid w:val="000C3ABF"/>
    <w:rsid w:val="000C45F6"/>
    <w:rsid w:val="000E495A"/>
    <w:rsid w:val="000E6BB4"/>
    <w:rsid w:val="0010644A"/>
    <w:rsid w:val="0011686A"/>
    <w:rsid w:val="00117A44"/>
    <w:rsid w:val="00131C2B"/>
    <w:rsid w:val="00153B93"/>
    <w:rsid w:val="001560E2"/>
    <w:rsid w:val="001601C0"/>
    <w:rsid w:val="00170F83"/>
    <w:rsid w:val="00176690"/>
    <w:rsid w:val="001914C6"/>
    <w:rsid w:val="001A35CB"/>
    <w:rsid w:val="001A3CDF"/>
    <w:rsid w:val="001A43A7"/>
    <w:rsid w:val="001B7474"/>
    <w:rsid w:val="001E7671"/>
    <w:rsid w:val="0020139F"/>
    <w:rsid w:val="00227A33"/>
    <w:rsid w:val="002312CF"/>
    <w:rsid w:val="00232C18"/>
    <w:rsid w:val="00262A85"/>
    <w:rsid w:val="00267EE5"/>
    <w:rsid w:val="002718FE"/>
    <w:rsid w:val="002A3CC6"/>
    <w:rsid w:val="002A5053"/>
    <w:rsid w:val="002B506C"/>
    <w:rsid w:val="002C3D79"/>
    <w:rsid w:val="002F6BFD"/>
    <w:rsid w:val="0030212B"/>
    <w:rsid w:val="00324C2A"/>
    <w:rsid w:val="0032685B"/>
    <w:rsid w:val="00327466"/>
    <w:rsid w:val="00327626"/>
    <w:rsid w:val="003370F3"/>
    <w:rsid w:val="00350F3D"/>
    <w:rsid w:val="00351CD9"/>
    <w:rsid w:val="003539B9"/>
    <w:rsid w:val="00361AB7"/>
    <w:rsid w:val="00366AA2"/>
    <w:rsid w:val="00380B5F"/>
    <w:rsid w:val="00394EC6"/>
    <w:rsid w:val="003A0535"/>
    <w:rsid w:val="003A509C"/>
    <w:rsid w:val="003A5534"/>
    <w:rsid w:val="003A5B95"/>
    <w:rsid w:val="003D65E1"/>
    <w:rsid w:val="004364BF"/>
    <w:rsid w:val="00450B83"/>
    <w:rsid w:val="00453C16"/>
    <w:rsid w:val="00467DB6"/>
    <w:rsid w:val="00473439"/>
    <w:rsid w:val="00476D28"/>
    <w:rsid w:val="004827FF"/>
    <w:rsid w:val="004B0B21"/>
    <w:rsid w:val="004B40DD"/>
    <w:rsid w:val="004C7D90"/>
    <w:rsid w:val="004D09DC"/>
    <w:rsid w:val="004D0BEA"/>
    <w:rsid w:val="004D7199"/>
    <w:rsid w:val="004E36CF"/>
    <w:rsid w:val="004F3579"/>
    <w:rsid w:val="00520C49"/>
    <w:rsid w:val="0052186F"/>
    <w:rsid w:val="00526125"/>
    <w:rsid w:val="00544CFA"/>
    <w:rsid w:val="00545D01"/>
    <w:rsid w:val="005500EA"/>
    <w:rsid w:val="00553F63"/>
    <w:rsid w:val="00564A5F"/>
    <w:rsid w:val="0058051C"/>
    <w:rsid w:val="005A3A16"/>
    <w:rsid w:val="005B54D3"/>
    <w:rsid w:val="005C2155"/>
    <w:rsid w:val="005D18F2"/>
    <w:rsid w:val="005E0A16"/>
    <w:rsid w:val="005E5E4D"/>
    <w:rsid w:val="005F3112"/>
    <w:rsid w:val="005F51A8"/>
    <w:rsid w:val="006115D0"/>
    <w:rsid w:val="00614E96"/>
    <w:rsid w:val="00623E36"/>
    <w:rsid w:val="0064370E"/>
    <w:rsid w:val="006565D6"/>
    <w:rsid w:val="00660985"/>
    <w:rsid w:val="0066459A"/>
    <w:rsid w:val="006663B4"/>
    <w:rsid w:val="006675E0"/>
    <w:rsid w:val="00667FD0"/>
    <w:rsid w:val="006941FA"/>
    <w:rsid w:val="006C2B2E"/>
    <w:rsid w:val="006C4683"/>
    <w:rsid w:val="006E5133"/>
    <w:rsid w:val="006E6831"/>
    <w:rsid w:val="006F3676"/>
    <w:rsid w:val="00702CAD"/>
    <w:rsid w:val="0070448F"/>
    <w:rsid w:val="00706EB7"/>
    <w:rsid w:val="00706FAC"/>
    <w:rsid w:val="007130F4"/>
    <w:rsid w:val="00714832"/>
    <w:rsid w:val="00715305"/>
    <w:rsid w:val="007334E5"/>
    <w:rsid w:val="00757C45"/>
    <w:rsid w:val="0076005F"/>
    <w:rsid w:val="00761F3D"/>
    <w:rsid w:val="0076268A"/>
    <w:rsid w:val="00775530"/>
    <w:rsid w:val="00794A1A"/>
    <w:rsid w:val="007976E9"/>
    <w:rsid w:val="007A1669"/>
    <w:rsid w:val="007B78DD"/>
    <w:rsid w:val="007C6860"/>
    <w:rsid w:val="007D62A2"/>
    <w:rsid w:val="007E0782"/>
    <w:rsid w:val="007E21A5"/>
    <w:rsid w:val="0080402B"/>
    <w:rsid w:val="00806ABB"/>
    <w:rsid w:val="00807773"/>
    <w:rsid w:val="00827D52"/>
    <w:rsid w:val="0084296A"/>
    <w:rsid w:val="00847C09"/>
    <w:rsid w:val="00852732"/>
    <w:rsid w:val="0085359F"/>
    <w:rsid w:val="00861F2F"/>
    <w:rsid w:val="008630BB"/>
    <w:rsid w:val="00863CE2"/>
    <w:rsid w:val="00865CCD"/>
    <w:rsid w:val="0087605F"/>
    <w:rsid w:val="0087748E"/>
    <w:rsid w:val="00886207"/>
    <w:rsid w:val="00886DD7"/>
    <w:rsid w:val="008A1165"/>
    <w:rsid w:val="008B3D69"/>
    <w:rsid w:val="008C1BEA"/>
    <w:rsid w:val="008C204A"/>
    <w:rsid w:val="008C2F06"/>
    <w:rsid w:val="008D683B"/>
    <w:rsid w:val="008E26DD"/>
    <w:rsid w:val="008E53FF"/>
    <w:rsid w:val="008E7705"/>
    <w:rsid w:val="0091274A"/>
    <w:rsid w:val="009176A8"/>
    <w:rsid w:val="00923F2B"/>
    <w:rsid w:val="00935CA4"/>
    <w:rsid w:val="00941F71"/>
    <w:rsid w:val="00953AA2"/>
    <w:rsid w:val="00955B1B"/>
    <w:rsid w:val="00960DD3"/>
    <w:rsid w:val="009738D0"/>
    <w:rsid w:val="00974B51"/>
    <w:rsid w:val="00991AFC"/>
    <w:rsid w:val="00991B6F"/>
    <w:rsid w:val="00994658"/>
    <w:rsid w:val="009A78B3"/>
    <w:rsid w:val="009B66F0"/>
    <w:rsid w:val="009D43F1"/>
    <w:rsid w:val="009E15EE"/>
    <w:rsid w:val="009F488D"/>
    <w:rsid w:val="009F60AC"/>
    <w:rsid w:val="00A22990"/>
    <w:rsid w:val="00A43C6A"/>
    <w:rsid w:val="00A641A4"/>
    <w:rsid w:val="00A71F60"/>
    <w:rsid w:val="00A749E5"/>
    <w:rsid w:val="00A74E43"/>
    <w:rsid w:val="00A754E2"/>
    <w:rsid w:val="00A90441"/>
    <w:rsid w:val="00A94545"/>
    <w:rsid w:val="00A965C8"/>
    <w:rsid w:val="00AA7C5B"/>
    <w:rsid w:val="00AC20E4"/>
    <w:rsid w:val="00AC6F08"/>
    <w:rsid w:val="00AD2964"/>
    <w:rsid w:val="00AD59D8"/>
    <w:rsid w:val="00AF19C3"/>
    <w:rsid w:val="00B10B47"/>
    <w:rsid w:val="00B141E3"/>
    <w:rsid w:val="00B15F07"/>
    <w:rsid w:val="00B202A6"/>
    <w:rsid w:val="00B30AB4"/>
    <w:rsid w:val="00B40794"/>
    <w:rsid w:val="00B44326"/>
    <w:rsid w:val="00B451E9"/>
    <w:rsid w:val="00B60492"/>
    <w:rsid w:val="00B64602"/>
    <w:rsid w:val="00B81C13"/>
    <w:rsid w:val="00B83BE7"/>
    <w:rsid w:val="00B86AE5"/>
    <w:rsid w:val="00B879BF"/>
    <w:rsid w:val="00B92602"/>
    <w:rsid w:val="00B94315"/>
    <w:rsid w:val="00BA78E5"/>
    <w:rsid w:val="00BC2E42"/>
    <w:rsid w:val="00BC447E"/>
    <w:rsid w:val="00BD1418"/>
    <w:rsid w:val="00C11DA7"/>
    <w:rsid w:val="00C2409A"/>
    <w:rsid w:val="00C63C27"/>
    <w:rsid w:val="00C905B1"/>
    <w:rsid w:val="00CA08F2"/>
    <w:rsid w:val="00CA51AA"/>
    <w:rsid w:val="00CD1E54"/>
    <w:rsid w:val="00CF13BC"/>
    <w:rsid w:val="00D02890"/>
    <w:rsid w:val="00D0403A"/>
    <w:rsid w:val="00D04F77"/>
    <w:rsid w:val="00D110D5"/>
    <w:rsid w:val="00D136BA"/>
    <w:rsid w:val="00D260ED"/>
    <w:rsid w:val="00D3698D"/>
    <w:rsid w:val="00D37718"/>
    <w:rsid w:val="00D4304E"/>
    <w:rsid w:val="00D514F5"/>
    <w:rsid w:val="00D519F6"/>
    <w:rsid w:val="00D65C6F"/>
    <w:rsid w:val="00D703E2"/>
    <w:rsid w:val="00D7688A"/>
    <w:rsid w:val="00D77E59"/>
    <w:rsid w:val="00D807AA"/>
    <w:rsid w:val="00D80E66"/>
    <w:rsid w:val="00D875D6"/>
    <w:rsid w:val="00D912A7"/>
    <w:rsid w:val="00D939EA"/>
    <w:rsid w:val="00DA33D2"/>
    <w:rsid w:val="00DA775E"/>
    <w:rsid w:val="00DC3503"/>
    <w:rsid w:val="00DD0DD3"/>
    <w:rsid w:val="00DD2487"/>
    <w:rsid w:val="00DE274E"/>
    <w:rsid w:val="00DE78BB"/>
    <w:rsid w:val="00E234B0"/>
    <w:rsid w:val="00E27A63"/>
    <w:rsid w:val="00E41D2B"/>
    <w:rsid w:val="00E62029"/>
    <w:rsid w:val="00E77058"/>
    <w:rsid w:val="00E900E1"/>
    <w:rsid w:val="00E92D10"/>
    <w:rsid w:val="00E93F6E"/>
    <w:rsid w:val="00E972A7"/>
    <w:rsid w:val="00EA11DA"/>
    <w:rsid w:val="00EB75D9"/>
    <w:rsid w:val="00EB7CCD"/>
    <w:rsid w:val="00EC6FE8"/>
    <w:rsid w:val="00ED38E1"/>
    <w:rsid w:val="00EE0520"/>
    <w:rsid w:val="00EF3992"/>
    <w:rsid w:val="00EF5B82"/>
    <w:rsid w:val="00F2018A"/>
    <w:rsid w:val="00F2301F"/>
    <w:rsid w:val="00F33237"/>
    <w:rsid w:val="00F33A57"/>
    <w:rsid w:val="00F37DD0"/>
    <w:rsid w:val="00F42377"/>
    <w:rsid w:val="00F46EC4"/>
    <w:rsid w:val="00F7142A"/>
    <w:rsid w:val="00F73045"/>
    <w:rsid w:val="00F87CBC"/>
    <w:rsid w:val="00F95C0C"/>
    <w:rsid w:val="00FA427E"/>
    <w:rsid w:val="00FB26F7"/>
    <w:rsid w:val="00FD68C4"/>
    <w:rsid w:val="00FE71D2"/>
  </w:rsids>
  <m:mathPr>
    <m:mathFont m:val="Cambria Math"/>
    <m:brkBin m:val="before"/>
    <m:brkBinSub m:val="--"/>
    <m:smallFrac m:val="0"/>
    <m:dispDef m:val="0"/>
    <m:lMargin m:val="0"/>
    <m:rMargin m:val="0"/>
    <m:defJc m:val="centerGroup"/>
    <m:wrapRight/>
    <m:intLim m:val="subSup"/>
    <m:naryLim m:val="subSup"/>
  </m:mathPr>
  <w:themeFontLang w:val="en-GB"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FF1AE77"/>
  <w15:docId w15:val="{8673197D-DA61-4D5F-80E0-3055685A0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sto MT" w:eastAsia="Calisto MT" w:hAnsi="Calisto MT"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nhideWhenUsed="1"/>
    <w:lsdException w:name="line number" w:semiHidden="1" w:uiPriority="99"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4" w:semiHidden="1" w:uiPriority="99"/>
    <w:lsdException w:name="List 5" w:semiHidden="1"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uiPriority="99" w:qFormat="1"/>
    <w:lsdException w:name="Salutation" w:semiHidden="1" w:uiPriority="99"/>
    <w:lsdException w:name="Date" w:semiHidden="1" w:uiPriority="99"/>
    <w:lsdException w:name="Body Text First Indent" w:semiHidden="1" w:uiPriority="99"/>
    <w:lsdException w:name="Body Text First Indent 2" w:semiHidden="1" w:uiPriority="99" w:unhideWhenUsed="1"/>
    <w:lsdException w:name="Note Heading" w:semiHidden="1" w:uiPriority="99" w:unhideWhenUsed="1"/>
    <w:lsdException w:name="Body Text 2" w:semiHidden="1" w:uiPriority="98"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99" w:qFormat="1"/>
    <w:lsdException w:name="Quote" w:uiPriority="99" w:qFormat="1"/>
    <w:lsdException w:name="Intense Quote" w:uiPriority="99"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99" w:qFormat="1"/>
    <w:lsdException w:name="Intense Emphasis" w:uiPriority="99" w:qFormat="1"/>
    <w:lsdException w:name="Subtle Reference" w:uiPriority="99" w:qFormat="1"/>
    <w:lsdException w:name="Intense Reference" w:uiPriority="99" w:qFormat="1"/>
    <w:lsdException w:name="Book Title" w:uiPriority="99" w:qFormat="1"/>
    <w:lsdException w:name="Bibliography" w:semiHidden="1" w:uiPriority="99" w:unhideWhenUsed="1"/>
    <w:lsdException w:name="TOC Heading" w:semiHidden="1" w:uiPriority="9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2B506C"/>
    <w:pPr>
      <w:spacing w:line="360" w:lineRule="auto"/>
      <w:ind w:firstLine="202"/>
      <w:jc w:val="both"/>
    </w:pPr>
    <w:rPr>
      <w:rFonts w:asciiTheme="minorHAnsi" w:hAnsiTheme="minorHAnsi"/>
      <w:sz w:val="24"/>
      <w:szCs w:val="24"/>
      <w:lang w:val="en-US" w:eastAsia="en-US"/>
    </w:rPr>
  </w:style>
  <w:style w:type="paragraph" w:styleId="Kop1">
    <w:name w:val="heading 1"/>
    <w:next w:val="Standaard"/>
    <w:link w:val="Kop1Char"/>
    <w:qFormat/>
    <w:rsid w:val="002B506C"/>
    <w:pPr>
      <w:keepNext/>
      <w:keepLines/>
      <w:numPr>
        <w:numId w:val="21"/>
      </w:numPr>
      <w:spacing w:before="260" w:after="260" w:line="360" w:lineRule="auto"/>
      <w:contextualSpacing/>
      <w:jc w:val="both"/>
      <w:outlineLvl w:val="0"/>
    </w:pPr>
    <w:rPr>
      <w:rFonts w:asciiTheme="minorHAnsi" w:eastAsia="Times New Roman" w:hAnsiTheme="minorHAnsi"/>
      <w:b/>
      <w:bCs/>
      <w:color w:val="000000"/>
      <w:sz w:val="28"/>
      <w:szCs w:val="32"/>
      <w:lang w:val="en-US" w:eastAsia="en-US"/>
    </w:rPr>
  </w:style>
  <w:style w:type="paragraph" w:styleId="Kop2">
    <w:name w:val="heading 2"/>
    <w:next w:val="Standaard"/>
    <w:link w:val="Kop2Char"/>
    <w:qFormat/>
    <w:rsid w:val="00D3698D"/>
    <w:pPr>
      <w:keepNext/>
      <w:keepLines/>
      <w:numPr>
        <w:ilvl w:val="1"/>
        <w:numId w:val="21"/>
      </w:numPr>
      <w:spacing w:before="260" w:after="260" w:line="360" w:lineRule="auto"/>
      <w:contextualSpacing/>
      <w:jc w:val="both"/>
      <w:outlineLvl w:val="1"/>
    </w:pPr>
    <w:rPr>
      <w:rFonts w:asciiTheme="minorHAnsi" w:eastAsia="Times New Roman" w:hAnsiTheme="minorHAnsi"/>
      <w:b/>
      <w:bCs/>
      <w:color w:val="000000"/>
      <w:sz w:val="24"/>
      <w:szCs w:val="26"/>
      <w:lang w:val="en-US" w:eastAsia="en-US"/>
    </w:rPr>
  </w:style>
  <w:style w:type="paragraph" w:styleId="Kop3">
    <w:name w:val="heading 3"/>
    <w:basedOn w:val="Standaard"/>
    <w:next w:val="Standaard"/>
    <w:link w:val="Kop3Char"/>
    <w:rsid w:val="00314302"/>
    <w:pPr>
      <w:numPr>
        <w:ilvl w:val="2"/>
        <w:numId w:val="21"/>
      </w:numPr>
      <w:spacing w:before="260"/>
      <w:outlineLvl w:val="2"/>
    </w:pPr>
    <w:rPr>
      <w:rFonts w:eastAsia="Times New Roman"/>
      <w:bCs/>
    </w:rPr>
  </w:style>
  <w:style w:type="paragraph" w:styleId="Kop4">
    <w:name w:val="heading 4"/>
    <w:basedOn w:val="Standaard"/>
    <w:next w:val="Standaard"/>
    <w:link w:val="Kop4Char"/>
    <w:rsid w:val="00314302"/>
    <w:pPr>
      <w:numPr>
        <w:ilvl w:val="3"/>
        <w:numId w:val="21"/>
      </w:numPr>
      <w:spacing w:before="260"/>
      <w:outlineLvl w:val="3"/>
    </w:pPr>
    <w:rPr>
      <w:rFonts w:eastAsia="Times New Roman"/>
      <w:bCs/>
      <w:iCs/>
    </w:rPr>
  </w:style>
  <w:style w:type="paragraph" w:styleId="Kop5">
    <w:name w:val="heading 5"/>
    <w:basedOn w:val="Standaard"/>
    <w:next w:val="Standaard"/>
    <w:link w:val="Kop5Char"/>
    <w:uiPriority w:val="99"/>
    <w:semiHidden/>
    <w:unhideWhenUsed/>
    <w:qFormat/>
    <w:rsid w:val="00D3698D"/>
    <w:pPr>
      <w:keepNext/>
      <w:keepLines/>
      <w:numPr>
        <w:ilvl w:val="4"/>
        <w:numId w:val="21"/>
      </w:numPr>
      <w:spacing w:before="40"/>
      <w:outlineLvl w:val="4"/>
    </w:pPr>
    <w:rPr>
      <w:rFonts w:asciiTheme="majorHAnsi" w:eastAsiaTheme="majorEastAsia" w:hAnsiTheme="majorHAnsi" w:cstheme="majorBidi"/>
      <w:color w:val="365F91" w:themeColor="accent1" w:themeShade="BF"/>
    </w:rPr>
  </w:style>
  <w:style w:type="paragraph" w:styleId="Kop6">
    <w:name w:val="heading 6"/>
    <w:basedOn w:val="Standaard"/>
    <w:next w:val="Standaard"/>
    <w:link w:val="Kop6Char"/>
    <w:uiPriority w:val="99"/>
    <w:semiHidden/>
    <w:unhideWhenUsed/>
    <w:qFormat/>
    <w:rsid w:val="00D3698D"/>
    <w:pPr>
      <w:keepNext/>
      <w:keepLines/>
      <w:numPr>
        <w:ilvl w:val="5"/>
        <w:numId w:val="21"/>
      </w:numPr>
      <w:spacing w:before="40"/>
      <w:outlineLvl w:val="5"/>
    </w:pPr>
    <w:rPr>
      <w:rFonts w:asciiTheme="majorHAnsi" w:eastAsiaTheme="majorEastAsia" w:hAnsiTheme="majorHAnsi" w:cstheme="majorBidi"/>
      <w:color w:val="243F60" w:themeColor="accent1" w:themeShade="7F"/>
    </w:rPr>
  </w:style>
  <w:style w:type="paragraph" w:styleId="Kop7">
    <w:name w:val="heading 7"/>
    <w:basedOn w:val="Standaard"/>
    <w:next w:val="Standaard"/>
    <w:link w:val="Kop7Char"/>
    <w:uiPriority w:val="99"/>
    <w:semiHidden/>
    <w:unhideWhenUsed/>
    <w:qFormat/>
    <w:rsid w:val="00D3698D"/>
    <w:pPr>
      <w:keepNext/>
      <w:keepLines/>
      <w:numPr>
        <w:ilvl w:val="6"/>
        <w:numId w:val="21"/>
      </w:numPr>
      <w:spacing w:before="40"/>
      <w:outlineLvl w:val="6"/>
    </w:pPr>
    <w:rPr>
      <w:rFonts w:asciiTheme="majorHAnsi" w:eastAsiaTheme="majorEastAsia" w:hAnsiTheme="majorHAnsi" w:cstheme="majorBidi"/>
      <w:i/>
      <w:iCs/>
      <w:color w:val="243F60" w:themeColor="accent1" w:themeShade="7F"/>
    </w:rPr>
  </w:style>
  <w:style w:type="paragraph" w:styleId="Kop8">
    <w:name w:val="heading 8"/>
    <w:basedOn w:val="Standaard"/>
    <w:next w:val="Standaard"/>
    <w:link w:val="Kop8Char"/>
    <w:uiPriority w:val="99"/>
    <w:semiHidden/>
    <w:unhideWhenUsed/>
    <w:qFormat/>
    <w:rsid w:val="00D3698D"/>
    <w:pPr>
      <w:keepNext/>
      <w:keepLines/>
      <w:numPr>
        <w:ilvl w:val="7"/>
        <w:numId w:val="21"/>
      </w:numPr>
      <w:spacing w:before="40"/>
      <w:outlineLvl w:val="7"/>
    </w:pPr>
    <w:rPr>
      <w:rFonts w:asciiTheme="majorHAnsi" w:eastAsiaTheme="majorEastAsia" w:hAnsiTheme="majorHAnsi" w:cstheme="majorBidi"/>
      <w:color w:val="272727" w:themeColor="text1" w:themeTint="D8"/>
      <w:sz w:val="21"/>
      <w:szCs w:val="21"/>
    </w:rPr>
  </w:style>
  <w:style w:type="paragraph" w:styleId="Kop9">
    <w:name w:val="heading 9"/>
    <w:basedOn w:val="Standaard"/>
    <w:next w:val="Standaard"/>
    <w:link w:val="Kop9Char"/>
    <w:uiPriority w:val="99"/>
    <w:semiHidden/>
    <w:unhideWhenUsed/>
    <w:qFormat/>
    <w:rsid w:val="00D3698D"/>
    <w:pPr>
      <w:keepNext/>
      <w:keepLines/>
      <w:numPr>
        <w:ilvl w:val="8"/>
        <w:numId w:val="2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NoParagraphStyle">
    <w:name w:val="[No Paragraph Style]"/>
    <w:rsid w:val="004245A5"/>
    <w:pPr>
      <w:widowControl w:val="0"/>
      <w:autoSpaceDE w:val="0"/>
      <w:autoSpaceDN w:val="0"/>
      <w:adjustRightInd w:val="0"/>
      <w:spacing w:line="288" w:lineRule="auto"/>
      <w:textAlignment w:val="center"/>
    </w:pPr>
    <w:rPr>
      <w:rFonts w:ascii="Times-Roman" w:hAnsi="Times-Roman" w:cs="Times-Roman"/>
      <w:color w:val="000000"/>
      <w:sz w:val="24"/>
      <w:szCs w:val="24"/>
      <w:lang w:val="en-US" w:eastAsia="en-US"/>
    </w:rPr>
  </w:style>
  <w:style w:type="character" w:customStyle="1" w:styleId="Kop1Char">
    <w:name w:val="Kop 1 Char"/>
    <w:basedOn w:val="Standaardalinea-lettertype"/>
    <w:link w:val="Kop1"/>
    <w:rsid w:val="002B506C"/>
    <w:rPr>
      <w:rFonts w:asciiTheme="minorHAnsi" w:eastAsia="Times New Roman" w:hAnsiTheme="minorHAnsi"/>
      <w:b/>
      <w:bCs/>
      <w:color w:val="000000"/>
      <w:sz w:val="28"/>
      <w:szCs w:val="32"/>
      <w:lang w:val="en-US" w:eastAsia="en-US"/>
    </w:rPr>
  </w:style>
  <w:style w:type="character" w:customStyle="1" w:styleId="Kop2Char">
    <w:name w:val="Kop 2 Char"/>
    <w:basedOn w:val="Standaardalinea-lettertype"/>
    <w:link w:val="Kop2"/>
    <w:rsid w:val="00D3698D"/>
    <w:rPr>
      <w:rFonts w:asciiTheme="minorHAnsi" w:eastAsia="Times New Roman" w:hAnsiTheme="minorHAnsi"/>
      <w:b/>
      <w:bCs/>
      <w:color w:val="000000"/>
      <w:sz w:val="24"/>
      <w:szCs w:val="26"/>
      <w:lang w:val="en-US" w:eastAsia="en-US"/>
    </w:rPr>
  </w:style>
  <w:style w:type="character" w:customStyle="1" w:styleId="Kop3Char">
    <w:name w:val="Kop 3 Char"/>
    <w:basedOn w:val="Standaardalinea-lettertype"/>
    <w:link w:val="Kop3"/>
    <w:rsid w:val="00314302"/>
    <w:rPr>
      <w:rFonts w:ascii="Times New Roman" w:eastAsia="Times New Roman" w:hAnsi="Times New Roman"/>
      <w:bCs/>
      <w:color w:val="000000"/>
      <w:sz w:val="24"/>
      <w:szCs w:val="24"/>
    </w:rPr>
  </w:style>
  <w:style w:type="character" w:customStyle="1" w:styleId="Kop4Char">
    <w:name w:val="Kop 4 Char"/>
    <w:basedOn w:val="Standaardalinea-lettertype"/>
    <w:link w:val="Kop4"/>
    <w:rsid w:val="00314302"/>
    <w:rPr>
      <w:rFonts w:ascii="Times New Roman" w:eastAsia="Times New Roman" w:hAnsi="Times New Roman"/>
      <w:bCs/>
      <w:iCs/>
      <w:color w:val="000000"/>
      <w:sz w:val="24"/>
      <w:szCs w:val="24"/>
    </w:rPr>
  </w:style>
  <w:style w:type="paragraph" w:customStyle="1" w:styleId="Author">
    <w:name w:val="Author"/>
    <w:next w:val="Standaard"/>
    <w:rsid w:val="00BD4A31"/>
    <w:pPr>
      <w:suppressAutoHyphens/>
      <w:spacing w:after="280" w:line="360" w:lineRule="auto"/>
      <w:jc w:val="center"/>
    </w:pPr>
    <w:rPr>
      <w:rFonts w:ascii="Times New Roman" w:hAnsi="Times New Roman" w:cs="TimesLTStd-Roman"/>
      <w:smallCaps/>
      <w:color w:val="000000"/>
      <w:sz w:val="24"/>
      <w:szCs w:val="22"/>
      <w:lang w:val="en-US" w:eastAsia="en-US"/>
    </w:rPr>
  </w:style>
  <w:style w:type="paragraph" w:customStyle="1" w:styleId="Abstract">
    <w:name w:val="Abstract"/>
    <w:next w:val="Standaard"/>
    <w:rsid w:val="00BD4A31"/>
    <w:pPr>
      <w:spacing w:before="100" w:after="600" w:line="360" w:lineRule="auto"/>
      <w:ind w:left="662" w:right="662"/>
      <w:jc w:val="both"/>
    </w:pPr>
    <w:rPr>
      <w:rFonts w:ascii="Times New Roman" w:hAnsi="Times New Roman" w:cs="TimesLTStd-Italic"/>
      <w:i/>
      <w:iCs/>
      <w:color w:val="000000"/>
      <w:sz w:val="24"/>
      <w:szCs w:val="22"/>
      <w:lang w:val="en-US" w:eastAsia="en-US"/>
    </w:rPr>
  </w:style>
  <w:style w:type="paragraph" w:customStyle="1" w:styleId="Equation">
    <w:name w:val="Equation"/>
    <w:next w:val="Standaard"/>
    <w:rsid w:val="00BD4A31"/>
    <w:pPr>
      <w:tabs>
        <w:tab w:val="center" w:pos="3960"/>
      </w:tabs>
      <w:suppressAutoHyphens/>
      <w:spacing w:before="260" w:line="360" w:lineRule="auto"/>
    </w:pPr>
    <w:rPr>
      <w:rFonts w:ascii="Times New Roman" w:hAnsi="Times New Roman" w:cs="TimesLTStd-Roman"/>
      <w:color w:val="000000"/>
      <w:sz w:val="24"/>
      <w:lang w:val="en-US" w:eastAsia="en-US"/>
    </w:rPr>
  </w:style>
  <w:style w:type="paragraph" w:customStyle="1" w:styleId="NormalNoIndent">
    <w:name w:val="Normal No Indent"/>
    <w:basedOn w:val="Standaard"/>
    <w:next w:val="Standaard"/>
    <w:rsid w:val="00641B74"/>
    <w:pPr>
      <w:ind w:firstLine="0"/>
    </w:pPr>
  </w:style>
  <w:style w:type="paragraph" w:customStyle="1" w:styleId="Contact">
    <w:name w:val="Contact"/>
    <w:next w:val="Standaard"/>
    <w:rsid w:val="00BD4A31"/>
    <w:pPr>
      <w:spacing w:after="200" w:line="360" w:lineRule="auto"/>
    </w:pPr>
    <w:rPr>
      <w:rFonts w:ascii="Times New Roman" w:hAnsi="Times New Roman" w:cs="TimesLTStd-Roman"/>
      <w:color w:val="000000"/>
      <w:sz w:val="16"/>
      <w:szCs w:val="16"/>
      <w:lang w:val="en-US" w:eastAsia="en-US"/>
    </w:rPr>
  </w:style>
  <w:style w:type="paragraph" w:customStyle="1" w:styleId="ReferenceHeading">
    <w:name w:val="Reference Heading"/>
    <w:basedOn w:val="Standaard"/>
    <w:next w:val="References"/>
    <w:rsid w:val="00BD4A31"/>
    <w:pPr>
      <w:keepNext/>
      <w:widowControl w:val="0"/>
      <w:autoSpaceDE w:val="0"/>
      <w:autoSpaceDN w:val="0"/>
      <w:adjustRightInd w:val="0"/>
      <w:spacing w:before="260" w:after="260"/>
      <w:ind w:firstLine="0"/>
      <w:jc w:val="center"/>
      <w:textAlignment w:val="center"/>
    </w:pPr>
    <w:rPr>
      <w:rFonts w:cs="TimesLTStd-Roman"/>
      <w:caps/>
      <w:szCs w:val="20"/>
    </w:rPr>
  </w:style>
  <w:style w:type="paragraph" w:customStyle="1" w:styleId="References">
    <w:name w:val="References"/>
    <w:basedOn w:val="Standaard"/>
    <w:rsid w:val="00BD4A31"/>
    <w:pPr>
      <w:widowControl w:val="0"/>
      <w:autoSpaceDE w:val="0"/>
      <w:autoSpaceDN w:val="0"/>
      <w:adjustRightInd w:val="0"/>
      <w:ind w:left="202" w:hanging="202"/>
      <w:textAlignment w:val="center"/>
    </w:pPr>
    <w:rPr>
      <w:rFonts w:cs="TimesLTStd-Roman"/>
      <w:szCs w:val="20"/>
    </w:rPr>
  </w:style>
  <w:style w:type="paragraph" w:customStyle="1" w:styleId="Extract">
    <w:name w:val="Extract"/>
    <w:next w:val="Standaard"/>
    <w:uiPriority w:val="99"/>
    <w:semiHidden/>
    <w:rsid w:val="00BD4A31"/>
    <w:pPr>
      <w:spacing w:before="260" w:line="360" w:lineRule="auto"/>
      <w:ind w:left="720" w:right="720"/>
      <w:jc w:val="both"/>
    </w:pPr>
    <w:rPr>
      <w:rFonts w:ascii="Times New Roman" w:hAnsi="Times New Roman" w:cs="TimesLTStd-Italic"/>
      <w:i/>
      <w:iCs/>
      <w:color w:val="000000"/>
      <w:sz w:val="24"/>
      <w:lang w:val="en-US" w:eastAsia="en-US"/>
    </w:rPr>
  </w:style>
  <w:style w:type="paragraph" w:customStyle="1" w:styleId="Tagline">
    <w:name w:val="Tagline"/>
    <w:basedOn w:val="Standaard"/>
    <w:next w:val="Standaard"/>
    <w:uiPriority w:val="99"/>
    <w:semiHidden/>
    <w:qFormat/>
    <w:rsid w:val="00314302"/>
    <w:pPr>
      <w:spacing w:after="120"/>
      <w:ind w:left="720" w:right="720" w:firstLine="0"/>
      <w:jc w:val="right"/>
    </w:pPr>
  </w:style>
  <w:style w:type="paragraph" w:styleId="Voetnoottekst">
    <w:name w:val="footnote text"/>
    <w:basedOn w:val="Standaard"/>
    <w:link w:val="VoetnoottekstChar"/>
    <w:semiHidden/>
    <w:locked/>
    <w:rsid w:val="0038690E"/>
    <w:pPr>
      <w:spacing w:line="180" w:lineRule="atLeast"/>
    </w:pPr>
    <w:rPr>
      <w:sz w:val="16"/>
    </w:rPr>
  </w:style>
  <w:style w:type="character" w:customStyle="1" w:styleId="VoetnoottekstChar">
    <w:name w:val="Voetnoottekst Char"/>
    <w:basedOn w:val="Standaardalinea-lettertype"/>
    <w:link w:val="Voetnoottekst"/>
    <w:semiHidden/>
    <w:rsid w:val="002342EF"/>
    <w:rPr>
      <w:rFonts w:ascii="Times New Roman" w:hAnsi="Times New Roman"/>
      <w:color w:val="000000"/>
      <w:sz w:val="16"/>
    </w:rPr>
  </w:style>
  <w:style w:type="character" w:styleId="Voetnootmarkering">
    <w:name w:val="footnote reference"/>
    <w:basedOn w:val="Standaardalinea-lettertype"/>
    <w:semiHidden/>
    <w:locked/>
    <w:rsid w:val="007542F9"/>
    <w:rPr>
      <w:rFonts w:ascii="Times New Roman" w:hAnsi="Times New Roman"/>
      <w:sz w:val="24"/>
      <w:bdr w:val="none" w:sz="0" w:space="0" w:color="auto"/>
      <w:vertAlign w:val="superscript"/>
    </w:rPr>
  </w:style>
  <w:style w:type="paragraph" w:customStyle="1" w:styleId="FigureTitle">
    <w:name w:val="Figure Title"/>
    <w:next w:val="Standaard"/>
    <w:rsid w:val="00DD0DD3"/>
    <w:pPr>
      <w:keepLines/>
      <w:suppressAutoHyphens/>
      <w:spacing w:after="80" w:line="180" w:lineRule="atLeast"/>
      <w:jc w:val="center"/>
    </w:pPr>
    <w:rPr>
      <w:rFonts w:asciiTheme="minorHAnsi" w:hAnsiTheme="minorHAnsi" w:cstheme="minorHAnsi"/>
      <w:smallCaps/>
      <w:color w:val="000000"/>
      <w:spacing w:val="-1"/>
      <w:sz w:val="24"/>
      <w:szCs w:val="16"/>
      <w:lang w:val="en-US" w:eastAsia="en-US"/>
    </w:rPr>
  </w:style>
  <w:style w:type="paragraph" w:customStyle="1" w:styleId="FigureNotes">
    <w:name w:val="Figure Notes"/>
    <w:next w:val="Standaard"/>
    <w:rsid w:val="00DD0DD3"/>
    <w:pPr>
      <w:tabs>
        <w:tab w:val="right" w:pos="440"/>
        <w:tab w:val="left" w:pos="480"/>
      </w:tabs>
      <w:spacing w:before="120" w:after="120" w:line="180" w:lineRule="atLeast"/>
      <w:jc w:val="both"/>
    </w:pPr>
    <w:rPr>
      <w:rFonts w:asciiTheme="minorHAnsi" w:hAnsiTheme="minorHAnsi" w:cs="TimesLTStd-Roman"/>
      <w:color w:val="000000"/>
      <w:szCs w:val="16"/>
      <w:lang w:val="en-US" w:eastAsia="en-US"/>
    </w:rPr>
  </w:style>
  <w:style w:type="paragraph" w:customStyle="1" w:styleId="TableTitle">
    <w:name w:val="Table Title"/>
    <w:rsid w:val="00991B6F"/>
    <w:pPr>
      <w:pBdr>
        <w:bottom w:val="double" w:sz="2" w:space="1" w:color="auto"/>
      </w:pBdr>
      <w:suppressAutoHyphens/>
      <w:spacing w:after="160" w:line="180" w:lineRule="atLeast"/>
      <w:ind w:right="720"/>
      <w:jc w:val="center"/>
    </w:pPr>
    <w:rPr>
      <w:rFonts w:ascii="Times New Roman" w:hAnsi="Times New Roman" w:cs="TimesLTStd-Roman"/>
      <w:smallCaps/>
      <w:color w:val="000000"/>
      <w:spacing w:val="-1"/>
      <w:w w:val="97"/>
      <w:sz w:val="24"/>
      <w:szCs w:val="16"/>
      <w:lang w:val="en-US" w:eastAsia="en-US"/>
    </w:rPr>
  </w:style>
  <w:style w:type="paragraph" w:customStyle="1" w:styleId="TableNotes">
    <w:name w:val="Table Notes"/>
    <w:rsid w:val="00DD0DD3"/>
    <w:pPr>
      <w:spacing w:before="120" w:line="180" w:lineRule="atLeast"/>
      <w:ind w:right="720"/>
      <w:jc w:val="both"/>
    </w:pPr>
    <w:rPr>
      <w:rFonts w:asciiTheme="minorHAnsi" w:hAnsiTheme="minorHAnsi" w:cs="TimesLTStd-Roman"/>
      <w:color w:val="000000"/>
      <w:szCs w:val="16"/>
      <w:lang w:val="en-US" w:eastAsia="en-US"/>
    </w:rPr>
  </w:style>
  <w:style w:type="paragraph" w:customStyle="1" w:styleId="TableText">
    <w:name w:val="Table Text"/>
    <w:rsid w:val="00DD0DD3"/>
    <w:pPr>
      <w:spacing w:line="180" w:lineRule="atLeast"/>
      <w:jc w:val="center"/>
    </w:pPr>
    <w:rPr>
      <w:rFonts w:asciiTheme="minorHAnsi" w:hAnsiTheme="minorHAnsi" w:cs="TimesLTStd-Roman"/>
      <w:color w:val="000000"/>
      <w:szCs w:val="16"/>
      <w:lang w:val="en-US" w:eastAsia="en-US"/>
    </w:rPr>
  </w:style>
  <w:style w:type="paragraph" w:styleId="Titel">
    <w:name w:val="Title"/>
    <w:next w:val="Author"/>
    <w:link w:val="TitelChar"/>
    <w:qFormat/>
    <w:rsid w:val="003B1254"/>
    <w:pPr>
      <w:spacing w:after="300" w:line="360" w:lineRule="auto"/>
      <w:contextualSpacing/>
      <w:jc w:val="center"/>
    </w:pPr>
    <w:rPr>
      <w:rFonts w:ascii="Arial" w:eastAsia="Times New Roman" w:hAnsi="Arial"/>
      <w:color w:val="000000"/>
      <w:kern w:val="28"/>
      <w:sz w:val="28"/>
      <w:szCs w:val="52"/>
      <w:lang w:val="en-US" w:eastAsia="en-US"/>
    </w:rPr>
  </w:style>
  <w:style w:type="character" w:customStyle="1" w:styleId="TitelChar">
    <w:name w:val="Titel Char"/>
    <w:basedOn w:val="Standaardalinea-lettertype"/>
    <w:link w:val="Titel"/>
    <w:rsid w:val="00314302"/>
    <w:rPr>
      <w:rFonts w:ascii="Arial" w:eastAsia="Times New Roman" w:hAnsi="Arial"/>
      <w:color w:val="000000"/>
      <w:kern w:val="28"/>
      <w:sz w:val="28"/>
      <w:szCs w:val="52"/>
      <w:lang w:val="en-US" w:eastAsia="en-US" w:bidi="ar-SA"/>
    </w:rPr>
  </w:style>
  <w:style w:type="paragraph" w:styleId="Lijstopsomteken">
    <w:name w:val="List Bullet"/>
    <w:basedOn w:val="Standaard"/>
    <w:next w:val="Standaard"/>
    <w:rsid w:val="00BC2E42"/>
    <w:pPr>
      <w:numPr>
        <w:numId w:val="17"/>
      </w:numPr>
      <w:spacing w:after="60"/>
      <w:ind w:left="561" w:hanging="357"/>
      <w:contextualSpacing/>
    </w:pPr>
  </w:style>
  <w:style w:type="paragraph" w:styleId="Lijstnummering">
    <w:name w:val="List Number"/>
    <w:basedOn w:val="Standaard"/>
    <w:next w:val="Standaard"/>
    <w:rsid w:val="00BC2E42"/>
    <w:pPr>
      <w:numPr>
        <w:numId w:val="18"/>
      </w:numPr>
      <w:spacing w:after="60"/>
      <w:ind w:left="1190" w:hanging="357"/>
    </w:pPr>
  </w:style>
  <w:style w:type="paragraph" w:customStyle="1" w:styleId="FigurePlaceholder">
    <w:name w:val="Figure Placeholder"/>
    <w:basedOn w:val="Standaard"/>
    <w:next w:val="Standaard"/>
    <w:qFormat/>
    <w:rsid w:val="00AB33DA"/>
    <w:pPr>
      <w:spacing w:before="260" w:after="260"/>
      <w:jc w:val="center"/>
    </w:pPr>
  </w:style>
  <w:style w:type="character" w:customStyle="1" w:styleId="TableFootLetter">
    <w:name w:val="Table FootLetter"/>
    <w:basedOn w:val="Standaardalinea-lettertype"/>
    <w:rsid w:val="00BD4A31"/>
    <w:rPr>
      <w:rFonts w:ascii="Times New Roman" w:hAnsi="Times New Roman"/>
      <w:sz w:val="16"/>
      <w:bdr w:val="none" w:sz="0" w:space="0" w:color="auto"/>
      <w:vertAlign w:val="superscript"/>
    </w:rPr>
  </w:style>
  <w:style w:type="paragraph" w:customStyle="1" w:styleId="TableFootnote">
    <w:name w:val="Table Footnote"/>
    <w:basedOn w:val="TableNotes"/>
    <w:next w:val="TableNotes"/>
    <w:qFormat/>
    <w:rsid w:val="00991B6F"/>
    <w:rPr>
      <w:sz w:val="16"/>
    </w:rPr>
  </w:style>
  <w:style w:type="paragraph" w:customStyle="1" w:styleId="TablePlaceholder">
    <w:name w:val="Table Placeholder"/>
    <w:basedOn w:val="FigurePlaceholder"/>
    <w:next w:val="NoParagraphStyle"/>
    <w:qFormat/>
    <w:rsid w:val="00AB33DA"/>
  </w:style>
  <w:style w:type="paragraph" w:styleId="Documentstructuur">
    <w:name w:val="Document Map"/>
    <w:basedOn w:val="Standaard"/>
    <w:link w:val="DocumentstructuurChar"/>
    <w:uiPriority w:val="99"/>
    <w:semiHidden/>
    <w:rsid w:val="00CB7232"/>
    <w:rPr>
      <w:rFonts w:ascii="Lucida Grande" w:hAnsi="Lucida Grande"/>
    </w:rPr>
  </w:style>
  <w:style w:type="character" w:customStyle="1" w:styleId="DocumentstructuurChar">
    <w:name w:val="Documentstructuur Char"/>
    <w:basedOn w:val="Standaardalinea-lettertype"/>
    <w:link w:val="Documentstructuur"/>
    <w:uiPriority w:val="99"/>
    <w:semiHidden/>
    <w:rsid w:val="008C4881"/>
    <w:rPr>
      <w:rFonts w:ascii="Lucida Grande" w:hAnsi="Lucida Grande"/>
      <w:sz w:val="24"/>
      <w:szCs w:val="24"/>
    </w:rPr>
  </w:style>
  <w:style w:type="character" w:styleId="Verwijzingopmerking">
    <w:name w:val="annotation reference"/>
    <w:basedOn w:val="Standaardalinea-lettertype"/>
    <w:uiPriority w:val="99"/>
    <w:semiHidden/>
    <w:rsid w:val="00CB7232"/>
    <w:rPr>
      <w:sz w:val="18"/>
      <w:szCs w:val="18"/>
    </w:rPr>
  </w:style>
  <w:style w:type="paragraph" w:styleId="Tekstopmerking">
    <w:name w:val="annotation text"/>
    <w:basedOn w:val="Standaard"/>
    <w:link w:val="TekstopmerkingChar"/>
    <w:uiPriority w:val="99"/>
    <w:semiHidden/>
    <w:rsid w:val="00CB7232"/>
  </w:style>
  <w:style w:type="character" w:customStyle="1" w:styleId="TekstopmerkingChar">
    <w:name w:val="Tekst opmerking Char"/>
    <w:basedOn w:val="Standaardalinea-lettertype"/>
    <w:link w:val="Tekstopmerking"/>
    <w:uiPriority w:val="99"/>
    <w:semiHidden/>
    <w:rsid w:val="008C4881"/>
    <w:rPr>
      <w:rFonts w:ascii="Times New Roman" w:hAnsi="Times New Roman"/>
      <w:sz w:val="24"/>
      <w:szCs w:val="24"/>
    </w:rPr>
  </w:style>
  <w:style w:type="paragraph" w:styleId="Onderwerpvanopmerking">
    <w:name w:val="annotation subject"/>
    <w:basedOn w:val="Tekstopmerking"/>
    <w:next w:val="Tekstopmerking"/>
    <w:link w:val="OnderwerpvanopmerkingChar"/>
    <w:uiPriority w:val="99"/>
    <w:semiHidden/>
    <w:rsid w:val="00CB7232"/>
    <w:rPr>
      <w:b/>
      <w:bCs/>
      <w:sz w:val="20"/>
      <w:szCs w:val="20"/>
    </w:rPr>
  </w:style>
  <w:style w:type="character" w:customStyle="1" w:styleId="OnderwerpvanopmerkingChar">
    <w:name w:val="Onderwerp van opmerking Char"/>
    <w:basedOn w:val="TekstopmerkingChar"/>
    <w:link w:val="Onderwerpvanopmerking"/>
    <w:uiPriority w:val="99"/>
    <w:semiHidden/>
    <w:rsid w:val="008C4881"/>
    <w:rPr>
      <w:rFonts w:ascii="Times New Roman" w:hAnsi="Times New Roman"/>
      <w:b/>
      <w:bCs/>
      <w:sz w:val="24"/>
      <w:szCs w:val="24"/>
    </w:rPr>
  </w:style>
  <w:style w:type="paragraph" w:styleId="Ballontekst">
    <w:name w:val="Balloon Text"/>
    <w:basedOn w:val="Standaard"/>
    <w:link w:val="BallontekstChar"/>
    <w:uiPriority w:val="99"/>
    <w:semiHidden/>
    <w:rsid w:val="000B4D4C"/>
    <w:pPr>
      <w:spacing w:line="240" w:lineRule="auto"/>
    </w:pPr>
    <w:rPr>
      <w:rFonts w:ascii="Lucida Grande" w:hAnsi="Lucida Grande"/>
      <w:sz w:val="18"/>
      <w:szCs w:val="18"/>
    </w:rPr>
  </w:style>
  <w:style w:type="character" w:customStyle="1" w:styleId="BallontekstChar">
    <w:name w:val="Ballontekst Char"/>
    <w:basedOn w:val="Standaardalinea-lettertype"/>
    <w:link w:val="Ballontekst"/>
    <w:uiPriority w:val="99"/>
    <w:semiHidden/>
    <w:rsid w:val="008C4881"/>
    <w:rPr>
      <w:rFonts w:ascii="Lucida Grande" w:hAnsi="Lucida Grande"/>
      <w:sz w:val="18"/>
      <w:szCs w:val="18"/>
    </w:rPr>
  </w:style>
  <w:style w:type="paragraph" w:styleId="Inhopg1">
    <w:name w:val="toc 1"/>
    <w:basedOn w:val="Standaard"/>
    <w:next w:val="Standaard"/>
    <w:autoRedefine/>
    <w:uiPriority w:val="39"/>
    <w:rsid w:val="00D875D6"/>
    <w:pPr>
      <w:spacing w:after="100"/>
    </w:pPr>
  </w:style>
  <w:style w:type="paragraph" w:styleId="Inhopg2">
    <w:name w:val="toc 2"/>
    <w:basedOn w:val="Standaard"/>
    <w:next w:val="Standaard"/>
    <w:autoRedefine/>
    <w:uiPriority w:val="39"/>
    <w:rsid w:val="00D875D6"/>
    <w:pPr>
      <w:spacing w:after="100"/>
      <w:ind w:left="240"/>
    </w:pPr>
  </w:style>
  <w:style w:type="paragraph" w:styleId="Inhopg3">
    <w:name w:val="toc 3"/>
    <w:basedOn w:val="Standaard"/>
    <w:next w:val="Standaard"/>
    <w:autoRedefine/>
    <w:uiPriority w:val="39"/>
    <w:rsid w:val="00D875D6"/>
    <w:pPr>
      <w:spacing w:after="100"/>
      <w:ind w:left="480"/>
    </w:pPr>
  </w:style>
  <w:style w:type="character" w:styleId="Hyperlink">
    <w:name w:val="Hyperlink"/>
    <w:basedOn w:val="Standaardalinea-lettertype"/>
    <w:uiPriority w:val="99"/>
    <w:unhideWhenUsed/>
    <w:rsid w:val="00D875D6"/>
    <w:rPr>
      <w:color w:val="0000FF" w:themeColor="hyperlink"/>
      <w:u w:val="single"/>
    </w:rPr>
  </w:style>
  <w:style w:type="paragraph" w:styleId="Koptekst">
    <w:name w:val="header"/>
    <w:basedOn w:val="Standaard"/>
    <w:link w:val="KoptekstChar"/>
    <w:uiPriority w:val="99"/>
    <w:rsid w:val="0084296A"/>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84296A"/>
    <w:rPr>
      <w:rFonts w:ascii="Times New Roman" w:hAnsi="Times New Roman"/>
      <w:sz w:val="24"/>
      <w:szCs w:val="24"/>
      <w:lang w:val="en-US" w:eastAsia="en-US"/>
    </w:rPr>
  </w:style>
  <w:style w:type="paragraph" w:styleId="Voettekst">
    <w:name w:val="footer"/>
    <w:basedOn w:val="Standaard"/>
    <w:link w:val="VoettekstChar"/>
    <w:uiPriority w:val="99"/>
    <w:rsid w:val="0084296A"/>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84296A"/>
    <w:rPr>
      <w:rFonts w:ascii="Times New Roman" w:hAnsi="Times New Roman"/>
      <w:sz w:val="24"/>
      <w:szCs w:val="24"/>
      <w:lang w:val="en-US" w:eastAsia="en-US"/>
    </w:rPr>
  </w:style>
  <w:style w:type="character" w:styleId="Regelnummer">
    <w:name w:val="line number"/>
    <w:basedOn w:val="Standaardalinea-lettertype"/>
    <w:uiPriority w:val="99"/>
    <w:semiHidden/>
    <w:rsid w:val="0084296A"/>
  </w:style>
  <w:style w:type="paragraph" w:styleId="Bijschrift">
    <w:name w:val="caption"/>
    <w:basedOn w:val="FigureTitle"/>
    <w:next w:val="Standaard"/>
    <w:unhideWhenUsed/>
    <w:qFormat/>
    <w:rsid w:val="002B506C"/>
    <w:pPr>
      <w:spacing w:after="240"/>
    </w:pPr>
  </w:style>
  <w:style w:type="paragraph" w:styleId="Lijstalinea">
    <w:name w:val="List Paragraph"/>
    <w:basedOn w:val="Standaard"/>
    <w:uiPriority w:val="99"/>
    <w:qFormat/>
    <w:rsid w:val="002312CF"/>
    <w:pPr>
      <w:ind w:left="720"/>
      <w:contextualSpacing/>
    </w:pPr>
  </w:style>
  <w:style w:type="paragraph" w:customStyle="1" w:styleId="StyleHeading2Green">
    <w:name w:val="Style Heading 2 + Green"/>
    <w:basedOn w:val="Kop2"/>
    <w:rsid w:val="002B506C"/>
    <w:rPr>
      <w:i/>
      <w:iCs/>
      <w:color w:val="000000" w:themeColor="text1"/>
    </w:rPr>
  </w:style>
  <w:style w:type="paragraph" w:customStyle="1" w:styleId="StyleHeading3Italic">
    <w:name w:val="Style Heading 3 + Italic"/>
    <w:basedOn w:val="Kop3"/>
    <w:rsid w:val="00D3698D"/>
    <w:rPr>
      <w:bCs w:val="0"/>
      <w:i/>
      <w:iCs/>
    </w:rPr>
  </w:style>
  <w:style w:type="character" w:customStyle="1" w:styleId="Kop5Char">
    <w:name w:val="Kop 5 Char"/>
    <w:basedOn w:val="Standaardalinea-lettertype"/>
    <w:link w:val="Kop5"/>
    <w:uiPriority w:val="99"/>
    <w:semiHidden/>
    <w:rsid w:val="00D3698D"/>
    <w:rPr>
      <w:rFonts w:asciiTheme="majorHAnsi" w:eastAsiaTheme="majorEastAsia" w:hAnsiTheme="majorHAnsi" w:cstheme="majorBidi"/>
      <w:color w:val="365F91" w:themeColor="accent1" w:themeShade="BF"/>
      <w:sz w:val="24"/>
      <w:szCs w:val="24"/>
      <w:lang w:val="en-US" w:eastAsia="en-US"/>
    </w:rPr>
  </w:style>
  <w:style w:type="character" w:customStyle="1" w:styleId="Kop6Char">
    <w:name w:val="Kop 6 Char"/>
    <w:basedOn w:val="Standaardalinea-lettertype"/>
    <w:link w:val="Kop6"/>
    <w:uiPriority w:val="99"/>
    <w:semiHidden/>
    <w:rsid w:val="00D3698D"/>
    <w:rPr>
      <w:rFonts w:asciiTheme="majorHAnsi" w:eastAsiaTheme="majorEastAsia" w:hAnsiTheme="majorHAnsi" w:cstheme="majorBidi"/>
      <w:color w:val="243F60" w:themeColor="accent1" w:themeShade="7F"/>
      <w:sz w:val="24"/>
      <w:szCs w:val="24"/>
      <w:lang w:val="en-US" w:eastAsia="en-US"/>
    </w:rPr>
  </w:style>
  <w:style w:type="character" w:customStyle="1" w:styleId="Kop7Char">
    <w:name w:val="Kop 7 Char"/>
    <w:basedOn w:val="Standaardalinea-lettertype"/>
    <w:link w:val="Kop7"/>
    <w:uiPriority w:val="99"/>
    <w:semiHidden/>
    <w:rsid w:val="00D3698D"/>
    <w:rPr>
      <w:rFonts w:asciiTheme="majorHAnsi" w:eastAsiaTheme="majorEastAsia" w:hAnsiTheme="majorHAnsi" w:cstheme="majorBidi"/>
      <w:i/>
      <w:iCs/>
      <w:color w:val="243F60" w:themeColor="accent1" w:themeShade="7F"/>
      <w:sz w:val="24"/>
      <w:szCs w:val="24"/>
      <w:lang w:val="en-US" w:eastAsia="en-US"/>
    </w:rPr>
  </w:style>
  <w:style w:type="character" w:customStyle="1" w:styleId="Kop8Char">
    <w:name w:val="Kop 8 Char"/>
    <w:basedOn w:val="Standaardalinea-lettertype"/>
    <w:link w:val="Kop8"/>
    <w:uiPriority w:val="99"/>
    <w:semiHidden/>
    <w:rsid w:val="00D3698D"/>
    <w:rPr>
      <w:rFonts w:asciiTheme="majorHAnsi" w:eastAsiaTheme="majorEastAsia" w:hAnsiTheme="majorHAnsi" w:cstheme="majorBidi"/>
      <w:color w:val="272727" w:themeColor="text1" w:themeTint="D8"/>
      <w:sz w:val="21"/>
      <w:szCs w:val="21"/>
      <w:lang w:val="en-US" w:eastAsia="en-US"/>
    </w:rPr>
  </w:style>
  <w:style w:type="character" w:customStyle="1" w:styleId="Kop9Char">
    <w:name w:val="Kop 9 Char"/>
    <w:basedOn w:val="Standaardalinea-lettertype"/>
    <w:link w:val="Kop9"/>
    <w:uiPriority w:val="99"/>
    <w:semiHidden/>
    <w:rsid w:val="00D3698D"/>
    <w:rPr>
      <w:rFonts w:asciiTheme="majorHAnsi" w:eastAsiaTheme="majorEastAsia" w:hAnsiTheme="majorHAnsi" w:cstheme="majorBidi"/>
      <w:i/>
      <w:iCs/>
      <w:color w:val="272727" w:themeColor="text1" w:themeTint="D8"/>
      <w:sz w:val="21"/>
      <w:szCs w:val="21"/>
      <w:lang w:val="en-US" w:eastAsia="en-US"/>
    </w:rPr>
  </w:style>
  <w:style w:type="table" w:styleId="Tabelraster">
    <w:name w:val="Table Grid"/>
    <w:basedOn w:val="Standaardtabel"/>
    <w:rsid w:val="003274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kstvantijdelijkeaanduiding">
    <w:name w:val="Placeholder Text"/>
    <w:basedOn w:val="Standaardalinea-lettertype"/>
    <w:uiPriority w:val="99"/>
    <w:semiHidden/>
    <w:rsid w:val="00886207"/>
    <w:rPr>
      <w:color w:val="666666"/>
    </w:rPr>
  </w:style>
  <w:style w:type="character" w:styleId="Onopgelostemelding">
    <w:name w:val="Unresolved Mention"/>
    <w:basedOn w:val="Standaardalinea-lettertype"/>
    <w:uiPriority w:val="99"/>
    <w:semiHidden/>
    <w:unhideWhenUsed/>
    <w:rsid w:val="0064370E"/>
    <w:rPr>
      <w:color w:val="605E5C"/>
      <w:shd w:val="clear" w:color="auto" w:fill="E1DFDD"/>
    </w:rPr>
  </w:style>
  <w:style w:type="character" w:styleId="GevolgdeHyperlink">
    <w:name w:val="FollowedHyperlink"/>
    <w:basedOn w:val="Standaardalinea-lettertype"/>
    <w:uiPriority w:val="99"/>
    <w:semiHidden/>
    <w:unhideWhenUsed/>
    <w:rsid w:val="004D7199"/>
    <w:rPr>
      <w:color w:val="800080" w:themeColor="followedHyperlink"/>
      <w:u w:val="single"/>
    </w:rPr>
  </w:style>
  <w:style w:type="paragraph" w:styleId="Normaalweb">
    <w:name w:val="Normal (Web)"/>
    <w:basedOn w:val="Standaard"/>
    <w:uiPriority w:val="99"/>
    <w:semiHidden/>
    <w:unhideWhenUsed/>
    <w:rsid w:val="00B451E9"/>
    <w:pPr>
      <w:spacing w:before="100" w:beforeAutospacing="1" w:after="100" w:afterAutospacing="1" w:line="240" w:lineRule="auto"/>
      <w:ind w:firstLine="0"/>
      <w:jc w:val="left"/>
    </w:pPr>
    <w:rPr>
      <w:rFonts w:ascii="Times New Roman" w:eastAsia="Times New Roman" w:hAnsi="Times New Roman"/>
      <w:lang w:val="nl-NL" w:eastAsia="nl-NL"/>
    </w:rPr>
  </w:style>
  <w:style w:type="character" w:styleId="Nadruk">
    <w:name w:val="Emphasis"/>
    <w:basedOn w:val="Standaardalinea-lettertype"/>
    <w:uiPriority w:val="20"/>
    <w:qFormat/>
    <w:rsid w:val="00B451E9"/>
    <w:rPr>
      <w:i/>
      <w:iCs/>
    </w:rPr>
  </w:style>
  <w:style w:type="character" w:styleId="Zwaar">
    <w:name w:val="Strong"/>
    <w:basedOn w:val="Standaardalinea-lettertype"/>
    <w:uiPriority w:val="22"/>
    <w:qFormat/>
    <w:rsid w:val="006941F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326916">
      <w:bodyDiv w:val="1"/>
      <w:marLeft w:val="0"/>
      <w:marRight w:val="0"/>
      <w:marTop w:val="0"/>
      <w:marBottom w:val="0"/>
      <w:divBdr>
        <w:top w:val="none" w:sz="0" w:space="0" w:color="auto"/>
        <w:left w:val="none" w:sz="0" w:space="0" w:color="auto"/>
        <w:bottom w:val="none" w:sz="0" w:space="0" w:color="auto"/>
        <w:right w:val="none" w:sz="0" w:space="0" w:color="auto"/>
      </w:divBdr>
    </w:div>
    <w:div w:id="152065512">
      <w:bodyDiv w:val="1"/>
      <w:marLeft w:val="0"/>
      <w:marRight w:val="0"/>
      <w:marTop w:val="0"/>
      <w:marBottom w:val="0"/>
      <w:divBdr>
        <w:top w:val="none" w:sz="0" w:space="0" w:color="auto"/>
        <w:left w:val="none" w:sz="0" w:space="0" w:color="auto"/>
        <w:bottom w:val="none" w:sz="0" w:space="0" w:color="auto"/>
        <w:right w:val="none" w:sz="0" w:space="0" w:color="auto"/>
      </w:divBdr>
    </w:div>
    <w:div w:id="153685065">
      <w:bodyDiv w:val="1"/>
      <w:marLeft w:val="0"/>
      <w:marRight w:val="0"/>
      <w:marTop w:val="0"/>
      <w:marBottom w:val="0"/>
      <w:divBdr>
        <w:top w:val="none" w:sz="0" w:space="0" w:color="auto"/>
        <w:left w:val="none" w:sz="0" w:space="0" w:color="auto"/>
        <w:bottom w:val="none" w:sz="0" w:space="0" w:color="auto"/>
        <w:right w:val="none" w:sz="0" w:space="0" w:color="auto"/>
      </w:divBdr>
    </w:div>
    <w:div w:id="189421504">
      <w:bodyDiv w:val="1"/>
      <w:marLeft w:val="0"/>
      <w:marRight w:val="0"/>
      <w:marTop w:val="0"/>
      <w:marBottom w:val="0"/>
      <w:divBdr>
        <w:top w:val="none" w:sz="0" w:space="0" w:color="auto"/>
        <w:left w:val="none" w:sz="0" w:space="0" w:color="auto"/>
        <w:bottom w:val="none" w:sz="0" w:space="0" w:color="auto"/>
        <w:right w:val="none" w:sz="0" w:space="0" w:color="auto"/>
      </w:divBdr>
    </w:div>
    <w:div w:id="390546440">
      <w:bodyDiv w:val="1"/>
      <w:marLeft w:val="0"/>
      <w:marRight w:val="0"/>
      <w:marTop w:val="0"/>
      <w:marBottom w:val="0"/>
      <w:divBdr>
        <w:top w:val="none" w:sz="0" w:space="0" w:color="auto"/>
        <w:left w:val="none" w:sz="0" w:space="0" w:color="auto"/>
        <w:bottom w:val="none" w:sz="0" w:space="0" w:color="auto"/>
        <w:right w:val="none" w:sz="0" w:space="0" w:color="auto"/>
      </w:divBdr>
    </w:div>
    <w:div w:id="702557321">
      <w:bodyDiv w:val="1"/>
      <w:marLeft w:val="0"/>
      <w:marRight w:val="0"/>
      <w:marTop w:val="0"/>
      <w:marBottom w:val="0"/>
      <w:divBdr>
        <w:top w:val="none" w:sz="0" w:space="0" w:color="auto"/>
        <w:left w:val="none" w:sz="0" w:space="0" w:color="auto"/>
        <w:bottom w:val="none" w:sz="0" w:space="0" w:color="auto"/>
        <w:right w:val="none" w:sz="0" w:space="0" w:color="auto"/>
      </w:divBdr>
    </w:div>
    <w:div w:id="870142112">
      <w:bodyDiv w:val="1"/>
      <w:marLeft w:val="0"/>
      <w:marRight w:val="0"/>
      <w:marTop w:val="0"/>
      <w:marBottom w:val="0"/>
      <w:divBdr>
        <w:top w:val="none" w:sz="0" w:space="0" w:color="auto"/>
        <w:left w:val="none" w:sz="0" w:space="0" w:color="auto"/>
        <w:bottom w:val="none" w:sz="0" w:space="0" w:color="auto"/>
        <w:right w:val="none" w:sz="0" w:space="0" w:color="auto"/>
      </w:divBdr>
    </w:div>
    <w:div w:id="906496508">
      <w:bodyDiv w:val="1"/>
      <w:marLeft w:val="0"/>
      <w:marRight w:val="0"/>
      <w:marTop w:val="0"/>
      <w:marBottom w:val="0"/>
      <w:divBdr>
        <w:top w:val="none" w:sz="0" w:space="0" w:color="auto"/>
        <w:left w:val="none" w:sz="0" w:space="0" w:color="auto"/>
        <w:bottom w:val="none" w:sz="0" w:space="0" w:color="auto"/>
        <w:right w:val="none" w:sz="0" w:space="0" w:color="auto"/>
      </w:divBdr>
    </w:div>
    <w:div w:id="938803747">
      <w:bodyDiv w:val="1"/>
      <w:marLeft w:val="0"/>
      <w:marRight w:val="0"/>
      <w:marTop w:val="0"/>
      <w:marBottom w:val="0"/>
      <w:divBdr>
        <w:top w:val="none" w:sz="0" w:space="0" w:color="auto"/>
        <w:left w:val="none" w:sz="0" w:space="0" w:color="auto"/>
        <w:bottom w:val="none" w:sz="0" w:space="0" w:color="auto"/>
        <w:right w:val="none" w:sz="0" w:space="0" w:color="auto"/>
      </w:divBdr>
    </w:div>
    <w:div w:id="986282327">
      <w:bodyDiv w:val="1"/>
      <w:marLeft w:val="0"/>
      <w:marRight w:val="0"/>
      <w:marTop w:val="0"/>
      <w:marBottom w:val="0"/>
      <w:divBdr>
        <w:top w:val="none" w:sz="0" w:space="0" w:color="auto"/>
        <w:left w:val="none" w:sz="0" w:space="0" w:color="auto"/>
        <w:bottom w:val="none" w:sz="0" w:space="0" w:color="auto"/>
        <w:right w:val="none" w:sz="0" w:space="0" w:color="auto"/>
      </w:divBdr>
    </w:div>
    <w:div w:id="999579842">
      <w:bodyDiv w:val="1"/>
      <w:marLeft w:val="0"/>
      <w:marRight w:val="0"/>
      <w:marTop w:val="0"/>
      <w:marBottom w:val="0"/>
      <w:divBdr>
        <w:top w:val="none" w:sz="0" w:space="0" w:color="auto"/>
        <w:left w:val="none" w:sz="0" w:space="0" w:color="auto"/>
        <w:bottom w:val="none" w:sz="0" w:space="0" w:color="auto"/>
        <w:right w:val="none" w:sz="0" w:space="0" w:color="auto"/>
      </w:divBdr>
    </w:div>
    <w:div w:id="1054819600">
      <w:bodyDiv w:val="1"/>
      <w:marLeft w:val="0"/>
      <w:marRight w:val="0"/>
      <w:marTop w:val="0"/>
      <w:marBottom w:val="0"/>
      <w:divBdr>
        <w:top w:val="none" w:sz="0" w:space="0" w:color="auto"/>
        <w:left w:val="none" w:sz="0" w:space="0" w:color="auto"/>
        <w:bottom w:val="none" w:sz="0" w:space="0" w:color="auto"/>
        <w:right w:val="none" w:sz="0" w:space="0" w:color="auto"/>
      </w:divBdr>
    </w:div>
    <w:div w:id="1162891717">
      <w:bodyDiv w:val="1"/>
      <w:marLeft w:val="0"/>
      <w:marRight w:val="0"/>
      <w:marTop w:val="0"/>
      <w:marBottom w:val="0"/>
      <w:divBdr>
        <w:top w:val="none" w:sz="0" w:space="0" w:color="auto"/>
        <w:left w:val="none" w:sz="0" w:space="0" w:color="auto"/>
        <w:bottom w:val="none" w:sz="0" w:space="0" w:color="auto"/>
        <w:right w:val="none" w:sz="0" w:space="0" w:color="auto"/>
      </w:divBdr>
    </w:div>
    <w:div w:id="1209487830">
      <w:bodyDiv w:val="1"/>
      <w:marLeft w:val="0"/>
      <w:marRight w:val="0"/>
      <w:marTop w:val="0"/>
      <w:marBottom w:val="0"/>
      <w:divBdr>
        <w:top w:val="none" w:sz="0" w:space="0" w:color="auto"/>
        <w:left w:val="none" w:sz="0" w:space="0" w:color="auto"/>
        <w:bottom w:val="none" w:sz="0" w:space="0" w:color="auto"/>
        <w:right w:val="none" w:sz="0" w:space="0" w:color="auto"/>
      </w:divBdr>
    </w:div>
    <w:div w:id="1496339235">
      <w:bodyDiv w:val="1"/>
      <w:marLeft w:val="0"/>
      <w:marRight w:val="0"/>
      <w:marTop w:val="0"/>
      <w:marBottom w:val="0"/>
      <w:divBdr>
        <w:top w:val="none" w:sz="0" w:space="0" w:color="auto"/>
        <w:left w:val="none" w:sz="0" w:space="0" w:color="auto"/>
        <w:bottom w:val="none" w:sz="0" w:space="0" w:color="auto"/>
        <w:right w:val="none" w:sz="0" w:space="0" w:color="auto"/>
      </w:divBdr>
    </w:div>
    <w:div w:id="1555464139">
      <w:bodyDiv w:val="1"/>
      <w:marLeft w:val="0"/>
      <w:marRight w:val="0"/>
      <w:marTop w:val="0"/>
      <w:marBottom w:val="0"/>
      <w:divBdr>
        <w:top w:val="none" w:sz="0" w:space="0" w:color="auto"/>
        <w:left w:val="none" w:sz="0" w:space="0" w:color="auto"/>
        <w:bottom w:val="none" w:sz="0" w:space="0" w:color="auto"/>
        <w:right w:val="none" w:sz="0" w:space="0" w:color="auto"/>
      </w:divBdr>
    </w:div>
    <w:div w:id="1622110598">
      <w:bodyDiv w:val="1"/>
      <w:marLeft w:val="0"/>
      <w:marRight w:val="0"/>
      <w:marTop w:val="0"/>
      <w:marBottom w:val="0"/>
      <w:divBdr>
        <w:top w:val="none" w:sz="0" w:space="0" w:color="auto"/>
        <w:left w:val="none" w:sz="0" w:space="0" w:color="auto"/>
        <w:bottom w:val="none" w:sz="0" w:space="0" w:color="auto"/>
        <w:right w:val="none" w:sz="0" w:space="0" w:color="auto"/>
      </w:divBdr>
    </w:div>
    <w:div w:id="1666974407">
      <w:bodyDiv w:val="1"/>
      <w:marLeft w:val="0"/>
      <w:marRight w:val="0"/>
      <w:marTop w:val="0"/>
      <w:marBottom w:val="0"/>
      <w:divBdr>
        <w:top w:val="none" w:sz="0" w:space="0" w:color="auto"/>
        <w:left w:val="none" w:sz="0" w:space="0" w:color="auto"/>
        <w:bottom w:val="none" w:sz="0" w:space="0" w:color="auto"/>
        <w:right w:val="none" w:sz="0" w:space="0" w:color="auto"/>
      </w:divBdr>
    </w:div>
    <w:div w:id="1795171128">
      <w:bodyDiv w:val="1"/>
      <w:marLeft w:val="0"/>
      <w:marRight w:val="0"/>
      <w:marTop w:val="0"/>
      <w:marBottom w:val="0"/>
      <w:divBdr>
        <w:top w:val="none" w:sz="0" w:space="0" w:color="auto"/>
        <w:left w:val="none" w:sz="0" w:space="0" w:color="auto"/>
        <w:bottom w:val="none" w:sz="0" w:space="0" w:color="auto"/>
        <w:right w:val="none" w:sz="0" w:space="0" w:color="auto"/>
      </w:divBdr>
    </w:div>
    <w:div w:id="1883665326">
      <w:bodyDiv w:val="1"/>
      <w:marLeft w:val="0"/>
      <w:marRight w:val="0"/>
      <w:marTop w:val="0"/>
      <w:marBottom w:val="0"/>
      <w:divBdr>
        <w:top w:val="none" w:sz="0" w:space="0" w:color="auto"/>
        <w:left w:val="none" w:sz="0" w:space="0" w:color="auto"/>
        <w:bottom w:val="none" w:sz="0" w:space="0" w:color="auto"/>
        <w:right w:val="none" w:sz="0" w:space="0" w:color="auto"/>
      </w:divBdr>
    </w:div>
    <w:div w:id="2082289911">
      <w:bodyDiv w:val="1"/>
      <w:marLeft w:val="0"/>
      <w:marRight w:val="0"/>
      <w:marTop w:val="0"/>
      <w:marBottom w:val="0"/>
      <w:divBdr>
        <w:top w:val="none" w:sz="0" w:space="0" w:color="auto"/>
        <w:left w:val="none" w:sz="0" w:space="0" w:color="auto"/>
        <w:bottom w:val="none" w:sz="0" w:space="0" w:color="auto"/>
        <w:right w:val="none" w:sz="0" w:space="0" w:color="auto"/>
      </w:divBdr>
    </w:div>
    <w:div w:id="2103867701">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016/j.jfineco.2019.09.002" TargetMode="External"/><Relationship Id="rId18" Type="http://schemas.openxmlformats.org/officeDocument/2006/relationships/hyperlink" Target="https://doi.org/10.1007/s10551-014-2324-2" TargetMode="External"/><Relationship Id="rId26" Type="http://schemas.openxmlformats.org/officeDocument/2006/relationships/hyperlink" Target="https://doi.org/10.1111/j.1530-9134.2010.00282.x"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doi.org/10.1016/j.jbankfin.2015.04.028" TargetMode="External"/><Relationship Id="rId34" Type="http://schemas.openxmlformats.org/officeDocument/2006/relationships/hyperlink" Target="https://doi.org/10.1002/bse.1912"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oi.org/10.2469/faj.v74.n3.2" TargetMode="External"/><Relationship Id="rId17" Type="http://schemas.openxmlformats.org/officeDocument/2006/relationships/hyperlink" Target="https://doi.org/10.1016/j.jfineco.2013.04.014" TargetMode="External"/><Relationship Id="rId25" Type="http://schemas.openxmlformats.org/officeDocument/2006/relationships/hyperlink" Target="https://doi.org/10.1111/acfi.12512" TargetMode="External"/><Relationship Id="rId33" Type="http://schemas.openxmlformats.org/officeDocument/2006/relationships/hyperlink" Target="https://doi.org/10.1111/beer.12088" TargetMode="External"/><Relationship Id="rId38" Type="http://schemas.openxmlformats.org/officeDocument/2006/relationships/hyperlink" Target="https://doi.org/10.1023/A:1014299720440" TargetMode="External"/><Relationship Id="rId2" Type="http://schemas.openxmlformats.org/officeDocument/2006/relationships/numbering" Target="numbering.xml"/><Relationship Id="rId16" Type="http://schemas.openxmlformats.org/officeDocument/2006/relationships/hyperlink" Target="https://doi.org/10.1525/cmr.2011.54.1.64" TargetMode="External"/><Relationship Id="rId20" Type="http://schemas.openxmlformats.org/officeDocument/2006/relationships/hyperlink" Target="https://doi.org/10.1287/orsc.1090.0494" TargetMode="External"/><Relationship Id="rId29" Type="http://schemas.openxmlformats.org/officeDocument/2006/relationships/hyperlink" Target="https://doi.org/10.1080/00031305.1982.10482818"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j.jbankfin.2010.12.006" TargetMode="External"/><Relationship Id="rId24" Type="http://schemas.openxmlformats.org/officeDocument/2006/relationships/hyperlink" Target="https://doi.org/10.1016/j.jfineco.2014.09.008" TargetMode="External"/><Relationship Id="rId32" Type="http://schemas.openxmlformats.org/officeDocument/2006/relationships/hyperlink" Target="https://doi.org/10.1093/biomet/70.1.41" TargetMode="External"/><Relationship Id="rId37" Type="http://schemas.openxmlformats.org/officeDocument/2006/relationships/hyperlink" Target="https://doi.org/10.1177/001872679604900905"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doi.org/10.1177/0149206310388419" TargetMode="External"/><Relationship Id="rId23" Type="http://schemas.openxmlformats.org/officeDocument/2006/relationships/hyperlink" Target="https://doi.org/10.5465/amr.1995.9512280033" TargetMode="External"/><Relationship Id="rId28" Type="http://schemas.openxmlformats.org/officeDocument/2006/relationships/hyperlink" Target="https://doi.org/10.1016/j.cpa.2012.09.008" TargetMode="External"/><Relationship Id="rId36" Type="http://schemas.openxmlformats.org/officeDocument/2006/relationships/hyperlink" Target="https://doi.org/10.1007/s10551-011-1122-4" TargetMode="External"/><Relationship Id="rId10" Type="http://schemas.openxmlformats.org/officeDocument/2006/relationships/image" Target="media/image3.png"/><Relationship Id="rId19" Type="http://schemas.openxmlformats.org/officeDocument/2006/relationships/hyperlink" Target="https://doi.org/10.2139/ssrn.1964011" TargetMode="External"/><Relationship Id="rId31" Type="http://schemas.openxmlformats.org/officeDocument/2006/relationships/hyperlink" Target="https://doi.org/10.1177/03128962231222824"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1016/j.jfineco.2019.09.002" TargetMode="External"/><Relationship Id="rId22" Type="http://schemas.openxmlformats.org/officeDocument/2006/relationships/hyperlink" Target="https://doi.org/10.1007/s10551-011-1091-7" TargetMode="External"/><Relationship Id="rId27" Type="http://schemas.openxmlformats.org/officeDocument/2006/relationships/hyperlink" Target="https://doi.org/10.1177/1086026615575332" TargetMode="External"/><Relationship Id="rId30" Type="http://schemas.openxmlformats.org/officeDocument/2006/relationships/hyperlink" Target="https://doi.org/10.1287/orsc.2015.1036" TargetMode="External"/><Relationship Id="rId35" Type="http://schemas.openxmlformats.org/officeDocument/2006/relationships/hyperlink" Target="https://doi.org/10.2307/1882010"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Fullbrunn\Documents\Teaching\Theses\Master\2016\InformationRules\AER_AEJ_Word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A8D629-70C8-486B-B973-BE9D2F88090C}">
  <ds:schemaRefs>
    <ds:schemaRef ds:uri="http://schemas.openxmlformats.org/officeDocument/2006/bibliography"/>
  </ds:schemaRefs>
</ds:datastoreItem>
</file>

<file path=docMetadata/LabelInfo.xml><?xml version="1.0" encoding="utf-8"?>
<clbl:labelList xmlns:clbl="http://schemas.microsoft.com/office/2020/mipLabelMetadata">
  <clbl:label id="{084578d9-400d-4a5a-a7c7-e76ca47af400}" enabled="0" method="" siteId="{084578d9-400d-4a5a-a7c7-e76ca47af400}" removed="1"/>
</clbl:labelList>
</file>

<file path=docProps/app.xml><?xml version="1.0" encoding="utf-8"?>
<Properties xmlns="http://schemas.openxmlformats.org/officeDocument/2006/extended-properties" xmlns:vt="http://schemas.openxmlformats.org/officeDocument/2006/docPropsVTypes">
  <Template>AER_AEJ_WordTemplate</Template>
  <TotalTime>0</TotalTime>
  <Pages>3</Pages>
  <Words>13672</Words>
  <Characters>75201</Characters>
  <Application>Microsoft Office Word</Application>
  <DocSecurity>0</DocSecurity>
  <Lines>626</Lines>
  <Paragraphs>177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AEA Publications</Company>
  <LinksUpToDate>false</LinksUpToDate>
  <CharactersWithSpaces>88696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S.Fullbrunn</dc:creator>
  <cp:lastModifiedBy>Born, E.G.J. (Evelien)</cp:lastModifiedBy>
  <cp:revision>2</cp:revision>
  <cp:lastPrinted>2025-06-30T21:38:00Z</cp:lastPrinted>
  <dcterms:created xsi:type="dcterms:W3CDTF">2025-07-08T13:45:00Z</dcterms:created>
  <dcterms:modified xsi:type="dcterms:W3CDTF">2025-07-08T13:45:00Z</dcterms:modified>
</cp:coreProperties>
</file>