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C0E630" w14:textId="47DFD65A" w:rsidR="007926A7" w:rsidRPr="00B64C8D" w:rsidRDefault="007926A7" w:rsidP="00B64C8D">
      <w:pPr>
        <w:spacing w:line="360" w:lineRule="auto"/>
        <w:rPr>
          <w:rFonts w:ascii="Times New Roman" w:hAnsi="Times New Roman" w:cs="Times New Roman"/>
        </w:rPr>
      </w:pPr>
    </w:p>
    <w:sdt>
      <w:sdtPr>
        <w:rPr>
          <w:rFonts w:ascii="Times New Roman" w:hAnsi="Times New Roman" w:cs="Times New Roman"/>
        </w:rPr>
        <w:id w:val="-1092464490"/>
        <w:docPartObj>
          <w:docPartGallery w:val="Cover Pages"/>
          <w:docPartUnique/>
        </w:docPartObj>
      </w:sdtPr>
      <w:sdtContent>
        <w:p w14:paraId="633BD12F" w14:textId="60ACCACB" w:rsidR="004A7EDE" w:rsidRPr="00B64C8D" w:rsidRDefault="006D66FD" w:rsidP="00B64C8D">
          <w:pPr>
            <w:spacing w:line="360" w:lineRule="auto"/>
            <w:rPr>
              <w:rFonts w:ascii="Times New Roman" w:hAnsi="Times New Roman" w:cs="Times New Roman"/>
            </w:rPr>
          </w:pPr>
          <w:r w:rsidRPr="00B64C8D">
            <w:rPr>
              <w:rFonts w:ascii="Times New Roman" w:hAnsi="Times New Roman" w:cs="Times New Roman"/>
              <w:noProof/>
            </w:rPr>
            <mc:AlternateContent>
              <mc:Choice Requires="wpg">
                <w:drawing>
                  <wp:anchor distT="0" distB="0" distL="114300" distR="114300" simplePos="0" relativeHeight="251659264" behindDoc="0" locked="0" layoutInCell="1" allowOverlap="1" wp14:anchorId="693B5779" wp14:editId="2A90656D">
                    <wp:simplePos x="0" y="0"/>
                    <wp:positionH relativeFrom="page">
                      <wp:align>right</wp:align>
                    </wp:positionH>
                    <wp:positionV relativeFrom="page">
                      <wp:align>top</wp:align>
                    </wp:positionV>
                    <wp:extent cx="3021965" cy="10682605"/>
                    <wp:effectExtent l="4445" t="0" r="2540" b="4445"/>
                    <wp:wrapNone/>
                    <wp:docPr id="400581146" name="Groep 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21965" cy="10682605"/>
                              <a:chOff x="0" y="0"/>
                              <a:chExt cx="31136" cy="100584"/>
                            </a:xfrm>
                          </wpg:grpSpPr>
                          <wps:wsp>
                            <wps:cNvPr id="1657167842" name="Rechthoek 459" descr="Light vertical"/>
                            <wps:cNvSpPr>
                              <a:spLocks noChangeArrowheads="1"/>
                            </wps:cNvSpPr>
                            <wps:spPr bwMode="auto">
                              <a:xfrm>
                                <a:off x="0" y="0"/>
                                <a:ext cx="1385" cy="100584"/>
                              </a:xfrm>
                              <a:prstGeom prst="rect">
                                <a:avLst/>
                              </a:prstGeom>
                              <a:pattFill prst="dkVert">
                                <a:fgClr>
                                  <a:schemeClr val="accent6">
                                    <a:lumMod val="60000"/>
                                    <a:lumOff val="40000"/>
                                    <a:alpha val="79999"/>
                                  </a:schemeClr>
                                </a:fgClr>
                                <a:bgClr>
                                  <a:schemeClr val="bg1">
                                    <a:lumMod val="100000"/>
                                    <a:lumOff val="0"/>
                                    <a:alpha val="79999"/>
                                  </a:schemeClr>
                                </a:bgClr>
                              </a:pattFill>
                              <a:ln>
                                <a:noFill/>
                              </a:ln>
                              <a:effectLst/>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s:wsp>
                            <wps:cNvPr id="1347842325" name="Rechthoek 460"/>
                            <wps:cNvSpPr>
                              <a:spLocks noChangeArrowheads="1"/>
                            </wps:cNvSpPr>
                            <wps:spPr bwMode="auto">
                              <a:xfrm>
                                <a:off x="1246" y="0"/>
                                <a:ext cx="29718" cy="100584"/>
                              </a:xfrm>
                              <a:prstGeom prst="rect">
                                <a:avLst/>
                              </a:prstGeom>
                              <a:solidFill>
                                <a:srgbClr val="C00000"/>
                              </a:solidFill>
                              <a:ln>
                                <a:noFill/>
                              </a:ln>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1358084248" name="Rechthoek 461"/>
                            <wps:cNvSpPr>
                              <a:spLocks noChangeArrowheads="1"/>
                            </wps:cNvSpPr>
                            <wps:spPr bwMode="auto">
                              <a:xfrm>
                                <a:off x="138" y="0"/>
                                <a:ext cx="30998" cy="23774"/>
                              </a:xfrm>
                              <a:prstGeom prst="rect">
                                <a:avLst/>
                              </a:prstGeom>
                              <a:noFill/>
                              <a:ln>
                                <a:noFill/>
                              </a:ln>
                              <a:effectLst/>
                              <a:extLst>
                                <a:ext uri="{909E8E84-426E-40DD-AFC4-6F175D3DCCD1}">
                                  <a14:hiddenFill xmlns:a14="http://schemas.microsoft.com/office/drawing/2010/main">
                                    <a:solidFill>
                                      <a:srgbClr val="FFFFFF">
                                        <a:alpha val="79999"/>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14:hiddenEffects>
                                </a:ext>
                              </a:extLst>
                            </wps:spPr>
                            <wps:txbx>
                              <w:txbxContent>
                                <w:sdt>
                                  <w:sdtPr>
                                    <w:rPr>
                                      <w:color w:val="FFFFFF" w:themeColor="background1"/>
                                      <w:sz w:val="96"/>
                                      <w:szCs w:val="96"/>
                                    </w:rPr>
                                    <w:alias w:val="Jaar"/>
                                    <w:id w:val="1012341074"/>
                                    <w:showingPlcHdr/>
                                    <w:dataBinding w:prefixMappings="xmlns:ns0='http://schemas.microsoft.com/office/2006/coverPageProps'" w:xpath="/ns0:CoverPageProperties[1]/ns0:PublishDate[1]" w:storeItemID="{55AF091B-3C7A-41E3-B477-F2FDAA23CFDA}"/>
                                    <w:date>
                                      <w:dateFormat w:val="yyyy"/>
                                      <w:lid w:val="nl-NL"/>
                                      <w:storeMappedDataAs w:val="dateTime"/>
                                      <w:calendar w:val="gregorian"/>
                                    </w:date>
                                  </w:sdtPr>
                                  <w:sdtContent>
                                    <w:p w14:paraId="17242B0A" w14:textId="03B0725E" w:rsidR="004A7EDE" w:rsidRPr="004A7EDE" w:rsidRDefault="007926A7">
                                      <w:pPr>
                                        <w:pStyle w:val="Geenafstand"/>
                                        <w:rPr>
                                          <w:color w:val="FF0000"/>
                                          <w:sz w:val="96"/>
                                          <w:szCs w:val="96"/>
                                        </w:rPr>
                                      </w:pPr>
                                      <w:r>
                                        <w:rPr>
                                          <w:color w:val="FFFFFF" w:themeColor="background1"/>
                                          <w:sz w:val="96"/>
                                          <w:szCs w:val="96"/>
                                        </w:rPr>
                                        <w:t xml:space="preserve">     </w:t>
                                      </w:r>
                                    </w:p>
                                  </w:sdtContent>
                                </w:sdt>
                              </w:txbxContent>
                            </wps:txbx>
                            <wps:bodyPr rot="0" vert="horz" wrap="square" lIns="365760" tIns="182880" rIns="182880" bIns="182880" anchor="b" anchorCtr="0" upright="1">
                              <a:noAutofit/>
                            </wps:bodyPr>
                          </wps:wsp>
                          <wps:wsp>
                            <wps:cNvPr id="346052547" name="Rechthoek 9"/>
                            <wps:cNvSpPr>
                              <a:spLocks noChangeArrowheads="1"/>
                            </wps:cNvSpPr>
                            <wps:spPr bwMode="auto">
                              <a:xfrm>
                                <a:off x="0" y="67610"/>
                                <a:ext cx="30895" cy="28333"/>
                              </a:xfrm>
                              <a:prstGeom prst="rect">
                                <a:avLst/>
                              </a:prstGeom>
                              <a:noFill/>
                              <a:ln>
                                <a:noFill/>
                              </a:ln>
                              <a:effectLst/>
                              <a:extLst>
                                <a:ext uri="{909E8E84-426E-40DD-AFC4-6F175D3DCCD1}">
                                  <a14:hiddenFill xmlns:a14="http://schemas.microsoft.com/office/drawing/2010/main">
                                    <a:solidFill>
                                      <a:srgbClr val="FFFFFF">
                                        <a:alpha val="79999"/>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14:hiddenEffects>
                                </a:ext>
                              </a:extLst>
                            </wps:spPr>
                            <wps:txbx>
                              <w:txbxContent>
                                <w:sdt>
                                  <w:sdtPr>
                                    <w:rPr>
                                      <w:color w:val="FFFFFF" w:themeColor="background1"/>
                                    </w:rPr>
                                    <w:alias w:val="Auteur"/>
                                    <w:id w:val="1380359617"/>
                                    <w:dataBinding w:prefixMappings="xmlns:ns0='http://schemas.openxmlformats.org/package/2006/metadata/core-properties' xmlns:ns1='http://purl.org/dc/elements/1.1/'" w:xpath="/ns0:coreProperties[1]/ns1:creator[1]" w:storeItemID="{6C3C8BC8-F283-45AE-878A-BAB7291924A1}"/>
                                    <w:text/>
                                  </w:sdtPr>
                                  <w:sdtContent>
                                    <w:p w14:paraId="00CA9882" w14:textId="46FF2BF8" w:rsidR="004A7EDE" w:rsidRPr="00F7786F" w:rsidRDefault="00571CEC">
                                      <w:pPr>
                                        <w:pStyle w:val="Geenafstand"/>
                                        <w:spacing w:line="360" w:lineRule="auto"/>
                                        <w:rPr>
                                          <w:color w:val="FFFFFF" w:themeColor="background1"/>
                                        </w:rPr>
                                      </w:pPr>
                                      <w:r w:rsidRPr="00F7786F">
                                        <w:rPr>
                                          <w:color w:val="FFFFFF" w:themeColor="background1"/>
                                        </w:rPr>
                                        <w:t>Tijn Deelen (s1079200)</w:t>
                                      </w:r>
                                    </w:p>
                                  </w:sdtContent>
                                </w:sdt>
                                <w:sdt>
                                  <w:sdtPr>
                                    <w:rPr>
                                      <w:color w:val="FFFFFF" w:themeColor="background1"/>
                                    </w:rPr>
                                    <w:alias w:val="Bedrijf"/>
                                    <w:id w:val="1760174317"/>
                                    <w:dataBinding w:prefixMappings="xmlns:ns0='http://schemas.openxmlformats.org/officeDocument/2006/extended-properties'" w:xpath="/ns0:Properties[1]/ns0:Company[1]" w:storeItemID="{6668398D-A668-4E3E-A5EB-62B293D839F1}"/>
                                    <w:text/>
                                  </w:sdtPr>
                                  <w:sdtContent>
                                    <w:p w14:paraId="774970D1" w14:textId="55B0918C" w:rsidR="004A7EDE" w:rsidRPr="007926A7" w:rsidRDefault="00571CEC">
                                      <w:pPr>
                                        <w:pStyle w:val="Geenafstand"/>
                                        <w:spacing w:line="360" w:lineRule="auto"/>
                                        <w:rPr>
                                          <w:color w:val="FFFFFF" w:themeColor="background1"/>
                                        </w:rPr>
                                      </w:pPr>
                                      <w:r w:rsidRPr="007926A7">
                                        <w:rPr>
                                          <w:color w:val="FFFFFF" w:themeColor="background1"/>
                                        </w:rPr>
                                        <w:t xml:space="preserve">Dr. </w:t>
                                      </w:r>
                                      <w:r w:rsidR="005875CB">
                                        <w:rPr>
                                          <w:color w:val="FFFFFF" w:themeColor="background1"/>
                                        </w:rPr>
                                        <w:t>R.A. van der Veer</w:t>
                                      </w:r>
                                    </w:p>
                                  </w:sdtContent>
                                </w:sdt>
                                <w:sdt>
                                  <w:sdtPr>
                                    <w:rPr>
                                      <w:rFonts w:ascii="Times New Roman" w:hAnsi="Times New Roman" w:cs="Times New Roman"/>
                                      <w:color w:val="FFFFFF" w:themeColor="background1"/>
                                    </w:rPr>
                                    <w:alias w:val="Datum"/>
                                    <w:id w:val="1724480474"/>
                                    <w:showingPlcHdr/>
                                    <w:dataBinding w:prefixMappings="xmlns:ns0='http://schemas.microsoft.com/office/2006/coverPageProps'" w:xpath="/ns0:CoverPageProperties[1]/ns0:PublishDate[1]" w:storeItemID="{55AF091B-3C7A-41E3-B477-F2FDAA23CFDA}"/>
                                    <w:date>
                                      <w:dateFormat w:val="d-M-yyyy"/>
                                      <w:lid w:val="nl-NL"/>
                                      <w:storeMappedDataAs w:val="dateTime"/>
                                      <w:calendar w:val="gregorian"/>
                                    </w:date>
                                  </w:sdtPr>
                                  <w:sdtContent>
                                    <w:p w14:paraId="5779E79B" w14:textId="2712BFA9" w:rsidR="004A7EDE" w:rsidRPr="00F7786F" w:rsidRDefault="007926A7">
                                      <w:pPr>
                                        <w:pStyle w:val="Geenafstand"/>
                                        <w:spacing w:line="360" w:lineRule="auto"/>
                                        <w:rPr>
                                          <w:color w:val="FFFFFF" w:themeColor="background1"/>
                                          <w:lang w:val="en-US"/>
                                        </w:rPr>
                                      </w:pPr>
                                      <w:r>
                                        <w:rPr>
                                          <w:rFonts w:ascii="Times New Roman" w:hAnsi="Times New Roman" w:cs="Times New Roman"/>
                                          <w:color w:val="FFFFFF" w:themeColor="background1"/>
                                        </w:rPr>
                                        <w:t xml:space="preserve">     </w:t>
                                      </w:r>
                                    </w:p>
                                  </w:sdtContent>
                                </w:sdt>
                              </w:txbxContent>
                            </wps:txbx>
                            <wps:bodyPr rot="0" vert="horz" wrap="square" lIns="365760" tIns="182880" rIns="182880" bIns="182880" anchor="b" anchorCtr="0" upright="1">
                              <a:noAutofit/>
                            </wps:bodyPr>
                          </wps:wsp>
                        </wpg:wgp>
                      </a:graphicData>
                    </a:graphic>
                    <wp14:sizeRelH relativeFrom="page">
                      <wp14:pctWidth>40000</wp14:pctWidth>
                    </wp14:sizeRelH>
                    <wp14:sizeRelV relativeFrom="page">
                      <wp14:pctHeight>100000</wp14:pctHeight>
                    </wp14:sizeRelV>
                  </wp:anchor>
                </w:drawing>
              </mc:Choice>
              <mc:Fallback>
                <w:pict>
                  <v:group w14:anchorId="693B5779" id="Groep 75" o:spid="_x0000_s1026" style="position:absolute;margin-left:186.75pt;margin-top:0;width:237.95pt;height:841.15pt;z-index:251659264;mso-width-percent:400;mso-height-percent:1000;mso-position-horizontal:right;mso-position-horizontal-relative:page;mso-position-vertical:top;mso-position-vertical-relative:page;mso-width-percent:400;mso-height-percent:1000" coordsize="31136,100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">
                    <v:rect id="Rechthoek 459" o:spid="_x0000_s1027" alt="Light vertical" style="position:absolute;width:1385;height:1005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" fillcolor="#a8d08d [1945]" stroked="f" strokecolor="white" strokeweight="1pt">
                      <v:fill r:id="rId9" o:title="" opacity="52428f" color2="white [3212]" o:opacity2="52428f" type="pattern"/>
                      <v:shadow color="#d8d8d8" offset="3pt,3pt"/>
                    </v:rect>
                    <v:rect id="Rechthoek 460" o:spid="_x0000_s1028" style="position:absolute;left:1246;width:29718;height:100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" fillcolor="#c00000" stroked="f" strokecolor="#d8d8d8"/>
                    <v:rect id="Rechthoek 461" o:spid="_x0000_s1029" style="position:absolute;left:138;width:30998;height:23774;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" filled="f" stroked="f" strokecolor="white" strokeweight="1pt">
                      <v:fill opacity="52428f"/>
                      <v:textbox inset="28.8pt,14.4pt,14.4pt,14.4pt">
                        <w:txbxContent>
                          <w:sdt>
                            <w:sdtPr>
                              <w:rPr>
                                <w:color w:val="FFFFFF" w:themeColor="background1"/>
                                <w:sz w:val="96"/>
                                <w:szCs w:val="96"/>
                              </w:rPr>
                              <w:alias w:val="Jaar"/>
                              <w:id w:val="1012341074"/>
                              <w:showingPlcHdr/>
                              <w:dataBinding w:prefixMappings="xmlns:ns0='http://schemas.microsoft.com/office/2006/coverPageProps'" w:xpath="/ns0:CoverPageProperties[1]/ns0:PublishDate[1]" w:storeItemID="{55AF091B-3C7A-41E3-B477-F2FDAA23CFDA}"/>
                              <w:date>
                                <w:dateFormat w:val="yyyy"/>
                                <w:lid w:val="nl-NL"/>
                                <w:storeMappedDataAs w:val="dateTime"/>
                                <w:calendar w:val="gregorian"/>
                              </w:date>
                            </w:sdtPr>
                            <w:sdtContent>
                              <w:p w14:paraId="17242B0A" w14:textId="03B0725E" w:rsidR="004A7EDE" w:rsidRPr="004A7EDE" w:rsidRDefault="007926A7">
                                <w:pPr>
                                  <w:pStyle w:val="Geenafstand"/>
                                  <w:rPr>
                                    <w:color w:val="FF0000"/>
                                    <w:sz w:val="96"/>
                                    <w:szCs w:val="96"/>
                                  </w:rPr>
                                </w:pPr>
                                <w:r>
                                  <w:rPr>
                                    <w:color w:val="FFFFFF" w:themeColor="background1"/>
                                    <w:sz w:val="96"/>
                                    <w:szCs w:val="96"/>
                                  </w:rPr>
                                  <w:t xml:space="preserve">     </w:t>
                                </w:r>
                              </w:p>
                            </w:sdtContent>
                          </w:sdt>
                        </w:txbxContent>
                      </v:textbox>
                    </v:rect>
                    <v:rect id="Rechthoek 9" o:spid="_x0000_s1030" style="position:absolute;top:67610;width:30895;height:28333;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" filled="f" stroked="f" strokecolor="white" strokeweight="1pt">
                      <v:fill opacity="52428f"/>
                      <v:textbox inset="28.8pt,14.4pt,14.4pt,14.4pt">
                        <w:txbxContent>
                          <w:sdt>
                            <w:sdtPr>
                              <w:rPr>
                                <w:color w:val="FFFFFF" w:themeColor="background1"/>
                              </w:rPr>
                              <w:alias w:val="Auteur"/>
                              <w:id w:val="1380359617"/>
                              <w:dataBinding w:prefixMappings="xmlns:ns0='http://schemas.openxmlformats.org/package/2006/metadata/core-properties' xmlns:ns1='http://purl.org/dc/elements/1.1/'" w:xpath="/ns0:coreProperties[1]/ns1:creator[1]" w:storeItemID="{6C3C8BC8-F283-45AE-878A-BAB7291924A1}"/>
                              <w:text/>
                            </w:sdtPr>
                            <w:sdtContent>
                              <w:p w14:paraId="00CA9882" w14:textId="46FF2BF8" w:rsidR="004A7EDE" w:rsidRPr="00F7786F" w:rsidRDefault="00571CEC">
                                <w:pPr>
                                  <w:pStyle w:val="Geenafstand"/>
                                  <w:spacing w:line="360" w:lineRule="auto"/>
                                  <w:rPr>
                                    <w:color w:val="FFFFFF" w:themeColor="background1"/>
                                  </w:rPr>
                                </w:pPr>
                                <w:r w:rsidRPr="00F7786F">
                                  <w:rPr>
                                    <w:color w:val="FFFFFF" w:themeColor="background1"/>
                                  </w:rPr>
                                  <w:t>Tijn Deelen (s1079200)</w:t>
                                </w:r>
                              </w:p>
                            </w:sdtContent>
                          </w:sdt>
                          <w:sdt>
                            <w:sdtPr>
                              <w:rPr>
                                <w:color w:val="FFFFFF" w:themeColor="background1"/>
                              </w:rPr>
                              <w:alias w:val="Bedrijf"/>
                              <w:id w:val="1760174317"/>
                              <w:dataBinding w:prefixMappings="xmlns:ns0='http://schemas.openxmlformats.org/officeDocument/2006/extended-properties'" w:xpath="/ns0:Properties[1]/ns0:Company[1]" w:storeItemID="{6668398D-A668-4E3E-A5EB-62B293D839F1}"/>
                              <w:text/>
                            </w:sdtPr>
                            <w:sdtContent>
                              <w:p w14:paraId="774970D1" w14:textId="55B0918C" w:rsidR="004A7EDE" w:rsidRPr="007926A7" w:rsidRDefault="00571CEC">
                                <w:pPr>
                                  <w:pStyle w:val="Geenafstand"/>
                                  <w:spacing w:line="360" w:lineRule="auto"/>
                                  <w:rPr>
                                    <w:color w:val="FFFFFF" w:themeColor="background1"/>
                                  </w:rPr>
                                </w:pPr>
                                <w:r w:rsidRPr="007926A7">
                                  <w:rPr>
                                    <w:color w:val="FFFFFF" w:themeColor="background1"/>
                                  </w:rPr>
                                  <w:t xml:space="preserve">Dr. </w:t>
                                </w:r>
                                <w:r w:rsidR="005875CB">
                                  <w:rPr>
                                    <w:color w:val="FFFFFF" w:themeColor="background1"/>
                                  </w:rPr>
                                  <w:t>R.A. van der Veer</w:t>
                                </w:r>
                              </w:p>
                            </w:sdtContent>
                          </w:sdt>
                          <w:sdt>
                            <w:sdtPr>
                              <w:rPr>
                                <w:rFonts w:ascii="Times New Roman" w:hAnsi="Times New Roman" w:cs="Times New Roman"/>
                                <w:color w:val="FFFFFF" w:themeColor="background1"/>
                              </w:rPr>
                              <w:alias w:val="Datum"/>
                              <w:id w:val="1724480474"/>
                              <w:showingPlcHdr/>
                              <w:dataBinding w:prefixMappings="xmlns:ns0='http://schemas.microsoft.com/office/2006/coverPageProps'" w:xpath="/ns0:CoverPageProperties[1]/ns0:PublishDate[1]" w:storeItemID="{55AF091B-3C7A-41E3-B477-F2FDAA23CFDA}"/>
                              <w:date>
                                <w:dateFormat w:val="d-M-yyyy"/>
                                <w:lid w:val="nl-NL"/>
                                <w:storeMappedDataAs w:val="dateTime"/>
                                <w:calendar w:val="gregorian"/>
                              </w:date>
                            </w:sdtPr>
                            <w:sdtContent>
                              <w:p w14:paraId="5779E79B" w14:textId="2712BFA9" w:rsidR="004A7EDE" w:rsidRPr="00F7786F" w:rsidRDefault="007926A7">
                                <w:pPr>
                                  <w:pStyle w:val="Geenafstand"/>
                                  <w:spacing w:line="360" w:lineRule="auto"/>
                                  <w:rPr>
                                    <w:color w:val="FFFFFF" w:themeColor="background1"/>
                                    <w:lang w:val="en-US"/>
                                  </w:rPr>
                                </w:pPr>
                                <w:r>
                                  <w:rPr>
                                    <w:rFonts w:ascii="Times New Roman" w:hAnsi="Times New Roman" w:cs="Times New Roman"/>
                                    <w:color w:val="FFFFFF" w:themeColor="background1"/>
                                  </w:rPr>
                                  <w:t xml:space="preserve">     </w:t>
                                </w:r>
                              </w:p>
                            </w:sdtContent>
                          </w:sdt>
                        </w:txbxContent>
                      </v:textbox>
                    </v:rect>
                    <w10:wrap anchorx="page" anchory="page"/>
                  </v:group>
                </w:pict>
              </mc:Fallback>
            </mc:AlternateContent>
          </w:r>
        </w:p>
        <w:p w14:paraId="300A612D" w14:textId="27E02C7D" w:rsidR="004A7EDE" w:rsidRPr="00B64C8D" w:rsidRDefault="001A5ED6" w:rsidP="00B64C8D">
          <w:pPr>
            <w:spacing w:line="360" w:lineRule="auto"/>
            <w:rPr>
              <w:rFonts w:ascii="Times New Roman" w:hAnsi="Times New Roman" w:cs="Times New Roman"/>
            </w:rPr>
          </w:pPr>
          <w:r w:rsidRPr="00B64C8D">
            <w:rPr>
              <w:rFonts w:ascii="Times New Roman" w:hAnsi="Times New Roman" w:cs="Times New Roman"/>
              <w:noProof/>
            </w:rPr>
            <mc:AlternateContent>
              <mc:Choice Requires="wps">
                <w:drawing>
                  <wp:anchor distT="0" distB="0" distL="114300" distR="114300" simplePos="0" relativeHeight="251661312" behindDoc="0" locked="0" layoutInCell="0" allowOverlap="1" wp14:anchorId="00B7D3AF" wp14:editId="5BBADCBF">
                    <wp:simplePos x="0" y="0"/>
                    <wp:positionH relativeFrom="page">
                      <wp:align>left</wp:align>
                    </wp:positionH>
                    <wp:positionV relativeFrom="page">
                      <wp:posOffset>2235200</wp:posOffset>
                    </wp:positionV>
                    <wp:extent cx="6783070" cy="1774372"/>
                    <wp:effectExtent l="0" t="0" r="15875" b="16510"/>
                    <wp:wrapNone/>
                    <wp:docPr id="88248567" name="Rechthoek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83070" cy="1774372"/>
                            </a:xfrm>
                            <a:prstGeom prst="rect">
                              <a:avLst/>
                            </a:prstGeom>
                            <a:solidFill>
                              <a:schemeClr val="tx1"/>
                            </a:solidFill>
                            <a:ln w="19050">
                              <a:solidFill>
                                <a:schemeClr val="tx1"/>
                              </a:solidFill>
                              <a:miter lim="800000"/>
                              <a:headEnd/>
                              <a:tailEnd/>
                            </a:ln>
                          </wps:spPr>
                          <wps:txbx>
                            <w:txbxContent>
                              <w:sdt>
                                <w:sdtPr>
                                  <w:rPr>
                                    <w:color w:val="FFFFFF" w:themeColor="background1"/>
                                    <w:sz w:val="72"/>
                                    <w:szCs w:val="72"/>
                                    <w:lang w:val="en-US"/>
                                  </w:rPr>
                                  <w:alias w:val="Titel"/>
                                  <w:id w:val="-1704864950"/>
                                  <w:dataBinding w:prefixMappings="xmlns:ns0='http://schemas.openxmlformats.org/package/2006/metadata/core-properties' xmlns:ns1='http://purl.org/dc/elements/1.1/'" w:xpath="/ns0:coreProperties[1]/ns1:title[1]" w:storeItemID="{6C3C8BC8-F283-45AE-878A-BAB7291924A1}"/>
                                  <w:text/>
                                </w:sdtPr>
                                <w:sdtContent>
                                  <w:p w14:paraId="5830B471" w14:textId="06BD8DEF" w:rsidR="004A7EDE" w:rsidRPr="007926A7" w:rsidRDefault="007926A7">
                                    <w:pPr>
                                      <w:pStyle w:val="Geenafstand"/>
                                      <w:jc w:val="right"/>
                                      <w:rPr>
                                        <w:color w:val="FFFFFF" w:themeColor="background1"/>
                                        <w:sz w:val="72"/>
                                        <w:szCs w:val="72"/>
                                        <w:lang w:val="en-US"/>
                                      </w:rPr>
                                    </w:pPr>
                                    <w:r w:rsidRPr="007926A7">
                                      <w:rPr>
                                        <w:color w:val="FFFFFF" w:themeColor="background1"/>
                                        <w:sz w:val="72"/>
                                        <w:szCs w:val="72"/>
                                        <w:lang w:val="en-US"/>
                                      </w:rPr>
                                      <w:t xml:space="preserve">Frontex: </w:t>
                                    </w:r>
                                    <w:r w:rsidR="001A5ED6">
                                      <w:rPr>
                                        <w:color w:val="FFFFFF" w:themeColor="background1"/>
                                        <w:sz w:val="72"/>
                                        <w:szCs w:val="72"/>
                                        <w:lang w:val="en-US"/>
                                      </w:rPr>
                                      <w:t>explaining the autonomy of the EU border and coast guard agency</w:t>
                                    </w:r>
                                  </w:p>
                                </w:sdtContent>
                              </w:sdt>
                            </w:txbxContent>
                          </wps:txbx>
                          <wps:bodyPr rot="0" vert="horz" wrap="square" lIns="182880" tIns="45720" rIns="182880" bIns="45720" anchor="ctr" anchorCtr="0" upright="1">
                            <a:noAutofit/>
                          </wps:bodyPr>
                        </wps:wsp>
                      </a:graphicData>
                    </a:graphic>
                    <wp14:sizeRelH relativeFrom="page">
                      <wp14:pctWidth>90000</wp14:pctWidth>
                    </wp14:sizeRelH>
                    <wp14:sizeRelV relativeFrom="page">
                      <wp14:pctHeight>0</wp14:pctHeight>
                    </wp14:sizeRelV>
                  </wp:anchor>
                </w:drawing>
              </mc:Choice>
              <mc:Fallback>
                <w:pict>
                  <v:rect w14:anchorId="00B7D3AF" id="Rechthoek 2" o:spid="_x0000_s1031" style="position:absolute;margin-left:0;margin-top:176pt;width:534.1pt;height:139.7pt;z-index:251661312;visibility:visible;mso-wrap-style:square;mso-width-percent:900;mso-height-percent:0;mso-wrap-distance-left:9pt;mso-wrap-distance-top:0;mso-wrap-distance-right:9pt;mso-wrap-distance-bottom:0;mso-position-horizontal:left;mso-position-horizontal-relative:page;mso-position-vertical:absolute;mso-position-vertical-relative:page;mso-width-percent:90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" o:allowincell="f" fillcolor="black [3213]" strokecolor="black [3213]" strokeweight="1.5pt">
                    <v:textbox inset="14.4pt,,14.4pt">
                      <w:txbxContent>
                        <w:sdt>
                          <w:sdtPr>
                            <w:rPr>
                              <w:color w:val="FFFFFF" w:themeColor="background1"/>
                              <w:sz w:val="72"/>
                              <w:szCs w:val="72"/>
                              <w:lang w:val="en-US"/>
                            </w:rPr>
                            <w:alias w:val="Titel"/>
                            <w:id w:val="-1704864950"/>
                            <w:dataBinding w:prefixMappings="xmlns:ns0='http://schemas.openxmlformats.org/package/2006/metadata/core-properties' xmlns:ns1='http://purl.org/dc/elements/1.1/'" w:xpath="/ns0:coreProperties[1]/ns1:title[1]" w:storeItemID="{6C3C8BC8-F283-45AE-878A-BAB7291924A1}"/>
                            <w:text/>
                          </w:sdtPr>
                          <w:sdtContent>
                            <w:p w14:paraId="5830B471" w14:textId="06BD8DEF" w:rsidR="004A7EDE" w:rsidRPr="007926A7" w:rsidRDefault="007926A7">
                              <w:pPr>
                                <w:pStyle w:val="Geenafstand"/>
                                <w:jc w:val="right"/>
                                <w:rPr>
                                  <w:color w:val="FFFFFF" w:themeColor="background1"/>
                                  <w:sz w:val="72"/>
                                  <w:szCs w:val="72"/>
                                  <w:lang w:val="en-US"/>
                                </w:rPr>
                              </w:pPr>
                              <w:r w:rsidRPr="007926A7">
                                <w:rPr>
                                  <w:color w:val="FFFFFF" w:themeColor="background1"/>
                                  <w:sz w:val="72"/>
                                  <w:szCs w:val="72"/>
                                  <w:lang w:val="en-US"/>
                                </w:rPr>
                                <w:t xml:space="preserve">Frontex: </w:t>
                              </w:r>
                              <w:r w:rsidR="001A5ED6">
                                <w:rPr>
                                  <w:color w:val="FFFFFF" w:themeColor="background1"/>
                                  <w:sz w:val="72"/>
                                  <w:szCs w:val="72"/>
                                  <w:lang w:val="en-US"/>
                                </w:rPr>
                                <w:t>explaining the autonomy of the EU border and coast guard agency</w:t>
                              </w:r>
                            </w:p>
                          </w:sdtContent>
                        </w:sdt>
                      </w:txbxContent>
                    </v:textbox>
                    <w10:wrap anchorx="page" anchory="page"/>
                  </v:rect>
                </w:pict>
              </mc:Fallback>
            </mc:AlternateContent>
          </w:r>
          <w:r w:rsidR="00FF6A42" w:rsidRPr="00B64C8D">
            <w:rPr>
              <w:rFonts w:ascii="Times New Roman" w:hAnsi="Times New Roman" w:cs="Times New Roman"/>
              <w:noProof/>
            </w:rPr>
            <w:drawing>
              <wp:anchor distT="0" distB="0" distL="114300" distR="114300" simplePos="0" relativeHeight="251664384" behindDoc="1" locked="0" layoutInCell="1" allowOverlap="1" wp14:anchorId="295D1FF5" wp14:editId="594B805E">
                <wp:simplePos x="0" y="0"/>
                <wp:positionH relativeFrom="margin">
                  <wp:align>left</wp:align>
                </wp:positionH>
                <wp:positionV relativeFrom="paragraph">
                  <wp:posOffset>2438937</wp:posOffset>
                </wp:positionV>
                <wp:extent cx="3615234" cy="822607"/>
                <wp:effectExtent l="0" t="0" r="4445" b="0"/>
                <wp:wrapNone/>
                <wp:docPr id="1421270347" name="Afbeelding 1" descr="Afbeelding met tekst, Lettertype, symbool, logo&#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1270347" name="Afbeelding 1" descr="Afbeelding met tekst, Lettertype, symbool, logo&#10;&#10;Automatisch gegenereerde beschrijvi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615234" cy="822607"/>
                        </a:xfrm>
                        <a:prstGeom prst="rect">
                          <a:avLst/>
                        </a:prstGeom>
                      </pic:spPr>
                    </pic:pic>
                  </a:graphicData>
                </a:graphic>
              </wp:anchor>
            </w:drawing>
          </w:r>
          <w:r w:rsidR="006D66FD" w:rsidRPr="00B64C8D">
            <w:rPr>
              <w:rFonts w:ascii="Times New Roman" w:hAnsi="Times New Roman" w:cs="Times New Roman"/>
              <w:noProof/>
            </w:rPr>
            <mc:AlternateContent>
              <mc:Choice Requires="wps">
                <w:drawing>
                  <wp:anchor distT="45720" distB="45720" distL="114300" distR="114300" simplePos="0" relativeHeight="251663360" behindDoc="0" locked="0" layoutInCell="1" allowOverlap="1" wp14:anchorId="6AD561D9" wp14:editId="51FF8D7A">
                    <wp:simplePos x="0" y="0"/>
                    <wp:positionH relativeFrom="column">
                      <wp:posOffset>-442595</wp:posOffset>
                    </wp:positionH>
                    <wp:positionV relativeFrom="paragraph">
                      <wp:posOffset>6064250</wp:posOffset>
                    </wp:positionV>
                    <wp:extent cx="2293620" cy="1582420"/>
                    <wp:effectExtent l="0" t="0" r="635" b="0"/>
                    <wp:wrapSquare wrapText="bothSides"/>
                    <wp:docPr id="741267560" name="Tekstvak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3620" cy="1582420"/>
                            </a:xfrm>
                            <a:prstGeom prst="rect">
                              <a:avLst/>
                            </a:prstGeom>
                            <a:solidFill>
                              <a:srgbClr val="FFFFFF"/>
                            </a:solidFill>
                            <a:ln w="9525">
                              <a:solidFill>
                                <a:srgbClr val="000000"/>
                              </a:solidFill>
                              <a:miter lim="800000"/>
                              <a:headEnd/>
                              <a:tailEnd/>
                            </a:ln>
                          </wps:spPr>
                          <wps:txbx>
                            <w:txbxContent>
                              <w:p w14:paraId="0240494C" w14:textId="47742A1B" w:rsidR="007926A7" w:rsidRDefault="007926A7">
                                <w:pPr>
                                  <w:rPr>
                                    <w:rFonts w:ascii="Arial" w:hAnsi="Arial" w:cs="Arial"/>
                                    <w:i/>
                                    <w:iCs/>
                                    <w:sz w:val="15"/>
                                    <w:szCs w:val="15"/>
                                    <w:shd w:val="clear" w:color="auto" w:fill="FFFFFF"/>
                                  </w:rPr>
                                </w:pPr>
                                <w:r w:rsidRPr="007926A7">
                                  <w:rPr>
                                    <w:rFonts w:ascii="Arial" w:hAnsi="Arial" w:cs="Arial"/>
                                    <w:i/>
                                    <w:iCs/>
                                    <w:sz w:val="15"/>
                                    <w:szCs w:val="15"/>
                                    <w:shd w:val="clear" w:color="auto" w:fill="FFFFFF"/>
                                  </w:rPr>
                                  <w:t>Thesis Submitted in Partial Fulfillment of the</w:t>
                                </w:r>
                                <w:r w:rsidRPr="007926A7">
                                  <w:rPr>
                                    <w:rFonts w:ascii="Arial" w:hAnsi="Arial" w:cs="Arial"/>
                                    <w:i/>
                                    <w:iCs/>
                                  </w:rPr>
                                  <w:br/>
                                </w:r>
                                <w:r w:rsidRPr="007926A7">
                                  <w:rPr>
                                    <w:rFonts w:ascii="Arial" w:hAnsi="Arial" w:cs="Arial"/>
                                    <w:i/>
                                    <w:iCs/>
                                    <w:sz w:val="15"/>
                                    <w:szCs w:val="15"/>
                                    <w:shd w:val="clear" w:color="auto" w:fill="FFFFFF"/>
                                  </w:rPr>
                                  <w:t xml:space="preserve">Requirements for the Degree of </w:t>
                                </w:r>
                                <w:proofErr w:type="gramStart"/>
                                <w:r w:rsidRPr="007926A7">
                                  <w:rPr>
                                    <w:rFonts w:ascii="Arial" w:hAnsi="Arial" w:cs="Arial"/>
                                    <w:i/>
                                    <w:iCs/>
                                    <w:sz w:val="15"/>
                                    <w:szCs w:val="15"/>
                                    <w:shd w:val="clear" w:color="auto" w:fill="FFFFFF"/>
                                  </w:rPr>
                                  <w:t>Master in Political Science</w:t>
                                </w:r>
                                <w:proofErr w:type="gramEnd"/>
                                <w:r w:rsidRPr="007926A7">
                                  <w:rPr>
                                    <w:rFonts w:ascii="Arial" w:hAnsi="Arial" w:cs="Arial"/>
                                    <w:i/>
                                    <w:iCs/>
                                    <w:sz w:val="15"/>
                                    <w:szCs w:val="15"/>
                                    <w:shd w:val="clear" w:color="auto" w:fill="FFFFFF"/>
                                  </w:rPr>
                                  <w:t xml:space="preserve"> (MSc</w:t>
                                </w:r>
                                <w:r>
                                  <w:rPr>
                                    <w:rFonts w:ascii="Arial" w:hAnsi="Arial" w:cs="Arial"/>
                                    <w:i/>
                                    <w:iCs/>
                                    <w:sz w:val="15"/>
                                    <w:szCs w:val="15"/>
                                    <w:shd w:val="clear" w:color="auto" w:fill="FFFFFF"/>
                                  </w:rPr>
                                  <w:t>)</w:t>
                                </w:r>
                              </w:p>
                              <w:p w14:paraId="23A67230" w14:textId="0BA3C667" w:rsidR="007926A7" w:rsidRDefault="007926A7">
                                <w:pPr>
                                  <w:rPr>
                                    <w:rFonts w:ascii="Arial" w:hAnsi="Arial" w:cs="Arial"/>
                                    <w:i/>
                                    <w:iCs/>
                                    <w:sz w:val="15"/>
                                    <w:szCs w:val="15"/>
                                    <w:shd w:val="clear" w:color="auto" w:fill="FFFFFF"/>
                                  </w:rPr>
                                </w:pPr>
                                <w:r>
                                  <w:rPr>
                                    <w:rFonts w:ascii="Arial" w:hAnsi="Arial" w:cs="Arial"/>
                                    <w:i/>
                                    <w:iCs/>
                                    <w:sz w:val="15"/>
                                    <w:szCs w:val="15"/>
                                    <w:shd w:val="clear" w:color="auto" w:fill="FFFFFF"/>
                                  </w:rPr>
                                  <w:t xml:space="preserve">European Union Politics and Governance </w:t>
                                </w:r>
                              </w:p>
                              <w:p w14:paraId="69A511F7" w14:textId="42C0B668" w:rsidR="007926A7" w:rsidRDefault="007926A7">
                                <w:pPr>
                                  <w:rPr>
                                    <w:rFonts w:ascii="Arial" w:hAnsi="Arial" w:cs="Arial"/>
                                    <w:i/>
                                    <w:iCs/>
                                    <w:sz w:val="15"/>
                                    <w:szCs w:val="15"/>
                                    <w:shd w:val="clear" w:color="auto" w:fill="FFFFFF"/>
                                  </w:rPr>
                                </w:pPr>
                                <w:r>
                                  <w:rPr>
                                    <w:rFonts w:ascii="Arial" w:hAnsi="Arial" w:cs="Arial"/>
                                    <w:i/>
                                    <w:iCs/>
                                    <w:sz w:val="15"/>
                                    <w:szCs w:val="15"/>
                                    <w:shd w:val="clear" w:color="auto" w:fill="FFFFFF"/>
                                  </w:rPr>
                                  <w:t>Radboud University, Nijmegen, The Netherlands</w:t>
                                </w:r>
                              </w:p>
                              <w:p w14:paraId="27CDB0DB" w14:textId="1C52ADD3" w:rsidR="007926A7" w:rsidRDefault="007926A7">
                                <w:pPr>
                                  <w:rPr>
                                    <w:rFonts w:ascii="Arial" w:hAnsi="Arial" w:cs="Arial"/>
                                    <w:i/>
                                    <w:iCs/>
                                    <w:sz w:val="15"/>
                                    <w:szCs w:val="15"/>
                                    <w:shd w:val="clear" w:color="auto" w:fill="FFFFFF"/>
                                  </w:rPr>
                                </w:pPr>
                                <w:r>
                                  <w:rPr>
                                    <w:rFonts w:ascii="Arial" w:hAnsi="Arial" w:cs="Arial"/>
                                    <w:i/>
                                    <w:iCs/>
                                    <w:sz w:val="15"/>
                                    <w:szCs w:val="15"/>
                                    <w:shd w:val="clear" w:color="auto" w:fill="FFFFFF"/>
                                  </w:rPr>
                                  <w:t>Nijmegen School of Management</w:t>
                                </w:r>
                              </w:p>
                              <w:p w14:paraId="6A280992" w14:textId="07956B76" w:rsidR="007926A7" w:rsidRDefault="004010E0">
                                <w:pPr>
                                  <w:rPr>
                                    <w:rFonts w:ascii="Arial" w:hAnsi="Arial" w:cs="Arial"/>
                                    <w:i/>
                                    <w:iCs/>
                                    <w:sz w:val="15"/>
                                    <w:szCs w:val="15"/>
                                    <w:shd w:val="clear" w:color="auto" w:fill="FFFFFF"/>
                                  </w:rPr>
                                </w:pPr>
                                <w:r>
                                  <w:rPr>
                                    <w:rFonts w:ascii="Arial" w:hAnsi="Arial" w:cs="Arial"/>
                                    <w:i/>
                                    <w:iCs/>
                                    <w:sz w:val="15"/>
                                    <w:szCs w:val="15"/>
                                    <w:shd w:val="clear" w:color="auto" w:fill="FFFFFF"/>
                                  </w:rPr>
                                  <w:t>30</w:t>
                                </w:r>
                                <w:r w:rsidR="007926A7">
                                  <w:rPr>
                                    <w:rFonts w:ascii="Arial" w:hAnsi="Arial" w:cs="Arial"/>
                                    <w:i/>
                                    <w:iCs/>
                                    <w:sz w:val="15"/>
                                    <w:szCs w:val="15"/>
                                    <w:shd w:val="clear" w:color="auto" w:fill="FFFFFF"/>
                                  </w:rPr>
                                  <w:t>-</w:t>
                                </w:r>
                                <w:r>
                                  <w:rPr>
                                    <w:rFonts w:ascii="Arial" w:hAnsi="Arial" w:cs="Arial"/>
                                    <w:i/>
                                    <w:iCs/>
                                    <w:sz w:val="15"/>
                                    <w:szCs w:val="15"/>
                                    <w:shd w:val="clear" w:color="auto" w:fill="FFFFFF"/>
                                  </w:rPr>
                                  <w:t>11</w:t>
                                </w:r>
                                <w:r w:rsidR="007926A7">
                                  <w:rPr>
                                    <w:rFonts w:ascii="Arial" w:hAnsi="Arial" w:cs="Arial"/>
                                    <w:i/>
                                    <w:iCs/>
                                    <w:sz w:val="15"/>
                                    <w:szCs w:val="15"/>
                                    <w:shd w:val="clear" w:color="auto" w:fill="FFFFFF"/>
                                  </w:rPr>
                                  <w:t>-2023</w:t>
                                </w:r>
                              </w:p>
                              <w:p w14:paraId="55DE6FBE" w14:textId="65B6B5E5" w:rsidR="0051261A" w:rsidRDefault="0051261A">
                                <w:pPr>
                                  <w:rPr>
                                    <w:rFonts w:ascii="Arial" w:hAnsi="Arial" w:cs="Arial"/>
                                    <w:i/>
                                    <w:iCs/>
                                    <w:sz w:val="15"/>
                                    <w:szCs w:val="15"/>
                                    <w:shd w:val="clear" w:color="auto" w:fill="FFFFFF"/>
                                  </w:rPr>
                                </w:pPr>
                                <w:r>
                                  <w:rPr>
                                    <w:rFonts w:ascii="Arial" w:hAnsi="Arial" w:cs="Arial"/>
                                    <w:i/>
                                    <w:iCs/>
                                    <w:sz w:val="15"/>
                                    <w:szCs w:val="15"/>
                                    <w:shd w:val="clear" w:color="auto" w:fill="FFFFFF"/>
                                  </w:rPr>
                                  <w:t xml:space="preserve">Wordcount: </w:t>
                                </w:r>
                                <w:r w:rsidR="004010E0">
                                  <w:rPr>
                                    <w:rFonts w:ascii="Arial" w:hAnsi="Arial" w:cs="Arial"/>
                                    <w:i/>
                                    <w:iCs/>
                                    <w:sz w:val="15"/>
                                    <w:szCs w:val="15"/>
                                    <w:shd w:val="clear" w:color="auto" w:fill="FFFFFF"/>
                                  </w:rPr>
                                  <w:t>18.7</w:t>
                                </w:r>
                                <w:r w:rsidR="001D1F06">
                                  <w:rPr>
                                    <w:rFonts w:ascii="Arial" w:hAnsi="Arial" w:cs="Arial"/>
                                    <w:i/>
                                    <w:iCs/>
                                    <w:sz w:val="15"/>
                                    <w:szCs w:val="15"/>
                                    <w:shd w:val="clear" w:color="auto" w:fill="FFFFFF"/>
                                  </w:rPr>
                                  <w:t>7</w:t>
                                </w:r>
                                <w:r w:rsidR="003B1A6D">
                                  <w:rPr>
                                    <w:rFonts w:ascii="Arial" w:hAnsi="Arial" w:cs="Arial"/>
                                    <w:i/>
                                    <w:iCs/>
                                    <w:sz w:val="15"/>
                                    <w:szCs w:val="15"/>
                                    <w:shd w:val="clear" w:color="auto" w:fill="FFFFFF"/>
                                  </w:rPr>
                                  <w:t>0</w:t>
                                </w:r>
                              </w:p>
                              <w:p w14:paraId="4BCE31E7" w14:textId="77777777" w:rsidR="0051261A" w:rsidRDefault="0051261A">
                                <w:pPr>
                                  <w:rPr>
                                    <w:rFonts w:ascii="Arial" w:hAnsi="Arial" w:cs="Arial"/>
                                    <w:i/>
                                    <w:iCs/>
                                    <w:sz w:val="15"/>
                                    <w:szCs w:val="15"/>
                                    <w:shd w:val="clear" w:color="auto" w:fill="FFFFFF"/>
                                  </w:rPr>
                                </w:pPr>
                              </w:p>
                              <w:p w14:paraId="5A5C619A" w14:textId="4F599D5E" w:rsidR="007926A7" w:rsidRPr="007926A7" w:rsidRDefault="007926A7">
                                <w:pPr>
                                  <w:rPr>
                                    <w:i/>
                                    <w:iCs/>
                                  </w:rPr>
                                </w:pPr>
                                <w:r>
                                  <w:rPr>
                                    <w:rFonts w:ascii="Arial" w:hAnsi="Arial" w:cs="Arial"/>
                                    <w:i/>
                                    <w:iCs/>
                                    <w:sz w:val="15"/>
                                    <w:szCs w:val="15"/>
                                    <w:shd w:val="clear" w:color="auto" w:fill="FFFFFF"/>
                                  </w:rPr>
                                  <w:t>Wordcount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6AD561D9" id="_x0000_t202" coordsize="21600,21600" o:spt="202" path="m,l,21600r21600,l21600,xe">
                    <v:stroke joinstyle="miter"/>
                    <v:path gradientshapeok="t" o:connecttype="rect"/>
                  </v:shapetype>
                  <v:shape id="Tekstvak 1" o:spid="_x0000_s1032" type="#_x0000_t202" style="position:absolute;margin-left:-34.85pt;margin-top:477.5pt;width:180.6pt;height:124.6pt;z-index:25166336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">
                    <v:textbox>
                      <w:txbxContent>
                        <w:p w14:paraId="0240494C" w14:textId="47742A1B" w:rsidR="007926A7" w:rsidRDefault="007926A7">
                          <w:pPr>
                            <w:rPr>
                              <w:rFonts w:ascii="Arial" w:hAnsi="Arial" w:cs="Arial"/>
                              <w:i/>
                              <w:iCs/>
                              <w:sz w:val="15"/>
                              <w:szCs w:val="15"/>
                              <w:shd w:val="clear" w:color="auto" w:fill="FFFFFF"/>
                            </w:rPr>
                          </w:pPr>
                          <w:r w:rsidRPr="007926A7">
                            <w:rPr>
                              <w:rFonts w:ascii="Arial" w:hAnsi="Arial" w:cs="Arial"/>
                              <w:i/>
                              <w:iCs/>
                              <w:sz w:val="15"/>
                              <w:szCs w:val="15"/>
                              <w:shd w:val="clear" w:color="auto" w:fill="FFFFFF"/>
                            </w:rPr>
                            <w:t>Thesis Submitted in Partial Fulfillment of the</w:t>
                          </w:r>
                          <w:r w:rsidRPr="007926A7">
                            <w:rPr>
                              <w:rFonts w:ascii="Arial" w:hAnsi="Arial" w:cs="Arial"/>
                              <w:i/>
                              <w:iCs/>
                            </w:rPr>
                            <w:br/>
                          </w:r>
                          <w:r w:rsidRPr="007926A7">
                            <w:rPr>
                              <w:rFonts w:ascii="Arial" w:hAnsi="Arial" w:cs="Arial"/>
                              <w:i/>
                              <w:iCs/>
                              <w:sz w:val="15"/>
                              <w:szCs w:val="15"/>
                              <w:shd w:val="clear" w:color="auto" w:fill="FFFFFF"/>
                            </w:rPr>
                            <w:t xml:space="preserve">Requirements for the Degree of </w:t>
                          </w:r>
                          <w:proofErr w:type="gramStart"/>
                          <w:r w:rsidRPr="007926A7">
                            <w:rPr>
                              <w:rFonts w:ascii="Arial" w:hAnsi="Arial" w:cs="Arial"/>
                              <w:i/>
                              <w:iCs/>
                              <w:sz w:val="15"/>
                              <w:szCs w:val="15"/>
                              <w:shd w:val="clear" w:color="auto" w:fill="FFFFFF"/>
                            </w:rPr>
                            <w:t>Master in Political Science</w:t>
                          </w:r>
                          <w:proofErr w:type="gramEnd"/>
                          <w:r w:rsidRPr="007926A7">
                            <w:rPr>
                              <w:rFonts w:ascii="Arial" w:hAnsi="Arial" w:cs="Arial"/>
                              <w:i/>
                              <w:iCs/>
                              <w:sz w:val="15"/>
                              <w:szCs w:val="15"/>
                              <w:shd w:val="clear" w:color="auto" w:fill="FFFFFF"/>
                            </w:rPr>
                            <w:t xml:space="preserve"> (MSc</w:t>
                          </w:r>
                          <w:r>
                            <w:rPr>
                              <w:rFonts w:ascii="Arial" w:hAnsi="Arial" w:cs="Arial"/>
                              <w:i/>
                              <w:iCs/>
                              <w:sz w:val="15"/>
                              <w:szCs w:val="15"/>
                              <w:shd w:val="clear" w:color="auto" w:fill="FFFFFF"/>
                            </w:rPr>
                            <w:t>)</w:t>
                          </w:r>
                        </w:p>
                        <w:p w14:paraId="23A67230" w14:textId="0BA3C667" w:rsidR="007926A7" w:rsidRDefault="007926A7">
                          <w:pPr>
                            <w:rPr>
                              <w:rFonts w:ascii="Arial" w:hAnsi="Arial" w:cs="Arial"/>
                              <w:i/>
                              <w:iCs/>
                              <w:sz w:val="15"/>
                              <w:szCs w:val="15"/>
                              <w:shd w:val="clear" w:color="auto" w:fill="FFFFFF"/>
                            </w:rPr>
                          </w:pPr>
                          <w:r>
                            <w:rPr>
                              <w:rFonts w:ascii="Arial" w:hAnsi="Arial" w:cs="Arial"/>
                              <w:i/>
                              <w:iCs/>
                              <w:sz w:val="15"/>
                              <w:szCs w:val="15"/>
                              <w:shd w:val="clear" w:color="auto" w:fill="FFFFFF"/>
                            </w:rPr>
                            <w:t xml:space="preserve">European Union Politics and Governance </w:t>
                          </w:r>
                        </w:p>
                        <w:p w14:paraId="69A511F7" w14:textId="42C0B668" w:rsidR="007926A7" w:rsidRDefault="007926A7">
                          <w:pPr>
                            <w:rPr>
                              <w:rFonts w:ascii="Arial" w:hAnsi="Arial" w:cs="Arial"/>
                              <w:i/>
                              <w:iCs/>
                              <w:sz w:val="15"/>
                              <w:szCs w:val="15"/>
                              <w:shd w:val="clear" w:color="auto" w:fill="FFFFFF"/>
                            </w:rPr>
                          </w:pPr>
                          <w:r>
                            <w:rPr>
                              <w:rFonts w:ascii="Arial" w:hAnsi="Arial" w:cs="Arial"/>
                              <w:i/>
                              <w:iCs/>
                              <w:sz w:val="15"/>
                              <w:szCs w:val="15"/>
                              <w:shd w:val="clear" w:color="auto" w:fill="FFFFFF"/>
                            </w:rPr>
                            <w:t>Radboud University, Nijmegen, The Netherlands</w:t>
                          </w:r>
                        </w:p>
                        <w:p w14:paraId="27CDB0DB" w14:textId="1C52ADD3" w:rsidR="007926A7" w:rsidRDefault="007926A7">
                          <w:pPr>
                            <w:rPr>
                              <w:rFonts w:ascii="Arial" w:hAnsi="Arial" w:cs="Arial"/>
                              <w:i/>
                              <w:iCs/>
                              <w:sz w:val="15"/>
                              <w:szCs w:val="15"/>
                              <w:shd w:val="clear" w:color="auto" w:fill="FFFFFF"/>
                            </w:rPr>
                          </w:pPr>
                          <w:r>
                            <w:rPr>
                              <w:rFonts w:ascii="Arial" w:hAnsi="Arial" w:cs="Arial"/>
                              <w:i/>
                              <w:iCs/>
                              <w:sz w:val="15"/>
                              <w:szCs w:val="15"/>
                              <w:shd w:val="clear" w:color="auto" w:fill="FFFFFF"/>
                            </w:rPr>
                            <w:t>Nijmegen School of Management</w:t>
                          </w:r>
                        </w:p>
                        <w:p w14:paraId="6A280992" w14:textId="07956B76" w:rsidR="007926A7" w:rsidRDefault="004010E0">
                          <w:pPr>
                            <w:rPr>
                              <w:rFonts w:ascii="Arial" w:hAnsi="Arial" w:cs="Arial"/>
                              <w:i/>
                              <w:iCs/>
                              <w:sz w:val="15"/>
                              <w:szCs w:val="15"/>
                              <w:shd w:val="clear" w:color="auto" w:fill="FFFFFF"/>
                            </w:rPr>
                          </w:pPr>
                          <w:r>
                            <w:rPr>
                              <w:rFonts w:ascii="Arial" w:hAnsi="Arial" w:cs="Arial"/>
                              <w:i/>
                              <w:iCs/>
                              <w:sz w:val="15"/>
                              <w:szCs w:val="15"/>
                              <w:shd w:val="clear" w:color="auto" w:fill="FFFFFF"/>
                            </w:rPr>
                            <w:t>30</w:t>
                          </w:r>
                          <w:r w:rsidR="007926A7">
                            <w:rPr>
                              <w:rFonts w:ascii="Arial" w:hAnsi="Arial" w:cs="Arial"/>
                              <w:i/>
                              <w:iCs/>
                              <w:sz w:val="15"/>
                              <w:szCs w:val="15"/>
                              <w:shd w:val="clear" w:color="auto" w:fill="FFFFFF"/>
                            </w:rPr>
                            <w:t>-</w:t>
                          </w:r>
                          <w:r>
                            <w:rPr>
                              <w:rFonts w:ascii="Arial" w:hAnsi="Arial" w:cs="Arial"/>
                              <w:i/>
                              <w:iCs/>
                              <w:sz w:val="15"/>
                              <w:szCs w:val="15"/>
                              <w:shd w:val="clear" w:color="auto" w:fill="FFFFFF"/>
                            </w:rPr>
                            <w:t>11</w:t>
                          </w:r>
                          <w:r w:rsidR="007926A7">
                            <w:rPr>
                              <w:rFonts w:ascii="Arial" w:hAnsi="Arial" w:cs="Arial"/>
                              <w:i/>
                              <w:iCs/>
                              <w:sz w:val="15"/>
                              <w:szCs w:val="15"/>
                              <w:shd w:val="clear" w:color="auto" w:fill="FFFFFF"/>
                            </w:rPr>
                            <w:t>-2023</w:t>
                          </w:r>
                        </w:p>
                        <w:p w14:paraId="55DE6FBE" w14:textId="65B6B5E5" w:rsidR="0051261A" w:rsidRDefault="0051261A">
                          <w:pPr>
                            <w:rPr>
                              <w:rFonts w:ascii="Arial" w:hAnsi="Arial" w:cs="Arial"/>
                              <w:i/>
                              <w:iCs/>
                              <w:sz w:val="15"/>
                              <w:szCs w:val="15"/>
                              <w:shd w:val="clear" w:color="auto" w:fill="FFFFFF"/>
                            </w:rPr>
                          </w:pPr>
                          <w:r>
                            <w:rPr>
                              <w:rFonts w:ascii="Arial" w:hAnsi="Arial" w:cs="Arial"/>
                              <w:i/>
                              <w:iCs/>
                              <w:sz w:val="15"/>
                              <w:szCs w:val="15"/>
                              <w:shd w:val="clear" w:color="auto" w:fill="FFFFFF"/>
                            </w:rPr>
                            <w:t xml:space="preserve">Wordcount: </w:t>
                          </w:r>
                          <w:r w:rsidR="004010E0">
                            <w:rPr>
                              <w:rFonts w:ascii="Arial" w:hAnsi="Arial" w:cs="Arial"/>
                              <w:i/>
                              <w:iCs/>
                              <w:sz w:val="15"/>
                              <w:szCs w:val="15"/>
                              <w:shd w:val="clear" w:color="auto" w:fill="FFFFFF"/>
                            </w:rPr>
                            <w:t>18.7</w:t>
                          </w:r>
                          <w:r w:rsidR="001D1F06">
                            <w:rPr>
                              <w:rFonts w:ascii="Arial" w:hAnsi="Arial" w:cs="Arial"/>
                              <w:i/>
                              <w:iCs/>
                              <w:sz w:val="15"/>
                              <w:szCs w:val="15"/>
                              <w:shd w:val="clear" w:color="auto" w:fill="FFFFFF"/>
                            </w:rPr>
                            <w:t>7</w:t>
                          </w:r>
                          <w:r w:rsidR="003B1A6D">
                            <w:rPr>
                              <w:rFonts w:ascii="Arial" w:hAnsi="Arial" w:cs="Arial"/>
                              <w:i/>
                              <w:iCs/>
                              <w:sz w:val="15"/>
                              <w:szCs w:val="15"/>
                              <w:shd w:val="clear" w:color="auto" w:fill="FFFFFF"/>
                            </w:rPr>
                            <w:t>0</w:t>
                          </w:r>
                        </w:p>
                        <w:p w14:paraId="4BCE31E7" w14:textId="77777777" w:rsidR="0051261A" w:rsidRDefault="0051261A">
                          <w:pPr>
                            <w:rPr>
                              <w:rFonts w:ascii="Arial" w:hAnsi="Arial" w:cs="Arial"/>
                              <w:i/>
                              <w:iCs/>
                              <w:sz w:val="15"/>
                              <w:szCs w:val="15"/>
                              <w:shd w:val="clear" w:color="auto" w:fill="FFFFFF"/>
                            </w:rPr>
                          </w:pPr>
                        </w:p>
                        <w:p w14:paraId="5A5C619A" w14:textId="4F599D5E" w:rsidR="007926A7" w:rsidRPr="007926A7" w:rsidRDefault="007926A7">
                          <w:pPr>
                            <w:rPr>
                              <w:i/>
                              <w:iCs/>
                            </w:rPr>
                          </w:pPr>
                          <w:r>
                            <w:rPr>
                              <w:rFonts w:ascii="Arial" w:hAnsi="Arial" w:cs="Arial"/>
                              <w:i/>
                              <w:iCs/>
                              <w:sz w:val="15"/>
                              <w:szCs w:val="15"/>
                              <w:shd w:val="clear" w:color="auto" w:fill="FFFFFF"/>
                            </w:rPr>
                            <w:t>Wordcount</w:t>
                          </w:r>
                        </w:p>
                      </w:txbxContent>
                    </v:textbox>
                    <w10:wrap type="square"/>
                  </v:shape>
                </w:pict>
              </mc:Fallback>
            </mc:AlternateContent>
          </w:r>
          <w:r w:rsidR="004A7EDE" w:rsidRPr="00B64C8D">
            <w:rPr>
              <w:rFonts w:ascii="Times New Roman" w:hAnsi="Times New Roman" w:cs="Times New Roman"/>
            </w:rPr>
            <w:br w:type="page"/>
          </w:r>
        </w:p>
      </w:sdtContent>
    </w:sdt>
    <w:sdt>
      <w:sdtPr>
        <w:rPr>
          <w:rFonts w:asciiTheme="minorHAnsi" w:eastAsiaTheme="minorHAnsi" w:hAnsiTheme="minorHAnsi" w:cstheme="minorBidi"/>
          <w:color w:val="auto"/>
          <w:kern w:val="2"/>
          <w:sz w:val="22"/>
          <w:szCs w:val="22"/>
          <w:lang w:val="en-US" w:eastAsia="en-US"/>
        </w:rPr>
        <w:id w:val="1037154971"/>
        <w:docPartObj>
          <w:docPartGallery w:val="Table of Contents"/>
          <w:docPartUnique/>
        </w:docPartObj>
      </w:sdtPr>
      <w:sdtEndPr>
        <w:rPr>
          <w:b/>
          <w:bCs/>
        </w:rPr>
      </w:sdtEndPr>
      <w:sdtContent>
        <w:p w14:paraId="2C1291B9" w14:textId="69991012" w:rsidR="00703A89" w:rsidRPr="00B64C8D" w:rsidRDefault="00042C40" w:rsidP="00B64C8D">
          <w:pPr>
            <w:pStyle w:val="Kopvaninhoudsopgave"/>
            <w:rPr>
              <w:sz w:val="22"/>
              <w:szCs w:val="22"/>
            </w:rPr>
          </w:pPr>
          <w:r w:rsidRPr="00B64C8D">
            <w:rPr>
              <w:sz w:val="22"/>
              <w:szCs w:val="22"/>
            </w:rPr>
            <w:t>Contents</w:t>
          </w:r>
        </w:p>
        <w:p w14:paraId="56B3943A" w14:textId="45FB8F19" w:rsidR="003B1A6D" w:rsidRDefault="00703A89">
          <w:pPr>
            <w:pStyle w:val="Inhopg1"/>
            <w:rPr>
              <w:rFonts w:eastAsiaTheme="minorEastAsia"/>
              <w:noProof/>
              <w:lang w:val="nl-NL" w:eastAsia="nl-NL"/>
            </w:rPr>
          </w:pPr>
          <w:r w:rsidRPr="00B64C8D">
            <w:rPr>
              <w:rFonts w:ascii="Times New Roman" w:hAnsi="Times New Roman" w:cs="Times New Roman"/>
            </w:rPr>
            <w:fldChar w:fldCharType="begin"/>
          </w:r>
          <w:r w:rsidRPr="00B64C8D">
            <w:rPr>
              <w:rFonts w:ascii="Times New Roman" w:hAnsi="Times New Roman" w:cs="Times New Roman"/>
            </w:rPr>
            <w:instrText xml:space="preserve"> TOC \o "1-3" \h \z \u </w:instrText>
          </w:r>
          <w:r w:rsidRPr="00B64C8D">
            <w:rPr>
              <w:rFonts w:ascii="Times New Roman" w:hAnsi="Times New Roman" w:cs="Times New Roman"/>
            </w:rPr>
            <w:fldChar w:fldCharType="separate"/>
          </w:r>
          <w:hyperlink w:anchor="_Toc152251969" w:history="1">
            <w:r w:rsidR="003B1A6D" w:rsidRPr="00A64D2D">
              <w:rPr>
                <w:rStyle w:val="Hyperlink"/>
                <w:rFonts w:ascii="Times New Roman" w:hAnsi="Times New Roman"/>
                <w:noProof/>
              </w:rPr>
              <w:t>Abstract</w:t>
            </w:r>
            <w:r w:rsidR="003B1A6D">
              <w:rPr>
                <w:noProof/>
                <w:webHidden/>
              </w:rPr>
              <w:tab/>
            </w:r>
            <w:r w:rsidR="003B1A6D">
              <w:rPr>
                <w:noProof/>
                <w:webHidden/>
              </w:rPr>
              <w:fldChar w:fldCharType="begin"/>
            </w:r>
            <w:r w:rsidR="003B1A6D">
              <w:rPr>
                <w:noProof/>
                <w:webHidden/>
              </w:rPr>
              <w:instrText xml:space="preserve"> PAGEREF _Toc152251969 \h </w:instrText>
            </w:r>
            <w:r w:rsidR="003B1A6D">
              <w:rPr>
                <w:noProof/>
                <w:webHidden/>
              </w:rPr>
            </w:r>
            <w:r w:rsidR="003B1A6D">
              <w:rPr>
                <w:noProof/>
                <w:webHidden/>
              </w:rPr>
              <w:fldChar w:fldCharType="separate"/>
            </w:r>
            <w:r w:rsidR="003B1A6D">
              <w:rPr>
                <w:noProof/>
                <w:webHidden/>
              </w:rPr>
              <w:t>3</w:t>
            </w:r>
            <w:r w:rsidR="003B1A6D">
              <w:rPr>
                <w:noProof/>
                <w:webHidden/>
              </w:rPr>
              <w:fldChar w:fldCharType="end"/>
            </w:r>
          </w:hyperlink>
        </w:p>
        <w:p w14:paraId="424A52E1" w14:textId="4FDBFDA9" w:rsidR="003B1A6D" w:rsidRDefault="003B1A6D">
          <w:pPr>
            <w:pStyle w:val="Inhopg1"/>
            <w:rPr>
              <w:rFonts w:eastAsiaTheme="minorEastAsia"/>
              <w:noProof/>
              <w:lang w:val="nl-NL" w:eastAsia="nl-NL"/>
            </w:rPr>
          </w:pPr>
          <w:hyperlink w:anchor="_Toc152251970" w:history="1">
            <w:r w:rsidRPr="00A64D2D">
              <w:rPr>
                <w:rStyle w:val="Hyperlink"/>
                <w:rFonts w:ascii="Times New Roman" w:hAnsi="Times New Roman"/>
                <w:noProof/>
              </w:rPr>
              <w:t>Abbreviations and acronyms</w:t>
            </w:r>
            <w:r>
              <w:rPr>
                <w:noProof/>
                <w:webHidden/>
              </w:rPr>
              <w:tab/>
            </w:r>
            <w:r>
              <w:rPr>
                <w:noProof/>
                <w:webHidden/>
              </w:rPr>
              <w:fldChar w:fldCharType="begin"/>
            </w:r>
            <w:r>
              <w:rPr>
                <w:noProof/>
                <w:webHidden/>
              </w:rPr>
              <w:instrText xml:space="preserve"> PAGEREF _Toc152251970 \h </w:instrText>
            </w:r>
            <w:r>
              <w:rPr>
                <w:noProof/>
                <w:webHidden/>
              </w:rPr>
            </w:r>
            <w:r>
              <w:rPr>
                <w:noProof/>
                <w:webHidden/>
              </w:rPr>
              <w:fldChar w:fldCharType="separate"/>
            </w:r>
            <w:r>
              <w:rPr>
                <w:noProof/>
                <w:webHidden/>
              </w:rPr>
              <w:t>4</w:t>
            </w:r>
            <w:r>
              <w:rPr>
                <w:noProof/>
                <w:webHidden/>
              </w:rPr>
              <w:fldChar w:fldCharType="end"/>
            </w:r>
          </w:hyperlink>
        </w:p>
        <w:p w14:paraId="385A6B77" w14:textId="23B54373" w:rsidR="003B1A6D" w:rsidRDefault="003B1A6D">
          <w:pPr>
            <w:pStyle w:val="Inhopg1"/>
            <w:rPr>
              <w:rFonts w:eastAsiaTheme="minorEastAsia"/>
              <w:noProof/>
              <w:lang w:val="nl-NL" w:eastAsia="nl-NL"/>
            </w:rPr>
          </w:pPr>
          <w:hyperlink w:anchor="_Toc152251971" w:history="1">
            <w:r w:rsidRPr="00A64D2D">
              <w:rPr>
                <w:rStyle w:val="Hyperlink"/>
                <w:noProof/>
                <w:shd w:val="clear" w:color="auto" w:fill="FFFFFF"/>
              </w:rPr>
              <w:t>Chapter 1: Introduction</w:t>
            </w:r>
            <w:r>
              <w:rPr>
                <w:noProof/>
                <w:webHidden/>
              </w:rPr>
              <w:tab/>
            </w:r>
            <w:r>
              <w:rPr>
                <w:noProof/>
                <w:webHidden/>
              </w:rPr>
              <w:fldChar w:fldCharType="begin"/>
            </w:r>
            <w:r>
              <w:rPr>
                <w:noProof/>
                <w:webHidden/>
              </w:rPr>
              <w:instrText xml:space="preserve"> PAGEREF _Toc152251971 \h </w:instrText>
            </w:r>
            <w:r>
              <w:rPr>
                <w:noProof/>
                <w:webHidden/>
              </w:rPr>
            </w:r>
            <w:r>
              <w:rPr>
                <w:noProof/>
                <w:webHidden/>
              </w:rPr>
              <w:fldChar w:fldCharType="separate"/>
            </w:r>
            <w:r>
              <w:rPr>
                <w:noProof/>
                <w:webHidden/>
              </w:rPr>
              <w:t>5</w:t>
            </w:r>
            <w:r>
              <w:rPr>
                <w:noProof/>
                <w:webHidden/>
              </w:rPr>
              <w:fldChar w:fldCharType="end"/>
            </w:r>
          </w:hyperlink>
        </w:p>
        <w:p w14:paraId="7FD97304" w14:textId="4F01D122" w:rsidR="003B1A6D" w:rsidRDefault="003B1A6D">
          <w:pPr>
            <w:pStyle w:val="Inhopg2"/>
            <w:rPr>
              <w:rFonts w:eastAsiaTheme="minorEastAsia"/>
              <w:noProof/>
              <w:lang w:val="nl-NL" w:eastAsia="nl-NL"/>
            </w:rPr>
          </w:pPr>
          <w:hyperlink w:anchor="_Toc152251972" w:history="1">
            <w:r w:rsidRPr="00A64D2D">
              <w:rPr>
                <w:rStyle w:val="Hyperlink"/>
                <w:rFonts w:ascii="Times New Roman" w:hAnsi="Times New Roman" w:cs="Times New Roman"/>
                <w:noProof/>
              </w:rPr>
              <w:t>1.1. Topic background</w:t>
            </w:r>
            <w:r>
              <w:rPr>
                <w:noProof/>
                <w:webHidden/>
              </w:rPr>
              <w:tab/>
            </w:r>
            <w:r>
              <w:rPr>
                <w:noProof/>
                <w:webHidden/>
              </w:rPr>
              <w:fldChar w:fldCharType="begin"/>
            </w:r>
            <w:r>
              <w:rPr>
                <w:noProof/>
                <w:webHidden/>
              </w:rPr>
              <w:instrText xml:space="preserve"> PAGEREF _Toc152251972 \h </w:instrText>
            </w:r>
            <w:r>
              <w:rPr>
                <w:noProof/>
                <w:webHidden/>
              </w:rPr>
            </w:r>
            <w:r>
              <w:rPr>
                <w:noProof/>
                <w:webHidden/>
              </w:rPr>
              <w:fldChar w:fldCharType="separate"/>
            </w:r>
            <w:r>
              <w:rPr>
                <w:noProof/>
                <w:webHidden/>
              </w:rPr>
              <w:t>5</w:t>
            </w:r>
            <w:r>
              <w:rPr>
                <w:noProof/>
                <w:webHidden/>
              </w:rPr>
              <w:fldChar w:fldCharType="end"/>
            </w:r>
          </w:hyperlink>
        </w:p>
        <w:p w14:paraId="541E68E6" w14:textId="476CA964" w:rsidR="003B1A6D" w:rsidRDefault="003B1A6D">
          <w:pPr>
            <w:pStyle w:val="Inhopg2"/>
            <w:rPr>
              <w:rFonts w:eastAsiaTheme="minorEastAsia"/>
              <w:noProof/>
              <w:lang w:val="nl-NL" w:eastAsia="nl-NL"/>
            </w:rPr>
          </w:pPr>
          <w:hyperlink w:anchor="_Toc152251973" w:history="1">
            <w:r w:rsidRPr="00A64D2D">
              <w:rPr>
                <w:rStyle w:val="Hyperlink"/>
                <w:rFonts w:ascii="Times New Roman" w:hAnsi="Times New Roman" w:cs="Times New Roman"/>
                <w:noProof/>
              </w:rPr>
              <w:t>1.2. Frontex</w:t>
            </w:r>
            <w:r>
              <w:rPr>
                <w:noProof/>
                <w:webHidden/>
              </w:rPr>
              <w:tab/>
            </w:r>
            <w:r>
              <w:rPr>
                <w:noProof/>
                <w:webHidden/>
              </w:rPr>
              <w:fldChar w:fldCharType="begin"/>
            </w:r>
            <w:r>
              <w:rPr>
                <w:noProof/>
                <w:webHidden/>
              </w:rPr>
              <w:instrText xml:space="preserve"> PAGEREF _Toc152251973 \h </w:instrText>
            </w:r>
            <w:r>
              <w:rPr>
                <w:noProof/>
                <w:webHidden/>
              </w:rPr>
            </w:r>
            <w:r>
              <w:rPr>
                <w:noProof/>
                <w:webHidden/>
              </w:rPr>
              <w:fldChar w:fldCharType="separate"/>
            </w:r>
            <w:r>
              <w:rPr>
                <w:noProof/>
                <w:webHidden/>
              </w:rPr>
              <w:t>5</w:t>
            </w:r>
            <w:r>
              <w:rPr>
                <w:noProof/>
                <w:webHidden/>
              </w:rPr>
              <w:fldChar w:fldCharType="end"/>
            </w:r>
          </w:hyperlink>
        </w:p>
        <w:p w14:paraId="2DAB108E" w14:textId="7858E5D4" w:rsidR="003B1A6D" w:rsidRDefault="003B1A6D">
          <w:pPr>
            <w:pStyle w:val="Inhopg2"/>
            <w:rPr>
              <w:rFonts w:eastAsiaTheme="minorEastAsia"/>
              <w:noProof/>
              <w:lang w:val="nl-NL" w:eastAsia="nl-NL"/>
            </w:rPr>
          </w:pPr>
          <w:hyperlink w:anchor="_Toc152251974" w:history="1">
            <w:r w:rsidRPr="00A64D2D">
              <w:rPr>
                <w:rStyle w:val="Hyperlink"/>
                <w:rFonts w:ascii="Times New Roman" w:hAnsi="Times New Roman" w:cs="Times New Roman"/>
                <w:noProof/>
                <w:shd w:val="clear" w:color="auto" w:fill="FFFFFF"/>
              </w:rPr>
              <w:t>1.3. Societal relevance</w:t>
            </w:r>
            <w:r>
              <w:rPr>
                <w:noProof/>
                <w:webHidden/>
              </w:rPr>
              <w:tab/>
            </w:r>
            <w:r>
              <w:rPr>
                <w:noProof/>
                <w:webHidden/>
              </w:rPr>
              <w:fldChar w:fldCharType="begin"/>
            </w:r>
            <w:r>
              <w:rPr>
                <w:noProof/>
                <w:webHidden/>
              </w:rPr>
              <w:instrText xml:space="preserve"> PAGEREF _Toc152251974 \h </w:instrText>
            </w:r>
            <w:r>
              <w:rPr>
                <w:noProof/>
                <w:webHidden/>
              </w:rPr>
            </w:r>
            <w:r>
              <w:rPr>
                <w:noProof/>
                <w:webHidden/>
              </w:rPr>
              <w:fldChar w:fldCharType="separate"/>
            </w:r>
            <w:r>
              <w:rPr>
                <w:noProof/>
                <w:webHidden/>
              </w:rPr>
              <w:t>6</w:t>
            </w:r>
            <w:r>
              <w:rPr>
                <w:noProof/>
                <w:webHidden/>
              </w:rPr>
              <w:fldChar w:fldCharType="end"/>
            </w:r>
          </w:hyperlink>
        </w:p>
        <w:p w14:paraId="16A6D8A0" w14:textId="068D8D7C" w:rsidR="003B1A6D" w:rsidRDefault="003B1A6D">
          <w:pPr>
            <w:pStyle w:val="Inhopg2"/>
            <w:rPr>
              <w:rFonts w:eastAsiaTheme="minorEastAsia"/>
              <w:noProof/>
              <w:lang w:val="nl-NL" w:eastAsia="nl-NL"/>
            </w:rPr>
          </w:pPr>
          <w:hyperlink w:anchor="_Toc152251975" w:history="1">
            <w:r w:rsidRPr="00A64D2D">
              <w:rPr>
                <w:rStyle w:val="Hyperlink"/>
                <w:rFonts w:ascii="Times New Roman" w:hAnsi="Times New Roman" w:cs="Times New Roman"/>
                <w:noProof/>
              </w:rPr>
              <w:t>1.4. Scientific relevance</w:t>
            </w:r>
            <w:r>
              <w:rPr>
                <w:noProof/>
                <w:webHidden/>
              </w:rPr>
              <w:tab/>
            </w:r>
            <w:r>
              <w:rPr>
                <w:noProof/>
                <w:webHidden/>
              </w:rPr>
              <w:fldChar w:fldCharType="begin"/>
            </w:r>
            <w:r>
              <w:rPr>
                <w:noProof/>
                <w:webHidden/>
              </w:rPr>
              <w:instrText xml:space="preserve"> PAGEREF _Toc152251975 \h </w:instrText>
            </w:r>
            <w:r>
              <w:rPr>
                <w:noProof/>
                <w:webHidden/>
              </w:rPr>
            </w:r>
            <w:r>
              <w:rPr>
                <w:noProof/>
                <w:webHidden/>
              </w:rPr>
              <w:fldChar w:fldCharType="separate"/>
            </w:r>
            <w:r>
              <w:rPr>
                <w:noProof/>
                <w:webHidden/>
              </w:rPr>
              <w:t>7</w:t>
            </w:r>
            <w:r>
              <w:rPr>
                <w:noProof/>
                <w:webHidden/>
              </w:rPr>
              <w:fldChar w:fldCharType="end"/>
            </w:r>
          </w:hyperlink>
        </w:p>
        <w:p w14:paraId="19D13F14" w14:textId="360BC21F" w:rsidR="003B1A6D" w:rsidRDefault="003B1A6D">
          <w:pPr>
            <w:pStyle w:val="Inhopg2"/>
            <w:rPr>
              <w:rFonts w:eastAsiaTheme="minorEastAsia"/>
              <w:noProof/>
              <w:lang w:val="nl-NL" w:eastAsia="nl-NL"/>
            </w:rPr>
          </w:pPr>
          <w:hyperlink w:anchor="_Toc152251976" w:history="1">
            <w:r w:rsidRPr="00A64D2D">
              <w:rPr>
                <w:rStyle w:val="Hyperlink"/>
                <w:rFonts w:ascii="Times New Roman" w:hAnsi="Times New Roman" w:cs="Times New Roman"/>
                <w:noProof/>
              </w:rPr>
              <w:t>1.5. Research aims and questions</w:t>
            </w:r>
            <w:r>
              <w:rPr>
                <w:noProof/>
                <w:webHidden/>
              </w:rPr>
              <w:tab/>
            </w:r>
            <w:r>
              <w:rPr>
                <w:noProof/>
                <w:webHidden/>
              </w:rPr>
              <w:fldChar w:fldCharType="begin"/>
            </w:r>
            <w:r>
              <w:rPr>
                <w:noProof/>
                <w:webHidden/>
              </w:rPr>
              <w:instrText xml:space="preserve"> PAGEREF _Toc152251976 \h </w:instrText>
            </w:r>
            <w:r>
              <w:rPr>
                <w:noProof/>
                <w:webHidden/>
              </w:rPr>
            </w:r>
            <w:r>
              <w:rPr>
                <w:noProof/>
                <w:webHidden/>
              </w:rPr>
              <w:fldChar w:fldCharType="separate"/>
            </w:r>
            <w:r>
              <w:rPr>
                <w:noProof/>
                <w:webHidden/>
              </w:rPr>
              <w:t>9</w:t>
            </w:r>
            <w:r>
              <w:rPr>
                <w:noProof/>
                <w:webHidden/>
              </w:rPr>
              <w:fldChar w:fldCharType="end"/>
            </w:r>
          </w:hyperlink>
        </w:p>
        <w:p w14:paraId="0B6DAAA6" w14:textId="42FB214E" w:rsidR="003B1A6D" w:rsidRDefault="003B1A6D">
          <w:pPr>
            <w:pStyle w:val="Inhopg1"/>
            <w:rPr>
              <w:rFonts w:eastAsiaTheme="minorEastAsia"/>
              <w:noProof/>
              <w:lang w:val="nl-NL" w:eastAsia="nl-NL"/>
            </w:rPr>
          </w:pPr>
          <w:hyperlink w:anchor="_Toc152251977" w:history="1">
            <w:r w:rsidRPr="00A64D2D">
              <w:rPr>
                <w:rStyle w:val="Hyperlink"/>
                <w:noProof/>
              </w:rPr>
              <w:t>Chapter 2: State of the art</w:t>
            </w:r>
            <w:r>
              <w:rPr>
                <w:noProof/>
                <w:webHidden/>
              </w:rPr>
              <w:tab/>
            </w:r>
            <w:r>
              <w:rPr>
                <w:noProof/>
                <w:webHidden/>
              </w:rPr>
              <w:fldChar w:fldCharType="begin"/>
            </w:r>
            <w:r>
              <w:rPr>
                <w:noProof/>
                <w:webHidden/>
              </w:rPr>
              <w:instrText xml:space="preserve"> PAGEREF _Toc152251977 \h </w:instrText>
            </w:r>
            <w:r>
              <w:rPr>
                <w:noProof/>
                <w:webHidden/>
              </w:rPr>
            </w:r>
            <w:r>
              <w:rPr>
                <w:noProof/>
                <w:webHidden/>
              </w:rPr>
              <w:fldChar w:fldCharType="separate"/>
            </w:r>
            <w:r>
              <w:rPr>
                <w:noProof/>
                <w:webHidden/>
              </w:rPr>
              <w:t>11</w:t>
            </w:r>
            <w:r>
              <w:rPr>
                <w:noProof/>
                <w:webHidden/>
              </w:rPr>
              <w:fldChar w:fldCharType="end"/>
            </w:r>
          </w:hyperlink>
        </w:p>
        <w:p w14:paraId="0938679E" w14:textId="3F7B4B2E" w:rsidR="003B1A6D" w:rsidRDefault="003B1A6D">
          <w:pPr>
            <w:pStyle w:val="Inhopg2"/>
            <w:rPr>
              <w:rFonts w:eastAsiaTheme="minorEastAsia"/>
              <w:noProof/>
              <w:lang w:val="nl-NL" w:eastAsia="nl-NL"/>
            </w:rPr>
          </w:pPr>
          <w:hyperlink w:anchor="_Toc152251978" w:history="1">
            <w:r w:rsidRPr="00A64D2D">
              <w:rPr>
                <w:rStyle w:val="Hyperlink"/>
                <w:rFonts w:ascii="Times New Roman" w:hAnsi="Times New Roman" w:cs="Times New Roman"/>
                <w:noProof/>
              </w:rPr>
              <w:t>2.1. Activities</w:t>
            </w:r>
            <w:r>
              <w:rPr>
                <w:noProof/>
                <w:webHidden/>
              </w:rPr>
              <w:tab/>
            </w:r>
            <w:r>
              <w:rPr>
                <w:noProof/>
                <w:webHidden/>
              </w:rPr>
              <w:fldChar w:fldCharType="begin"/>
            </w:r>
            <w:r>
              <w:rPr>
                <w:noProof/>
                <w:webHidden/>
              </w:rPr>
              <w:instrText xml:space="preserve"> PAGEREF _Toc152251978 \h </w:instrText>
            </w:r>
            <w:r>
              <w:rPr>
                <w:noProof/>
                <w:webHidden/>
              </w:rPr>
            </w:r>
            <w:r>
              <w:rPr>
                <w:noProof/>
                <w:webHidden/>
              </w:rPr>
              <w:fldChar w:fldCharType="separate"/>
            </w:r>
            <w:r>
              <w:rPr>
                <w:noProof/>
                <w:webHidden/>
              </w:rPr>
              <w:t>11</w:t>
            </w:r>
            <w:r>
              <w:rPr>
                <w:noProof/>
                <w:webHidden/>
              </w:rPr>
              <w:fldChar w:fldCharType="end"/>
            </w:r>
          </w:hyperlink>
        </w:p>
        <w:p w14:paraId="53EBCC8C" w14:textId="189DE39C" w:rsidR="003B1A6D" w:rsidRDefault="003B1A6D">
          <w:pPr>
            <w:pStyle w:val="Inhopg2"/>
            <w:rPr>
              <w:rFonts w:eastAsiaTheme="minorEastAsia"/>
              <w:noProof/>
              <w:lang w:val="nl-NL" w:eastAsia="nl-NL"/>
            </w:rPr>
          </w:pPr>
          <w:hyperlink w:anchor="_Toc152251979" w:history="1">
            <w:r w:rsidRPr="00A64D2D">
              <w:rPr>
                <w:rStyle w:val="Hyperlink"/>
                <w:rFonts w:ascii="Times New Roman" w:hAnsi="Times New Roman" w:cs="Times New Roman"/>
                <w:noProof/>
              </w:rPr>
              <w:t>2.2. Frontex’ place within the EU</w:t>
            </w:r>
            <w:r>
              <w:rPr>
                <w:noProof/>
                <w:webHidden/>
              </w:rPr>
              <w:tab/>
            </w:r>
            <w:r>
              <w:rPr>
                <w:noProof/>
                <w:webHidden/>
              </w:rPr>
              <w:fldChar w:fldCharType="begin"/>
            </w:r>
            <w:r>
              <w:rPr>
                <w:noProof/>
                <w:webHidden/>
              </w:rPr>
              <w:instrText xml:space="preserve"> PAGEREF _Toc152251979 \h </w:instrText>
            </w:r>
            <w:r>
              <w:rPr>
                <w:noProof/>
                <w:webHidden/>
              </w:rPr>
            </w:r>
            <w:r>
              <w:rPr>
                <w:noProof/>
                <w:webHidden/>
              </w:rPr>
              <w:fldChar w:fldCharType="separate"/>
            </w:r>
            <w:r>
              <w:rPr>
                <w:noProof/>
                <w:webHidden/>
              </w:rPr>
              <w:t>12</w:t>
            </w:r>
            <w:r>
              <w:rPr>
                <w:noProof/>
                <w:webHidden/>
              </w:rPr>
              <w:fldChar w:fldCharType="end"/>
            </w:r>
          </w:hyperlink>
        </w:p>
        <w:p w14:paraId="181300E3" w14:textId="735A7FC7" w:rsidR="003B1A6D" w:rsidRDefault="003B1A6D">
          <w:pPr>
            <w:pStyle w:val="Inhopg2"/>
            <w:rPr>
              <w:rFonts w:eastAsiaTheme="minorEastAsia"/>
              <w:noProof/>
              <w:lang w:val="nl-NL" w:eastAsia="nl-NL"/>
            </w:rPr>
          </w:pPr>
          <w:hyperlink w:anchor="_Toc152251980" w:history="1">
            <w:r w:rsidRPr="00A64D2D">
              <w:rPr>
                <w:rStyle w:val="Hyperlink"/>
                <w:rFonts w:ascii="Times New Roman" w:hAnsi="Times New Roman" w:cs="Times New Roman"/>
                <w:noProof/>
              </w:rPr>
              <w:t>2.3. Frontex operational effects</w:t>
            </w:r>
            <w:r>
              <w:rPr>
                <w:noProof/>
                <w:webHidden/>
              </w:rPr>
              <w:tab/>
            </w:r>
            <w:r>
              <w:rPr>
                <w:noProof/>
                <w:webHidden/>
              </w:rPr>
              <w:fldChar w:fldCharType="begin"/>
            </w:r>
            <w:r>
              <w:rPr>
                <w:noProof/>
                <w:webHidden/>
              </w:rPr>
              <w:instrText xml:space="preserve"> PAGEREF _Toc152251980 \h </w:instrText>
            </w:r>
            <w:r>
              <w:rPr>
                <w:noProof/>
                <w:webHidden/>
              </w:rPr>
            </w:r>
            <w:r>
              <w:rPr>
                <w:noProof/>
                <w:webHidden/>
              </w:rPr>
              <w:fldChar w:fldCharType="separate"/>
            </w:r>
            <w:r>
              <w:rPr>
                <w:noProof/>
                <w:webHidden/>
              </w:rPr>
              <w:t>12</w:t>
            </w:r>
            <w:r>
              <w:rPr>
                <w:noProof/>
                <w:webHidden/>
              </w:rPr>
              <w:fldChar w:fldCharType="end"/>
            </w:r>
          </w:hyperlink>
        </w:p>
        <w:p w14:paraId="2C15B8C4" w14:textId="6AC5475D" w:rsidR="003B1A6D" w:rsidRDefault="003B1A6D">
          <w:pPr>
            <w:pStyle w:val="Inhopg2"/>
            <w:rPr>
              <w:rFonts w:eastAsiaTheme="minorEastAsia"/>
              <w:noProof/>
              <w:lang w:val="nl-NL" w:eastAsia="nl-NL"/>
            </w:rPr>
          </w:pPr>
          <w:hyperlink w:anchor="_Toc152251981" w:history="1">
            <w:r w:rsidRPr="00A64D2D">
              <w:rPr>
                <w:rStyle w:val="Hyperlink"/>
                <w:rFonts w:ascii="Times New Roman" w:hAnsi="Times New Roman" w:cs="Times New Roman"/>
                <w:noProof/>
                <w:shd w:val="clear" w:color="auto" w:fill="FFFFFF"/>
              </w:rPr>
              <w:t>2.4. Human rights</w:t>
            </w:r>
            <w:r>
              <w:rPr>
                <w:noProof/>
                <w:webHidden/>
              </w:rPr>
              <w:tab/>
            </w:r>
            <w:r>
              <w:rPr>
                <w:noProof/>
                <w:webHidden/>
              </w:rPr>
              <w:fldChar w:fldCharType="begin"/>
            </w:r>
            <w:r>
              <w:rPr>
                <w:noProof/>
                <w:webHidden/>
              </w:rPr>
              <w:instrText xml:space="preserve"> PAGEREF _Toc152251981 \h </w:instrText>
            </w:r>
            <w:r>
              <w:rPr>
                <w:noProof/>
                <w:webHidden/>
              </w:rPr>
            </w:r>
            <w:r>
              <w:rPr>
                <w:noProof/>
                <w:webHidden/>
              </w:rPr>
              <w:fldChar w:fldCharType="separate"/>
            </w:r>
            <w:r>
              <w:rPr>
                <w:noProof/>
                <w:webHidden/>
              </w:rPr>
              <w:t>13</w:t>
            </w:r>
            <w:r>
              <w:rPr>
                <w:noProof/>
                <w:webHidden/>
              </w:rPr>
              <w:fldChar w:fldCharType="end"/>
            </w:r>
          </w:hyperlink>
        </w:p>
        <w:p w14:paraId="585E08CD" w14:textId="5656DC91" w:rsidR="003B1A6D" w:rsidRDefault="003B1A6D">
          <w:pPr>
            <w:pStyle w:val="Inhopg3"/>
            <w:tabs>
              <w:tab w:val="right" w:leader="dot" w:pos="9062"/>
            </w:tabs>
            <w:rPr>
              <w:rFonts w:eastAsiaTheme="minorEastAsia"/>
              <w:noProof/>
              <w:lang w:val="nl-NL" w:eastAsia="nl-NL"/>
            </w:rPr>
          </w:pPr>
          <w:hyperlink w:anchor="_Toc152251982" w:history="1">
            <w:r w:rsidRPr="00A64D2D">
              <w:rPr>
                <w:rStyle w:val="Hyperlink"/>
                <w:rFonts w:ascii="Times New Roman" w:hAnsi="Times New Roman" w:cs="Times New Roman"/>
                <w:noProof/>
              </w:rPr>
              <w:t>2.4.1. Non-refoulement</w:t>
            </w:r>
            <w:r>
              <w:rPr>
                <w:noProof/>
                <w:webHidden/>
              </w:rPr>
              <w:tab/>
            </w:r>
            <w:r>
              <w:rPr>
                <w:noProof/>
                <w:webHidden/>
              </w:rPr>
              <w:fldChar w:fldCharType="begin"/>
            </w:r>
            <w:r>
              <w:rPr>
                <w:noProof/>
                <w:webHidden/>
              </w:rPr>
              <w:instrText xml:space="preserve"> PAGEREF _Toc152251982 \h </w:instrText>
            </w:r>
            <w:r>
              <w:rPr>
                <w:noProof/>
                <w:webHidden/>
              </w:rPr>
            </w:r>
            <w:r>
              <w:rPr>
                <w:noProof/>
                <w:webHidden/>
              </w:rPr>
              <w:fldChar w:fldCharType="separate"/>
            </w:r>
            <w:r>
              <w:rPr>
                <w:noProof/>
                <w:webHidden/>
              </w:rPr>
              <w:t>13</w:t>
            </w:r>
            <w:r>
              <w:rPr>
                <w:noProof/>
                <w:webHidden/>
              </w:rPr>
              <w:fldChar w:fldCharType="end"/>
            </w:r>
          </w:hyperlink>
        </w:p>
        <w:p w14:paraId="2A8472E5" w14:textId="2AD4926C" w:rsidR="003B1A6D" w:rsidRDefault="003B1A6D">
          <w:pPr>
            <w:pStyle w:val="Inhopg3"/>
            <w:tabs>
              <w:tab w:val="right" w:leader="dot" w:pos="9062"/>
            </w:tabs>
            <w:rPr>
              <w:rFonts w:eastAsiaTheme="minorEastAsia"/>
              <w:noProof/>
              <w:lang w:val="nl-NL" w:eastAsia="nl-NL"/>
            </w:rPr>
          </w:pPr>
          <w:hyperlink w:anchor="_Toc152251983" w:history="1">
            <w:r w:rsidRPr="00A64D2D">
              <w:rPr>
                <w:rStyle w:val="Hyperlink"/>
                <w:rFonts w:ascii="Times New Roman" w:hAnsi="Times New Roman" w:cs="Times New Roman"/>
                <w:noProof/>
              </w:rPr>
              <w:t>2.4.2. Illegal pushbacks</w:t>
            </w:r>
            <w:r>
              <w:rPr>
                <w:noProof/>
                <w:webHidden/>
              </w:rPr>
              <w:tab/>
            </w:r>
            <w:r>
              <w:rPr>
                <w:noProof/>
                <w:webHidden/>
              </w:rPr>
              <w:fldChar w:fldCharType="begin"/>
            </w:r>
            <w:r>
              <w:rPr>
                <w:noProof/>
                <w:webHidden/>
              </w:rPr>
              <w:instrText xml:space="preserve"> PAGEREF _Toc152251983 \h </w:instrText>
            </w:r>
            <w:r>
              <w:rPr>
                <w:noProof/>
                <w:webHidden/>
              </w:rPr>
            </w:r>
            <w:r>
              <w:rPr>
                <w:noProof/>
                <w:webHidden/>
              </w:rPr>
              <w:fldChar w:fldCharType="separate"/>
            </w:r>
            <w:r>
              <w:rPr>
                <w:noProof/>
                <w:webHidden/>
              </w:rPr>
              <w:t>13</w:t>
            </w:r>
            <w:r>
              <w:rPr>
                <w:noProof/>
                <w:webHidden/>
              </w:rPr>
              <w:fldChar w:fldCharType="end"/>
            </w:r>
          </w:hyperlink>
        </w:p>
        <w:p w14:paraId="36388D8A" w14:textId="5ED1C242" w:rsidR="003B1A6D" w:rsidRDefault="003B1A6D">
          <w:pPr>
            <w:pStyle w:val="Inhopg3"/>
            <w:tabs>
              <w:tab w:val="right" w:leader="dot" w:pos="9062"/>
            </w:tabs>
            <w:rPr>
              <w:rFonts w:eastAsiaTheme="minorEastAsia"/>
              <w:noProof/>
              <w:lang w:val="nl-NL" w:eastAsia="nl-NL"/>
            </w:rPr>
          </w:pPr>
          <w:hyperlink w:anchor="_Toc152251984" w:history="1">
            <w:r w:rsidRPr="00A64D2D">
              <w:rPr>
                <w:rStyle w:val="Hyperlink"/>
                <w:rFonts w:ascii="Times New Roman" w:hAnsi="Times New Roman" w:cs="Times New Roman"/>
                <w:noProof/>
                <w:shd w:val="clear" w:color="auto" w:fill="FFFFFF"/>
              </w:rPr>
              <w:t>2.4.3. Attention for human rights</w:t>
            </w:r>
            <w:r>
              <w:rPr>
                <w:noProof/>
                <w:webHidden/>
              </w:rPr>
              <w:tab/>
            </w:r>
            <w:r>
              <w:rPr>
                <w:noProof/>
                <w:webHidden/>
              </w:rPr>
              <w:fldChar w:fldCharType="begin"/>
            </w:r>
            <w:r>
              <w:rPr>
                <w:noProof/>
                <w:webHidden/>
              </w:rPr>
              <w:instrText xml:space="preserve"> PAGEREF _Toc152251984 \h </w:instrText>
            </w:r>
            <w:r>
              <w:rPr>
                <w:noProof/>
                <w:webHidden/>
              </w:rPr>
            </w:r>
            <w:r>
              <w:rPr>
                <w:noProof/>
                <w:webHidden/>
              </w:rPr>
              <w:fldChar w:fldCharType="separate"/>
            </w:r>
            <w:r>
              <w:rPr>
                <w:noProof/>
                <w:webHidden/>
              </w:rPr>
              <w:t>14</w:t>
            </w:r>
            <w:r>
              <w:rPr>
                <w:noProof/>
                <w:webHidden/>
              </w:rPr>
              <w:fldChar w:fldCharType="end"/>
            </w:r>
          </w:hyperlink>
        </w:p>
        <w:p w14:paraId="329AB283" w14:textId="556E7E5B" w:rsidR="003B1A6D" w:rsidRDefault="003B1A6D">
          <w:pPr>
            <w:pStyle w:val="Inhopg2"/>
            <w:rPr>
              <w:rFonts w:eastAsiaTheme="minorEastAsia"/>
              <w:noProof/>
              <w:lang w:val="nl-NL" w:eastAsia="nl-NL"/>
            </w:rPr>
          </w:pPr>
          <w:hyperlink w:anchor="_Toc152251985" w:history="1">
            <w:r w:rsidRPr="00A64D2D">
              <w:rPr>
                <w:rStyle w:val="Hyperlink"/>
                <w:rFonts w:ascii="Times New Roman" w:hAnsi="Times New Roman" w:cs="Times New Roman"/>
                <w:noProof/>
              </w:rPr>
              <w:t>2.5 Agency Characteristics</w:t>
            </w:r>
            <w:r>
              <w:rPr>
                <w:noProof/>
                <w:webHidden/>
              </w:rPr>
              <w:tab/>
            </w:r>
            <w:r>
              <w:rPr>
                <w:noProof/>
                <w:webHidden/>
              </w:rPr>
              <w:fldChar w:fldCharType="begin"/>
            </w:r>
            <w:r>
              <w:rPr>
                <w:noProof/>
                <w:webHidden/>
              </w:rPr>
              <w:instrText xml:space="preserve"> PAGEREF _Toc152251985 \h </w:instrText>
            </w:r>
            <w:r>
              <w:rPr>
                <w:noProof/>
                <w:webHidden/>
              </w:rPr>
            </w:r>
            <w:r>
              <w:rPr>
                <w:noProof/>
                <w:webHidden/>
              </w:rPr>
              <w:fldChar w:fldCharType="separate"/>
            </w:r>
            <w:r>
              <w:rPr>
                <w:noProof/>
                <w:webHidden/>
              </w:rPr>
              <w:t>14</w:t>
            </w:r>
            <w:r>
              <w:rPr>
                <w:noProof/>
                <w:webHidden/>
              </w:rPr>
              <w:fldChar w:fldCharType="end"/>
            </w:r>
          </w:hyperlink>
        </w:p>
        <w:p w14:paraId="73BF1B16" w14:textId="63D24B4B" w:rsidR="003B1A6D" w:rsidRDefault="003B1A6D">
          <w:pPr>
            <w:pStyle w:val="Inhopg3"/>
            <w:tabs>
              <w:tab w:val="right" w:leader="dot" w:pos="9062"/>
            </w:tabs>
            <w:rPr>
              <w:rFonts w:eastAsiaTheme="minorEastAsia"/>
              <w:noProof/>
              <w:lang w:val="nl-NL" w:eastAsia="nl-NL"/>
            </w:rPr>
          </w:pPr>
          <w:hyperlink w:anchor="_Toc152251986" w:history="1">
            <w:r w:rsidRPr="00A64D2D">
              <w:rPr>
                <w:rStyle w:val="Hyperlink"/>
                <w:rFonts w:ascii="Times New Roman" w:hAnsi="Times New Roman" w:cs="Times New Roman"/>
                <w:noProof/>
              </w:rPr>
              <w:t>2.5.1. Information sharing and transparency</w:t>
            </w:r>
            <w:r>
              <w:rPr>
                <w:noProof/>
                <w:webHidden/>
              </w:rPr>
              <w:tab/>
            </w:r>
            <w:r>
              <w:rPr>
                <w:noProof/>
                <w:webHidden/>
              </w:rPr>
              <w:fldChar w:fldCharType="begin"/>
            </w:r>
            <w:r>
              <w:rPr>
                <w:noProof/>
                <w:webHidden/>
              </w:rPr>
              <w:instrText xml:space="preserve"> PAGEREF _Toc152251986 \h </w:instrText>
            </w:r>
            <w:r>
              <w:rPr>
                <w:noProof/>
                <w:webHidden/>
              </w:rPr>
            </w:r>
            <w:r>
              <w:rPr>
                <w:noProof/>
                <w:webHidden/>
              </w:rPr>
              <w:fldChar w:fldCharType="separate"/>
            </w:r>
            <w:r>
              <w:rPr>
                <w:noProof/>
                <w:webHidden/>
              </w:rPr>
              <w:t>14</w:t>
            </w:r>
            <w:r>
              <w:rPr>
                <w:noProof/>
                <w:webHidden/>
              </w:rPr>
              <w:fldChar w:fldCharType="end"/>
            </w:r>
          </w:hyperlink>
        </w:p>
        <w:p w14:paraId="057F107C" w14:textId="47608E42" w:rsidR="003B1A6D" w:rsidRDefault="003B1A6D">
          <w:pPr>
            <w:pStyle w:val="Inhopg3"/>
            <w:tabs>
              <w:tab w:val="right" w:leader="dot" w:pos="9062"/>
            </w:tabs>
            <w:rPr>
              <w:rFonts w:eastAsiaTheme="minorEastAsia"/>
              <w:noProof/>
              <w:lang w:val="nl-NL" w:eastAsia="nl-NL"/>
            </w:rPr>
          </w:pPr>
          <w:hyperlink w:anchor="_Toc152251987" w:history="1">
            <w:r w:rsidRPr="00A64D2D">
              <w:rPr>
                <w:rStyle w:val="Hyperlink"/>
                <w:rFonts w:ascii="Times New Roman" w:hAnsi="Times New Roman" w:cs="Times New Roman"/>
                <w:noProof/>
              </w:rPr>
              <w:t>2.5.2. Accountability</w:t>
            </w:r>
            <w:r>
              <w:rPr>
                <w:noProof/>
                <w:webHidden/>
              </w:rPr>
              <w:tab/>
            </w:r>
            <w:r>
              <w:rPr>
                <w:noProof/>
                <w:webHidden/>
              </w:rPr>
              <w:fldChar w:fldCharType="begin"/>
            </w:r>
            <w:r>
              <w:rPr>
                <w:noProof/>
                <w:webHidden/>
              </w:rPr>
              <w:instrText xml:space="preserve"> PAGEREF _Toc152251987 \h </w:instrText>
            </w:r>
            <w:r>
              <w:rPr>
                <w:noProof/>
                <w:webHidden/>
              </w:rPr>
            </w:r>
            <w:r>
              <w:rPr>
                <w:noProof/>
                <w:webHidden/>
              </w:rPr>
              <w:fldChar w:fldCharType="separate"/>
            </w:r>
            <w:r>
              <w:rPr>
                <w:noProof/>
                <w:webHidden/>
              </w:rPr>
              <w:t>14</w:t>
            </w:r>
            <w:r>
              <w:rPr>
                <w:noProof/>
                <w:webHidden/>
              </w:rPr>
              <w:fldChar w:fldCharType="end"/>
            </w:r>
          </w:hyperlink>
        </w:p>
        <w:p w14:paraId="76A81154" w14:textId="5D014864" w:rsidR="003B1A6D" w:rsidRDefault="003B1A6D">
          <w:pPr>
            <w:pStyle w:val="Inhopg3"/>
            <w:tabs>
              <w:tab w:val="right" w:leader="dot" w:pos="9062"/>
            </w:tabs>
            <w:rPr>
              <w:rFonts w:eastAsiaTheme="minorEastAsia"/>
              <w:noProof/>
              <w:lang w:val="nl-NL" w:eastAsia="nl-NL"/>
            </w:rPr>
          </w:pPr>
          <w:hyperlink w:anchor="_Toc152251988" w:history="1">
            <w:r w:rsidRPr="00A64D2D">
              <w:rPr>
                <w:rStyle w:val="Hyperlink"/>
                <w:rFonts w:ascii="Times New Roman" w:hAnsi="Times New Roman" w:cs="Times New Roman"/>
                <w:noProof/>
              </w:rPr>
              <w:t>2.5.3. Legitimacy</w:t>
            </w:r>
            <w:r>
              <w:rPr>
                <w:noProof/>
                <w:webHidden/>
              </w:rPr>
              <w:tab/>
            </w:r>
            <w:r>
              <w:rPr>
                <w:noProof/>
                <w:webHidden/>
              </w:rPr>
              <w:fldChar w:fldCharType="begin"/>
            </w:r>
            <w:r>
              <w:rPr>
                <w:noProof/>
                <w:webHidden/>
              </w:rPr>
              <w:instrText xml:space="preserve"> PAGEREF _Toc152251988 \h </w:instrText>
            </w:r>
            <w:r>
              <w:rPr>
                <w:noProof/>
                <w:webHidden/>
              </w:rPr>
            </w:r>
            <w:r>
              <w:rPr>
                <w:noProof/>
                <w:webHidden/>
              </w:rPr>
              <w:fldChar w:fldCharType="separate"/>
            </w:r>
            <w:r>
              <w:rPr>
                <w:noProof/>
                <w:webHidden/>
              </w:rPr>
              <w:t>14</w:t>
            </w:r>
            <w:r>
              <w:rPr>
                <w:noProof/>
                <w:webHidden/>
              </w:rPr>
              <w:fldChar w:fldCharType="end"/>
            </w:r>
          </w:hyperlink>
        </w:p>
        <w:p w14:paraId="28ADAAC5" w14:textId="3E79A3B6" w:rsidR="003B1A6D" w:rsidRDefault="003B1A6D">
          <w:pPr>
            <w:pStyle w:val="Inhopg2"/>
            <w:rPr>
              <w:rFonts w:eastAsiaTheme="minorEastAsia"/>
              <w:noProof/>
              <w:lang w:val="nl-NL" w:eastAsia="nl-NL"/>
            </w:rPr>
          </w:pPr>
          <w:hyperlink w:anchor="_Toc152251989" w:history="1">
            <w:r w:rsidRPr="00A64D2D">
              <w:rPr>
                <w:rStyle w:val="Hyperlink"/>
                <w:rFonts w:ascii="Times New Roman" w:hAnsi="Times New Roman" w:cs="Times New Roman"/>
                <w:noProof/>
              </w:rPr>
              <w:t>2.6. Chapter conclusion</w:t>
            </w:r>
            <w:r>
              <w:rPr>
                <w:noProof/>
                <w:webHidden/>
              </w:rPr>
              <w:tab/>
            </w:r>
            <w:r>
              <w:rPr>
                <w:noProof/>
                <w:webHidden/>
              </w:rPr>
              <w:fldChar w:fldCharType="begin"/>
            </w:r>
            <w:r>
              <w:rPr>
                <w:noProof/>
                <w:webHidden/>
              </w:rPr>
              <w:instrText xml:space="preserve"> PAGEREF _Toc152251989 \h </w:instrText>
            </w:r>
            <w:r>
              <w:rPr>
                <w:noProof/>
                <w:webHidden/>
              </w:rPr>
            </w:r>
            <w:r>
              <w:rPr>
                <w:noProof/>
                <w:webHidden/>
              </w:rPr>
              <w:fldChar w:fldCharType="separate"/>
            </w:r>
            <w:r>
              <w:rPr>
                <w:noProof/>
                <w:webHidden/>
              </w:rPr>
              <w:t>15</w:t>
            </w:r>
            <w:r>
              <w:rPr>
                <w:noProof/>
                <w:webHidden/>
              </w:rPr>
              <w:fldChar w:fldCharType="end"/>
            </w:r>
          </w:hyperlink>
        </w:p>
        <w:p w14:paraId="297D06BC" w14:textId="7FE7277E" w:rsidR="003B1A6D" w:rsidRDefault="003B1A6D">
          <w:pPr>
            <w:pStyle w:val="Inhopg1"/>
            <w:rPr>
              <w:rFonts w:eastAsiaTheme="minorEastAsia"/>
              <w:noProof/>
              <w:lang w:val="nl-NL" w:eastAsia="nl-NL"/>
            </w:rPr>
          </w:pPr>
          <w:hyperlink w:anchor="_Toc152251990" w:history="1">
            <w:r w:rsidRPr="00A64D2D">
              <w:rPr>
                <w:rStyle w:val="Hyperlink"/>
                <w:rFonts w:ascii="Times New Roman" w:eastAsia="Times New Roman" w:hAnsi="Times New Roman"/>
                <w:noProof/>
                <w:lang w:eastAsia="nl-NL"/>
              </w:rPr>
              <w:t>Chapter 3: Theory</w:t>
            </w:r>
            <w:r>
              <w:rPr>
                <w:noProof/>
                <w:webHidden/>
              </w:rPr>
              <w:tab/>
            </w:r>
            <w:r>
              <w:rPr>
                <w:noProof/>
                <w:webHidden/>
              </w:rPr>
              <w:fldChar w:fldCharType="begin"/>
            </w:r>
            <w:r>
              <w:rPr>
                <w:noProof/>
                <w:webHidden/>
              </w:rPr>
              <w:instrText xml:space="preserve"> PAGEREF _Toc152251990 \h </w:instrText>
            </w:r>
            <w:r>
              <w:rPr>
                <w:noProof/>
                <w:webHidden/>
              </w:rPr>
            </w:r>
            <w:r>
              <w:rPr>
                <w:noProof/>
                <w:webHidden/>
              </w:rPr>
              <w:fldChar w:fldCharType="separate"/>
            </w:r>
            <w:r>
              <w:rPr>
                <w:noProof/>
                <w:webHidden/>
              </w:rPr>
              <w:t>16</w:t>
            </w:r>
            <w:r>
              <w:rPr>
                <w:noProof/>
                <w:webHidden/>
              </w:rPr>
              <w:fldChar w:fldCharType="end"/>
            </w:r>
          </w:hyperlink>
        </w:p>
        <w:p w14:paraId="3C78127E" w14:textId="2F8CE24E" w:rsidR="003B1A6D" w:rsidRDefault="003B1A6D">
          <w:pPr>
            <w:pStyle w:val="Inhopg2"/>
            <w:rPr>
              <w:rFonts w:eastAsiaTheme="minorEastAsia"/>
              <w:noProof/>
              <w:lang w:val="nl-NL" w:eastAsia="nl-NL"/>
            </w:rPr>
          </w:pPr>
          <w:hyperlink w:anchor="_Toc152251991" w:history="1">
            <w:r w:rsidRPr="00A64D2D">
              <w:rPr>
                <w:rStyle w:val="Hyperlink"/>
                <w:rFonts w:ascii="Times New Roman" w:hAnsi="Times New Roman" w:cs="Times New Roman"/>
                <w:noProof/>
              </w:rPr>
              <w:t>3.1. Multi-level governance</w:t>
            </w:r>
            <w:r>
              <w:rPr>
                <w:noProof/>
                <w:webHidden/>
              </w:rPr>
              <w:tab/>
            </w:r>
            <w:r>
              <w:rPr>
                <w:noProof/>
                <w:webHidden/>
              </w:rPr>
              <w:fldChar w:fldCharType="begin"/>
            </w:r>
            <w:r>
              <w:rPr>
                <w:noProof/>
                <w:webHidden/>
              </w:rPr>
              <w:instrText xml:space="preserve"> PAGEREF _Toc152251991 \h </w:instrText>
            </w:r>
            <w:r>
              <w:rPr>
                <w:noProof/>
                <w:webHidden/>
              </w:rPr>
            </w:r>
            <w:r>
              <w:rPr>
                <w:noProof/>
                <w:webHidden/>
              </w:rPr>
              <w:fldChar w:fldCharType="separate"/>
            </w:r>
            <w:r>
              <w:rPr>
                <w:noProof/>
                <w:webHidden/>
              </w:rPr>
              <w:t>16</w:t>
            </w:r>
            <w:r>
              <w:rPr>
                <w:noProof/>
                <w:webHidden/>
              </w:rPr>
              <w:fldChar w:fldCharType="end"/>
            </w:r>
          </w:hyperlink>
        </w:p>
        <w:p w14:paraId="656A4E74" w14:textId="2A64A894" w:rsidR="003B1A6D" w:rsidRDefault="003B1A6D">
          <w:pPr>
            <w:pStyle w:val="Inhopg2"/>
            <w:rPr>
              <w:rFonts w:eastAsiaTheme="minorEastAsia"/>
              <w:noProof/>
              <w:lang w:val="nl-NL" w:eastAsia="nl-NL"/>
            </w:rPr>
          </w:pPr>
          <w:hyperlink w:anchor="_Toc152251992" w:history="1">
            <w:r w:rsidRPr="00A64D2D">
              <w:rPr>
                <w:rStyle w:val="Hyperlink"/>
                <w:rFonts w:ascii="Times New Roman" w:eastAsia="Times New Roman" w:hAnsi="Times New Roman" w:cs="Times New Roman"/>
                <w:noProof/>
                <w:lang w:eastAsia="nl-NL"/>
              </w:rPr>
              <w:t>3.2. Autonomy</w:t>
            </w:r>
            <w:r>
              <w:rPr>
                <w:noProof/>
                <w:webHidden/>
              </w:rPr>
              <w:tab/>
            </w:r>
            <w:r>
              <w:rPr>
                <w:noProof/>
                <w:webHidden/>
              </w:rPr>
              <w:fldChar w:fldCharType="begin"/>
            </w:r>
            <w:r>
              <w:rPr>
                <w:noProof/>
                <w:webHidden/>
              </w:rPr>
              <w:instrText xml:space="preserve"> PAGEREF _Toc152251992 \h </w:instrText>
            </w:r>
            <w:r>
              <w:rPr>
                <w:noProof/>
                <w:webHidden/>
              </w:rPr>
            </w:r>
            <w:r>
              <w:rPr>
                <w:noProof/>
                <w:webHidden/>
              </w:rPr>
              <w:fldChar w:fldCharType="separate"/>
            </w:r>
            <w:r>
              <w:rPr>
                <w:noProof/>
                <w:webHidden/>
              </w:rPr>
              <w:t>18</w:t>
            </w:r>
            <w:r>
              <w:rPr>
                <w:noProof/>
                <w:webHidden/>
              </w:rPr>
              <w:fldChar w:fldCharType="end"/>
            </w:r>
          </w:hyperlink>
        </w:p>
        <w:p w14:paraId="3A509A72" w14:textId="6CF9D078" w:rsidR="003B1A6D" w:rsidRDefault="003B1A6D">
          <w:pPr>
            <w:pStyle w:val="Inhopg2"/>
            <w:rPr>
              <w:rFonts w:eastAsiaTheme="minorEastAsia"/>
              <w:noProof/>
              <w:lang w:val="nl-NL" w:eastAsia="nl-NL"/>
            </w:rPr>
          </w:pPr>
          <w:hyperlink w:anchor="_Toc152251993" w:history="1">
            <w:r w:rsidRPr="00A64D2D">
              <w:rPr>
                <w:rStyle w:val="Hyperlink"/>
                <w:rFonts w:ascii="Times New Roman" w:eastAsia="Times New Roman" w:hAnsi="Times New Roman" w:cs="Times New Roman"/>
                <w:noProof/>
                <w:lang w:eastAsia="nl-NL"/>
              </w:rPr>
              <w:t>3.3. Institutional survival</w:t>
            </w:r>
            <w:r>
              <w:rPr>
                <w:noProof/>
                <w:webHidden/>
              </w:rPr>
              <w:tab/>
            </w:r>
            <w:r>
              <w:rPr>
                <w:noProof/>
                <w:webHidden/>
              </w:rPr>
              <w:fldChar w:fldCharType="begin"/>
            </w:r>
            <w:r>
              <w:rPr>
                <w:noProof/>
                <w:webHidden/>
              </w:rPr>
              <w:instrText xml:space="preserve"> PAGEREF _Toc152251993 \h </w:instrText>
            </w:r>
            <w:r>
              <w:rPr>
                <w:noProof/>
                <w:webHidden/>
              </w:rPr>
            </w:r>
            <w:r>
              <w:rPr>
                <w:noProof/>
                <w:webHidden/>
              </w:rPr>
              <w:fldChar w:fldCharType="separate"/>
            </w:r>
            <w:r>
              <w:rPr>
                <w:noProof/>
                <w:webHidden/>
              </w:rPr>
              <w:t>20</w:t>
            </w:r>
            <w:r>
              <w:rPr>
                <w:noProof/>
                <w:webHidden/>
              </w:rPr>
              <w:fldChar w:fldCharType="end"/>
            </w:r>
          </w:hyperlink>
        </w:p>
        <w:p w14:paraId="4141ED3E" w14:textId="5B43B1B2" w:rsidR="003B1A6D" w:rsidRDefault="003B1A6D">
          <w:pPr>
            <w:pStyle w:val="Inhopg2"/>
            <w:rPr>
              <w:rFonts w:eastAsiaTheme="minorEastAsia"/>
              <w:noProof/>
              <w:lang w:val="nl-NL" w:eastAsia="nl-NL"/>
            </w:rPr>
          </w:pPr>
          <w:hyperlink w:anchor="_Toc152251994" w:history="1">
            <w:r w:rsidRPr="00A64D2D">
              <w:rPr>
                <w:rStyle w:val="Hyperlink"/>
                <w:rFonts w:ascii="Times New Roman" w:hAnsi="Times New Roman" w:cs="Times New Roman"/>
                <w:noProof/>
              </w:rPr>
              <w:t>3.4. Interest groups</w:t>
            </w:r>
            <w:r>
              <w:rPr>
                <w:noProof/>
                <w:webHidden/>
              </w:rPr>
              <w:tab/>
            </w:r>
            <w:r>
              <w:rPr>
                <w:noProof/>
                <w:webHidden/>
              </w:rPr>
              <w:fldChar w:fldCharType="begin"/>
            </w:r>
            <w:r>
              <w:rPr>
                <w:noProof/>
                <w:webHidden/>
              </w:rPr>
              <w:instrText xml:space="preserve"> PAGEREF _Toc152251994 \h </w:instrText>
            </w:r>
            <w:r>
              <w:rPr>
                <w:noProof/>
                <w:webHidden/>
              </w:rPr>
            </w:r>
            <w:r>
              <w:rPr>
                <w:noProof/>
                <w:webHidden/>
              </w:rPr>
              <w:fldChar w:fldCharType="separate"/>
            </w:r>
            <w:r>
              <w:rPr>
                <w:noProof/>
                <w:webHidden/>
              </w:rPr>
              <w:t>21</w:t>
            </w:r>
            <w:r>
              <w:rPr>
                <w:noProof/>
                <w:webHidden/>
              </w:rPr>
              <w:fldChar w:fldCharType="end"/>
            </w:r>
          </w:hyperlink>
        </w:p>
        <w:p w14:paraId="19373798" w14:textId="2B767AC1" w:rsidR="003B1A6D" w:rsidRDefault="003B1A6D">
          <w:pPr>
            <w:pStyle w:val="Inhopg2"/>
            <w:rPr>
              <w:rFonts w:eastAsiaTheme="minorEastAsia"/>
              <w:noProof/>
              <w:lang w:val="nl-NL" w:eastAsia="nl-NL"/>
            </w:rPr>
          </w:pPr>
          <w:hyperlink w:anchor="_Toc152251995" w:history="1">
            <w:r w:rsidRPr="00A64D2D">
              <w:rPr>
                <w:rStyle w:val="Hyperlink"/>
                <w:rFonts w:ascii="Times New Roman" w:eastAsia="Times New Roman" w:hAnsi="Times New Roman" w:cs="Times New Roman"/>
                <w:noProof/>
                <w:lang w:eastAsia="nl-NL"/>
              </w:rPr>
              <w:t>3.5. Depoliticization</w:t>
            </w:r>
            <w:r>
              <w:rPr>
                <w:noProof/>
                <w:webHidden/>
              </w:rPr>
              <w:tab/>
            </w:r>
            <w:r>
              <w:rPr>
                <w:noProof/>
                <w:webHidden/>
              </w:rPr>
              <w:fldChar w:fldCharType="begin"/>
            </w:r>
            <w:r>
              <w:rPr>
                <w:noProof/>
                <w:webHidden/>
              </w:rPr>
              <w:instrText xml:space="preserve"> PAGEREF _Toc152251995 \h </w:instrText>
            </w:r>
            <w:r>
              <w:rPr>
                <w:noProof/>
                <w:webHidden/>
              </w:rPr>
            </w:r>
            <w:r>
              <w:rPr>
                <w:noProof/>
                <w:webHidden/>
              </w:rPr>
              <w:fldChar w:fldCharType="separate"/>
            </w:r>
            <w:r>
              <w:rPr>
                <w:noProof/>
                <w:webHidden/>
              </w:rPr>
              <w:t>22</w:t>
            </w:r>
            <w:r>
              <w:rPr>
                <w:noProof/>
                <w:webHidden/>
              </w:rPr>
              <w:fldChar w:fldCharType="end"/>
            </w:r>
          </w:hyperlink>
        </w:p>
        <w:p w14:paraId="765C9469" w14:textId="320D8570" w:rsidR="003B1A6D" w:rsidRDefault="003B1A6D">
          <w:pPr>
            <w:pStyle w:val="Inhopg2"/>
            <w:rPr>
              <w:rFonts w:eastAsiaTheme="minorEastAsia"/>
              <w:noProof/>
              <w:lang w:val="nl-NL" w:eastAsia="nl-NL"/>
            </w:rPr>
          </w:pPr>
          <w:hyperlink w:anchor="_Toc152251996" w:history="1">
            <w:r w:rsidRPr="00A64D2D">
              <w:rPr>
                <w:rStyle w:val="Hyperlink"/>
                <w:rFonts w:ascii="Times New Roman" w:eastAsia="Times New Roman" w:hAnsi="Times New Roman" w:cs="Times New Roman"/>
                <w:noProof/>
                <w:lang w:eastAsia="nl-NL"/>
              </w:rPr>
              <w:t>3.6. Chapter conclusion</w:t>
            </w:r>
            <w:r>
              <w:rPr>
                <w:noProof/>
                <w:webHidden/>
              </w:rPr>
              <w:tab/>
            </w:r>
            <w:r>
              <w:rPr>
                <w:noProof/>
                <w:webHidden/>
              </w:rPr>
              <w:fldChar w:fldCharType="begin"/>
            </w:r>
            <w:r>
              <w:rPr>
                <w:noProof/>
                <w:webHidden/>
              </w:rPr>
              <w:instrText xml:space="preserve"> PAGEREF _Toc152251996 \h </w:instrText>
            </w:r>
            <w:r>
              <w:rPr>
                <w:noProof/>
                <w:webHidden/>
              </w:rPr>
            </w:r>
            <w:r>
              <w:rPr>
                <w:noProof/>
                <w:webHidden/>
              </w:rPr>
              <w:fldChar w:fldCharType="separate"/>
            </w:r>
            <w:r>
              <w:rPr>
                <w:noProof/>
                <w:webHidden/>
              </w:rPr>
              <w:t>23</w:t>
            </w:r>
            <w:r>
              <w:rPr>
                <w:noProof/>
                <w:webHidden/>
              </w:rPr>
              <w:fldChar w:fldCharType="end"/>
            </w:r>
          </w:hyperlink>
        </w:p>
        <w:p w14:paraId="58B68A50" w14:textId="5D703D3F" w:rsidR="003B1A6D" w:rsidRDefault="003B1A6D">
          <w:pPr>
            <w:pStyle w:val="Inhopg1"/>
            <w:rPr>
              <w:rFonts w:eastAsiaTheme="minorEastAsia"/>
              <w:noProof/>
              <w:lang w:val="nl-NL" w:eastAsia="nl-NL"/>
            </w:rPr>
          </w:pPr>
          <w:hyperlink w:anchor="_Toc152251997" w:history="1">
            <w:r w:rsidRPr="00A64D2D">
              <w:rPr>
                <w:rStyle w:val="Hyperlink"/>
                <w:rFonts w:ascii="Times New Roman" w:hAnsi="Times New Roman"/>
                <w:noProof/>
              </w:rPr>
              <w:t>Chapter 4: Methods</w:t>
            </w:r>
            <w:r>
              <w:rPr>
                <w:noProof/>
                <w:webHidden/>
              </w:rPr>
              <w:tab/>
            </w:r>
            <w:r>
              <w:rPr>
                <w:noProof/>
                <w:webHidden/>
              </w:rPr>
              <w:fldChar w:fldCharType="begin"/>
            </w:r>
            <w:r>
              <w:rPr>
                <w:noProof/>
                <w:webHidden/>
              </w:rPr>
              <w:instrText xml:space="preserve"> PAGEREF _Toc152251997 \h </w:instrText>
            </w:r>
            <w:r>
              <w:rPr>
                <w:noProof/>
                <w:webHidden/>
              </w:rPr>
            </w:r>
            <w:r>
              <w:rPr>
                <w:noProof/>
                <w:webHidden/>
              </w:rPr>
              <w:fldChar w:fldCharType="separate"/>
            </w:r>
            <w:r>
              <w:rPr>
                <w:noProof/>
                <w:webHidden/>
              </w:rPr>
              <w:t>25</w:t>
            </w:r>
            <w:r>
              <w:rPr>
                <w:noProof/>
                <w:webHidden/>
              </w:rPr>
              <w:fldChar w:fldCharType="end"/>
            </w:r>
          </w:hyperlink>
        </w:p>
        <w:p w14:paraId="6DE4F6CD" w14:textId="2E14D0D3" w:rsidR="003B1A6D" w:rsidRDefault="003B1A6D">
          <w:pPr>
            <w:pStyle w:val="Inhopg2"/>
            <w:rPr>
              <w:rFonts w:eastAsiaTheme="minorEastAsia"/>
              <w:noProof/>
              <w:lang w:val="nl-NL" w:eastAsia="nl-NL"/>
            </w:rPr>
          </w:pPr>
          <w:hyperlink w:anchor="_Toc152251998" w:history="1">
            <w:r w:rsidRPr="00A64D2D">
              <w:rPr>
                <w:rStyle w:val="Hyperlink"/>
                <w:rFonts w:ascii="Times New Roman" w:hAnsi="Times New Roman" w:cs="Times New Roman"/>
                <w:noProof/>
              </w:rPr>
              <w:t>4.1. Qualitative research</w:t>
            </w:r>
            <w:r>
              <w:rPr>
                <w:noProof/>
                <w:webHidden/>
              </w:rPr>
              <w:tab/>
            </w:r>
            <w:r>
              <w:rPr>
                <w:noProof/>
                <w:webHidden/>
              </w:rPr>
              <w:fldChar w:fldCharType="begin"/>
            </w:r>
            <w:r>
              <w:rPr>
                <w:noProof/>
                <w:webHidden/>
              </w:rPr>
              <w:instrText xml:space="preserve"> PAGEREF _Toc152251998 \h </w:instrText>
            </w:r>
            <w:r>
              <w:rPr>
                <w:noProof/>
                <w:webHidden/>
              </w:rPr>
            </w:r>
            <w:r>
              <w:rPr>
                <w:noProof/>
                <w:webHidden/>
              </w:rPr>
              <w:fldChar w:fldCharType="separate"/>
            </w:r>
            <w:r>
              <w:rPr>
                <w:noProof/>
                <w:webHidden/>
              </w:rPr>
              <w:t>25</w:t>
            </w:r>
            <w:r>
              <w:rPr>
                <w:noProof/>
                <w:webHidden/>
              </w:rPr>
              <w:fldChar w:fldCharType="end"/>
            </w:r>
          </w:hyperlink>
        </w:p>
        <w:p w14:paraId="03DD0B37" w14:textId="4C382B54" w:rsidR="003B1A6D" w:rsidRDefault="003B1A6D">
          <w:pPr>
            <w:pStyle w:val="Inhopg2"/>
            <w:rPr>
              <w:rFonts w:eastAsiaTheme="minorEastAsia"/>
              <w:noProof/>
              <w:lang w:val="nl-NL" w:eastAsia="nl-NL"/>
            </w:rPr>
          </w:pPr>
          <w:hyperlink w:anchor="_Toc152251999" w:history="1">
            <w:r w:rsidRPr="00A64D2D">
              <w:rPr>
                <w:rStyle w:val="Hyperlink"/>
                <w:rFonts w:ascii="Times New Roman" w:hAnsi="Times New Roman" w:cs="Times New Roman"/>
                <w:noProof/>
              </w:rPr>
              <w:t>4.2. Case study</w:t>
            </w:r>
            <w:r>
              <w:rPr>
                <w:noProof/>
                <w:webHidden/>
              </w:rPr>
              <w:tab/>
            </w:r>
            <w:r>
              <w:rPr>
                <w:noProof/>
                <w:webHidden/>
              </w:rPr>
              <w:fldChar w:fldCharType="begin"/>
            </w:r>
            <w:r>
              <w:rPr>
                <w:noProof/>
                <w:webHidden/>
              </w:rPr>
              <w:instrText xml:space="preserve"> PAGEREF _Toc152251999 \h </w:instrText>
            </w:r>
            <w:r>
              <w:rPr>
                <w:noProof/>
                <w:webHidden/>
              </w:rPr>
            </w:r>
            <w:r>
              <w:rPr>
                <w:noProof/>
                <w:webHidden/>
              </w:rPr>
              <w:fldChar w:fldCharType="separate"/>
            </w:r>
            <w:r>
              <w:rPr>
                <w:noProof/>
                <w:webHidden/>
              </w:rPr>
              <w:t>25</w:t>
            </w:r>
            <w:r>
              <w:rPr>
                <w:noProof/>
                <w:webHidden/>
              </w:rPr>
              <w:fldChar w:fldCharType="end"/>
            </w:r>
          </w:hyperlink>
        </w:p>
        <w:p w14:paraId="5203F075" w14:textId="5ADF3FD0" w:rsidR="003B1A6D" w:rsidRDefault="003B1A6D">
          <w:pPr>
            <w:pStyle w:val="Inhopg2"/>
            <w:rPr>
              <w:rFonts w:eastAsiaTheme="minorEastAsia"/>
              <w:noProof/>
              <w:lang w:val="nl-NL" w:eastAsia="nl-NL"/>
            </w:rPr>
          </w:pPr>
          <w:hyperlink w:anchor="_Toc152252000" w:history="1">
            <w:r w:rsidRPr="00A64D2D">
              <w:rPr>
                <w:rStyle w:val="Hyperlink"/>
                <w:rFonts w:ascii="Times New Roman" w:hAnsi="Times New Roman" w:cs="Times New Roman"/>
                <w:noProof/>
              </w:rPr>
              <w:t>4.3. Process tracing</w:t>
            </w:r>
            <w:r>
              <w:rPr>
                <w:noProof/>
                <w:webHidden/>
              </w:rPr>
              <w:tab/>
            </w:r>
            <w:r>
              <w:rPr>
                <w:noProof/>
                <w:webHidden/>
              </w:rPr>
              <w:fldChar w:fldCharType="begin"/>
            </w:r>
            <w:r>
              <w:rPr>
                <w:noProof/>
                <w:webHidden/>
              </w:rPr>
              <w:instrText xml:space="preserve"> PAGEREF _Toc152252000 \h </w:instrText>
            </w:r>
            <w:r>
              <w:rPr>
                <w:noProof/>
                <w:webHidden/>
              </w:rPr>
            </w:r>
            <w:r>
              <w:rPr>
                <w:noProof/>
                <w:webHidden/>
              </w:rPr>
              <w:fldChar w:fldCharType="separate"/>
            </w:r>
            <w:r>
              <w:rPr>
                <w:noProof/>
                <w:webHidden/>
              </w:rPr>
              <w:t>26</w:t>
            </w:r>
            <w:r>
              <w:rPr>
                <w:noProof/>
                <w:webHidden/>
              </w:rPr>
              <w:fldChar w:fldCharType="end"/>
            </w:r>
          </w:hyperlink>
        </w:p>
        <w:p w14:paraId="7C2C8A2C" w14:textId="3B037720" w:rsidR="003B1A6D" w:rsidRDefault="003B1A6D">
          <w:pPr>
            <w:pStyle w:val="Inhopg2"/>
            <w:rPr>
              <w:rFonts w:eastAsiaTheme="minorEastAsia"/>
              <w:noProof/>
              <w:lang w:val="nl-NL" w:eastAsia="nl-NL"/>
            </w:rPr>
          </w:pPr>
          <w:hyperlink w:anchor="_Toc152252001" w:history="1">
            <w:r w:rsidRPr="00A64D2D">
              <w:rPr>
                <w:rStyle w:val="Hyperlink"/>
                <w:rFonts w:ascii="Times New Roman" w:hAnsi="Times New Roman" w:cs="Times New Roman"/>
                <w:noProof/>
              </w:rPr>
              <w:t>4.5. Content analysis</w:t>
            </w:r>
            <w:r>
              <w:rPr>
                <w:noProof/>
                <w:webHidden/>
              </w:rPr>
              <w:tab/>
            </w:r>
            <w:r>
              <w:rPr>
                <w:noProof/>
                <w:webHidden/>
              </w:rPr>
              <w:fldChar w:fldCharType="begin"/>
            </w:r>
            <w:r>
              <w:rPr>
                <w:noProof/>
                <w:webHidden/>
              </w:rPr>
              <w:instrText xml:space="preserve"> PAGEREF _Toc152252001 \h </w:instrText>
            </w:r>
            <w:r>
              <w:rPr>
                <w:noProof/>
                <w:webHidden/>
              </w:rPr>
            </w:r>
            <w:r>
              <w:rPr>
                <w:noProof/>
                <w:webHidden/>
              </w:rPr>
              <w:fldChar w:fldCharType="separate"/>
            </w:r>
            <w:r>
              <w:rPr>
                <w:noProof/>
                <w:webHidden/>
              </w:rPr>
              <w:t>27</w:t>
            </w:r>
            <w:r>
              <w:rPr>
                <w:noProof/>
                <w:webHidden/>
              </w:rPr>
              <w:fldChar w:fldCharType="end"/>
            </w:r>
          </w:hyperlink>
        </w:p>
        <w:p w14:paraId="53BDB9BC" w14:textId="0D3AC021" w:rsidR="003B1A6D" w:rsidRDefault="003B1A6D">
          <w:pPr>
            <w:pStyle w:val="Inhopg2"/>
            <w:rPr>
              <w:rFonts w:eastAsiaTheme="minorEastAsia"/>
              <w:noProof/>
              <w:lang w:val="nl-NL" w:eastAsia="nl-NL"/>
            </w:rPr>
          </w:pPr>
          <w:hyperlink w:anchor="_Toc152252002" w:history="1">
            <w:r w:rsidRPr="00A64D2D">
              <w:rPr>
                <w:rStyle w:val="Hyperlink"/>
                <w:rFonts w:ascii="Times New Roman" w:hAnsi="Times New Roman" w:cs="Times New Roman"/>
                <w:noProof/>
              </w:rPr>
              <w:t>4.6. Data sources</w:t>
            </w:r>
            <w:r>
              <w:rPr>
                <w:noProof/>
                <w:webHidden/>
              </w:rPr>
              <w:tab/>
            </w:r>
            <w:r>
              <w:rPr>
                <w:noProof/>
                <w:webHidden/>
              </w:rPr>
              <w:fldChar w:fldCharType="begin"/>
            </w:r>
            <w:r>
              <w:rPr>
                <w:noProof/>
                <w:webHidden/>
              </w:rPr>
              <w:instrText xml:space="preserve"> PAGEREF _Toc152252002 \h </w:instrText>
            </w:r>
            <w:r>
              <w:rPr>
                <w:noProof/>
                <w:webHidden/>
              </w:rPr>
            </w:r>
            <w:r>
              <w:rPr>
                <w:noProof/>
                <w:webHidden/>
              </w:rPr>
              <w:fldChar w:fldCharType="separate"/>
            </w:r>
            <w:r>
              <w:rPr>
                <w:noProof/>
                <w:webHidden/>
              </w:rPr>
              <w:t>28</w:t>
            </w:r>
            <w:r>
              <w:rPr>
                <w:noProof/>
                <w:webHidden/>
              </w:rPr>
              <w:fldChar w:fldCharType="end"/>
            </w:r>
          </w:hyperlink>
        </w:p>
        <w:p w14:paraId="308B55F6" w14:textId="4470D369" w:rsidR="003B1A6D" w:rsidRDefault="003B1A6D">
          <w:pPr>
            <w:pStyle w:val="Inhopg1"/>
            <w:rPr>
              <w:rFonts w:eastAsiaTheme="minorEastAsia"/>
              <w:noProof/>
              <w:lang w:val="nl-NL" w:eastAsia="nl-NL"/>
            </w:rPr>
          </w:pPr>
          <w:hyperlink w:anchor="_Toc152252003" w:history="1">
            <w:r w:rsidRPr="00A64D2D">
              <w:rPr>
                <w:rStyle w:val="Hyperlink"/>
                <w:rFonts w:ascii="Times New Roman" w:hAnsi="Times New Roman"/>
                <w:noProof/>
              </w:rPr>
              <w:t>Chapter 5: Analysis</w:t>
            </w:r>
            <w:r>
              <w:rPr>
                <w:noProof/>
                <w:webHidden/>
              </w:rPr>
              <w:tab/>
            </w:r>
            <w:r>
              <w:rPr>
                <w:noProof/>
                <w:webHidden/>
              </w:rPr>
              <w:fldChar w:fldCharType="begin"/>
            </w:r>
            <w:r>
              <w:rPr>
                <w:noProof/>
                <w:webHidden/>
              </w:rPr>
              <w:instrText xml:space="preserve"> PAGEREF _Toc152252003 \h </w:instrText>
            </w:r>
            <w:r>
              <w:rPr>
                <w:noProof/>
                <w:webHidden/>
              </w:rPr>
            </w:r>
            <w:r>
              <w:rPr>
                <w:noProof/>
                <w:webHidden/>
              </w:rPr>
              <w:fldChar w:fldCharType="separate"/>
            </w:r>
            <w:r>
              <w:rPr>
                <w:noProof/>
                <w:webHidden/>
              </w:rPr>
              <w:t>29</w:t>
            </w:r>
            <w:r>
              <w:rPr>
                <w:noProof/>
                <w:webHidden/>
              </w:rPr>
              <w:fldChar w:fldCharType="end"/>
            </w:r>
          </w:hyperlink>
        </w:p>
        <w:p w14:paraId="6C6D9116" w14:textId="69189328" w:rsidR="003B1A6D" w:rsidRDefault="003B1A6D">
          <w:pPr>
            <w:pStyle w:val="Inhopg2"/>
            <w:rPr>
              <w:rFonts w:eastAsiaTheme="minorEastAsia"/>
              <w:noProof/>
              <w:lang w:val="nl-NL" w:eastAsia="nl-NL"/>
            </w:rPr>
          </w:pPr>
          <w:hyperlink w:anchor="_Toc152252004" w:history="1">
            <w:r w:rsidRPr="00A64D2D">
              <w:rPr>
                <w:rStyle w:val="Hyperlink"/>
                <w:rFonts w:ascii="Times New Roman" w:hAnsi="Times New Roman" w:cs="Times New Roman"/>
                <w:noProof/>
              </w:rPr>
              <w:t>5.1. Autonomy gained in the 2019 regulation.</w:t>
            </w:r>
            <w:r>
              <w:rPr>
                <w:noProof/>
                <w:webHidden/>
              </w:rPr>
              <w:tab/>
            </w:r>
            <w:r>
              <w:rPr>
                <w:noProof/>
                <w:webHidden/>
              </w:rPr>
              <w:fldChar w:fldCharType="begin"/>
            </w:r>
            <w:r>
              <w:rPr>
                <w:noProof/>
                <w:webHidden/>
              </w:rPr>
              <w:instrText xml:space="preserve"> PAGEREF _Toc152252004 \h </w:instrText>
            </w:r>
            <w:r>
              <w:rPr>
                <w:noProof/>
                <w:webHidden/>
              </w:rPr>
            </w:r>
            <w:r>
              <w:rPr>
                <w:noProof/>
                <w:webHidden/>
              </w:rPr>
              <w:fldChar w:fldCharType="separate"/>
            </w:r>
            <w:r>
              <w:rPr>
                <w:noProof/>
                <w:webHidden/>
              </w:rPr>
              <w:t>29</w:t>
            </w:r>
            <w:r>
              <w:rPr>
                <w:noProof/>
                <w:webHidden/>
              </w:rPr>
              <w:fldChar w:fldCharType="end"/>
            </w:r>
          </w:hyperlink>
        </w:p>
        <w:p w14:paraId="4263E736" w14:textId="4813CEAE" w:rsidR="003B1A6D" w:rsidRDefault="003B1A6D">
          <w:pPr>
            <w:pStyle w:val="Inhopg2"/>
            <w:rPr>
              <w:rFonts w:eastAsiaTheme="minorEastAsia"/>
              <w:noProof/>
              <w:lang w:val="nl-NL" w:eastAsia="nl-NL"/>
            </w:rPr>
          </w:pPr>
          <w:hyperlink w:anchor="_Toc152252005" w:history="1">
            <w:r w:rsidRPr="00A64D2D">
              <w:rPr>
                <w:rStyle w:val="Hyperlink"/>
                <w:rFonts w:ascii="Times New Roman" w:hAnsi="Times New Roman" w:cs="Times New Roman"/>
                <w:noProof/>
              </w:rPr>
              <w:t>5.2. Types of autonomy</w:t>
            </w:r>
            <w:r>
              <w:rPr>
                <w:noProof/>
                <w:webHidden/>
              </w:rPr>
              <w:tab/>
            </w:r>
            <w:r>
              <w:rPr>
                <w:noProof/>
                <w:webHidden/>
              </w:rPr>
              <w:fldChar w:fldCharType="begin"/>
            </w:r>
            <w:r>
              <w:rPr>
                <w:noProof/>
                <w:webHidden/>
              </w:rPr>
              <w:instrText xml:space="preserve"> PAGEREF _Toc152252005 \h </w:instrText>
            </w:r>
            <w:r>
              <w:rPr>
                <w:noProof/>
                <w:webHidden/>
              </w:rPr>
            </w:r>
            <w:r>
              <w:rPr>
                <w:noProof/>
                <w:webHidden/>
              </w:rPr>
              <w:fldChar w:fldCharType="separate"/>
            </w:r>
            <w:r>
              <w:rPr>
                <w:noProof/>
                <w:webHidden/>
              </w:rPr>
              <w:t>29</w:t>
            </w:r>
            <w:r>
              <w:rPr>
                <w:noProof/>
                <w:webHidden/>
              </w:rPr>
              <w:fldChar w:fldCharType="end"/>
            </w:r>
          </w:hyperlink>
        </w:p>
        <w:p w14:paraId="0DA9E3F4" w14:textId="5CA72701" w:rsidR="003B1A6D" w:rsidRDefault="003B1A6D">
          <w:pPr>
            <w:pStyle w:val="Inhopg3"/>
            <w:tabs>
              <w:tab w:val="right" w:leader="dot" w:pos="9062"/>
            </w:tabs>
            <w:rPr>
              <w:rFonts w:eastAsiaTheme="minorEastAsia"/>
              <w:noProof/>
              <w:lang w:val="nl-NL" w:eastAsia="nl-NL"/>
            </w:rPr>
          </w:pPr>
          <w:hyperlink w:anchor="_Toc152252006" w:history="1">
            <w:r w:rsidRPr="00A64D2D">
              <w:rPr>
                <w:rStyle w:val="Hyperlink"/>
                <w:rFonts w:ascii="Times New Roman" w:hAnsi="Times New Roman" w:cs="Times New Roman"/>
                <w:noProof/>
              </w:rPr>
              <w:t>5.2.1. Personnel autonomy</w:t>
            </w:r>
            <w:r>
              <w:rPr>
                <w:noProof/>
                <w:webHidden/>
              </w:rPr>
              <w:tab/>
            </w:r>
            <w:r>
              <w:rPr>
                <w:noProof/>
                <w:webHidden/>
              </w:rPr>
              <w:fldChar w:fldCharType="begin"/>
            </w:r>
            <w:r>
              <w:rPr>
                <w:noProof/>
                <w:webHidden/>
              </w:rPr>
              <w:instrText xml:space="preserve"> PAGEREF _Toc152252006 \h </w:instrText>
            </w:r>
            <w:r>
              <w:rPr>
                <w:noProof/>
                <w:webHidden/>
              </w:rPr>
            </w:r>
            <w:r>
              <w:rPr>
                <w:noProof/>
                <w:webHidden/>
              </w:rPr>
              <w:fldChar w:fldCharType="separate"/>
            </w:r>
            <w:r>
              <w:rPr>
                <w:noProof/>
                <w:webHidden/>
              </w:rPr>
              <w:t>29</w:t>
            </w:r>
            <w:r>
              <w:rPr>
                <w:noProof/>
                <w:webHidden/>
              </w:rPr>
              <w:fldChar w:fldCharType="end"/>
            </w:r>
          </w:hyperlink>
        </w:p>
        <w:p w14:paraId="499AB93E" w14:textId="09370B44" w:rsidR="003B1A6D" w:rsidRDefault="003B1A6D">
          <w:pPr>
            <w:pStyle w:val="Inhopg3"/>
            <w:tabs>
              <w:tab w:val="right" w:leader="dot" w:pos="9062"/>
            </w:tabs>
            <w:rPr>
              <w:rFonts w:eastAsiaTheme="minorEastAsia"/>
              <w:noProof/>
              <w:lang w:val="nl-NL" w:eastAsia="nl-NL"/>
            </w:rPr>
          </w:pPr>
          <w:hyperlink w:anchor="_Toc152252007" w:history="1">
            <w:r w:rsidRPr="00A64D2D">
              <w:rPr>
                <w:rStyle w:val="Hyperlink"/>
                <w:rFonts w:ascii="Times New Roman" w:hAnsi="Times New Roman" w:cs="Times New Roman"/>
                <w:noProof/>
              </w:rPr>
              <w:t>5.2.2. Financial autonomy</w:t>
            </w:r>
            <w:r>
              <w:rPr>
                <w:noProof/>
                <w:webHidden/>
              </w:rPr>
              <w:tab/>
            </w:r>
            <w:r>
              <w:rPr>
                <w:noProof/>
                <w:webHidden/>
              </w:rPr>
              <w:fldChar w:fldCharType="begin"/>
            </w:r>
            <w:r>
              <w:rPr>
                <w:noProof/>
                <w:webHidden/>
              </w:rPr>
              <w:instrText xml:space="preserve"> PAGEREF _Toc152252007 \h </w:instrText>
            </w:r>
            <w:r>
              <w:rPr>
                <w:noProof/>
                <w:webHidden/>
              </w:rPr>
            </w:r>
            <w:r>
              <w:rPr>
                <w:noProof/>
                <w:webHidden/>
              </w:rPr>
              <w:fldChar w:fldCharType="separate"/>
            </w:r>
            <w:r>
              <w:rPr>
                <w:noProof/>
                <w:webHidden/>
              </w:rPr>
              <w:t>30</w:t>
            </w:r>
            <w:r>
              <w:rPr>
                <w:noProof/>
                <w:webHidden/>
              </w:rPr>
              <w:fldChar w:fldCharType="end"/>
            </w:r>
          </w:hyperlink>
        </w:p>
        <w:p w14:paraId="4FC162CE" w14:textId="72EE75C2" w:rsidR="003B1A6D" w:rsidRDefault="003B1A6D">
          <w:pPr>
            <w:pStyle w:val="Inhopg3"/>
            <w:tabs>
              <w:tab w:val="right" w:leader="dot" w:pos="9062"/>
            </w:tabs>
            <w:rPr>
              <w:rFonts w:eastAsiaTheme="minorEastAsia"/>
              <w:noProof/>
              <w:lang w:val="nl-NL" w:eastAsia="nl-NL"/>
            </w:rPr>
          </w:pPr>
          <w:hyperlink w:anchor="_Toc152252008" w:history="1">
            <w:r w:rsidRPr="00A64D2D">
              <w:rPr>
                <w:rStyle w:val="Hyperlink"/>
                <w:rFonts w:ascii="Times New Roman" w:hAnsi="Times New Roman" w:cs="Times New Roman"/>
                <w:noProof/>
              </w:rPr>
              <w:t>5.2.3 Policy/financial autonomy</w:t>
            </w:r>
            <w:r>
              <w:rPr>
                <w:noProof/>
                <w:webHidden/>
              </w:rPr>
              <w:tab/>
            </w:r>
            <w:r>
              <w:rPr>
                <w:noProof/>
                <w:webHidden/>
              </w:rPr>
              <w:fldChar w:fldCharType="begin"/>
            </w:r>
            <w:r>
              <w:rPr>
                <w:noProof/>
                <w:webHidden/>
              </w:rPr>
              <w:instrText xml:space="preserve"> PAGEREF _Toc152252008 \h </w:instrText>
            </w:r>
            <w:r>
              <w:rPr>
                <w:noProof/>
                <w:webHidden/>
              </w:rPr>
            </w:r>
            <w:r>
              <w:rPr>
                <w:noProof/>
                <w:webHidden/>
              </w:rPr>
              <w:fldChar w:fldCharType="separate"/>
            </w:r>
            <w:r>
              <w:rPr>
                <w:noProof/>
                <w:webHidden/>
              </w:rPr>
              <w:t>30</w:t>
            </w:r>
            <w:r>
              <w:rPr>
                <w:noProof/>
                <w:webHidden/>
              </w:rPr>
              <w:fldChar w:fldCharType="end"/>
            </w:r>
          </w:hyperlink>
        </w:p>
        <w:p w14:paraId="48F84629" w14:textId="5807A7E9" w:rsidR="003B1A6D" w:rsidRDefault="003B1A6D">
          <w:pPr>
            <w:pStyle w:val="Inhopg3"/>
            <w:tabs>
              <w:tab w:val="right" w:leader="dot" w:pos="9062"/>
            </w:tabs>
            <w:rPr>
              <w:rFonts w:eastAsiaTheme="minorEastAsia"/>
              <w:noProof/>
              <w:lang w:val="nl-NL" w:eastAsia="nl-NL"/>
            </w:rPr>
          </w:pPr>
          <w:hyperlink w:anchor="_Toc152252009" w:history="1">
            <w:r w:rsidRPr="00A64D2D">
              <w:rPr>
                <w:rStyle w:val="Hyperlink"/>
                <w:rFonts w:ascii="Times New Roman" w:hAnsi="Times New Roman" w:cs="Times New Roman"/>
                <w:noProof/>
              </w:rPr>
              <w:t>5.2.4. Legal autonomy</w:t>
            </w:r>
            <w:r>
              <w:rPr>
                <w:noProof/>
                <w:webHidden/>
              </w:rPr>
              <w:tab/>
            </w:r>
            <w:r>
              <w:rPr>
                <w:noProof/>
                <w:webHidden/>
              </w:rPr>
              <w:fldChar w:fldCharType="begin"/>
            </w:r>
            <w:r>
              <w:rPr>
                <w:noProof/>
                <w:webHidden/>
              </w:rPr>
              <w:instrText xml:space="preserve"> PAGEREF _Toc152252009 \h </w:instrText>
            </w:r>
            <w:r>
              <w:rPr>
                <w:noProof/>
                <w:webHidden/>
              </w:rPr>
            </w:r>
            <w:r>
              <w:rPr>
                <w:noProof/>
                <w:webHidden/>
              </w:rPr>
              <w:fldChar w:fldCharType="separate"/>
            </w:r>
            <w:r>
              <w:rPr>
                <w:noProof/>
                <w:webHidden/>
              </w:rPr>
              <w:t>30</w:t>
            </w:r>
            <w:r>
              <w:rPr>
                <w:noProof/>
                <w:webHidden/>
              </w:rPr>
              <w:fldChar w:fldCharType="end"/>
            </w:r>
          </w:hyperlink>
        </w:p>
        <w:p w14:paraId="77A87E1D" w14:textId="1979FC04" w:rsidR="003B1A6D" w:rsidRDefault="003B1A6D">
          <w:pPr>
            <w:pStyle w:val="Inhopg2"/>
            <w:rPr>
              <w:rFonts w:eastAsiaTheme="minorEastAsia"/>
              <w:noProof/>
              <w:lang w:val="nl-NL" w:eastAsia="nl-NL"/>
            </w:rPr>
          </w:pPr>
          <w:hyperlink w:anchor="_Toc152252010" w:history="1">
            <w:r w:rsidRPr="00A64D2D">
              <w:rPr>
                <w:rStyle w:val="Hyperlink"/>
                <w:rFonts w:ascii="Times New Roman" w:hAnsi="Times New Roman" w:cs="Times New Roman"/>
                <w:noProof/>
              </w:rPr>
              <w:t>5.3. Institutional characteristics Frontex</w:t>
            </w:r>
            <w:r>
              <w:rPr>
                <w:noProof/>
                <w:webHidden/>
              </w:rPr>
              <w:tab/>
            </w:r>
            <w:r>
              <w:rPr>
                <w:noProof/>
                <w:webHidden/>
              </w:rPr>
              <w:fldChar w:fldCharType="begin"/>
            </w:r>
            <w:r>
              <w:rPr>
                <w:noProof/>
                <w:webHidden/>
              </w:rPr>
              <w:instrText xml:space="preserve"> PAGEREF _Toc152252010 \h </w:instrText>
            </w:r>
            <w:r>
              <w:rPr>
                <w:noProof/>
                <w:webHidden/>
              </w:rPr>
            </w:r>
            <w:r>
              <w:rPr>
                <w:noProof/>
                <w:webHidden/>
              </w:rPr>
              <w:fldChar w:fldCharType="separate"/>
            </w:r>
            <w:r>
              <w:rPr>
                <w:noProof/>
                <w:webHidden/>
              </w:rPr>
              <w:t>31</w:t>
            </w:r>
            <w:r>
              <w:rPr>
                <w:noProof/>
                <w:webHidden/>
              </w:rPr>
              <w:fldChar w:fldCharType="end"/>
            </w:r>
          </w:hyperlink>
        </w:p>
        <w:p w14:paraId="15FB1BF8" w14:textId="1E1970A5" w:rsidR="003B1A6D" w:rsidRDefault="003B1A6D">
          <w:pPr>
            <w:pStyle w:val="Inhopg2"/>
            <w:rPr>
              <w:rFonts w:eastAsiaTheme="minorEastAsia"/>
              <w:noProof/>
              <w:lang w:val="nl-NL" w:eastAsia="nl-NL"/>
            </w:rPr>
          </w:pPr>
          <w:hyperlink w:anchor="_Toc152252011" w:history="1">
            <w:r w:rsidRPr="00A64D2D">
              <w:rPr>
                <w:rStyle w:val="Hyperlink"/>
                <w:rFonts w:ascii="Times New Roman" w:hAnsi="Times New Roman" w:cs="Times New Roman"/>
                <w:noProof/>
              </w:rPr>
              <w:t>5.4. Chapter conclusion</w:t>
            </w:r>
            <w:r>
              <w:rPr>
                <w:noProof/>
                <w:webHidden/>
              </w:rPr>
              <w:tab/>
            </w:r>
            <w:r>
              <w:rPr>
                <w:noProof/>
                <w:webHidden/>
              </w:rPr>
              <w:fldChar w:fldCharType="begin"/>
            </w:r>
            <w:r>
              <w:rPr>
                <w:noProof/>
                <w:webHidden/>
              </w:rPr>
              <w:instrText xml:space="preserve"> PAGEREF _Toc152252011 \h </w:instrText>
            </w:r>
            <w:r>
              <w:rPr>
                <w:noProof/>
                <w:webHidden/>
              </w:rPr>
            </w:r>
            <w:r>
              <w:rPr>
                <w:noProof/>
                <w:webHidden/>
              </w:rPr>
              <w:fldChar w:fldCharType="separate"/>
            </w:r>
            <w:r>
              <w:rPr>
                <w:noProof/>
                <w:webHidden/>
              </w:rPr>
              <w:t>31</w:t>
            </w:r>
            <w:r>
              <w:rPr>
                <w:noProof/>
                <w:webHidden/>
              </w:rPr>
              <w:fldChar w:fldCharType="end"/>
            </w:r>
          </w:hyperlink>
        </w:p>
        <w:p w14:paraId="5D6CAF44" w14:textId="72A42725" w:rsidR="003B1A6D" w:rsidRDefault="003B1A6D">
          <w:pPr>
            <w:pStyle w:val="Inhopg1"/>
            <w:rPr>
              <w:rFonts w:eastAsiaTheme="minorEastAsia"/>
              <w:noProof/>
              <w:lang w:val="nl-NL" w:eastAsia="nl-NL"/>
            </w:rPr>
          </w:pPr>
          <w:hyperlink w:anchor="_Toc152252012" w:history="1">
            <w:r w:rsidRPr="00A64D2D">
              <w:rPr>
                <w:rStyle w:val="Hyperlink"/>
                <w:rFonts w:ascii="Times New Roman" w:hAnsi="Times New Roman"/>
                <w:noProof/>
              </w:rPr>
              <w:t>Chapter 6: Institutional survival &amp; Lobbyists</w:t>
            </w:r>
            <w:r>
              <w:rPr>
                <w:noProof/>
                <w:webHidden/>
              </w:rPr>
              <w:tab/>
            </w:r>
            <w:r>
              <w:rPr>
                <w:noProof/>
                <w:webHidden/>
              </w:rPr>
              <w:fldChar w:fldCharType="begin"/>
            </w:r>
            <w:r>
              <w:rPr>
                <w:noProof/>
                <w:webHidden/>
              </w:rPr>
              <w:instrText xml:space="preserve"> PAGEREF _Toc152252012 \h </w:instrText>
            </w:r>
            <w:r>
              <w:rPr>
                <w:noProof/>
                <w:webHidden/>
              </w:rPr>
            </w:r>
            <w:r>
              <w:rPr>
                <w:noProof/>
                <w:webHidden/>
              </w:rPr>
              <w:fldChar w:fldCharType="separate"/>
            </w:r>
            <w:r>
              <w:rPr>
                <w:noProof/>
                <w:webHidden/>
              </w:rPr>
              <w:t>32</w:t>
            </w:r>
            <w:r>
              <w:rPr>
                <w:noProof/>
                <w:webHidden/>
              </w:rPr>
              <w:fldChar w:fldCharType="end"/>
            </w:r>
          </w:hyperlink>
        </w:p>
        <w:p w14:paraId="2D8CAA0E" w14:textId="40AF33C8" w:rsidR="003B1A6D" w:rsidRDefault="003B1A6D">
          <w:pPr>
            <w:pStyle w:val="Inhopg2"/>
            <w:rPr>
              <w:rFonts w:eastAsiaTheme="minorEastAsia"/>
              <w:noProof/>
              <w:lang w:val="nl-NL" w:eastAsia="nl-NL"/>
            </w:rPr>
          </w:pPr>
          <w:hyperlink w:anchor="_Toc152252013" w:history="1">
            <w:r w:rsidRPr="00A64D2D">
              <w:rPr>
                <w:rStyle w:val="Hyperlink"/>
                <w:rFonts w:ascii="Times New Roman" w:hAnsi="Times New Roman" w:cs="Times New Roman"/>
                <w:noProof/>
              </w:rPr>
              <w:t>6.1. Frontex pre-2011</w:t>
            </w:r>
            <w:r>
              <w:rPr>
                <w:noProof/>
                <w:webHidden/>
              </w:rPr>
              <w:tab/>
            </w:r>
            <w:r>
              <w:rPr>
                <w:noProof/>
                <w:webHidden/>
              </w:rPr>
              <w:fldChar w:fldCharType="begin"/>
            </w:r>
            <w:r>
              <w:rPr>
                <w:noProof/>
                <w:webHidden/>
              </w:rPr>
              <w:instrText xml:space="preserve"> PAGEREF _Toc152252013 \h </w:instrText>
            </w:r>
            <w:r>
              <w:rPr>
                <w:noProof/>
                <w:webHidden/>
              </w:rPr>
            </w:r>
            <w:r>
              <w:rPr>
                <w:noProof/>
                <w:webHidden/>
              </w:rPr>
              <w:fldChar w:fldCharType="separate"/>
            </w:r>
            <w:r>
              <w:rPr>
                <w:noProof/>
                <w:webHidden/>
              </w:rPr>
              <w:t>32</w:t>
            </w:r>
            <w:r>
              <w:rPr>
                <w:noProof/>
                <w:webHidden/>
              </w:rPr>
              <w:fldChar w:fldCharType="end"/>
            </w:r>
          </w:hyperlink>
        </w:p>
        <w:p w14:paraId="0864B993" w14:textId="69C9A728" w:rsidR="003B1A6D" w:rsidRDefault="003B1A6D">
          <w:pPr>
            <w:pStyle w:val="Inhopg2"/>
            <w:rPr>
              <w:rFonts w:eastAsiaTheme="minorEastAsia"/>
              <w:noProof/>
              <w:lang w:val="nl-NL" w:eastAsia="nl-NL"/>
            </w:rPr>
          </w:pPr>
          <w:hyperlink w:anchor="_Toc152252014" w:history="1">
            <w:r w:rsidRPr="00A64D2D">
              <w:rPr>
                <w:rStyle w:val="Hyperlink"/>
                <w:rFonts w:ascii="Times New Roman" w:hAnsi="Times New Roman" w:cs="Times New Roman"/>
                <w:noProof/>
                <w:shd w:val="clear" w:color="auto" w:fill="FFFFFF"/>
              </w:rPr>
              <w:t>6.2. Frontex 2011-2016</w:t>
            </w:r>
            <w:r>
              <w:rPr>
                <w:noProof/>
                <w:webHidden/>
              </w:rPr>
              <w:tab/>
            </w:r>
            <w:r>
              <w:rPr>
                <w:noProof/>
                <w:webHidden/>
              </w:rPr>
              <w:fldChar w:fldCharType="begin"/>
            </w:r>
            <w:r>
              <w:rPr>
                <w:noProof/>
                <w:webHidden/>
              </w:rPr>
              <w:instrText xml:space="preserve"> PAGEREF _Toc152252014 \h </w:instrText>
            </w:r>
            <w:r>
              <w:rPr>
                <w:noProof/>
                <w:webHidden/>
              </w:rPr>
            </w:r>
            <w:r>
              <w:rPr>
                <w:noProof/>
                <w:webHidden/>
              </w:rPr>
              <w:fldChar w:fldCharType="separate"/>
            </w:r>
            <w:r>
              <w:rPr>
                <w:noProof/>
                <w:webHidden/>
              </w:rPr>
              <w:t>32</w:t>
            </w:r>
            <w:r>
              <w:rPr>
                <w:noProof/>
                <w:webHidden/>
              </w:rPr>
              <w:fldChar w:fldCharType="end"/>
            </w:r>
          </w:hyperlink>
        </w:p>
        <w:p w14:paraId="1B2FF1C1" w14:textId="5FBF4D51" w:rsidR="003B1A6D" w:rsidRDefault="003B1A6D">
          <w:pPr>
            <w:pStyle w:val="Inhopg2"/>
            <w:rPr>
              <w:rFonts w:eastAsiaTheme="minorEastAsia"/>
              <w:noProof/>
              <w:lang w:val="nl-NL" w:eastAsia="nl-NL"/>
            </w:rPr>
          </w:pPr>
          <w:hyperlink w:anchor="_Toc152252015" w:history="1">
            <w:r w:rsidRPr="00A64D2D">
              <w:rPr>
                <w:rStyle w:val="Hyperlink"/>
                <w:rFonts w:ascii="Times New Roman" w:hAnsi="Times New Roman" w:cs="Times New Roman"/>
                <w:noProof/>
              </w:rPr>
              <w:t>6.3. Frontex 2016-2019</w:t>
            </w:r>
            <w:r>
              <w:rPr>
                <w:noProof/>
                <w:webHidden/>
              </w:rPr>
              <w:tab/>
            </w:r>
            <w:r>
              <w:rPr>
                <w:noProof/>
                <w:webHidden/>
              </w:rPr>
              <w:fldChar w:fldCharType="begin"/>
            </w:r>
            <w:r>
              <w:rPr>
                <w:noProof/>
                <w:webHidden/>
              </w:rPr>
              <w:instrText xml:space="preserve"> PAGEREF _Toc152252015 \h </w:instrText>
            </w:r>
            <w:r>
              <w:rPr>
                <w:noProof/>
                <w:webHidden/>
              </w:rPr>
            </w:r>
            <w:r>
              <w:rPr>
                <w:noProof/>
                <w:webHidden/>
              </w:rPr>
              <w:fldChar w:fldCharType="separate"/>
            </w:r>
            <w:r>
              <w:rPr>
                <w:noProof/>
                <w:webHidden/>
              </w:rPr>
              <w:t>36</w:t>
            </w:r>
            <w:r>
              <w:rPr>
                <w:noProof/>
                <w:webHidden/>
              </w:rPr>
              <w:fldChar w:fldCharType="end"/>
            </w:r>
          </w:hyperlink>
        </w:p>
        <w:p w14:paraId="195A392E" w14:textId="6BFB75DF" w:rsidR="003B1A6D" w:rsidRDefault="003B1A6D">
          <w:pPr>
            <w:pStyle w:val="Inhopg2"/>
            <w:rPr>
              <w:rFonts w:eastAsiaTheme="minorEastAsia"/>
              <w:noProof/>
              <w:lang w:val="nl-NL" w:eastAsia="nl-NL"/>
            </w:rPr>
          </w:pPr>
          <w:hyperlink w:anchor="_Toc152252016" w:history="1">
            <w:r w:rsidRPr="00A64D2D">
              <w:rPr>
                <w:rStyle w:val="Hyperlink"/>
                <w:rFonts w:ascii="Times New Roman" w:hAnsi="Times New Roman" w:cs="Times New Roman"/>
                <w:noProof/>
              </w:rPr>
              <w:t>6.4. Proposal by the Commission (12-09-2018)</w:t>
            </w:r>
            <w:r>
              <w:rPr>
                <w:noProof/>
                <w:webHidden/>
              </w:rPr>
              <w:tab/>
            </w:r>
            <w:r>
              <w:rPr>
                <w:noProof/>
                <w:webHidden/>
              </w:rPr>
              <w:fldChar w:fldCharType="begin"/>
            </w:r>
            <w:r>
              <w:rPr>
                <w:noProof/>
                <w:webHidden/>
              </w:rPr>
              <w:instrText xml:space="preserve"> PAGEREF _Toc152252016 \h </w:instrText>
            </w:r>
            <w:r>
              <w:rPr>
                <w:noProof/>
                <w:webHidden/>
              </w:rPr>
            </w:r>
            <w:r>
              <w:rPr>
                <w:noProof/>
                <w:webHidden/>
              </w:rPr>
              <w:fldChar w:fldCharType="separate"/>
            </w:r>
            <w:r>
              <w:rPr>
                <w:noProof/>
                <w:webHidden/>
              </w:rPr>
              <w:t>37</w:t>
            </w:r>
            <w:r>
              <w:rPr>
                <w:noProof/>
                <w:webHidden/>
              </w:rPr>
              <w:fldChar w:fldCharType="end"/>
            </w:r>
          </w:hyperlink>
        </w:p>
        <w:p w14:paraId="355058CD" w14:textId="29C721EB" w:rsidR="003B1A6D" w:rsidRDefault="003B1A6D">
          <w:pPr>
            <w:pStyle w:val="Inhopg1"/>
            <w:rPr>
              <w:rFonts w:eastAsiaTheme="minorEastAsia"/>
              <w:noProof/>
              <w:lang w:val="nl-NL" w:eastAsia="nl-NL"/>
            </w:rPr>
          </w:pPr>
          <w:hyperlink w:anchor="_Toc152252017" w:history="1">
            <w:r w:rsidRPr="00A64D2D">
              <w:rPr>
                <w:rStyle w:val="Hyperlink"/>
                <w:rFonts w:ascii="Times New Roman" w:hAnsi="Times New Roman"/>
                <w:noProof/>
              </w:rPr>
              <w:t>Chapter 7: Role of the Commission, EP and member states</w:t>
            </w:r>
            <w:r>
              <w:rPr>
                <w:noProof/>
                <w:webHidden/>
              </w:rPr>
              <w:tab/>
            </w:r>
            <w:r>
              <w:rPr>
                <w:noProof/>
                <w:webHidden/>
              </w:rPr>
              <w:fldChar w:fldCharType="begin"/>
            </w:r>
            <w:r>
              <w:rPr>
                <w:noProof/>
                <w:webHidden/>
              </w:rPr>
              <w:instrText xml:space="preserve"> PAGEREF _Toc152252017 \h </w:instrText>
            </w:r>
            <w:r>
              <w:rPr>
                <w:noProof/>
                <w:webHidden/>
              </w:rPr>
            </w:r>
            <w:r>
              <w:rPr>
                <w:noProof/>
                <w:webHidden/>
              </w:rPr>
              <w:fldChar w:fldCharType="separate"/>
            </w:r>
            <w:r>
              <w:rPr>
                <w:noProof/>
                <w:webHidden/>
              </w:rPr>
              <w:t>39</w:t>
            </w:r>
            <w:r>
              <w:rPr>
                <w:noProof/>
                <w:webHidden/>
              </w:rPr>
              <w:fldChar w:fldCharType="end"/>
            </w:r>
          </w:hyperlink>
        </w:p>
        <w:p w14:paraId="666B8810" w14:textId="1EDF3D3C" w:rsidR="003B1A6D" w:rsidRDefault="003B1A6D">
          <w:pPr>
            <w:pStyle w:val="Inhopg2"/>
            <w:rPr>
              <w:rFonts w:eastAsiaTheme="minorEastAsia"/>
              <w:noProof/>
              <w:lang w:val="nl-NL" w:eastAsia="nl-NL"/>
            </w:rPr>
          </w:pPr>
          <w:hyperlink w:anchor="_Toc152252018" w:history="1">
            <w:r w:rsidRPr="00A64D2D">
              <w:rPr>
                <w:rStyle w:val="Hyperlink"/>
                <w:rFonts w:ascii="Times New Roman" w:hAnsi="Times New Roman" w:cs="Times New Roman"/>
                <w:noProof/>
              </w:rPr>
              <w:t>7.1. Frontex pre-2016</w:t>
            </w:r>
            <w:r>
              <w:rPr>
                <w:noProof/>
                <w:webHidden/>
              </w:rPr>
              <w:tab/>
            </w:r>
            <w:r>
              <w:rPr>
                <w:noProof/>
                <w:webHidden/>
              </w:rPr>
              <w:fldChar w:fldCharType="begin"/>
            </w:r>
            <w:r>
              <w:rPr>
                <w:noProof/>
                <w:webHidden/>
              </w:rPr>
              <w:instrText xml:space="preserve"> PAGEREF _Toc152252018 \h </w:instrText>
            </w:r>
            <w:r>
              <w:rPr>
                <w:noProof/>
                <w:webHidden/>
              </w:rPr>
            </w:r>
            <w:r>
              <w:rPr>
                <w:noProof/>
                <w:webHidden/>
              </w:rPr>
              <w:fldChar w:fldCharType="separate"/>
            </w:r>
            <w:r>
              <w:rPr>
                <w:noProof/>
                <w:webHidden/>
              </w:rPr>
              <w:t>39</w:t>
            </w:r>
            <w:r>
              <w:rPr>
                <w:noProof/>
                <w:webHidden/>
              </w:rPr>
              <w:fldChar w:fldCharType="end"/>
            </w:r>
          </w:hyperlink>
        </w:p>
        <w:p w14:paraId="464FB49D" w14:textId="450228B5" w:rsidR="003B1A6D" w:rsidRDefault="003B1A6D">
          <w:pPr>
            <w:pStyle w:val="Inhopg2"/>
            <w:rPr>
              <w:rFonts w:eastAsiaTheme="minorEastAsia"/>
              <w:noProof/>
              <w:lang w:val="nl-NL" w:eastAsia="nl-NL"/>
            </w:rPr>
          </w:pPr>
          <w:hyperlink w:anchor="_Toc152252019" w:history="1">
            <w:r w:rsidRPr="00A64D2D">
              <w:rPr>
                <w:rStyle w:val="Hyperlink"/>
                <w:rFonts w:ascii="Times New Roman" w:hAnsi="Times New Roman" w:cs="Times New Roman"/>
                <w:noProof/>
              </w:rPr>
              <w:t>7.2. 2016 regulation</w:t>
            </w:r>
            <w:r>
              <w:rPr>
                <w:noProof/>
                <w:webHidden/>
              </w:rPr>
              <w:tab/>
            </w:r>
            <w:r>
              <w:rPr>
                <w:noProof/>
                <w:webHidden/>
              </w:rPr>
              <w:fldChar w:fldCharType="begin"/>
            </w:r>
            <w:r>
              <w:rPr>
                <w:noProof/>
                <w:webHidden/>
              </w:rPr>
              <w:instrText xml:space="preserve"> PAGEREF _Toc152252019 \h </w:instrText>
            </w:r>
            <w:r>
              <w:rPr>
                <w:noProof/>
                <w:webHidden/>
              </w:rPr>
            </w:r>
            <w:r>
              <w:rPr>
                <w:noProof/>
                <w:webHidden/>
              </w:rPr>
              <w:fldChar w:fldCharType="separate"/>
            </w:r>
            <w:r>
              <w:rPr>
                <w:noProof/>
                <w:webHidden/>
              </w:rPr>
              <w:t>39</w:t>
            </w:r>
            <w:r>
              <w:rPr>
                <w:noProof/>
                <w:webHidden/>
              </w:rPr>
              <w:fldChar w:fldCharType="end"/>
            </w:r>
          </w:hyperlink>
        </w:p>
        <w:p w14:paraId="7AD0CCF7" w14:textId="5842A00F" w:rsidR="003B1A6D" w:rsidRDefault="003B1A6D">
          <w:pPr>
            <w:pStyle w:val="Inhopg2"/>
            <w:rPr>
              <w:rFonts w:eastAsiaTheme="minorEastAsia"/>
              <w:noProof/>
              <w:lang w:val="nl-NL" w:eastAsia="nl-NL"/>
            </w:rPr>
          </w:pPr>
          <w:hyperlink w:anchor="_Toc152252020" w:history="1">
            <w:r w:rsidRPr="00A64D2D">
              <w:rPr>
                <w:rStyle w:val="Hyperlink"/>
                <w:rFonts w:ascii="Times New Roman" w:hAnsi="Times New Roman" w:cs="Times New Roman"/>
                <w:noProof/>
                <w:shd w:val="clear" w:color="auto" w:fill="FFFFFF"/>
              </w:rPr>
              <w:t>7.3. 2019 Regulation</w:t>
            </w:r>
            <w:r>
              <w:rPr>
                <w:noProof/>
                <w:webHidden/>
              </w:rPr>
              <w:tab/>
            </w:r>
            <w:r>
              <w:rPr>
                <w:noProof/>
                <w:webHidden/>
              </w:rPr>
              <w:fldChar w:fldCharType="begin"/>
            </w:r>
            <w:r>
              <w:rPr>
                <w:noProof/>
                <w:webHidden/>
              </w:rPr>
              <w:instrText xml:space="preserve"> PAGEREF _Toc152252020 \h </w:instrText>
            </w:r>
            <w:r>
              <w:rPr>
                <w:noProof/>
                <w:webHidden/>
              </w:rPr>
            </w:r>
            <w:r>
              <w:rPr>
                <w:noProof/>
                <w:webHidden/>
              </w:rPr>
              <w:fldChar w:fldCharType="separate"/>
            </w:r>
            <w:r>
              <w:rPr>
                <w:noProof/>
                <w:webHidden/>
              </w:rPr>
              <w:t>41</w:t>
            </w:r>
            <w:r>
              <w:rPr>
                <w:noProof/>
                <w:webHidden/>
              </w:rPr>
              <w:fldChar w:fldCharType="end"/>
            </w:r>
          </w:hyperlink>
        </w:p>
        <w:p w14:paraId="37540915" w14:textId="68300A94" w:rsidR="003B1A6D" w:rsidRDefault="003B1A6D">
          <w:pPr>
            <w:pStyle w:val="Inhopg1"/>
            <w:rPr>
              <w:rFonts w:eastAsiaTheme="minorEastAsia"/>
              <w:noProof/>
              <w:lang w:val="nl-NL" w:eastAsia="nl-NL"/>
            </w:rPr>
          </w:pPr>
          <w:hyperlink w:anchor="_Toc152252021" w:history="1">
            <w:r w:rsidRPr="00A64D2D">
              <w:rPr>
                <w:rStyle w:val="Hyperlink"/>
                <w:rFonts w:ascii="Times New Roman" w:hAnsi="Times New Roman"/>
                <w:noProof/>
              </w:rPr>
              <w:t>Chapter 8: Conclusion</w:t>
            </w:r>
            <w:r>
              <w:rPr>
                <w:noProof/>
                <w:webHidden/>
              </w:rPr>
              <w:tab/>
            </w:r>
            <w:r>
              <w:rPr>
                <w:noProof/>
                <w:webHidden/>
              </w:rPr>
              <w:fldChar w:fldCharType="begin"/>
            </w:r>
            <w:r>
              <w:rPr>
                <w:noProof/>
                <w:webHidden/>
              </w:rPr>
              <w:instrText xml:space="preserve"> PAGEREF _Toc152252021 \h </w:instrText>
            </w:r>
            <w:r>
              <w:rPr>
                <w:noProof/>
                <w:webHidden/>
              </w:rPr>
            </w:r>
            <w:r>
              <w:rPr>
                <w:noProof/>
                <w:webHidden/>
              </w:rPr>
              <w:fldChar w:fldCharType="separate"/>
            </w:r>
            <w:r>
              <w:rPr>
                <w:noProof/>
                <w:webHidden/>
              </w:rPr>
              <w:t>42</w:t>
            </w:r>
            <w:r>
              <w:rPr>
                <w:noProof/>
                <w:webHidden/>
              </w:rPr>
              <w:fldChar w:fldCharType="end"/>
            </w:r>
          </w:hyperlink>
        </w:p>
        <w:p w14:paraId="2DED2D17" w14:textId="6CF6FC96" w:rsidR="003B1A6D" w:rsidRDefault="003B1A6D">
          <w:pPr>
            <w:pStyle w:val="Inhopg1"/>
            <w:rPr>
              <w:rFonts w:eastAsiaTheme="minorEastAsia"/>
              <w:noProof/>
              <w:lang w:val="nl-NL" w:eastAsia="nl-NL"/>
            </w:rPr>
          </w:pPr>
          <w:hyperlink w:anchor="_Toc152252022" w:history="1">
            <w:r w:rsidRPr="00A64D2D">
              <w:rPr>
                <w:rStyle w:val="Hyperlink"/>
                <w:rFonts w:ascii="Times New Roman" w:hAnsi="Times New Roman"/>
                <w:noProof/>
              </w:rPr>
              <w:t>Chapter 9: Discussion</w:t>
            </w:r>
            <w:r>
              <w:rPr>
                <w:noProof/>
                <w:webHidden/>
              </w:rPr>
              <w:tab/>
            </w:r>
            <w:r>
              <w:rPr>
                <w:noProof/>
                <w:webHidden/>
              </w:rPr>
              <w:fldChar w:fldCharType="begin"/>
            </w:r>
            <w:r>
              <w:rPr>
                <w:noProof/>
                <w:webHidden/>
              </w:rPr>
              <w:instrText xml:space="preserve"> PAGEREF _Toc152252022 \h </w:instrText>
            </w:r>
            <w:r>
              <w:rPr>
                <w:noProof/>
                <w:webHidden/>
              </w:rPr>
            </w:r>
            <w:r>
              <w:rPr>
                <w:noProof/>
                <w:webHidden/>
              </w:rPr>
              <w:fldChar w:fldCharType="separate"/>
            </w:r>
            <w:r>
              <w:rPr>
                <w:noProof/>
                <w:webHidden/>
              </w:rPr>
              <w:t>44</w:t>
            </w:r>
            <w:r>
              <w:rPr>
                <w:noProof/>
                <w:webHidden/>
              </w:rPr>
              <w:fldChar w:fldCharType="end"/>
            </w:r>
          </w:hyperlink>
        </w:p>
        <w:p w14:paraId="7EE7A99D" w14:textId="3CEF2993" w:rsidR="003B1A6D" w:rsidRDefault="003B1A6D">
          <w:pPr>
            <w:pStyle w:val="Inhopg1"/>
            <w:rPr>
              <w:rFonts w:eastAsiaTheme="minorEastAsia"/>
              <w:noProof/>
              <w:lang w:val="nl-NL" w:eastAsia="nl-NL"/>
            </w:rPr>
          </w:pPr>
          <w:hyperlink w:anchor="_Toc152252023" w:history="1">
            <w:r w:rsidRPr="00A64D2D">
              <w:rPr>
                <w:rStyle w:val="Hyperlink"/>
                <w:rFonts w:ascii="Times New Roman" w:hAnsi="Times New Roman"/>
                <w:noProof/>
              </w:rPr>
              <w:t>Chapter 10: Bibliography</w:t>
            </w:r>
            <w:r>
              <w:rPr>
                <w:noProof/>
                <w:webHidden/>
              </w:rPr>
              <w:tab/>
            </w:r>
            <w:r>
              <w:rPr>
                <w:noProof/>
                <w:webHidden/>
              </w:rPr>
              <w:fldChar w:fldCharType="begin"/>
            </w:r>
            <w:r>
              <w:rPr>
                <w:noProof/>
                <w:webHidden/>
              </w:rPr>
              <w:instrText xml:space="preserve"> PAGEREF _Toc152252023 \h </w:instrText>
            </w:r>
            <w:r>
              <w:rPr>
                <w:noProof/>
                <w:webHidden/>
              </w:rPr>
            </w:r>
            <w:r>
              <w:rPr>
                <w:noProof/>
                <w:webHidden/>
              </w:rPr>
              <w:fldChar w:fldCharType="separate"/>
            </w:r>
            <w:r>
              <w:rPr>
                <w:noProof/>
                <w:webHidden/>
              </w:rPr>
              <w:t>46</w:t>
            </w:r>
            <w:r>
              <w:rPr>
                <w:noProof/>
                <w:webHidden/>
              </w:rPr>
              <w:fldChar w:fldCharType="end"/>
            </w:r>
          </w:hyperlink>
        </w:p>
        <w:p w14:paraId="5F6D26DE" w14:textId="1862D935" w:rsidR="00703A89" w:rsidRPr="00B64C8D" w:rsidRDefault="00703A89" w:rsidP="00B64C8D">
          <w:pPr>
            <w:spacing w:line="360" w:lineRule="auto"/>
            <w:rPr>
              <w:rFonts w:ascii="Times New Roman" w:hAnsi="Times New Roman" w:cs="Times New Roman"/>
            </w:rPr>
          </w:pPr>
          <w:r w:rsidRPr="00B64C8D">
            <w:rPr>
              <w:rFonts w:ascii="Times New Roman" w:hAnsi="Times New Roman" w:cs="Times New Roman"/>
              <w:b/>
              <w:bCs/>
            </w:rPr>
            <w:fldChar w:fldCharType="end"/>
          </w:r>
        </w:p>
      </w:sdtContent>
    </w:sdt>
    <w:p w14:paraId="24A47351" w14:textId="77777777" w:rsidR="009866FA" w:rsidRPr="00B64C8D" w:rsidRDefault="009866FA" w:rsidP="00B64C8D">
      <w:pPr>
        <w:spacing w:line="360" w:lineRule="auto"/>
        <w:rPr>
          <w:rFonts w:ascii="Times New Roman" w:eastAsiaTheme="majorEastAsia" w:hAnsi="Times New Roman" w:cs="Times New Roman"/>
          <w:color w:val="2F5496" w:themeColor="accent1" w:themeShade="BF"/>
        </w:rPr>
      </w:pPr>
      <w:r w:rsidRPr="00B64C8D">
        <w:rPr>
          <w:rFonts w:ascii="Times New Roman" w:hAnsi="Times New Roman" w:cs="Times New Roman"/>
        </w:rPr>
        <w:br w:type="page"/>
      </w:r>
    </w:p>
    <w:p w14:paraId="1190DA7D" w14:textId="202ACA6D" w:rsidR="000805D0" w:rsidRPr="00B64C8D" w:rsidRDefault="00F12548" w:rsidP="00B64C8D">
      <w:pPr>
        <w:pStyle w:val="kj"/>
        <w:rPr>
          <w:rFonts w:ascii="Times New Roman" w:hAnsi="Times New Roman"/>
          <w:sz w:val="22"/>
          <w:szCs w:val="22"/>
        </w:rPr>
      </w:pPr>
      <w:bookmarkStart w:id="0" w:name="_Toc152251969"/>
      <w:r w:rsidRPr="00B64C8D">
        <w:rPr>
          <w:rFonts w:ascii="Times New Roman" w:hAnsi="Times New Roman"/>
          <w:sz w:val="22"/>
          <w:szCs w:val="22"/>
        </w:rPr>
        <w:lastRenderedPageBreak/>
        <w:t>Abstract</w:t>
      </w:r>
      <w:bookmarkEnd w:id="0"/>
    </w:p>
    <w:p w14:paraId="45D16245" w14:textId="052B17AA" w:rsidR="00BC1C1B" w:rsidRPr="00B64C8D" w:rsidRDefault="00BC1C1B" w:rsidP="00B64C8D">
      <w:pPr>
        <w:spacing w:line="360" w:lineRule="auto"/>
        <w:rPr>
          <w:rFonts w:ascii="Times New Roman" w:hAnsi="Times New Roman" w:cs="Times New Roman"/>
        </w:rPr>
      </w:pPr>
      <w:r w:rsidRPr="00B64C8D">
        <w:rPr>
          <w:rFonts w:ascii="Times New Roman" w:hAnsi="Times New Roman" w:cs="Times New Roman"/>
        </w:rPr>
        <w:t>This research will go into the evolution of institutional characteristics of the European border patrol agency (Frontex). Frontex was started in 2004 with the goal of exchanging information and best practices between the border patrol agencies of the European member states. Over the years more autonomy got delegated from the member state level towards the agency</w:t>
      </w:r>
      <w:r w:rsidR="001A5ED6" w:rsidRPr="00B64C8D">
        <w:rPr>
          <w:rFonts w:ascii="Times New Roman" w:hAnsi="Times New Roman" w:cs="Times New Roman"/>
        </w:rPr>
        <w:t>. This resulted in less checks and balances on Frontex’ conduct and the freedom to acquire guns and vessels</w:t>
      </w:r>
      <w:r w:rsidR="00452454" w:rsidRPr="00B64C8D">
        <w:rPr>
          <w:rFonts w:ascii="Times New Roman" w:hAnsi="Times New Roman" w:cs="Times New Roman"/>
        </w:rPr>
        <w:t xml:space="preserve"> and choose what and how they wanted to orchestrate operations</w:t>
      </w:r>
      <w:r w:rsidR="001A5ED6" w:rsidRPr="00B64C8D">
        <w:rPr>
          <w:rFonts w:ascii="Times New Roman" w:hAnsi="Times New Roman" w:cs="Times New Roman"/>
        </w:rPr>
        <w:t xml:space="preserve">. </w:t>
      </w:r>
      <w:r w:rsidR="00452454" w:rsidRPr="00B64C8D">
        <w:rPr>
          <w:rFonts w:ascii="Times New Roman" w:hAnsi="Times New Roman" w:cs="Times New Roman"/>
        </w:rPr>
        <w:br/>
      </w:r>
      <w:r w:rsidRPr="00B64C8D">
        <w:rPr>
          <w:rFonts w:ascii="Times New Roman" w:hAnsi="Times New Roman" w:cs="Times New Roman"/>
        </w:rPr>
        <w:t xml:space="preserve">This </w:t>
      </w:r>
      <w:r w:rsidR="001A5ED6" w:rsidRPr="00B64C8D">
        <w:rPr>
          <w:rFonts w:ascii="Times New Roman" w:hAnsi="Times New Roman" w:cs="Times New Roman"/>
        </w:rPr>
        <w:t xml:space="preserve">paper </w:t>
      </w:r>
      <w:r w:rsidRPr="00B64C8D">
        <w:rPr>
          <w:rFonts w:ascii="Times New Roman" w:hAnsi="Times New Roman" w:cs="Times New Roman"/>
        </w:rPr>
        <w:t>will use Multi Level Governance (MLG) as a theory to research how this shift came to be. MLG looks at the division of power between different layers of governance, in this case within the European Union (EU). All these different levels have their own preferences and their own ways of affecting Frontex’ policy, by using MLG there is room to take all of these into account</w:t>
      </w:r>
      <w:r w:rsidR="001A5ED6" w:rsidRPr="00B64C8D">
        <w:rPr>
          <w:rFonts w:ascii="Times New Roman" w:hAnsi="Times New Roman" w:cs="Times New Roman"/>
        </w:rPr>
        <w:t xml:space="preserve"> and paint a complete picture</w:t>
      </w:r>
      <w:r w:rsidRPr="00B64C8D">
        <w:rPr>
          <w:rFonts w:ascii="Times New Roman" w:hAnsi="Times New Roman" w:cs="Times New Roman"/>
        </w:rPr>
        <w:t>.</w:t>
      </w:r>
      <w:r w:rsidRPr="00B64C8D">
        <w:rPr>
          <w:rFonts w:ascii="Times New Roman" w:hAnsi="Times New Roman" w:cs="Times New Roman"/>
        </w:rPr>
        <w:br/>
        <w:t xml:space="preserve">This research will use process tracing as its most important method. Two causal processes will be followed, the first goes into the preferences of Frontex itself, mainly shaped by institutional survival and </w:t>
      </w:r>
      <w:r w:rsidR="00452454" w:rsidRPr="00B64C8D">
        <w:rPr>
          <w:rFonts w:ascii="Times New Roman" w:hAnsi="Times New Roman" w:cs="Times New Roman"/>
        </w:rPr>
        <w:t>interest groups</w:t>
      </w:r>
      <w:r w:rsidRPr="00B64C8D">
        <w:rPr>
          <w:rFonts w:ascii="Times New Roman" w:hAnsi="Times New Roman" w:cs="Times New Roman"/>
        </w:rPr>
        <w:t xml:space="preserve">. The second is about why the different actors that formally have a controlling role over the agency </w:t>
      </w:r>
      <w:r w:rsidR="001A5ED6" w:rsidRPr="00B64C8D">
        <w:rPr>
          <w:rFonts w:ascii="Times New Roman" w:hAnsi="Times New Roman" w:cs="Times New Roman"/>
        </w:rPr>
        <w:t>allowed its growing autonomy</w:t>
      </w:r>
      <w:r w:rsidRPr="00B64C8D">
        <w:rPr>
          <w:rFonts w:ascii="Times New Roman" w:hAnsi="Times New Roman" w:cs="Times New Roman"/>
        </w:rPr>
        <w:t>. The main reason was that these actors are dependent on popular support, while migration is a hot topic, this results in them depoliticizing the topic and giving responsibility and instruments to Frontex</w:t>
      </w:r>
      <w:r w:rsidR="00452454" w:rsidRPr="00B64C8D">
        <w:rPr>
          <w:rFonts w:ascii="Times New Roman" w:hAnsi="Times New Roman" w:cs="Times New Roman"/>
        </w:rPr>
        <w:t>, w</w:t>
      </w:r>
      <w:r w:rsidR="001A5ED6" w:rsidRPr="00B64C8D">
        <w:rPr>
          <w:rFonts w:ascii="Times New Roman" w:hAnsi="Times New Roman" w:cs="Times New Roman"/>
        </w:rPr>
        <w:t>hich allowed growing autonomy in Frontex.</w:t>
      </w:r>
    </w:p>
    <w:p w14:paraId="5C3EA7F6" w14:textId="5C109E73" w:rsidR="00D64BAF" w:rsidRPr="00B64C8D" w:rsidRDefault="00D64BAF" w:rsidP="00B64C8D">
      <w:pPr>
        <w:spacing w:line="360" w:lineRule="auto"/>
        <w:rPr>
          <w:rFonts w:ascii="Times New Roman" w:hAnsi="Times New Roman" w:cs="Times New Roman"/>
          <w:i/>
          <w:iCs/>
        </w:rPr>
      </w:pPr>
      <w:r w:rsidRPr="00B64C8D">
        <w:rPr>
          <w:rFonts w:ascii="Times New Roman" w:hAnsi="Times New Roman" w:cs="Times New Roman"/>
          <w:i/>
          <w:iCs/>
        </w:rPr>
        <w:t>Wordcount: 2</w:t>
      </w:r>
      <w:r w:rsidR="00452454" w:rsidRPr="00B64C8D">
        <w:rPr>
          <w:rFonts w:ascii="Times New Roman" w:hAnsi="Times New Roman" w:cs="Times New Roman"/>
          <w:i/>
          <w:iCs/>
        </w:rPr>
        <w:t>50</w:t>
      </w:r>
    </w:p>
    <w:p w14:paraId="2EE5C5F0" w14:textId="77777777" w:rsidR="00E04C6C" w:rsidRPr="00B64C8D" w:rsidRDefault="00E04C6C" w:rsidP="00B64C8D">
      <w:pPr>
        <w:spacing w:line="360" w:lineRule="auto"/>
        <w:rPr>
          <w:rFonts w:ascii="Times New Roman" w:hAnsi="Times New Roman" w:cs="Times New Roman"/>
        </w:rPr>
      </w:pPr>
    </w:p>
    <w:p w14:paraId="1D34B3AF" w14:textId="77777777" w:rsidR="009866FA" w:rsidRPr="00B64C8D" w:rsidRDefault="009866FA" w:rsidP="00B64C8D">
      <w:pPr>
        <w:spacing w:line="360" w:lineRule="auto"/>
        <w:rPr>
          <w:rFonts w:ascii="Times New Roman" w:eastAsiaTheme="majorEastAsia" w:hAnsi="Times New Roman" w:cs="Times New Roman"/>
          <w:color w:val="2F5496" w:themeColor="accent1" w:themeShade="BF"/>
        </w:rPr>
      </w:pPr>
      <w:r w:rsidRPr="00B64C8D">
        <w:rPr>
          <w:rFonts w:ascii="Times New Roman" w:hAnsi="Times New Roman" w:cs="Times New Roman"/>
        </w:rPr>
        <w:br w:type="page"/>
      </w:r>
    </w:p>
    <w:p w14:paraId="270AE1DC" w14:textId="46509A1A" w:rsidR="00E04C6C" w:rsidRPr="00B64C8D" w:rsidRDefault="00E04C6C" w:rsidP="00B64C8D">
      <w:pPr>
        <w:pStyle w:val="Stijl1"/>
        <w:rPr>
          <w:rFonts w:ascii="Times New Roman" w:hAnsi="Times New Roman"/>
          <w:sz w:val="22"/>
          <w:szCs w:val="22"/>
        </w:rPr>
      </w:pPr>
      <w:bookmarkStart w:id="1" w:name="_Toc152251970"/>
      <w:r w:rsidRPr="00B64C8D">
        <w:rPr>
          <w:rFonts w:ascii="Times New Roman" w:hAnsi="Times New Roman"/>
          <w:sz w:val="22"/>
          <w:szCs w:val="22"/>
        </w:rPr>
        <w:lastRenderedPageBreak/>
        <w:t>Abbreviations and acronyms</w:t>
      </w:r>
      <w:bookmarkEnd w:id="1"/>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9"/>
        <w:gridCol w:w="4487"/>
        <w:gridCol w:w="106"/>
      </w:tblGrid>
      <w:tr w:rsidR="00E04C6C" w:rsidRPr="00B64C8D" w14:paraId="0C83C4DD" w14:textId="77777777" w:rsidTr="00D64BAF">
        <w:trPr>
          <w:gridAfter w:val="1"/>
          <w:wAfter w:w="10" w:type="dxa"/>
        </w:trPr>
        <w:tc>
          <w:tcPr>
            <w:tcW w:w="4531" w:type="dxa"/>
          </w:tcPr>
          <w:p w14:paraId="06B04C48" w14:textId="3B163606" w:rsidR="00E04C6C" w:rsidRPr="00B64C8D" w:rsidRDefault="00E04C6C" w:rsidP="00B64C8D">
            <w:pPr>
              <w:spacing w:line="360" w:lineRule="auto"/>
              <w:rPr>
                <w:rFonts w:ascii="Times New Roman" w:hAnsi="Times New Roman" w:cs="Times New Roman"/>
                <w:b/>
                <w:bCs/>
              </w:rPr>
            </w:pPr>
            <w:r w:rsidRPr="00B64C8D">
              <w:rPr>
                <w:rFonts w:ascii="Times New Roman" w:hAnsi="Times New Roman" w:cs="Times New Roman"/>
                <w:b/>
                <w:bCs/>
              </w:rPr>
              <w:t>Frontex</w:t>
            </w:r>
          </w:p>
        </w:tc>
        <w:tc>
          <w:tcPr>
            <w:tcW w:w="4531" w:type="dxa"/>
          </w:tcPr>
          <w:p w14:paraId="346B1EA7" w14:textId="302B1BC8" w:rsidR="00E04C6C" w:rsidRPr="00B64C8D" w:rsidRDefault="00E04C6C" w:rsidP="00B64C8D">
            <w:pPr>
              <w:spacing w:line="360" w:lineRule="auto"/>
              <w:rPr>
                <w:rFonts w:ascii="Times New Roman" w:hAnsi="Times New Roman" w:cs="Times New Roman"/>
              </w:rPr>
            </w:pPr>
            <w:r w:rsidRPr="00B64C8D">
              <w:rPr>
                <w:rFonts w:ascii="Times New Roman" w:hAnsi="Times New Roman" w:cs="Times New Roman"/>
              </w:rPr>
              <w:t>Frontières extérieures, the European border- and coastguard agency</w:t>
            </w:r>
          </w:p>
        </w:tc>
      </w:tr>
      <w:tr w:rsidR="00E04C6C" w:rsidRPr="00B64C8D" w14:paraId="746CC7AD" w14:textId="77777777" w:rsidTr="00D64BAF">
        <w:trPr>
          <w:gridAfter w:val="1"/>
          <w:wAfter w:w="10" w:type="dxa"/>
        </w:trPr>
        <w:tc>
          <w:tcPr>
            <w:tcW w:w="4531" w:type="dxa"/>
          </w:tcPr>
          <w:p w14:paraId="3623FDBF" w14:textId="4F1C6F6E" w:rsidR="00E04C6C" w:rsidRPr="00B64C8D" w:rsidRDefault="00E04C6C" w:rsidP="00B64C8D">
            <w:pPr>
              <w:spacing w:line="360" w:lineRule="auto"/>
              <w:rPr>
                <w:rFonts w:ascii="Times New Roman" w:hAnsi="Times New Roman" w:cs="Times New Roman"/>
                <w:b/>
                <w:bCs/>
              </w:rPr>
            </w:pPr>
            <w:r w:rsidRPr="00B64C8D">
              <w:rPr>
                <w:rFonts w:ascii="Times New Roman" w:hAnsi="Times New Roman" w:cs="Times New Roman"/>
                <w:b/>
                <w:bCs/>
              </w:rPr>
              <w:t>OLAF</w:t>
            </w:r>
          </w:p>
        </w:tc>
        <w:tc>
          <w:tcPr>
            <w:tcW w:w="4531" w:type="dxa"/>
          </w:tcPr>
          <w:p w14:paraId="1DCA495A" w14:textId="10195B0E" w:rsidR="00E04C6C" w:rsidRPr="00B64C8D" w:rsidRDefault="00E04C6C" w:rsidP="00B64C8D">
            <w:pPr>
              <w:spacing w:line="360" w:lineRule="auto"/>
              <w:rPr>
                <w:rFonts w:ascii="Times New Roman" w:hAnsi="Times New Roman" w:cs="Times New Roman"/>
              </w:rPr>
            </w:pPr>
            <w:r w:rsidRPr="00B64C8D">
              <w:rPr>
                <w:rFonts w:ascii="Times New Roman" w:hAnsi="Times New Roman" w:cs="Times New Roman"/>
              </w:rPr>
              <w:t>Office Européen de la Lutte Antifraude, the European anti-fraud watchdog</w:t>
            </w:r>
          </w:p>
        </w:tc>
      </w:tr>
      <w:tr w:rsidR="00E04C6C" w:rsidRPr="00B64C8D" w14:paraId="1BBF676B" w14:textId="77777777" w:rsidTr="00D64BAF">
        <w:trPr>
          <w:gridAfter w:val="1"/>
          <w:wAfter w:w="10" w:type="dxa"/>
        </w:trPr>
        <w:tc>
          <w:tcPr>
            <w:tcW w:w="4531" w:type="dxa"/>
          </w:tcPr>
          <w:p w14:paraId="0C352AB7" w14:textId="2816F270" w:rsidR="00E04C6C" w:rsidRPr="00B64C8D" w:rsidRDefault="00E04C6C" w:rsidP="00B64C8D">
            <w:pPr>
              <w:spacing w:line="360" w:lineRule="auto"/>
              <w:rPr>
                <w:rFonts w:ascii="Times New Roman" w:hAnsi="Times New Roman" w:cs="Times New Roman"/>
                <w:b/>
                <w:bCs/>
              </w:rPr>
            </w:pPr>
            <w:r w:rsidRPr="00B64C8D">
              <w:rPr>
                <w:rFonts w:ascii="Times New Roman" w:hAnsi="Times New Roman" w:cs="Times New Roman"/>
                <w:b/>
                <w:bCs/>
              </w:rPr>
              <w:t>CS</w:t>
            </w:r>
            <w:r w:rsidR="000445BD" w:rsidRPr="00B64C8D">
              <w:rPr>
                <w:rFonts w:ascii="Times New Roman" w:hAnsi="Times New Roman" w:cs="Times New Roman"/>
                <w:b/>
                <w:bCs/>
              </w:rPr>
              <w:t>DP</w:t>
            </w:r>
          </w:p>
        </w:tc>
        <w:tc>
          <w:tcPr>
            <w:tcW w:w="4531" w:type="dxa"/>
          </w:tcPr>
          <w:p w14:paraId="6EB4737D" w14:textId="33CF9CC0" w:rsidR="00E04C6C" w:rsidRPr="00B64C8D" w:rsidRDefault="000445BD" w:rsidP="00B64C8D">
            <w:pPr>
              <w:spacing w:line="360" w:lineRule="auto"/>
              <w:rPr>
                <w:rFonts w:ascii="Times New Roman" w:hAnsi="Times New Roman" w:cs="Times New Roman"/>
              </w:rPr>
            </w:pPr>
            <w:r w:rsidRPr="00B64C8D">
              <w:rPr>
                <w:rFonts w:ascii="Times New Roman" w:hAnsi="Times New Roman" w:cs="Times New Roman"/>
              </w:rPr>
              <w:t>Common Security and Defense Policy</w:t>
            </w:r>
          </w:p>
        </w:tc>
      </w:tr>
      <w:tr w:rsidR="00E04C6C" w:rsidRPr="00B64C8D" w14:paraId="5526B710" w14:textId="77777777" w:rsidTr="00D64BAF">
        <w:trPr>
          <w:gridAfter w:val="1"/>
          <w:wAfter w:w="10" w:type="dxa"/>
        </w:trPr>
        <w:tc>
          <w:tcPr>
            <w:tcW w:w="4531" w:type="dxa"/>
          </w:tcPr>
          <w:p w14:paraId="18EF21A8" w14:textId="510BEE61" w:rsidR="00E04C6C" w:rsidRPr="00B64C8D" w:rsidRDefault="000445BD" w:rsidP="00B64C8D">
            <w:pPr>
              <w:spacing w:line="360" w:lineRule="auto"/>
              <w:rPr>
                <w:rFonts w:ascii="Times New Roman" w:hAnsi="Times New Roman" w:cs="Times New Roman"/>
                <w:b/>
                <w:bCs/>
              </w:rPr>
            </w:pPr>
            <w:r w:rsidRPr="00B64C8D">
              <w:rPr>
                <w:rFonts w:ascii="Times New Roman" w:hAnsi="Times New Roman" w:cs="Times New Roman"/>
                <w:b/>
                <w:bCs/>
              </w:rPr>
              <w:t>EU</w:t>
            </w:r>
          </w:p>
        </w:tc>
        <w:tc>
          <w:tcPr>
            <w:tcW w:w="4531" w:type="dxa"/>
          </w:tcPr>
          <w:p w14:paraId="28EADCD6" w14:textId="4DCAE9AA" w:rsidR="00E04C6C" w:rsidRPr="00B64C8D" w:rsidRDefault="000445BD" w:rsidP="00B64C8D">
            <w:pPr>
              <w:spacing w:line="360" w:lineRule="auto"/>
              <w:rPr>
                <w:rFonts w:ascii="Times New Roman" w:hAnsi="Times New Roman" w:cs="Times New Roman"/>
              </w:rPr>
            </w:pPr>
            <w:r w:rsidRPr="00B64C8D">
              <w:rPr>
                <w:rFonts w:ascii="Times New Roman" w:hAnsi="Times New Roman" w:cs="Times New Roman"/>
              </w:rPr>
              <w:t>European Union</w:t>
            </w:r>
          </w:p>
        </w:tc>
      </w:tr>
      <w:tr w:rsidR="00E04C6C" w:rsidRPr="00B64C8D" w14:paraId="6CCAE182" w14:textId="77777777" w:rsidTr="00D64BAF">
        <w:trPr>
          <w:gridAfter w:val="1"/>
          <w:wAfter w:w="10" w:type="dxa"/>
        </w:trPr>
        <w:tc>
          <w:tcPr>
            <w:tcW w:w="4531" w:type="dxa"/>
          </w:tcPr>
          <w:p w14:paraId="4949B8EE" w14:textId="00A14DF8" w:rsidR="00E04C6C" w:rsidRPr="00B64C8D" w:rsidRDefault="000445BD" w:rsidP="00B64C8D">
            <w:pPr>
              <w:spacing w:line="360" w:lineRule="auto"/>
              <w:rPr>
                <w:rFonts w:ascii="Times New Roman" w:hAnsi="Times New Roman" w:cs="Times New Roman"/>
                <w:b/>
                <w:bCs/>
              </w:rPr>
            </w:pPr>
            <w:r w:rsidRPr="00B64C8D">
              <w:rPr>
                <w:rFonts w:ascii="Times New Roman" w:hAnsi="Times New Roman" w:cs="Times New Roman"/>
                <w:b/>
                <w:bCs/>
              </w:rPr>
              <w:t>EDA</w:t>
            </w:r>
          </w:p>
        </w:tc>
        <w:tc>
          <w:tcPr>
            <w:tcW w:w="4531" w:type="dxa"/>
          </w:tcPr>
          <w:p w14:paraId="2C484D51" w14:textId="060D5132" w:rsidR="00E04C6C" w:rsidRPr="00B64C8D" w:rsidRDefault="000445BD" w:rsidP="00B64C8D">
            <w:pPr>
              <w:spacing w:line="360" w:lineRule="auto"/>
              <w:rPr>
                <w:rFonts w:ascii="Times New Roman" w:hAnsi="Times New Roman" w:cs="Times New Roman"/>
              </w:rPr>
            </w:pPr>
            <w:r w:rsidRPr="00B64C8D">
              <w:rPr>
                <w:rFonts w:ascii="Times New Roman" w:hAnsi="Times New Roman" w:cs="Times New Roman"/>
              </w:rPr>
              <w:t>European Defense Agency</w:t>
            </w:r>
          </w:p>
        </w:tc>
      </w:tr>
      <w:tr w:rsidR="00E04C6C" w:rsidRPr="00B64C8D" w14:paraId="1F0542A3" w14:textId="77777777" w:rsidTr="00D64BAF">
        <w:trPr>
          <w:gridAfter w:val="1"/>
          <w:wAfter w:w="10" w:type="dxa"/>
        </w:trPr>
        <w:tc>
          <w:tcPr>
            <w:tcW w:w="4531" w:type="dxa"/>
          </w:tcPr>
          <w:p w14:paraId="3E3A2433" w14:textId="75700655" w:rsidR="00E04C6C" w:rsidRPr="00B64C8D" w:rsidRDefault="000445BD" w:rsidP="00B64C8D">
            <w:pPr>
              <w:spacing w:line="360" w:lineRule="auto"/>
              <w:rPr>
                <w:rFonts w:ascii="Times New Roman" w:hAnsi="Times New Roman" w:cs="Times New Roman"/>
                <w:b/>
                <w:bCs/>
              </w:rPr>
            </w:pPr>
            <w:r w:rsidRPr="00B64C8D">
              <w:rPr>
                <w:rFonts w:ascii="Times New Roman" w:hAnsi="Times New Roman" w:cs="Times New Roman"/>
                <w:b/>
                <w:bCs/>
              </w:rPr>
              <w:t>EP</w:t>
            </w:r>
          </w:p>
        </w:tc>
        <w:tc>
          <w:tcPr>
            <w:tcW w:w="4531" w:type="dxa"/>
          </w:tcPr>
          <w:p w14:paraId="578B88A0" w14:textId="45A0823A" w:rsidR="00E04C6C" w:rsidRPr="00B64C8D" w:rsidRDefault="000445BD" w:rsidP="00B64C8D">
            <w:pPr>
              <w:spacing w:line="360" w:lineRule="auto"/>
              <w:rPr>
                <w:rFonts w:ascii="Times New Roman" w:hAnsi="Times New Roman" w:cs="Times New Roman"/>
              </w:rPr>
            </w:pPr>
            <w:r w:rsidRPr="00B64C8D">
              <w:rPr>
                <w:rFonts w:ascii="Times New Roman" w:hAnsi="Times New Roman" w:cs="Times New Roman"/>
              </w:rPr>
              <w:t>European Parliament</w:t>
            </w:r>
          </w:p>
        </w:tc>
      </w:tr>
      <w:tr w:rsidR="00E04C6C" w:rsidRPr="00B64C8D" w14:paraId="2E3D4179" w14:textId="77777777" w:rsidTr="00D64BAF">
        <w:trPr>
          <w:gridAfter w:val="1"/>
          <w:wAfter w:w="10" w:type="dxa"/>
        </w:trPr>
        <w:tc>
          <w:tcPr>
            <w:tcW w:w="4531" w:type="dxa"/>
          </w:tcPr>
          <w:p w14:paraId="27DA18E5" w14:textId="42443357" w:rsidR="00E04C6C" w:rsidRPr="00B64C8D" w:rsidRDefault="00DA2F46" w:rsidP="00B64C8D">
            <w:pPr>
              <w:spacing w:line="360" w:lineRule="auto"/>
              <w:rPr>
                <w:rFonts w:ascii="Times New Roman" w:hAnsi="Times New Roman" w:cs="Times New Roman"/>
                <w:b/>
                <w:bCs/>
              </w:rPr>
            </w:pPr>
            <w:r w:rsidRPr="00B64C8D">
              <w:rPr>
                <w:rFonts w:ascii="Times New Roman" w:hAnsi="Times New Roman" w:cs="Times New Roman"/>
                <w:b/>
                <w:bCs/>
              </w:rPr>
              <w:t>Council</w:t>
            </w:r>
          </w:p>
        </w:tc>
        <w:tc>
          <w:tcPr>
            <w:tcW w:w="4531" w:type="dxa"/>
          </w:tcPr>
          <w:p w14:paraId="74F9CD13" w14:textId="72D52B9D" w:rsidR="00E04C6C" w:rsidRPr="00B64C8D" w:rsidRDefault="00DA2F46" w:rsidP="00B64C8D">
            <w:pPr>
              <w:spacing w:line="360" w:lineRule="auto"/>
              <w:rPr>
                <w:rFonts w:ascii="Times New Roman" w:hAnsi="Times New Roman" w:cs="Times New Roman"/>
              </w:rPr>
            </w:pPr>
            <w:r w:rsidRPr="00B64C8D">
              <w:rPr>
                <w:rFonts w:ascii="Times New Roman" w:hAnsi="Times New Roman" w:cs="Times New Roman"/>
              </w:rPr>
              <w:t>The Council of the European Union</w:t>
            </w:r>
          </w:p>
        </w:tc>
      </w:tr>
      <w:tr w:rsidR="00E04C6C" w:rsidRPr="00B64C8D" w14:paraId="27DECB01" w14:textId="77777777" w:rsidTr="00D64BAF">
        <w:trPr>
          <w:gridAfter w:val="1"/>
          <w:wAfter w:w="10" w:type="dxa"/>
        </w:trPr>
        <w:tc>
          <w:tcPr>
            <w:tcW w:w="4531" w:type="dxa"/>
          </w:tcPr>
          <w:p w14:paraId="7F058443" w14:textId="0716BF31" w:rsidR="00E04C6C" w:rsidRPr="00B64C8D" w:rsidRDefault="00DA2F46" w:rsidP="00B64C8D">
            <w:pPr>
              <w:spacing w:line="360" w:lineRule="auto"/>
              <w:rPr>
                <w:rFonts w:ascii="Times New Roman" w:hAnsi="Times New Roman" w:cs="Times New Roman"/>
                <w:b/>
                <w:bCs/>
              </w:rPr>
            </w:pPr>
            <w:r w:rsidRPr="00B64C8D">
              <w:rPr>
                <w:rFonts w:ascii="Times New Roman" w:hAnsi="Times New Roman" w:cs="Times New Roman"/>
                <w:b/>
                <w:bCs/>
              </w:rPr>
              <w:t>MLG</w:t>
            </w:r>
          </w:p>
        </w:tc>
        <w:tc>
          <w:tcPr>
            <w:tcW w:w="4531" w:type="dxa"/>
          </w:tcPr>
          <w:p w14:paraId="11AFFF38" w14:textId="3AD1B099" w:rsidR="00E04C6C" w:rsidRPr="00B64C8D" w:rsidRDefault="001035D7" w:rsidP="00B64C8D">
            <w:pPr>
              <w:spacing w:line="360" w:lineRule="auto"/>
              <w:rPr>
                <w:rFonts w:ascii="Times New Roman" w:hAnsi="Times New Roman" w:cs="Times New Roman"/>
              </w:rPr>
            </w:pPr>
            <w:r w:rsidRPr="00B64C8D">
              <w:rPr>
                <w:rFonts w:ascii="Times New Roman" w:hAnsi="Times New Roman" w:cs="Times New Roman"/>
              </w:rPr>
              <w:t>Multi-Level</w:t>
            </w:r>
            <w:r w:rsidR="00DA2F46" w:rsidRPr="00B64C8D">
              <w:rPr>
                <w:rFonts w:ascii="Times New Roman" w:hAnsi="Times New Roman" w:cs="Times New Roman"/>
              </w:rPr>
              <w:t xml:space="preserve"> Governance</w:t>
            </w:r>
          </w:p>
        </w:tc>
      </w:tr>
      <w:tr w:rsidR="0053748C" w:rsidRPr="00B64C8D" w14:paraId="4D653DB2" w14:textId="77777777" w:rsidTr="00D64BAF">
        <w:trPr>
          <w:gridAfter w:val="1"/>
          <w:wAfter w:w="108" w:type="dxa"/>
        </w:trPr>
        <w:tc>
          <w:tcPr>
            <w:tcW w:w="4531" w:type="dxa"/>
          </w:tcPr>
          <w:p w14:paraId="64E31408" w14:textId="04D52E34" w:rsidR="0053748C" w:rsidRPr="00B64C8D" w:rsidRDefault="0053748C" w:rsidP="00B64C8D">
            <w:pPr>
              <w:spacing w:line="360" w:lineRule="auto"/>
              <w:rPr>
                <w:rFonts w:ascii="Times New Roman" w:hAnsi="Times New Roman" w:cs="Times New Roman"/>
                <w:b/>
                <w:bCs/>
              </w:rPr>
            </w:pPr>
            <w:r w:rsidRPr="00B64C8D">
              <w:rPr>
                <w:rFonts w:ascii="Times New Roman" w:hAnsi="Times New Roman" w:cs="Times New Roman"/>
                <w:b/>
                <w:bCs/>
              </w:rPr>
              <w:t>NGO</w:t>
            </w:r>
          </w:p>
        </w:tc>
        <w:tc>
          <w:tcPr>
            <w:tcW w:w="4531" w:type="dxa"/>
          </w:tcPr>
          <w:p w14:paraId="768452B1" w14:textId="5429E3C0" w:rsidR="0053748C" w:rsidRPr="00B64C8D" w:rsidRDefault="001035D7" w:rsidP="00B64C8D">
            <w:pPr>
              <w:spacing w:line="360" w:lineRule="auto"/>
              <w:rPr>
                <w:rFonts w:ascii="Times New Roman" w:hAnsi="Times New Roman" w:cs="Times New Roman"/>
              </w:rPr>
            </w:pPr>
            <w:r w:rsidRPr="00B64C8D">
              <w:rPr>
                <w:rFonts w:ascii="Times New Roman" w:hAnsi="Times New Roman" w:cs="Times New Roman"/>
              </w:rPr>
              <w:t>Non-Governmental</w:t>
            </w:r>
            <w:r w:rsidR="0053748C" w:rsidRPr="00B64C8D">
              <w:rPr>
                <w:rFonts w:ascii="Times New Roman" w:hAnsi="Times New Roman" w:cs="Times New Roman"/>
              </w:rPr>
              <w:t xml:space="preserve"> </w:t>
            </w:r>
            <w:r w:rsidRPr="00B64C8D">
              <w:rPr>
                <w:rFonts w:ascii="Times New Roman" w:hAnsi="Times New Roman" w:cs="Times New Roman"/>
              </w:rPr>
              <w:t>Organization</w:t>
            </w:r>
          </w:p>
        </w:tc>
      </w:tr>
      <w:tr w:rsidR="00DA2F46" w:rsidRPr="00B64C8D" w14:paraId="41B04DDA" w14:textId="77777777" w:rsidTr="00D64BAF">
        <w:trPr>
          <w:gridAfter w:val="1"/>
          <w:wAfter w:w="10" w:type="dxa"/>
        </w:trPr>
        <w:tc>
          <w:tcPr>
            <w:tcW w:w="4531" w:type="dxa"/>
          </w:tcPr>
          <w:p w14:paraId="45998FA5" w14:textId="6D417DEE" w:rsidR="00DA2F46" w:rsidRPr="00B64C8D" w:rsidRDefault="00DA2F46" w:rsidP="00B64C8D">
            <w:pPr>
              <w:spacing w:line="360" w:lineRule="auto"/>
              <w:rPr>
                <w:rFonts w:ascii="Times New Roman" w:hAnsi="Times New Roman" w:cs="Times New Roman"/>
                <w:b/>
                <w:bCs/>
              </w:rPr>
            </w:pPr>
            <w:r w:rsidRPr="00B64C8D">
              <w:rPr>
                <w:rFonts w:ascii="Times New Roman" w:hAnsi="Times New Roman" w:cs="Times New Roman"/>
                <w:b/>
                <w:bCs/>
              </w:rPr>
              <w:t>JO</w:t>
            </w:r>
          </w:p>
        </w:tc>
        <w:tc>
          <w:tcPr>
            <w:tcW w:w="4531" w:type="dxa"/>
          </w:tcPr>
          <w:p w14:paraId="2F288CDA" w14:textId="273571B1" w:rsidR="00DA2F46" w:rsidRPr="00B64C8D" w:rsidRDefault="00DA2F46" w:rsidP="00B64C8D">
            <w:pPr>
              <w:spacing w:line="360" w:lineRule="auto"/>
              <w:rPr>
                <w:rFonts w:ascii="Times New Roman" w:hAnsi="Times New Roman" w:cs="Times New Roman"/>
              </w:rPr>
            </w:pPr>
            <w:r w:rsidRPr="00B64C8D">
              <w:rPr>
                <w:rFonts w:ascii="Times New Roman" w:hAnsi="Times New Roman" w:cs="Times New Roman"/>
              </w:rPr>
              <w:t>Joint Operation</w:t>
            </w:r>
          </w:p>
        </w:tc>
      </w:tr>
      <w:tr w:rsidR="00DA2F46" w:rsidRPr="00B64C8D" w14:paraId="35664EC8" w14:textId="77777777" w:rsidTr="00D64BAF">
        <w:trPr>
          <w:gridAfter w:val="1"/>
          <w:wAfter w:w="10" w:type="dxa"/>
        </w:trPr>
        <w:tc>
          <w:tcPr>
            <w:tcW w:w="4531" w:type="dxa"/>
          </w:tcPr>
          <w:p w14:paraId="1EA8F50C" w14:textId="66138E78" w:rsidR="00DA2F46" w:rsidRPr="00B64C8D" w:rsidRDefault="00DA2F46" w:rsidP="00B64C8D">
            <w:pPr>
              <w:spacing w:line="360" w:lineRule="auto"/>
              <w:rPr>
                <w:rFonts w:ascii="Times New Roman" w:hAnsi="Times New Roman" w:cs="Times New Roman"/>
                <w:b/>
                <w:bCs/>
              </w:rPr>
            </w:pPr>
            <w:r w:rsidRPr="00B64C8D">
              <w:rPr>
                <w:rFonts w:ascii="Times New Roman" w:hAnsi="Times New Roman" w:cs="Times New Roman"/>
                <w:b/>
                <w:bCs/>
              </w:rPr>
              <w:t>Eurosur</w:t>
            </w:r>
          </w:p>
        </w:tc>
        <w:tc>
          <w:tcPr>
            <w:tcW w:w="4531" w:type="dxa"/>
          </w:tcPr>
          <w:p w14:paraId="52CD9F55" w14:textId="56E3193F" w:rsidR="00DA2F46" w:rsidRPr="00B64C8D" w:rsidRDefault="00DA2F46" w:rsidP="00B64C8D">
            <w:pPr>
              <w:spacing w:line="360" w:lineRule="auto"/>
              <w:rPr>
                <w:rFonts w:ascii="Times New Roman" w:hAnsi="Times New Roman" w:cs="Times New Roman"/>
              </w:rPr>
            </w:pPr>
            <w:r w:rsidRPr="00B64C8D">
              <w:rPr>
                <w:rFonts w:ascii="Times New Roman" w:hAnsi="Times New Roman" w:cs="Times New Roman"/>
              </w:rPr>
              <w:t>European Border Surveillance System</w:t>
            </w:r>
          </w:p>
        </w:tc>
      </w:tr>
      <w:tr w:rsidR="0053748C" w:rsidRPr="00B64C8D" w14:paraId="2DE9F009" w14:textId="77777777" w:rsidTr="00D64BAF">
        <w:trPr>
          <w:gridAfter w:val="1"/>
          <w:wAfter w:w="108" w:type="dxa"/>
        </w:trPr>
        <w:tc>
          <w:tcPr>
            <w:tcW w:w="4531" w:type="dxa"/>
          </w:tcPr>
          <w:p w14:paraId="0F762111" w14:textId="0C23BCB4" w:rsidR="0053748C" w:rsidRPr="00B64C8D" w:rsidRDefault="0053748C" w:rsidP="00B64C8D">
            <w:pPr>
              <w:spacing w:line="360" w:lineRule="auto"/>
              <w:rPr>
                <w:rFonts w:ascii="Times New Roman" w:hAnsi="Times New Roman" w:cs="Times New Roman"/>
                <w:b/>
                <w:bCs/>
              </w:rPr>
            </w:pPr>
            <w:r w:rsidRPr="00B64C8D">
              <w:rPr>
                <w:rFonts w:ascii="Times New Roman" w:hAnsi="Times New Roman" w:cs="Times New Roman"/>
                <w:b/>
                <w:bCs/>
              </w:rPr>
              <w:t>USA</w:t>
            </w:r>
          </w:p>
        </w:tc>
        <w:tc>
          <w:tcPr>
            <w:tcW w:w="4531" w:type="dxa"/>
          </w:tcPr>
          <w:p w14:paraId="41DF486A" w14:textId="76635D4A" w:rsidR="0053748C" w:rsidRPr="00B64C8D" w:rsidRDefault="0053748C" w:rsidP="00B64C8D">
            <w:pPr>
              <w:spacing w:line="360" w:lineRule="auto"/>
              <w:rPr>
                <w:rFonts w:ascii="Times New Roman" w:hAnsi="Times New Roman" w:cs="Times New Roman"/>
              </w:rPr>
            </w:pPr>
            <w:r w:rsidRPr="00B64C8D">
              <w:rPr>
                <w:rFonts w:ascii="Times New Roman" w:hAnsi="Times New Roman" w:cs="Times New Roman"/>
              </w:rPr>
              <w:t>United States of America</w:t>
            </w:r>
          </w:p>
        </w:tc>
      </w:tr>
      <w:tr w:rsidR="0053748C" w:rsidRPr="00B64C8D" w14:paraId="4791B117" w14:textId="77777777" w:rsidTr="00D64BAF">
        <w:trPr>
          <w:gridAfter w:val="1"/>
          <w:wAfter w:w="108" w:type="dxa"/>
        </w:trPr>
        <w:tc>
          <w:tcPr>
            <w:tcW w:w="4531" w:type="dxa"/>
          </w:tcPr>
          <w:p w14:paraId="0A253AFF" w14:textId="131FF976" w:rsidR="0053748C" w:rsidRPr="00B64C8D" w:rsidRDefault="0053748C" w:rsidP="00B64C8D">
            <w:pPr>
              <w:spacing w:line="360" w:lineRule="auto"/>
              <w:rPr>
                <w:rFonts w:ascii="Times New Roman" w:hAnsi="Times New Roman" w:cs="Times New Roman"/>
                <w:b/>
                <w:bCs/>
              </w:rPr>
            </w:pPr>
            <w:r w:rsidRPr="00B64C8D">
              <w:rPr>
                <w:rFonts w:ascii="Times New Roman" w:hAnsi="Times New Roman" w:cs="Times New Roman"/>
                <w:b/>
                <w:bCs/>
              </w:rPr>
              <w:t>UK</w:t>
            </w:r>
          </w:p>
        </w:tc>
        <w:tc>
          <w:tcPr>
            <w:tcW w:w="4531" w:type="dxa"/>
          </w:tcPr>
          <w:p w14:paraId="5155119E" w14:textId="3E71F4F3" w:rsidR="0053748C" w:rsidRPr="00B64C8D" w:rsidRDefault="0053748C" w:rsidP="00B64C8D">
            <w:pPr>
              <w:spacing w:line="360" w:lineRule="auto"/>
              <w:rPr>
                <w:rFonts w:ascii="Times New Roman" w:hAnsi="Times New Roman" w:cs="Times New Roman"/>
              </w:rPr>
            </w:pPr>
            <w:r w:rsidRPr="00B64C8D">
              <w:rPr>
                <w:rFonts w:ascii="Times New Roman" w:hAnsi="Times New Roman" w:cs="Times New Roman"/>
              </w:rPr>
              <w:t>United Kingdom</w:t>
            </w:r>
          </w:p>
        </w:tc>
      </w:tr>
      <w:tr w:rsidR="00A527EE" w:rsidRPr="00B64C8D" w14:paraId="36989661" w14:textId="77777777" w:rsidTr="00D64BAF">
        <w:tc>
          <w:tcPr>
            <w:tcW w:w="4531" w:type="dxa"/>
          </w:tcPr>
          <w:p w14:paraId="293D9648" w14:textId="268D69E5" w:rsidR="00A527EE" w:rsidRPr="00B64C8D" w:rsidRDefault="00A527EE" w:rsidP="00B64C8D">
            <w:pPr>
              <w:spacing w:line="360" w:lineRule="auto"/>
              <w:rPr>
                <w:rFonts w:ascii="Times New Roman" w:hAnsi="Times New Roman" w:cs="Times New Roman"/>
                <w:b/>
                <w:bCs/>
              </w:rPr>
            </w:pPr>
            <w:r w:rsidRPr="00B64C8D">
              <w:rPr>
                <w:rFonts w:ascii="Times New Roman" w:hAnsi="Times New Roman" w:cs="Times New Roman"/>
                <w:b/>
                <w:bCs/>
              </w:rPr>
              <w:t>SEA</w:t>
            </w:r>
          </w:p>
        </w:tc>
        <w:tc>
          <w:tcPr>
            <w:tcW w:w="4531" w:type="dxa"/>
            <w:gridSpan w:val="2"/>
          </w:tcPr>
          <w:p w14:paraId="3ABB181B" w14:textId="57F7202C" w:rsidR="00A527EE" w:rsidRPr="00B64C8D" w:rsidRDefault="00A527EE" w:rsidP="00B64C8D">
            <w:pPr>
              <w:spacing w:line="360" w:lineRule="auto"/>
              <w:rPr>
                <w:rFonts w:ascii="Times New Roman" w:hAnsi="Times New Roman" w:cs="Times New Roman"/>
              </w:rPr>
            </w:pPr>
            <w:r w:rsidRPr="00B64C8D">
              <w:rPr>
                <w:rFonts w:ascii="Times New Roman" w:hAnsi="Times New Roman" w:cs="Times New Roman"/>
              </w:rPr>
              <w:t>Single European Act</w:t>
            </w:r>
          </w:p>
        </w:tc>
      </w:tr>
      <w:tr w:rsidR="0053748C" w:rsidRPr="00B64C8D" w14:paraId="2BB083A2" w14:textId="77777777" w:rsidTr="00D64BAF">
        <w:tc>
          <w:tcPr>
            <w:tcW w:w="4531" w:type="dxa"/>
          </w:tcPr>
          <w:p w14:paraId="74D23805" w14:textId="7B787D95" w:rsidR="0053748C" w:rsidRPr="00B64C8D" w:rsidRDefault="0053748C" w:rsidP="00B64C8D">
            <w:pPr>
              <w:spacing w:line="360" w:lineRule="auto"/>
              <w:rPr>
                <w:rFonts w:ascii="Times New Roman" w:hAnsi="Times New Roman" w:cs="Times New Roman"/>
                <w:b/>
                <w:bCs/>
              </w:rPr>
            </w:pPr>
            <w:r w:rsidRPr="00B64C8D">
              <w:rPr>
                <w:rFonts w:ascii="Times New Roman" w:hAnsi="Times New Roman" w:cs="Times New Roman"/>
                <w:b/>
                <w:bCs/>
              </w:rPr>
              <w:t>RCI</w:t>
            </w:r>
          </w:p>
        </w:tc>
        <w:tc>
          <w:tcPr>
            <w:tcW w:w="4531" w:type="dxa"/>
            <w:gridSpan w:val="2"/>
          </w:tcPr>
          <w:p w14:paraId="3FBC08F5" w14:textId="4F06A9D3" w:rsidR="0053748C" w:rsidRPr="00B64C8D" w:rsidRDefault="0053748C" w:rsidP="00B64C8D">
            <w:pPr>
              <w:spacing w:line="360" w:lineRule="auto"/>
              <w:rPr>
                <w:rFonts w:ascii="Times New Roman" w:hAnsi="Times New Roman" w:cs="Times New Roman"/>
              </w:rPr>
            </w:pPr>
            <w:r w:rsidRPr="00B64C8D">
              <w:rPr>
                <w:rFonts w:ascii="Times New Roman" w:hAnsi="Times New Roman" w:cs="Times New Roman"/>
              </w:rPr>
              <w:t>Rational Choice Institutionalism</w:t>
            </w:r>
          </w:p>
        </w:tc>
      </w:tr>
      <w:tr w:rsidR="0053748C" w:rsidRPr="00B64C8D" w14:paraId="0ED80849" w14:textId="77777777" w:rsidTr="00D64BAF">
        <w:tc>
          <w:tcPr>
            <w:tcW w:w="4531" w:type="dxa"/>
          </w:tcPr>
          <w:p w14:paraId="78A323C5" w14:textId="77777777" w:rsidR="0053748C" w:rsidRPr="00B64C8D" w:rsidRDefault="0053748C" w:rsidP="00B64C8D">
            <w:pPr>
              <w:spacing w:line="360" w:lineRule="auto"/>
              <w:rPr>
                <w:rFonts w:ascii="Times New Roman" w:hAnsi="Times New Roman" w:cs="Times New Roman"/>
                <w:b/>
                <w:bCs/>
              </w:rPr>
            </w:pPr>
          </w:p>
        </w:tc>
        <w:tc>
          <w:tcPr>
            <w:tcW w:w="4531" w:type="dxa"/>
            <w:gridSpan w:val="2"/>
          </w:tcPr>
          <w:p w14:paraId="25A039D9" w14:textId="77777777" w:rsidR="0053748C" w:rsidRPr="00B64C8D" w:rsidRDefault="0053748C" w:rsidP="00B64C8D">
            <w:pPr>
              <w:spacing w:line="360" w:lineRule="auto"/>
              <w:rPr>
                <w:rFonts w:ascii="Times New Roman" w:hAnsi="Times New Roman" w:cs="Times New Roman"/>
              </w:rPr>
            </w:pPr>
          </w:p>
        </w:tc>
      </w:tr>
    </w:tbl>
    <w:p w14:paraId="128419BA" w14:textId="7EEA8B06" w:rsidR="00E04C6C" w:rsidRPr="00B64C8D" w:rsidRDefault="0053748C" w:rsidP="00B64C8D">
      <w:pPr>
        <w:spacing w:line="360" w:lineRule="auto"/>
        <w:rPr>
          <w:rFonts w:ascii="Times New Roman" w:hAnsi="Times New Roman" w:cs="Times New Roman"/>
        </w:rPr>
      </w:pPr>
      <w:r w:rsidRPr="00B64C8D">
        <w:rPr>
          <w:rFonts w:ascii="Times New Roman" w:hAnsi="Times New Roman" w:cs="Times New Roman"/>
        </w:rPr>
        <w:tab/>
      </w:r>
    </w:p>
    <w:p w14:paraId="59A1D0D1" w14:textId="77777777" w:rsidR="00E04C6C" w:rsidRPr="00B64C8D" w:rsidRDefault="00E04C6C" w:rsidP="00B64C8D">
      <w:pPr>
        <w:spacing w:line="360" w:lineRule="auto"/>
        <w:rPr>
          <w:rFonts w:ascii="Times New Roman" w:hAnsi="Times New Roman" w:cs="Times New Roman"/>
        </w:rPr>
      </w:pPr>
    </w:p>
    <w:p w14:paraId="265AE0B1" w14:textId="77777777" w:rsidR="009866FA" w:rsidRPr="00B64C8D" w:rsidRDefault="009866FA" w:rsidP="00B64C8D">
      <w:pPr>
        <w:spacing w:line="360" w:lineRule="auto"/>
        <w:rPr>
          <w:rFonts w:ascii="Times New Roman" w:eastAsiaTheme="majorEastAsia" w:hAnsi="Times New Roman" w:cs="Times New Roman"/>
          <w:color w:val="2F5496" w:themeColor="accent1" w:themeShade="BF"/>
        </w:rPr>
      </w:pPr>
      <w:r w:rsidRPr="00B64C8D">
        <w:rPr>
          <w:rFonts w:ascii="Times New Roman" w:hAnsi="Times New Roman" w:cs="Times New Roman"/>
        </w:rPr>
        <w:br w:type="page"/>
      </w:r>
    </w:p>
    <w:p w14:paraId="7789A473" w14:textId="77777777" w:rsidR="00312B4B" w:rsidRPr="005875CB" w:rsidRDefault="00312B4B" w:rsidP="005875CB">
      <w:pPr>
        <w:pStyle w:val="Kop1"/>
        <w:rPr>
          <w:sz w:val="22"/>
          <w:szCs w:val="22"/>
          <w:shd w:val="clear" w:color="auto" w:fill="FFFFFF"/>
        </w:rPr>
      </w:pPr>
      <w:bookmarkStart w:id="2" w:name="_Toc149818672"/>
      <w:bookmarkStart w:id="3" w:name="_Toc152251971"/>
      <w:r w:rsidRPr="005875CB">
        <w:rPr>
          <w:sz w:val="22"/>
          <w:szCs w:val="22"/>
          <w:shd w:val="clear" w:color="auto" w:fill="FFFFFF"/>
        </w:rPr>
        <w:lastRenderedPageBreak/>
        <w:t>Chapter 1: Introduction</w:t>
      </w:r>
      <w:bookmarkEnd w:id="2"/>
      <w:bookmarkEnd w:id="3"/>
    </w:p>
    <w:p w14:paraId="7676D153" w14:textId="77777777" w:rsidR="00312B4B" w:rsidRPr="00B64C8D" w:rsidRDefault="00312B4B" w:rsidP="00B64C8D">
      <w:pPr>
        <w:pStyle w:val="Kop2"/>
        <w:spacing w:line="360" w:lineRule="auto"/>
        <w:rPr>
          <w:rFonts w:ascii="Times New Roman" w:hAnsi="Times New Roman" w:cs="Times New Roman"/>
          <w:sz w:val="22"/>
          <w:szCs w:val="22"/>
        </w:rPr>
      </w:pPr>
      <w:bookmarkStart w:id="4" w:name="_Toc149818673"/>
      <w:bookmarkStart w:id="5" w:name="_Toc152251972"/>
      <w:r w:rsidRPr="00B64C8D">
        <w:rPr>
          <w:rFonts w:ascii="Times New Roman" w:hAnsi="Times New Roman" w:cs="Times New Roman"/>
          <w:sz w:val="22"/>
          <w:szCs w:val="22"/>
        </w:rPr>
        <w:t>1.1. Topic background</w:t>
      </w:r>
      <w:bookmarkEnd w:id="4"/>
      <w:bookmarkEnd w:id="5"/>
    </w:p>
    <w:p w14:paraId="47495F9A" w14:textId="24A5454B" w:rsidR="00312B4B" w:rsidRPr="00B64C8D" w:rsidRDefault="00312B4B"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rPr>
        <w:t>On July 30</w:t>
      </w:r>
      <w:r w:rsidRPr="00B64C8D">
        <w:rPr>
          <w:rFonts w:ascii="Times New Roman" w:hAnsi="Times New Roman" w:cs="Times New Roman"/>
          <w:vertAlign w:val="superscript"/>
        </w:rPr>
        <w:t>th,</w:t>
      </w:r>
      <w:r w:rsidRPr="00B64C8D">
        <w:rPr>
          <w:rFonts w:ascii="Times New Roman" w:hAnsi="Times New Roman" w:cs="Times New Roman"/>
        </w:rPr>
        <w:t xml:space="preserve"> 2021, a boat filled with around 80 refugees was on their way to reach the safe borders of the European Union. When the refugees were about 11 hours into their voyage, they heard a clear sound coming from the sky. The next few hours there was a tense silence, for a drone from the EU coast guard agency Frontex had just passed overhead. After a few hours, the drone’s sound was heard again as it circled overhead for a brief period. Two hours later a boat appeared, it was the Libyan coast guard. Abu Laila, a Syrian refugee who was on his way to the EU stated that this boat took him back to Libya, where he was detained, beaten non-stop and forced to pay bribes to Libyan officials. In the EU it is known that these practices happen in Libya. At the same time, Frontex is still providing its coast guard with the information necessary to make this happen. This is made possible by Frontex’ drone and satellite capabilities and the privilege of the agency to contact third countries </w:t>
      </w:r>
      <w:r w:rsidRPr="00B64C8D">
        <w:rPr>
          <w:rFonts w:ascii="Times New Roman" w:hAnsi="Times New Roman" w:cs="Times New Roman"/>
          <w:color w:val="222222"/>
          <w:shd w:val="clear" w:color="auto" w:fill="FFFFFF"/>
        </w:rPr>
        <w:t>(Sunderland &amp; Pezzani, 2022).</w:t>
      </w:r>
    </w:p>
    <w:p w14:paraId="64E579EC" w14:textId="55B9C469" w:rsidR="00312B4B" w:rsidRPr="00B64C8D" w:rsidRDefault="00312B4B" w:rsidP="00B64C8D">
      <w:pPr>
        <w:pStyle w:val="Kop2"/>
        <w:spacing w:line="360" w:lineRule="auto"/>
        <w:rPr>
          <w:rFonts w:ascii="Times New Roman" w:hAnsi="Times New Roman" w:cs="Times New Roman"/>
          <w:sz w:val="22"/>
          <w:szCs w:val="22"/>
        </w:rPr>
      </w:pPr>
      <w:bookmarkStart w:id="6" w:name="_Toc149818674"/>
      <w:bookmarkStart w:id="7" w:name="_Toc152251973"/>
      <w:r w:rsidRPr="00B64C8D">
        <w:rPr>
          <w:rFonts w:ascii="Times New Roman" w:hAnsi="Times New Roman" w:cs="Times New Roman"/>
          <w:sz w:val="22"/>
          <w:szCs w:val="22"/>
        </w:rPr>
        <w:t>1.2</w:t>
      </w:r>
      <w:r w:rsidR="008861ED" w:rsidRPr="00B64C8D">
        <w:rPr>
          <w:rFonts w:ascii="Times New Roman" w:hAnsi="Times New Roman" w:cs="Times New Roman"/>
          <w:sz w:val="22"/>
          <w:szCs w:val="22"/>
        </w:rPr>
        <w:t>.</w:t>
      </w:r>
      <w:r w:rsidRPr="00B64C8D">
        <w:rPr>
          <w:rFonts w:ascii="Times New Roman" w:hAnsi="Times New Roman" w:cs="Times New Roman"/>
          <w:sz w:val="22"/>
          <w:szCs w:val="22"/>
        </w:rPr>
        <w:t xml:space="preserve"> Frontex</w:t>
      </w:r>
      <w:bookmarkEnd w:id="6"/>
      <w:bookmarkEnd w:id="7"/>
    </w:p>
    <w:p w14:paraId="528350EA" w14:textId="6E80DEB3" w:rsidR="00312B4B" w:rsidRPr="00B64C8D" w:rsidRDefault="00312B4B" w:rsidP="00B64C8D">
      <w:pPr>
        <w:spacing w:line="360" w:lineRule="auto"/>
        <w:rPr>
          <w:rFonts w:ascii="Times New Roman" w:hAnsi="Times New Roman" w:cs="Times New Roman"/>
          <w:color w:val="000000" w:themeColor="text1"/>
          <w:shd w:val="clear" w:color="auto" w:fill="FFFFFF"/>
        </w:rPr>
      </w:pPr>
      <w:r w:rsidRPr="00B64C8D">
        <w:rPr>
          <w:rFonts w:ascii="Times New Roman" w:hAnsi="Times New Roman" w:cs="Times New Roman"/>
        </w:rPr>
        <w:t xml:space="preserve">When Frontex (Frontières Extérieures) was established in 2004 as the European Agency for the management of Operation at the external Borders, their main tasks were coordinating joint operations on the EU external border, risk analyses and training of national border security agents (Council of the EU, 2004). From recent actions of Frontex, however, it is evident that they have expanded the scope of their actions. Since 2019 Frontex officers have been allowed to carry firearms </w:t>
      </w:r>
      <w:r w:rsidRPr="00B64C8D">
        <w:rPr>
          <w:rFonts w:ascii="Times New Roman" w:hAnsi="Times New Roman" w:cs="Times New Roman"/>
          <w:color w:val="000000" w:themeColor="text1"/>
          <w:shd w:val="clear" w:color="auto" w:fill="FFFFFF"/>
        </w:rPr>
        <w:t>(Regulation 2019/1896) (EU, 2019), they have access to military grade surveillance drones (Pineda &amp; Rego, 2020), and among other things the freedom to make treaties with non-EU countries themselves (EU, 2019).</w:t>
      </w:r>
      <w:r w:rsidRPr="00B64C8D">
        <w:rPr>
          <w:rFonts w:ascii="Times New Roman" w:hAnsi="Times New Roman" w:cs="Times New Roman"/>
        </w:rPr>
        <w:t xml:space="preserve"> </w:t>
      </w:r>
      <w:r w:rsidRPr="00B64C8D">
        <w:rPr>
          <w:rFonts w:ascii="Times New Roman" w:hAnsi="Times New Roman" w:cs="Times New Roman"/>
          <w:color w:val="000000" w:themeColor="text1"/>
          <w:shd w:val="clear" w:color="auto" w:fill="FFFFFF"/>
        </w:rPr>
        <w:t xml:space="preserve">These examples demonstrate Frontex’s extensive expansion of capabilities in recent years. </w:t>
      </w:r>
    </w:p>
    <w:p w14:paraId="12C3F65B" w14:textId="579BA898" w:rsidR="00312B4B" w:rsidRPr="00B64C8D" w:rsidRDefault="00312B4B" w:rsidP="00B64C8D">
      <w:pPr>
        <w:spacing w:line="360" w:lineRule="auto"/>
        <w:rPr>
          <w:rFonts w:ascii="Times New Roman" w:hAnsi="Times New Roman" w:cs="Times New Roman"/>
          <w:color w:val="000000" w:themeColor="text1"/>
        </w:rPr>
      </w:pPr>
      <w:r w:rsidRPr="00B64C8D">
        <w:rPr>
          <w:rFonts w:ascii="Times New Roman" w:hAnsi="Times New Roman" w:cs="Times New Roman"/>
          <w:color w:val="000000" w:themeColor="text1"/>
        </w:rPr>
        <w:t xml:space="preserve">This leads to a situation where Frontex has more enforcement tools but lacks scrutiny, which can lead to serious human rights violations. Famous are the illegal pushbacks that Frontex helped finance and turned a blind eye to, that where officially confirmed in 2022 by the EU fraud watchdog, OLAF (OLAF, 2022). With the use of drones, it seems that this behavior is even getting </w:t>
      </w:r>
      <w:r w:rsidR="001035D7" w:rsidRPr="00B64C8D">
        <w:rPr>
          <w:rFonts w:ascii="Times New Roman" w:hAnsi="Times New Roman" w:cs="Times New Roman"/>
          <w:color w:val="000000" w:themeColor="text1"/>
        </w:rPr>
        <w:t>worse,</w:t>
      </w:r>
      <w:r w:rsidRPr="00B64C8D">
        <w:rPr>
          <w:rFonts w:ascii="Times New Roman" w:hAnsi="Times New Roman" w:cs="Times New Roman"/>
          <w:color w:val="000000" w:themeColor="text1"/>
        </w:rPr>
        <w:t xml:space="preserve"> and it has become more difficult to keep Frontex in check because their flight plans and whereabouts are now held secret, possibly to prevent</w:t>
      </w:r>
      <w:r w:rsidR="00DE6ACE" w:rsidRPr="00B64C8D">
        <w:rPr>
          <w:rFonts w:ascii="Times New Roman" w:hAnsi="Times New Roman" w:cs="Times New Roman"/>
          <w:color w:val="000000" w:themeColor="text1"/>
        </w:rPr>
        <w:t xml:space="preserve"> public</w:t>
      </w:r>
      <w:r w:rsidRPr="00B64C8D">
        <w:rPr>
          <w:rFonts w:ascii="Times New Roman" w:hAnsi="Times New Roman" w:cs="Times New Roman"/>
          <w:color w:val="000000" w:themeColor="text1"/>
        </w:rPr>
        <w:t xml:space="preserve"> scrutiny. These drone flights, with flight plans that are often not made public, are used to inform the Libyan coast guard to the whereabouts of migrants, so they can pick them up. This is in violation of the non-refoulment-principal, which prohibits sending migrants back to a country where they cannot be safe, such as Libya (Trouw, 2021; Der Spiegel, 2021). This is just one example of how Frontex can use its tools in unlawful ways, but because of its gained autonomy there is limited scrutiny of their actions. The fact that not all information is made visible to the overseeing bodies (Commission, </w:t>
      </w:r>
      <w:r w:rsidR="001B2B84" w:rsidRPr="00B64C8D">
        <w:rPr>
          <w:rFonts w:ascii="Times New Roman" w:hAnsi="Times New Roman" w:cs="Times New Roman"/>
          <w:color w:val="000000" w:themeColor="text1"/>
        </w:rPr>
        <w:t>EP,</w:t>
      </w:r>
      <w:r w:rsidRPr="00B64C8D">
        <w:rPr>
          <w:rFonts w:ascii="Times New Roman" w:hAnsi="Times New Roman" w:cs="Times New Roman"/>
          <w:color w:val="000000" w:themeColor="text1"/>
        </w:rPr>
        <w:t xml:space="preserve"> and member states) makes it difficult to state, at this point, if these bodies do not know or do not want to know what is happening. This results in a situation where it is difficult to hold these institutions politically responsible for Frontex and its actions. It is</w:t>
      </w:r>
      <w:r w:rsidR="00DE6ACE" w:rsidRPr="00B64C8D">
        <w:rPr>
          <w:rFonts w:ascii="Times New Roman" w:hAnsi="Times New Roman" w:cs="Times New Roman"/>
          <w:color w:val="000000" w:themeColor="text1"/>
        </w:rPr>
        <w:t xml:space="preserve">, at this </w:t>
      </w:r>
      <w:r w:rsidR="00DE6ACE" w:rsidRPr="00B64C8D">
        <w:rPr>
          <w:rFonts w:ascii="Times New Roman" w:hAnsi="Times New Roman" w:cs="Times New Roman"/>
          <w:color w:val="000000" w:themeColor="text1"/>
        </w:rPr>
        <w:lastRenderedPageBreak/>
        <w:t>point,</w:t>
      </w:r>
      <w:r w:rsidRPr="00B64C8D">
        <w:rPr>
          <w:rFonts w:ascii="Times New Roman" w:hAnsi="Times New Roman" w:cs="Times New Roman"/>
          <w:color w:val="000000" w:themeColor="text1"/>
        </w:rPr>
        <w:t xml:space="preserve"> difficult to make hard claims if this is a deliberate choice or a coincidence. This research will follow </w:t>
      </w:r>
      <w:r w:rsidR="001035D7" w:rsidRPr="00B64C8D">
        <w:rPr>
          <w:rFonts w:ascii="Times New Roman" w:hAnsi="Times New Roman" w:cs="Times New Roman"/>
          <w:color w:val="000000" w:themeColor="text1"/>
        </w:rPr>
        <w:t>Frontex,</w:t>
      </w:r>
      <w:r w:rsidR="007347EE" w:rsidRPr="00B64C8D">
        <w:rPr>
          <w:rFonts w:ascii="Times New Roman" w:hAnsi="Times New Roman" w:cs="Times New Roman"/>
          <w:color w:val="000000" w:themeColor="text1"/>
        </w:rPr>
        <w:t xml:space="preserve"> and the actors tasked with its oversight. By following these actors and</w:t>
      </w:r>
      <w:r w:rsidRPr="00B64C8D">
        <w:rPr>
          <w:rFonts w:ascii="Times New Roman" w:hAnsi="Times New Roman" w:cs="Times New Roman"/>
          <w:color w:val="000000" w:themeColor="text1"/>
        </w:rPr>
        <w:t xml:space="preserve"> examining their preferences, </w:t>
      </w:r>
      <w:r w:rsidR="001B2B84" w:rsidRPr="00B64C8D">
        <w:rPr>
          <w:rFonts w:ascii="Times New Roman" w:hAnsi="Times New Roman" w:cs="Times New Roman"/>
          <w:color w:val="000000" w:themeColor="text1"/>
        </w:rPr>
        <w:t>goals,</w:t>
      </w:r>
      <w:r w:rsidRPr="00B64C8D">
        <w:rPr>
          <w:rFonts w:ascii="Times New Roman" w:hAnsi="Times New Roman" w:cs="Times New Roman"/>
          <w:color w:val="000000" w:themeColor="text1"/>
        </w:rPr>
        <w:t xml:space="preserve"> and instruments </w:t>
      </w:r>
      <w:r w:rsidR="007347EE" w:rsidRPr="00B64C8D">
        <w:rPr>
          <w:rFonts w:ascii="Times New Roman" w:hAnsi="Times New Roman" w:cs="Times New Roman"/>
          <w:color w:val="000000" w:themeColor="text1"/>
        </w:rPr>
        <w:t>we will get a better understanding of the driving forces behind Frontex’s growing autonomy.</w:t>
      </w:r>
    </w:p>
    <w:p w14:paraId="02CEB044" w14:textId="3658278F" w:rsidR="00312B4B" w:rsidRPr="00B64C8D" w:rsidRDefault="00F165B7" w:rsidP="00B64C8D">
      <w:pPr>
        <w:spacing w:line="360" w:lineRule="auto"/>
        <w:rPr>
          <w:rFonts w:ascii="Times New Roman" w:hAnsi="Times New Roman" w:cs="Times New Roman"/>
          <w:color w:val="000000" w:themeColor="text1"/>
          <w:shd w:val="clear" w:color="auto" w:fill="FFFFFF"/>
        </w:rPr>
      </w:pPr>
      <w:r w:rsidRPr="00B64C8D">
        <w:rPr>
          <w:rFonts w:ascii="Times New Roman" w:hAnsi="Times New Roman" w:cs="Times New Roman"/>
          <w:color w:val="000000" w:themeColor="text1"/>
          <w:shd w:val="clear" w:color="auto" w:fill="FFFFFF"/>
        </w:rPr>
        <w:t xml:space="preserve">The trend in growing autonomy </w:t>
      </w:r>
      <w:r w:rsidR="00312B4B" w:rsidRPr="00B64C8D">
        <w:rPr>
          <w:rFonts w:ascii="Times New Roman" w:hAnsi="Times New Roman" w:cs="Times New Roman"/>
          <w:color w:val="000000" w:themeColor="text1"/>
          <w:shd w:val="clear" w:color="auto" w:fill="FFFFFF"/>
        </w:rPr>
        <w:t xml:space="preserve">becomes visible through the instruments it uses, the actions and operations it undertakes and the lack of oversight there is on the agency. Numerous actors play a role in shaping Frontex, its actions, goals, checks and balances, and access to hard- and software. </w:t>
      </w:r>
    </w:p>
    <w:p w14:paraId="4E4CE4D0" w14:textId="2C46B5B0" w:rsidR="00312B4B" w:rsidRPr="00B64C8D" w:rsidRDefault="00312B4B" w:rsidP="00B64C8D">
      <w:pPr>
        <w:spacing w:line="360" w:lineRule="auto"/>
        <w:rPr>
          <w:rFonts w:ascii="Times New Roman" w:hAnsi="Times New Roman" w:cs="Times New Roman"/>
          <w:color w:val="000000" w:themeColor="text1"/>
          <w:shd w:val="clear" w:color="auto" w:fill="FFFFFF"/>
        </w:rPr>
      </w:pPr>
      <w:r w:rsidRPr="00B64C8D">
        <w:rPr>
          <w:rFonts w:ascii="Times New Roman" w:hAnsi="Times New Roman" w:cs="Times New Roman"/>
          <w:color w:val="000000" w:themeColor="text1"/>
          <w:shd w:val="clear" w:color="auto" w:fill="FFFFFF"/>
        </w:rPr>
        <w:t xml:space="preserve">The goal of this research is to create a new understanding about the operational evolution of Frontex. As it is important to have room for all involved actors, this research will use </w:t>
      </w:r>
      <w:r w:rsidR="00DE6ACE" w:rsidRPr="00B64C8D">
        <w:rPr>
          <w:rFonts w:ascii="Times New Roman" w:hAnsi="Times New Roman" w:cs="Times New Roman"/>
          <w:color w:val="000000" w:themeColor="text1"/>
          <w:shd w:val="clear" w:color="auto" w:fill="FFFFFF"/>
        </w:rPr>
        <w:t>m</w:t>
      </w:r>
      <w:r w:rsidRPr="00B64C8D">
        <w:rPr>
          <w:rFonts w:ascii="Times New Roman" w:hAnsi="Times New Roman" w:cs="Times New Roman"/>
          <w:color w:val="000000" w:themeColor="text1"/>
          <w:shd w:val="clear" w:color="auto" w:fill="FFFFFF"/>
        </w:rPr>
        <w:t>ulti</w:t>
      </w:r>
      <w:r w:rsidR="00DE6ACE" w:rsidRPr="00B64C8D">
        <w:rPr>
          <w:rFonts w:ascii="Times New Roman" w:hAnsi="Times New Roman" w:cs="Times New Roman"/>
          <w:color w:val="000000" w:themeColor="text1"/>
          <w:shd w:val="clear" w:color="auto" w:fill="FFFFFF"/>
        </w:rPr>
        <w:t>-l</w:t>
      </w:r>
      <w:r w:rsidRPr="00B64C8D">
        <w:rPr>
          <w:rFonts w:ascii="Times New Roman" w:hAnsi="Times New Roman" w:cs="Times New Roman"/>
          <w:color w:val="000000" w:themeColor="text1"/>
          <w:shd w:val="clear" w:color="auto" w:fill="FFFFFF"/>
        </w:rPr>
        <w:t xml:space="preserve">evel Governance (MLG) as a theoretical basis. MLG is a way to look at how power is distributed between multiple governing bodies, with the inclusion of both public and semi-public actors. By using this framework, these actors can be </w:t>
      </w:r>
      <w:r w:rsidR="001035D7" w:rsidRPr="00B64C8D">
        <w:rPr>
          <w:rFonts w:ascii="Times New Roman" w:hAnsi="Times New Roman" w:cs="Times New Roman"/>
          <w:color w:val="000000" w:themeColor="text1"/>
          <w:shd w:val="clear" w:color="auto" w:fill="FFFFFF"/>
        </w:rPr>
        <w:t>located,</w:t>
      </w:r>
      <w:r w:rsidRPr="00B64C8D">
        <w:rPr>
          <w:rFonts w:ascii="Times New Roman" w:hAnsi="Times New Roman" w:cs="Times New Roman"/>
          <w:color w:val="000000" w:themeColor="text1"/>
          <w:shd w:val="clear" w:color="auto" w:fill="FFFFFF"/>
        </w:rPr>
        <w:t xml:space="preserve"> and it is easier to map out their preferences and actions, taking this research a step closer into understanding what moves Frontex. </w:t>
      </w:r>
      <w:bookmarkStart w:id="8" w:name="_Hlk141878710"/>
      <w:r w:rsidRPr="00B64C8D">
        <w:rPr>
          <w:rFonts w:ascii="Times New Roman" w:hAnsi="Times New Roman" w:cs="Times New Roman"/>
          <w:color w:val="000000" w:themeColor="text1"/>
          <w:shd w:val="clear" w:color="auto" w:fill="FFFFFF"/>
        </w:rPr>
        <w:t xml:space="preserve">MLG is an excellent theory because it can </w:t>
      </w:r>
      <w:r w:rsidR="001B2B84" w:rsidRPr="00B64C8D">
        <w:rPr>
          <w:rFonts w:ascii="Times New Roman" w:hAnsi="Times New Roman" w:cs="Times New Roman"/>
          <w:color w:val="000000" w:themeColor="text1"/>
          <w:shd w:val="clear" w:color="auto" w:fill="FFFFFF"/>
        </w:rPr>
        <w:t>consider</w:t>
      </w:r>
      <w:r w:rsidRPr="00B64C8D">
        <w:rPr>
          <w:rFonts w:ascii="Times New Roman" w:hAnsi="Times New Roman" w:cs="Times New Roman"/>
          <w:color w:val="000000" w:themeColor="text1"/>
          <w:shd w:val="clear" w:color="auto" w:fill="FFFFFF"/>
        </w:rPr>
        <w:t xml:space="preserve"> the different actors that play a role and even how these actors influence each other. The MLG framework will allow for an as complete picture as possible. </w:t>
      </w:r>
    </w:p>
    <w:p w14:paraId="76F2DDAC" w14:textId="60E805AA" w:rsidR="00312B4B" w:rsidRPr="00B64C8D" w:rsidRDefault="00312B4B" w:rsidP="00B64C8D">
      <w:pPr>
        <w:pStyle w:val="Kop2"/>
        <w:spacing w:line="360" w:lineRule="auto"/>
        <w:rPr>
          <w:rFonts w:ascii="Times New Roman" w:hAnsi="Times New Roman" w:cs="Times New Roman"/>
          <w:sz w:val="22"/>
          <w:szCs w:val="22"/>
          <w:shd w:val="clear" w:color="auto" w:fill="FFFFFF"/>
        </w:rPr>
      </w:pPr>
      <w:bookmarkStart w:id="9" w:name="_Toc149818675"/>
      <w:bookmarkStart w:id="10" w:name="_Toc152251974"/>
      <w:bookmarkEnd w:id="8"/>
      <w:r w:rsidRPr="00B64C8D">
        <w:rPr>
          <w:rFonts w:ascii="Times New Roman" w:hAnsi="Times New Roman" w:cs="Times New Roman"/>
          <w:sz w:val="22"/>
          <w:szCs w:val="22"/>
          <w:shd w:val="clear" w:color="auto" w:fill="FFFFFF"/>
        </w:rPr>
        <w:t>1.</w:t>
      </w:r>
      <w:r w:rsidR="008861ED" w:rsidRPr="00B64C8D">
        <w:rPr>
          <w:rFonts w:ascii="Times New Roman" w:hAnsi="Times New Roman" w:cs="Times New Roman"/>
          <w:sz w:val="22"/>
          <w:szCs w:val="22"/>
          <w:shd w:val="clear" w:color="auto" w:fill="FFFFFF"/>
        </w:rPr>
        <w:t>3</w:t>
      </w:r>
      <w:r w:rsidRPr="00B64C8D">
        <w:rPr>
          <w:rFonts w:ascii="Times New Roman" w:hAnsi="Times New Roman" w:cs="Times New Roman"/>
          <w:sz w:val="22"/>
          <w:szCs w:val="22"/>
          <w:shd w:val="clear" w:color="auto" w:fill="FFFFFF"/>
        </w:rPr>
        <w:t>. Societal relevance</w:t>
      </w:r>
      <w:bookmarkEnd w:id="9"/>
      <w:bookmarkEnd w:id="10"/>
    </w:p>
    <w:p w14:paraId="5E2F05B8" w14:textId="47BA56A0" w:rsidR="00312B4B" w:rsidRPr="00B64C8D" w:rsidRDefault="00312B4B" w:rsidP="00B64C8D">
      <w:pPr>
        <w:spacing w:line="360" w:lineRule="auto"/>
        <w:rPr>
          <w:rFonts w:ascii="Times New Roman" w:hAnsi="Times New Roman" w:cs="Times New Roman"/>
          <w:color w:val="000000" w:themeColor="text1"/>
        </w:rPr>
      </w:pPr>
      <w:r w:rsidRPr="00B64C8D">
        <w:rPr>
          <w:rFonts w:ascii="Times New Roman" w:hAnsi="Times New Roman" w:cs="Times New Roman"/>
          <w:color w:val="000000" w:themeColor="text1"/>
        </w:rPr>
        <w:t>Frontex’s autonomy has been made visible in the scandals the agency has been involved in in the last couple years. These include the illegal pushbacks (Nielsen, 2023) as well as the</w:t>
      </w:r>
      <w:r w:rsidR="001035D7" w:rsidRPr="00B64C8D">
        <w:rPr>
          <w:rFonts w:ascii="Times New Roman" w:hAnsi="Times New Roman" w:cs="Times New Roman"/>
          <w:color w:val="000000" w:themeColor="text1"/>
        </w:rPr>
        <w:t xml:space="preserve"> </w:t>
      </w:r>
      <w:r w:rsidRPr="00B64C8D">
        <w:rPr>
          <w:rFonts w:ascii="Times New Roman" w:hAnsi="Times New Roman" w:cs="Times New Roman"/>
          <w:color w:val="000000" w:themeColor="text1"/>
        </w:rPr>
        <w:t xml:space="preserve">fraud and misconduct throughout the organization to cover this up (OLAF, 2022). This shows that the European Commission, EU member states and the European Parliament (EP) do not have the authority, </w:t>
      </w:r>
      <w:r w:rsidR="0077295C" w:rsidRPr="00B64C8D">
        <w:rPr>
          <w:rFonts w:ascii="Times New Roman" w:hAnsi="Times New Roman" w:cs="Times New Roman"/>
          <w:color w:val="000000" w:themeColor="text1"/>
        </w:rPr>
        <w:t xml:space="preserve">knowledge, </w:t>
      </w:r>
      <w:r w:rsidRPr="00B64C8D">
        <w:rPr>
          <w:rFonts w:ascii="Times New Roman" w:hAnsi="Times New Roman" w:cs="Times New Roman"/>
          <w:color w:val="000000" w:themeColor="text1"/>
        </w:rPr>
        <w:t xml:space="preserve">power </w:t>
      </w:r>
      <w:r w:rsidR="0077295C" w:rsidRPr="00B64C8D">
        <w:rPr>
          <w:rFonts w:ascii="Times New Roman" w:hAnsi="Times New Roman" w:cs="Times New Roman"/>
          <w:color w:val="000000" w:themeColor="text1"/>
        </w:rPr>
        <w:t>and/</w:t>
      </w:r>
      <w:r w:rsidRPr="00B64C8D">
        <w:rPr>
          <w:rFonts w:ascii="Times New Roman" w:hAnsi="Times New Roman" w:cs="Times New Roman"/>
          <w:color w:val="000000" w:themeColor="text1"/>
        </w:rPr>
        <w:t>or will to steer Frontex away from these actions, while the core values of the EU include democratic values and the protection of human rights. At this point,</w:t>
      </w:r>
      <w:r w:rsidR="001035D7" w:rsidRPr="00B64C8D">
        <w:rPr>
          <w:rFonts w:ascii="Times New Roman" w:hAnsi="Times New Roman" w:cs="Times New Roman"/>
          <w:color w:val="000000" w:themeColor="text1"/>
        </w:rPr>
        <w:t xml:space="preserve"> </w:t>
      </w:r>
      <w:r w:rsidRPr="00B64C8D">
        <w:rPr>
          <w:rFonts w:ascii="Times New Roman" w:hAnsi="Times New Roman" w:cs="Times New Roman"/>
          <w:color w:val="000000" w:themeColor="text1"/>
        </w:rPr>
        <w:t xml:space="preserve">it is difficult to open up the black box on why Frontex has gained autonomy over the past years, to hold the correct institution responsible and to determine if it was lack of awareness or if the current situation was created by design. </w:t>
      </w:r>
    </w:p>
    <w:p w14:paraId="4CFB55F6" w14:textId="44CA0EB3" w:rsidR="00312B4B" w:rsidRPr="00B64C8D" w:rsidRDefault="00312B4B" w:rsidP="00B64C8D">
      <w:pPr>
        <w:spacing w:line="360" w:lineRule="auto"/>
        <w:rPr>
          <w:rFonts w:ascii="Times New Roman" w:hAnsi="Times New Roman" w:cs="Times New Roman"/>
          <w:color w:val="000000" w:themeColor="text1"/>
        </w:rPr>
      </w:pPr>
      <w:r w:rsidRPr="00B64C8D">
        <w:rPr>
          <w:rFonts w:ascii="Times New Roman" w:hAnsi="Times New Roman" w:cs="Times New Roman"/>
          <w:color w:val="000000" w:themeColor="text1"/>
          <w:shd w:val="clear" w:color="auto" w:fill="FFFFFF"/>
        </w:rPr>
        <w:t>The usage of drones and making deals with non-EU third countries is part of a larger trend within Frontex, where the agency receives more autonomy. This does not only include the instruments it can use (like drones or diplomacy). Frontex also gained more autonomy regarding the EU institutions (Cortinovis, 2015; Pineda &amp; Rego, 2020). This autonomy mainly came from two new powers Frontex received in 2016</w:t>
      </w:r>
      <w:r w:rsidR="00180289" w:rsidRPr="00B64C8D">
        <w:rPr>
          <w:rFonts w:ascii="Times New Roman" w:hAnsi="Times New Roman" w:cs="Times New Roman"/>
          <w:color w:val="000000" w:themeColor="text1"/>
          <w:shd w:val="clear" w:color="auto" w:fill="FFFFFF"/>
        </w:rPr>
        <w:t xml:space="preserve"> (EU, 2016)</w:t>
      </w:r>
      <w:r w:rsidRPr="00B64C8D">
        <w:rPr>
          <w:rFonts w:ascii="Times New Roman" w:hAnsi="Times New Roman" w:cs="Times New Roman"/>
          <w:color w:val="000000" w:themeColor="text1"/>
          <w:shd w:val="clear" w:color="auto" w:fill="FFFFFF"/>
        </w:rPr>
        <w:t xml:space="preserve">. Firstly, it gained supervisory power, making it responsible to review every member </w:t>
      </w:r>
      <w:r w:rsidR="003B1A6D" w:rsidRPr="00B64C8D">
        <w:rPr>
          <w:rFonts w:ascii="Times New Roman" w:hAnsi="Times New Roman" w:cs="Times New Roman"/>
          <w:color w:val="000000" w:themeColor="text1"/>
          <w:shd w:val="clear" w:color="auto" w:fill="FFFFFF"/>
        </w:rPr>
        <w:t>state</w:t>
      </w:r>
      <w:r w:rsidRPr="00B64C8D">
        <w:rPr>
          <w:rFonts w:ascii="Times New Roman" w:hAnsi="Times New Roman" w:cs="Times New Roman"/>
          <w:color w:val="000000" w:themeColor="text1"/>
          <w:shd w:val="clear" w:color="auto" w:fill="FFFFFF"/>
        </w:rPr>
        <w:t xml:space="preserve"> </w:t>
      </w:r>
      <w:proofErr w:type="gramStart"/>
      <w:r w:rsidRPr="00B64C8D">
        <w:rPr>
          <w:rFonts w:ascii="Times New Roman" w:hAnsi="Times New Roman" w:cs="Times New Roman"/>
          <w:color w:val="000000" w:themeColor="text1"/>
          <w:shd w:val="clear" w:color="auto" w:fill="FFFFFF"/>
        </w:rPr>
        <w:t>capabilities</w:t>
      </w:r>
      <w:proofErr w:type="gramEnd"/>
      <w:r w:rsidRPr="00B64C8D">
        <w:rPr>
          <w:rFonts w:ascii="Times New Roman" w:hAnsi="Times New Roman" w:cs="Times New Roman"/>
          <w:color w:val="000000" w:themeColor="text1"/>
          <w:shd w:val="clear" w:color="auto" w:fill="FFFFFF"/>
        </w:rPr>
        <w:t xml:space="preserve"> of defending its borders. The second part of growing autonomy is that Frontex can now start an intervention in a member state when it deems that this member state is not capable of defending the European borders (Fjørtoft, 202</w:t>
      </w:r>
      <w:r w:rsidR="00BB44CE">
        <w:rPr>
          <w:rFonts w:ascii="Times New Roman" w:hAnsi="Times New Roman" w:cs="Times New Roman"/>
          <w:color w:val="000000" w:themeColor="text1"/>
          <w:shd w:val="clear" w:color="auto" w:fill="FFFFFF"/>
        </w:rPr>
        <w:t>2</w:t>
      </w:r>
      <w:r w:rsidRPr="00B64C8D">
        <w:rPr>
          <w:rFonts w:ascii="Times New Roman" w:hAnsi="Times New Roman" w:cs="Times New Roman"/>
          <w:color w:val="000000" w:themeColor="text1"/>
          <w:shd w:val="clear" w:color="auto" w:fill="FFFFFF"/>
        </w:rPr>
        <w:t>). These trends have contributed to an increase of EU funding to the agency. The budget of the agency went from €86.3 million in 2011 (Ekelund, 2014) to €839 million in 2023 (European Commission, 2022)</w:t>
      </w:r>
      <w:r w:rsidRPr="00B64C8D">
        <w:rPr>
          <w:rFonts w:ascii="Times New Roman" w:hAnsi="Times New Roman" w:cs="Times New Roman"/>
          <w:color w:val="000000" w:themeColor="text1"/>
        </w:rPr>
        <w:t xml:space="preserve">. Because this budget is only </w:t>
      </w:r>
      <w:r w:rsidRPr="00B64C8D">
        <w:rPr>
          <w:rFonts w:ascii="Times New Roman" w:hAnsi="Times New Roman" w:cs="Times New Roman"/>
          <w:color w:val="000000" w:themeColor="text1"/>
        </w:rPr>
        <w:lastRenderedPageBreak/>
        <w:t>expected to rise in the coming years (EP, 2021), it is important for European taxpayers to be aware what the role of Frontex is in the European and international system. As such, it is important that there is a larger public awareness of the freedoms Frontex has, how it received this autonomy and what the driving forces behind Frontex are.</w:t>
      </w:r>
    </w:p>
    <w:p w14:paraId="611D8A58" w14:textId="2DFF80C0" w:rsidR="00312B4B" w:rsidRPr="00B64C8D" w:rsidRDefault="00312B4B" w:rsidP="00B64C8D">
      <w:pPr>
        <w:spacing w:line="360" w:lineRule="auto"/>
        <w:rPr>
          <w:rFonts w:ascii="Times New Roman" w:hAnsi="Times New Roman" w:cs="Times New Roman"/>
          <w:color w:val="000000" w:themeColor="text1"/>
        </w:rPr>
      </w:pPr>
      <w:r w:rsidRPr="00B64C8D">
        <w:rPr>
          <w:rFonts w:ascii="Times New Roman" w:hAnsi="Times New Roman" w:cs="Times New Roman"/>
          <w:color w:val="000000" w:themeColor="text1"/>
        </w:rPr>
        <w:t xml:space="preserve">This thesis will focus on the case of Frontex specifically, but the mechanisms found within the agency can be generalized to other EU agencies. There are more EU agencies who gain additional autonomy and operational tasks such as the European Police Agency (Europol) and the European Defence Agency (EDA) </w:t>
      </w:r>
      <w:r w:rsidRPr="00B64C8D">
        <w:rPr>
          <w:rFonts w:ascii="Times New Roman" w:hAnsi="Times New Roman" w:cs="Times New Roman"/>
          <w:color w:val="222222"/>
          <w:shd w:val="clear" w:color="auto" w:fill="FFFFFF"/>
        </w:rPr>
        <w:t>(Freudlsperger et al., 2022)</w:t>
      </w:r>
      <w:r w:rsidRPr="00B64C8D">
        <w:rPr>
          <w:rFonts w:ascii="Times New Roman" w:hAnsi="Times New Roman" w:cs="Times New Roman"/>
          <w:color w:val="000000" w:themeColor="text1"/>
        </w:rPr>
        <w:t xml:space="preserve">. For the future of the EU and the public debate it is important that the EU citizens know about the role of these agencies, how they shape EU policy and how the EU institutions shape these agencies. This study will contribute to the understanding of how Frontex operates and how the EU can ensure transparency and accountability in its actions. </w:t>
      </w:r>
    </w:p>
    <w:p w14:paraId="455132DA" w14:textId="46B48271" w:rsidR="00312B4B" w:rsidRPr="00B64C8D" w:rsidRDefault="00312B4B" w:rsidP="00B64C8D">
      <w:pPr>
        <w:pStyle w:val="Kop2"/>
        <w:spacing w:line="360" w:lineRule="auto"/>
        <w:rPr>
          <w:rFonts w:ascii="Times New Roman" w:hAnsi="Times New Roman" w:cs="Times New Roman"/>
          <w:sz w:val="22"/>
          <w:szCs w:val="22"/>
        </w:rPr>
      </w:pPr>
      <w:bookmarkStart w:id="11" w:name="_Toc149818676"/>
      <w:bookmarkStart w:id="12" w:name="_Toc152251975"/>
      <w:r w:rsidRPr="00B64C8D">
        <w:rPr>
          <w:rFonts w:ascii="Times New Roman" w:hAnsi="Times New Roman" w:cs="Times New Roman"/>
          <w:sz w:val="22"/>
          <w:szCs w:val="22"/>
        </w:rPr>
        <w:t>1.</w:t>
      </w:r>
      <w:r w:rsidR="008861ED" w:rsidRPr="00B64C8D">
        <w:rPr>
          <w:rFonts w:ascii="Times New Roman" w:hAnsi="Times New Roman" w:cs="Times New Roman"/>
          <w:sz w:val="22"/>
          <w:szCs w:val="22"/>
        </w:rPr>
        <w:t>4</w:t>
      </w:r>
      <w:r w:rsidRPr="00B64C8D">
        <w:rPr>
          <w:rFonts w:ascii="Times New Roman" w:hAnsi="Times New Roman" w:cs="Times New Roman"/>
          <w:sz w:val="22"/>
          <w:szCs w:val="22"/>
        </w:rPr>
        <w:t>. Scientific relevance</w:t>
      </w:r>
      <w:bookmarkEnd w:id="11"/>
      <w:bookmarkEnd w:id="12"/>
    </w:p>
    <w:p w14:paraId="5718A9B7" w14:textId="473960E7"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In the last few years, research in Frontex has intensified. This was mainly due to the fact that Frontex appeared in current affairs more and more often, mainly when it comes to five topics: Activities, </w:t>
      </w:r>
      <w:r w:rsidRPr="00B64C8D">
        <w:rPr>
          <w:rFonts w:ascii="Times New Roman" w:hAnsi="Times New Roman" w:cs="Times New Roman"/>
          <w:color w:val="222222"/>
          <w:shd w:val="clear" w:color="auto" w:fill="FFFFFF"/>
        </w:rPr>
        <w:t>Frontex’s place within the EU, Operational effects, Human Rights and Agency Characteristics</w:t>
      </w:r>
      <w:r w:rsidRPr="00B64C8D">
        <w:rPr>
          <w:rFonts w:ascii="Times New Roman" w:hAnsi="Times New Roman" w:cs="Times New Roman"/>
        </w:rPr>
        <w:t xml:space="preserve">. In the next chapter, ‘State of the Art’, a deeper understanding of the topics will be created. </w:t>
      </w:r>
    </w:p>
    <w:p w14:paraId="6833A71F" w14:textId="529A054D"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There is some form of consensus about the fact that Frontex’s actions are not always in line with human rights standards (Human rights watch, 2022; van Dijken et al., 2021; OLAF, 2022; Nielsen, 2023), even the ones that were set by the EU. Possibly because the accountability and transparency of the agency is seen to be lacking. There are, however, also noticeable gaps within the literature regarding the agency. The first gap concerns the period in which the research has been conducted. Most of the research dates from before the latest regulation in which Frontex gained more autonomy. This research, however, will focus on this regulation that forms the basis of Frontex’s mandate. This thesis will focus on the 2019 regulation, giving insight into the latest workings of the agency and the European actors that have a part in shaping it, showing the working, </w:t>
      </w:r>
      <w:r w:rsidR="001B2B84" w:rsidRPr="00B64C8D">
        <w:rPr>
          <w:rFonts w:ascii="Times New Roman" w:hAnsi="Times New Roman" w:cs="Times New Roman"/>
        </w:rPr>
        <w:t>creating,</w:t>
      </w:r>
      <w:r w:rsidRPr="00B64C8D">
        <w:rPr>
          <w:rFonts w:ascii="Times New Roman" w:hAnsi="Times New Roman" w:cs="Times New Roman"/>
        </w:rPr>
        <w:t xml:space="preserve"> and overseeing EU agencies especially in recent years. This is important because the 2019 regulation codifies a lot of Frontex autonomy (European commission, 2019). By focusing on the events directly leading up to this moment this research might give us a better understanding of EU agencies.</w:t>
      </w:r>
      <w:r w:rsidR="0077295C" w:rsidRPr="00B64C8D">
        <w:rPr>
          <w:rFonts w:ascii="Times New Roman" w:hAnsi="Times New Roman" w:cs="Times New Roman"/>
        </w:rPr>
        <w:t xml:space="preserve"> </w:t>
      </w:r>
    </w:p>
    <w:p w14:paraId="209F41B5" w14:textId="04730FD7" w:rsidR="00312B4B" w:rsidRPr="00B64C8D" w:rsidRDefault="00312B4B" w:rsidP="00B64C8D">
      <w:pPr>
        <w:spacing w:line="360" w:lineRule="auto"/>
        <w:rPr>
          <w:rFonts w:ascii="Times New Roman" w:hAnsi="Times New Roman" w:cs="Times New Roman"/>
          <w:color w:val="000000" w:themeColor="text1"/>
        </w:rPr>
      </w:pPr>
      <w:r w:rsidRPr="00B64C8D">
        <w:rPr>
          <w:rFonts w:ascii="Times New Roman" w:hAnsi="Times New Roman" w:cs="Times New Roman"/>
          <w:color w:val="000000" w:themeColor="text1"/>
        </w:rPr>
        <w:t xml:space="preserve">The focus on autonomy is interesting because a lot of the research that has been done on Frontex focuses on human rights violations (Marin, 2011; Papastavridis, 2010; Kalkman, 2021). These studies research what Frontex is doing, but largely disregard how Frontex evolved into a position where it could make these violations. This research will show the causal link that led to Frontex having the autonomy to orchestrate their actions. </w:t>
      </w:r>
    </w:p>
    <w:p w14:paraId="18A87062" w14:textId="7DE98701" w:rsidR="00312B4B" w:rsidRPr="00B64C8D" w:rsidRDefault="00312B4B" w:rsidP="00B64C8D">
      <w:pPr>
        <w:spacing w:line="360" w:lineRule="auto"/>
        <w:rPr>
          <w:rFonts w:ascii="Times New Roman" w:hAnsi="Times New Roman" w:cs="Times New Roman"/>
          <w:color w:val="000000" w:themeColor="text1"/>
        </w:rPr>
      </w:pPr>
      <w:r w:rsidRPr="00B64C8D">
        <w:rPr>
          <w:rFonts w:ascii="Times New Roman" w:hAnsi="Times New Roman" w:cs="Times New Roman"/>
          <w:color w:val="000000" w:themeColor="text1"/>
        </w:rPr>
        <w:t xml:space="preserve">There has been some previous research done on the autonomy of Frontex, but there is a lack of research is on how this autonomy came to be: this article is descriptive, answering questions on how </w:t>
      </w:r>
      <w:r w:rsidR="001035D7" w:rsidRPr="00B64C8D">
        <w:rPr>
          <w:rFonts w:ascii="Times New Roman" w:hAnsi="Times New Roman" w:cs="Times New Roman"/>
          <w:color w:val="000000" w:themeColor="text1"/>
        </w:rPr>
        <w:lastRenderedPageBreak/>
        <w:t xml:space="preserve">Frontex gained its autonomy. </w:t>
      </w:r>
      <w:r w:rsidRPr="00B64C8D">
        <w:rPr>
          <w:rFonts w:ascii="Times New Roman" w:hAnsi="Times New Roman" w:cs="Times New Roman"/>
          <w:color w:val="000000" w:themeColor="text1"/>
        </w:rPr>
        <w:t xml:space="preserve">The previous research on Frontex includes research on the types of operations the agency can carry out (Cortinovis, 2015) or the tasks that were transferred from national border agencies (Léonard, 2009). Showing that previous studies failed to open the black box (Kalkman, 2021) as to why and how Frontex gained its autonomy. </w:t>
      </w:r>
      <w:r w:rsidR="0077295C" w:rsidRPr="00B64C8D">
        <w:rPr>
          <w:rFonts w:ascii="Times New Roman" w:hAnsi="Times New Roman" w:cs="Times New Roman"/>
          <w:color w:val="000000" w:themeColor="text1"/>
        </w:rPr>
        <w:t xml:space="preserve">By opening up this causal chain this research will open a door for </w:t>
      </w:r>
      <w:r w:rsidR="003B1A6D" w:rsidRPr="00B64C8D">
        <w:rPr>
          <w:rFonts w:ascii="Times New Roman" w:hAnsi="Times New Roman" w:cs="Times New Roman"/>
          <w:color w:val="000000" w:themeColor="text1"/>
        </w:rPr>
        <w:t>wider research</w:t>
      </w:r>
      <w:r w:rsidR="0077295C" w:rsidRPr="00B64C8D">
        <w:rPr>
          <w:rFonts w:ascii="Times New Roman" w:hAnsi="Times New Roman" w:cs="Times New Roman"/>
          <w:color w:val="000000" w:themeColor="text1"/>
        </w:rPr>
        <w:t xml:space="preserve"> on European Agencies and how autonomous they can function</w:t>
      </w:r>
      <w:r w:rsidR="00201ACA" w:rsidRPr="00B64C8D">
        <w:rPr>
          <w:rFonts w:ascii="Times New Roman" w:hAnsi="Times New Roman" w:cs="Times New Roman"/>
          <w:color w:val="000000" w:themeColor="text1"/>
        </w:rPr>
        <w:t>. Next to that, it will give an insight in the (political) reasoning behind agency functioning. This gives a start point for future research on European agencies.</w:t>
      </w:r>
    </w:p>
    <w:p w14:paraId="10EC18DA" w14:textId="0F9C2A62" w:rsidR="00312B4B" w:rsidRPr="00B64C8D" w:rsidRDefault="00312B4B" w:rsidP="00B64C8D">
      <w:pPr>
        <w:spacing w:line="360" w:lineRule="auto"/>
        <w:rPr>
          <w:rFonts w:ascii="Times New Roman" w:hAnsi="Times New Roman" w:cs="Times New Roman"/>
          <w:color w:val="000000" w:themeColor="text1"/>
        </w:rPr>
      </w:pPr>
      <w:r w:rsidRPr="00B64C8D">
        <w:rPr>
          <w:rFonts w:ascii="Times New Roman" w:hAnsi="Times New Roman" w:cs="Times New Roman"/>
          <w:color w:val="000000" w:themeColor="text1"/>
        </w:rPr>
        <w:t xml:space="preserve">There are other studies on the evolution of Frontex as an agency with attention to some of the freedoms and tasks it took over from national border agencies, but also more institutional changes that happened within the agency. A prime example of this is the 2015 study by Cortinovis (2015) on the evolution of Frontex governance, which used Rational Choice Institutionalism (RCI). This research, on the other hand, will focus on the role of Multi-Level Governance (Hooghe &amp; Marks, 2001). Multi-Level Governance is a theory specifically designed to look at the EU and its innerworkings. It allows perspective into the different preferences of European actors and the intricate powerplay that is being held. The current research on Frontex mainly looks at Frontex as the main actor, how its own preferences shaped its actions. However, the EU is a very complex system in which a lot of different actors play a role or could play a role in shaping the behavior of an agency. By using MLG this research can give an insight into Frontex’s operations, not only by analyzing Frontex’s own preferences. It can look at a larger, more intricate network of interacting actors that shape Frontex’s behavior </w:t>
      </w:r>
      <w:r w:rsidR="003B1A6D" w:rsidRPr="00B64C8D">
        <w:rPr>
          <w:rFonts w:ascii="Times New Roman" w:hAnsi="Times New Roman" w:cs="Times New Roman"/>
          <w:color w:val="000000" w:themeColor="text1"/>
        </w:rPr>
        <w:t>together and</w:t>
      </w:r>
      <w:r w:rsidR="00201ACA" w:rsidRPr="00B64C8D">
        <w:rPr>
          <w:rFonts w:ascii="Times New Roman" w:hAnsi="Times New Roman" w:cs="Times New Roman"/>
          <w:color w:val="000000" w:themeColor="text1"/>
        </w:rPr>
        <w:t xml:space="preserve"> give </w:t>
      </w:r>
      <w:r w:rsidRPr="00B64C8D">
        <w:rPr>
          <w:rFonts w:ascii="Times New Roman" w:hAnsi="Times New Roman" w:cs="Times New Roman"/>
          <w:color w:val="000000" w:themeColor="text1"/>
        </w:rPr>
        <w:t xml:space="preserve">a more dynamic insight into Frontex’s behavior. </w:t>
      </w:r>
    </w:p>
    <w:p w14:paraId="4C820DFB" w14:textId="0E96817D" w:rsidR="00312B4B" w:rsidRPr="00B64C8D" w:rsidRDefault="00312B4B"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000000" w:themeColor="text1"/>
        </w:rPr>
        <w:t>The method in this thesis will also deliver new and fresh insights in the agency. This method is process tracing, which has been done in some Frontex research (</w:t>
      </w:r>
      <w:r w:rsidRPr="00B64C8D">
        <w:rPr>
          <w:rFonts w:ascii="Times New Roman" w:hAnsi="Times New Roman" w:cs="Times New Roman"/>
          <w:color w:val="222222"/>
          <w:shd w:val="clear" w:color="auto" w:fill="FFFFFF"/>
        </w:rPr>
        <w:t xml:space="preserve">Fjørtoft, 2022: Ekelund, 2014). However, these articles are often more focused on specific </w:t>
      </w:r>
      <w:r w:rsidR="00201ACA" w:rsidRPr="00B64C8D">
        <w:rPr>
          <w:rFonts w:ascii="Times New Roman" w:hAnsi="Times New Roman" w:cs="Times New Roman"/>
          <w:color w:val="222222"/>
          <w:shd w:val="clear" w:color="auto" w:fill="FFFFFF"/>
        </w:rPr>
        <w:t>parts of Frontex actions</w:t>
      </w:r>
      <w:r w:rsidRPr="00B64C8D">
        <w:rPr>
          <w:rFonts w:ascii="Times New Roman" w:hAnsi="Times New Roman" w:cs="Times New Roman"/>
          <w:color w:val="222222"/>
          <w:shd w:val="clear" w:color="auto" w:fill="FFFFFF"/>
        </w:rPr>
        <w:t xml:space="preserve">, while this research tries to reach a more fundamental understanding of the causal mechanism behind Frontex’s wider role. This is exactly why process tracing is a beneficial method to use; it does not only prove a correlation, </w:t>
      </w:r>
      <w:r w:rsidR="001035D7" w:rsidRPr="00B64C8D">
        <w:rPr>
          <w:rFonts w:ascii="Times New Roman" w:hAnsi="Times New Roman" w:cs="Times New Roman"/>
          <w:color w:val="222222"/>
          <w:shd w:val="clear" w:color="auto" w:fill="FFFFFF"/>
        </w:rPr>
        <w:t>but it also</w:t>
      </w:r>
      <w:r w:rsidRPr="00B64C8D">
        <w:rPr>
          <w:rFonts w:ascii="Times New Roman" w:hAnsi="Times New Roman" w:cs="Times New Roman"/>
          <w:color w:val="222222"/>
          <w:shd w:val="clear" w:color="auto" w:fill="FFFFFF"/>
        </w:rPr>
        <w:t xml:space="preserve"> exposes the entire causal chain. </w:t>
      </w:r>
    </w:p>
    <w:p w14:paraId="41215A9B" w14:textId="4DE721F5" w:rsidR="00312B4B" w:rsidRPr="00B64C8D" w:rsidRDefault="00312B4B"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 xml:space="preserve">To adequately dive into this causal mechanism of an organization that has </w:t>
      </w:r>
      <w:r w:rsidR="00023A15" w:rsidRPr="00B64C8D">
        <w:rPr>
          <w:rFonts w:ascii="Times New Roman" w:hAnsi="Times New Roman" w:cs="Times New Roman"/>
          <w:color w:val="222222"/>
          <w:shd w:val="clear" w:color="auto" w:fill="FFFFFF"/>
        </w:rPr>
        <w:t xml:space="preserve">little information publicly available we will use a case study method. </w:t>
      </w:r>
      <w:r w:rsidR="003B1A6D" w:rsidRPr="00B64C8D">
        <w:rPr>
          <w:rFonts w:ascii="Times New Roman" w:hAnsi="Times New Roman" w:cs="Times New Roman"/>
          <w:color w:val="222222"/>
          <w:shd w:val="clear" w:color="auto" w:fill="FFFFFF"/>
        </w:rPr>
        <w:t>Firstly,</w:t>
      </w:r>
      <w:r w:rsidR="00023A15" w:rsidRPr="00B64C8D">
        <w:rPr>
          <w:rFonts w:ascii="Times New Roman" w:hAnsi="Times New Roman" w:cs="Times New Roman"/>
          <w:color w:val="222222"/>
          <w:shd w:val="clear" w:color="auto" w:fill="FFFFFF"/>
        </w:rPr>
        <w:t xml:space="preserve"> we will provide our expectations resulting from existing theories which will be checked with policy- and academic sources on the agency. </w:t>
      </w:r>
      <w:r w:rsidRPr="00B64C8D">
        <w:rPr>
          <w:rFonts w:ascii="Times New Roman" w:hAnsi="Times New Roman" w:cs="Times New Roman"/>
          <w:color w:val="222222"/>
          <w:shd w:val="clear" w:color="auto" w:fill="FFFFFF"/>
        </w:rPr>
        <w:t>This research will help all future research on Frontex</w:t>
      </w:r>
      <w:r w:rsidR="00023A15" w:rsidRPr="00B64C8D">
        <w:rPr>
          <w:rFonts w:ascii="Times New Roman" w:hAnsi="Times New Roman" w:cs="Times New Roman"/>
          <w:color w:val="222222"/>
          <w:shd w:val="clear" w:color="auto" w:fill="FFFFFF"/>
        </w:rPr>
        <w:t>. with</w:t>
      </w:r>
      <w:r w:rsidRPr="00B64C8D">
        <w:rPr>
          <w:rFonts w:ascii="Times New Roman" w:hAnsi="Times New Roman" w:cs="Times New Roman"/>
          <w:color w:val="222222"/>
          <w:shd w:val="clear" w:color="auto" w:fill="FFFFFF"/>
        </w:rPr>
        <w:t xml:space="preserve"> a coherent causal mechanism regarding its </w:t>
      </w:r>
      <w:r w:rsidR="00023A15" w:rsidRPr="00B64C8D">
        <w:rPr>
          <w:rFonts w:ascii="Times New Roman" w:hAnsi="Times New Roman" w:cs="Times New Roman"/>
          <w:color w:val="222222"/>
          <w:shd w:val="clear" w:color="auto" w:fill="FFFFFF"/>
        </w:rPr>
        <w:t>autonomy.</w:t>
      </w:r>
      <w:r w:rsidRPr="00B64C8D">
        <w:rPr>
          <w:rFonts w:ascii="Times New Roman" w:hAnsi="Times New Roman" w:cs="Times New Roman"/>
          <w:color w:val="222222"/>
          <w:shd w:val="clear" w:color="auto" w:fill="FFFFFF"/>
        </w:rPr>
        <w:t xml:space="preserve"> By penetrating the inner workings behind the shaping of Frontex it could give some foresight into the future of the agency.  Especially because the method is </w:t>
      </w:r>
      <w:r w:rsidR="00023A15" w:rsidRPr="00B64C8D">
        <w:rPr>
          <w:rFonts w:ascii="Times New Roman" w:hAnsi="Times New Roman" w:cs="Times New Roman"/>
          <w:color w:val="222222"/>
          <w:shd w:val="clear" w:color="auto" w:fill="FFFFFF"/>
        </w:rPr>
        <w:t xml:space="preserve">a </w:t>
      </w:r>
      <w:r w:rsidRPr="00B64C8D">
        <w:rPr>
          <w:rFonts w:ascii="Times New Roman" w:hAnsi="Times New Roman" w:cs="Times New Roman"/>
          <w:color w:val="222222"/>
          <w:shd w:val="clear" w:color="auto" w:fill="FFFFFF"/>
        </w:rPr>
        <w:t>theory testing</w:t>
      </w:r>
      <w:r w:rsidR="00023A15" w:rsidRPr="00B64C8D">
        <w:rPr>
          <w:rFonts w:ascii="Times New Roman" w:hAnsi="Times New Roman" w:cs="Times New Roman"/>
          <w:color w:val="222222"/>
          <w:shd w:val="clear" w:color="auto" w:fill="FFFFFF"/>
        </w:rPr>
        <w:t xml:space="preserve"> case study</w:t>
      </w:r>
      <w:r w:rsidRPr="00B64C8D">
        <w:rPr>
          <w:rFonts w:ascii="Times New Roman" w:hAnsi="Times New Roman" w:cs="Times New Roman"/>
          <w:color w:val="222222"/>
          <w:shd w:val="clear" w:color="auto" w:fill="FFFFFF"/>
        </w:rPr>
        <w:t xml:space="preserve">, so the research will end with more insight into existing theories and if they apply to the specific case of Frontex. By knowing this it will be prove </w:t>
      </w:r>
      <w:r w:rsidR="001035D7" w:rsidRPr="00B64C8D">
        <w:rPr>
          <w:rFonts w:ascii="Times New Roman" w:hAnsi="Times New Roman" w:cs="Times New Roman"/>
          <w:color w:val="222222"/>
          <w:shd w:val="clear" w:color="auto" w:fill="FFFFFF"/>
        </w:rPr>
        <w:t>easier</w:t>
      </w:r>
      <w:r w:rsidRPr="00B64C8D">
        <w:rPr>
          <w:rFonts w:ascii="Times New Roman" w:hAnsi="Times New Roman" w:cs="Times New Roman"/>
          <w:color w:val="222222"/>
          <w:shd w:val="clear" w:color="auto" w:fill="FFFFFF"/>
        </w:rPr>
        <w:t xml:space="preserve"> to do future research on Frontex because it will be </w:t>
      </w:r>
      <w:r w:rsidRPr="00B64C8D">
        <w:rPr>
          <w:rFonts w:ascii="Times New Roman" w:hAnsi="Times New Roman" w:cs="Times New Roman"/>
          <w:color w:val="222222"/>
          <w:shd w:val="clear" w:color="auto" w:fill="FFFFFF"/>
        </w:rPr>
        <w:lastRenderedPageBreak/>
        <w:t xml:space="preserve">clear </w:t>
      </w:r>
      <w:r w:rsidR="001035D7" w:rsidRPr="00B64C8D">
        <w:rPr>
          <w:rFonts w:ascii="Times New Roman" w:hAnsi="Times New Roman" w:cs="Times New Roman"/>
          <w:color w:val="222222"/>
          <w:shd w:val="clear" w:color="auto" w:fill="FFFFFF"/>
        </w:rPr>
        <w:t>p</w:t>
      </w:r>
      <w:r w:rsidRPr="00B64C8D">
        <w:rPr>
          <w:rFonts w:ascii="Times New Roman" w:hAnsi="Times New Roman" w:cs="Times New Roman"/>
          <w:color w:val="222222"/>
          <w:shd w:val="clear" w:color="auto" w:fill="FFFFFF"/>
        </w:rPr>
        <w:t xml:space="preserve">roviding a </w:t>
      </w:r>
      <w:r w:rsidR="001B2B84" w:rsidRPr="00B64C8D">
        <w:rPr>
          <w:rFonts w:ascii="Times New Roman" w:hAnsi="Times New Roman" w:cs="Times New Roman"/>
          <w:color w:val="222222"/>
          <w:shd w:val="clear" w:color="auto" w:fill="FFFFFF"/>
        </w:rPr>
        <w:t>steppingstone</w:t>
      </w:r>
      <w:r w:rsidRPr="00B64C8D">
        <w:rPr>
          <w:rFonts w:ascii="Times New Roman" w:hAnsi="Times New Roman" w:cs="Times New Roman"/>
          <w:color w:val="222222"/>
          <w:shd w:val="clear" w:color="auto" w:fill="FFFFFF"/>
        </w:rPr>
        <w:t xml:space="preserve"> for future research done on Frontex and as a basis theory for research done on other EU agencies.</w:t>
      </w:r>
    </w:p>
    <w:p w14:paraId="379DB570" w14:textId="319D33BD" w:rsidR="00312B4B" w:rsidRPr="00B64C8D" w:rsidRDefault="00312B4B" w:rsidP="00B64C8D">
      <w:pPr>
        <w:pStyle w:val="Kop2"/>
        <w:spacing w:line="360" w:lineRule="auto"/>
        <w:rPr>
          <w:rFonts w:ascii="Times New Roman" w:hAnsi="Times New Roman" w:cs="Times New Roman"/>
          <w:sz w:val="22"/>
          <w:szCs w:val="22"/>
        </w:rPr>
      </w:pPr>
      <w:bookmarkStart w:id="13" w:name="_Toc149818677"/>
      <w:bookmarkStart w:id="14" w:name="_Toc152251976"/>
      <w:r w:rsidRPr="00B64C8D">
        <w:rPr>
          <w:rFonts w:ascii="Times New Roman" w:hAnsi="Times New Roman" w:cs="Times New Roman"/>
          <w:sz w:val="22"/>
          <w:szCs w:val="22"/>
        </w:rPr>
        <w:t>1.</w:t>
      </w:r>
      <w:r w:rsidR="008861ED" w:rsidRPr="00B64C8D">
        <w:rPr>
          <w:rFonts w:ascii="Times New Roman" w:hAnsi="Times New Roman" w:cs="Times New Roman"/>
          <w:sz w:val="22"/>
          <w:szCs w:val="22"/>
        </w:rPr>
        <w:t>5.</w:t>
      </w:r>
      <w:r w:rsidRPr="00B64C8D">
        <w:rPr>
          <w:rFonts w:ascii="Times New Roman" w:hAnsi="Times New Roman" w:cs="Times New Roman"/>
          <w:sz w:val="22"/>
          <w:szCs w:val="22"/>
        </w:rPr>
        <w:t xml:space="preserve"> Research </w:t>
      </w:r>
      <w:r w:rsidR="003B1A6D" w:rsidRPr="00B64C8D">
        <w:rPr>
          <w:rFonts w:ascii="Times New Roman" w:hAnsi="Times New Roman" w:cs="Times New Roman"/>
          <w:sz w:val="22"/>
          <w:szCs w:val="22"/>
        </w:rPr>
        <w:t>aims</w:t>
      </w:r>
      <w:r w:rsidRPr="00B64C8D">
        <w:rPr>
          <w:rFonts w:ascii="Times New Roman" w:hAnsi="Times New Roman" w:cs="Times New Roman"/>
          <w:sz w:val="22"/>
          <w:szCs w:val="22"/>
        </w:rPr>
        <w:t xml:space="preserve"> and </w:t>
      </w:r>
      <w:proofErr w:type="gramStart"/>
      <w:r w:rsidRPr="00B64C8D">
        <w:rPr>
          <w:rFonts w:ascii="Times New Roman" w:hAnsi="Times New Roman" w:cs="Times New Roman"/>
          <w:sz w:val="22"/>
          <w:szCs w:val="22"/>
        </w:rPr>
        <w:t>questions</w:t>
      </w:r>
      <w:bookmarkEnd w:id="13"/>
      <w:bookmarkEnd w:id="14"/>
      <w:proofErr w:type="gramEnd"/>
    </w:p>
    <w:p w14:paraId="38466E51" w14:textId="77777777" w:rsidR="00312B4B" w:rsidRPr="00B64C8D" w:rsidRDefault="00312B4B" w:rsidP="00B64C8D">
      <w:pPr>
        <w:spacing w:line="360" w:lineRule="auto"/>
        <w:rPr>
          <w:rFonts w:ascii="Times New Roman" w:hAnsi="Times New Roman" w:cs="Times New Roman"/>
          <w:color w:val="000000" w:themeColor="text1"/>
        </w:rPr>
      </w:pPr>
      <w:bookmarkStart w:id="15" w:name="_Hlk141877961"/>
      <w:r w:rsidRPr="00B64C8D">
        <w:rPr>
          <w:rFonts w:ascii="Times New Roman" w:hAnsi="Times New Roman" w:cs="Times New Roman"/>
          <w:color w:val="000000" w:themeColor="text1"/>
        </w:rPr>
        <w:t xml:space="preserve"> The thesis tests existing theories that could explain how Frontex gained far-reaching autonomy, specifically how this process can happen within the EU. This leads to the following research question:</w:t>
      </w:r>
    </w:p>
    <w:p w14:paraId="0102F119" w14:textId="77777777" w:rsidR="00312B4B" w:rsidRPr="00B64C8D" w:rsidRDefault="00312B4B" w:rsidP="00B64C8D">
      <w:pPr>
        <w:spacing w:line="360" w:lineRule="auto"/>
        <w:rPr>
          <w:rFonts w:ascii="Times New Roman" w:hAnsi="Times New Roman" w:cs="Times New Roman"/>
          <w:color w:val="000000" w:themeColor="text1"/>
        </w:rPr>
      </w:pPr>
      <w:r w:rsidRPr="00B64C8D">
        <w:rPr>
          <w:rFonts w:ascii="Times New Roman" w:hAnsi="Times New Roman" w:cs="Times New Roman"/>
          <w:color w:val="000000" w:themeColor="text1"/>
        </w:rPr>
        <w:t>“</w:t>
      </w:r>
      <w:r w:rsidRPr="00B64C8D">
        <w:rPr>
          <w:rFonts w:ascii="Times New Roman" w:hAnsi="Times New Roman" w:cs="Times New Roman"/>
          <w:i/>
          <w:iCs/>
          <w:color w:val="000000" w:themeColor="text1"/>
        </w:rPr>
        <w:t>In the Multi-Level arena of the EU, what causal mechanisms contributed to Frontex’s shift towards more autonomy?”</w:t>
      </w:r>
      <w:r w:rsidRPr="00B64C8D">
        <w:rPr>
          <w:rFonts w:ascii="Times New Roman" w:hAnsi="Times New Roman" w:cs="Times New Roman"/>
          <w:color w:val="000000" w:themeColor="text1"/>
        </w:rPr>
        <w:t xml:space="preserve"> </w:t>
      </w:r>
    </w:p>
    <w:p w14:paraId="68E7ED20" w14:textId="655F2A86" w:rsidR="00312B4B" w:rsidRPr="00B64C8D" w:rsidRDefault="00312B4B" w:rsidP="00B64C8D">
      <w:pPr>
        <w:spacing w:line="360" w:lineRule="auto"/>
        <w:rPr>
          <w:rFonts w:ascii="Times New Roman" w:hAnsi="Times New Roman" w:cs="Times New Roman"/>
          <w:color w:val="000000" w:themeColor="text1"/>
        </w:rPr>
      </w:pPr>
      <w:r w:rsidRPr="00B64C8D">
        <w:rPr>
          <w:rFonts w:ascii="Times New Roman" w:hAnsi="Times New Roman" w:cs="Times New Roman"/>
          <w:color w:val="000000" w:themeColor="text1"/>
        </w:rPr>
        <w:t xml:space="preserve">This is a broad question which needs to be specified to the different parts that play a role in the causal mechanism. Within the MLG arena, there are obviously many different actors with different intentions and possibilities. For this reason, the research will be split up into two sub-questions, both looking at different angles of the causal mechanism. The first will mainly look at what shapes the preferences of Frontex itself, and how these preferences, in return, shape the goals of the agency. The second sub question will dive into the institutions that play a formal role in shaping and controlling Frontex. These institutions include the European member states, The European </w:t>
      </w:r>
      <w:r w:rsidR="001B2B84" w:rsidRPr="00B64C8D">
        <w:rPr>
          <w:rFonts w:ascii="Times New Roman" w:hAnsi="Times New Roman" w:cs="Times New Roman"/>
          <w:color w:val="000000" w:themeColor="text1"/>
        </w:rPr>
        <w:t>Commission,</w:t>
      </w:r>
      <w:r w:rsidRPr="00B64C8D">
        <w:rPr>
          <w:rFonts w:ascii="Times New Roman" w:hAnsi="Times New Roman" w:cs="Times New Roman"/>
          <w:color w:val="000000" w:themeColor="text1"/>
        </w:rPr>
        <w:t xml:space="preserve"> and the European Parliament.  We focus on the (in)action they have taken that ended up shaping the autonomy that Frontex adopted over the years. Both parts are important to understand at the same time because no decisions are made in a vacuum. Even though the two processes are different, they are both intertwined and equally important to explain the outcome. </w:t>
      </w:r>
    </w:p>
    <w:bookmarkEnd w:id="15"/>
    <w:p w14:paraId="2480C270" w14:textId="657C84CB" w:rsidR="00312B4B" w:rsidRPr="00B64C8D" w:rsidRDefault="00312B4B" w:rsidP="00B64C8D">
      <w:pPr>
        <w:spacing w:line="360" w:lineRule="auto"/>
        <w:rPr>
          <w:rFonts w:ascii="Times New Roman" w:hAnsi="Times New Roman" w:cs="Times New Roman"/>
          <w:color w:val="0E101A"/>
          <w:kern w:val="0"/>
          <w:lang w:eastAsia="nl-NL"/>
        </w:rPr>
      </w:pPr>
      <w:r w:rsidRPr="00B64C8D">
        <w:rPr>
          <w:rFonts w:ascii="Times New Roman" w:hAnsi="Times New Roman" w:cs="Times New Roman"/>
        </w:rPr>
        <w:t xml:space="preserve">The first sub-question this research aims to answer will be: </w:t>
      </w:r>
      <w:r w:rsidRPr="00B64C8D">
        <w:rPr>
          <w:rFonts w:ascii="Times New Roman" w:hAnsi="Times New Roman" w:cs="Times New Roman"/>
          <w:i/>
          <w:iCs/>
        </w:rPr>
        <w:t>“</w:t>
      </w:r>
      <w:r w:rsidRPr="00B64C8D">
        <w:rPr>
          <w:rFonts w:ascii="Times New Roman" w:hAnsi="Times New Roman" w:cs="Times New Roman"/>
          <w:i/>
          <w:iCs/>
          <w:color w:val="0E101A"/>
          <w:kern w:val="0"/>
          <w:lang w:eastAsia="nl-NL"/>
        </w:rPr>
        <w:t xml:space="preserve">What role does Frontex itself play in gaining autonomy and what role does institutional survival play in shaping its preferences?” </w:t>
      </w:r>
      <w:r w:rsidRPr="00B64C8D">
        <w:rPr>
          <w:rFonts w:ascii="Times New Roman" w:hAnsi="Times New Roman" w:cs="Times New Roman"/>
          <w:color w:val="0E101A"/>
          <w:kern w:val="0"/>
          <w:lang w:eastAsia="nl-NL"/>
        </w:rPr>
        <w:t>Within the shaping of preferences, the research will focus on two important factors that are expected to influence Frontex’s preferences. These variables are both the institutional survival of Frontex and the influence of (security and defense) interest groups</w:t>
      </w:r>
      <w:r w:rsidRPr="00B64C8D">
        <w:rPr>
          <w:rFonts w:ascii="Times New Roman" w:hAnsi="Times New Roman" w:cs="Times New Roman"/>
          <w:i/>
          <w:iCs/>
          <w:color w:val="0E101A"/>
          <w:kern w:val="0"/>
          <w:lang w:eastAsia="nl-NL"/>
        </w:rPr>
        <w:t>.</w:t>
      </w:r>
      <w:r w:rsidRPr="00B64C8D">
        <w:rPr>
          <w:rFonts w:ascii="Times New Roman" w:hAnsi="Times New Roman" w:cs="Times New Roman"/>
          <w:color w:val="0E101A"/>
          <w:kern w:val="0"/>
          <w:lang w:eastAsia="nl-NL"/>
        </w:rPr>
        <w:t xml:space="preserve"> The interest groups fall under this sub because the interest groups have no formal jurisdiction over Frontex, in opposition of the other actors discussed in this research. The way interest groups change Frontex policies is trough changing the way Frontex views its own tasks and view the world around it. The </w:t>
      </w:r>
    </w:p>
    <w:p w14:paraId="7AB01182" w14:textId="74FF4AD1" w:rsidR="00312B4B" w:rsidRPr="00B64C8D" w:rsidRDefault="00312B4B" w:rsidP="00B64C8D">
      <w:pPr>
        <w:spacing w:line="360" w:lineRule="auto"/>
        <w:rPr>
          <w:rFonts w:ascii="Times New Roman" w:hAnsi="Times New Roman" w:cs="Times New Roman"/>
          <w:color w:val="0E101A"/>
          <w:kern w:val="0"/>
          <w:lang w:eastAsia="nl-NL"/>
        </w:rPr>
      </w:pPr>
      <w:r w:rsidRPr="00B64C8D">
        <w:rPr>
          <w:rFonts w:ascii="Times New Roman" w:hAnsi="Times New Roman" w:cs="Times New Roman"/>
          <w:color w:val="0E101A"/>
          <w:kern w:val="0"/>
          <w:lang w:eastAsia="nl-NL"/>
        </w:rPr>
        <w:t xml:space="preserve">The question focuses on institutional survival because this research wants to dive into the preferences of the different actors in the MLG system. </w:t>
      </w:r>
    </w:p>
    <w:p w14:paraId="4F9CABBA" w14:textId="725D28A5" w:rsidR="00312B4B" w:rsidRPr="00D06BD9" w:rsidRDefault="00D06BD9" w:rsidP="00B64C8D">
      <w:pPr>
        <w:spacing w:line="360" w:lineRule="auto"/>
        <w:rPr>
          <w:rFonts w:ascii="Times New Roman" w:hAnsi="Times New Roman" w:cs="Times New Roman"/>
          <w:color w:val="0E101A"/>
          <w:kern w:val="0"/>
          <w:lang w:eastAsia="nl-NL"/>
        </w:rPr>
      </w:pPr>
      <w:r>
        <w:rPr>
          <w:rFonts w:ascii="Times New Roman" w:hAnsi="Times New Roman" w:cs="Times New Roman"/>
          <w:color w:val="0E101A"/>
          <w:kern w:val="0"/>
          <w:lang w:eastAsia="nl-NL"/>
        </w:rPr>
        <w:t xml:space="preserve">The first question focusses on what Frontex motivations are behind its growing autonomy. There are other actors, however, that facilitate a climate in which this can happen. To fully understand the </w:t>
      </w:r>
      <w:r w:rsidR="003B1A6D">
        <w:rPr>
          <w:rFonts w:ascii="Times New Roman" w:hAnsi="Times New Roman" w:cs="Times New Roman"/>
          <w:color w:val="0E101A"/>
          <w:kern w:val="0"/>
          <w:lang w:eastAsia="nl-NL"/>
        </w:rPr>
        <w:t>shift,</w:t>
      </w:r>
      <w:r>
        <w:rPr>
          <w:rFonts w:ascii="Times New Roman" w:hAnsi="Times New Roman" w:cs="Times New Roman"/>
          <w:color w:val="0E101A"/>
          <w:kern w:val="0"/>
          <w:lang w:eastAsia="nl-NL"/>
        </w:rPr>
        <w:t xml:space="preserve"> it is important to take these actors into account because the agency alone could not facilitate the changes. </w:t>
      </w:r>
      <w:r w:rsidR="00312B4B" w:rsidRPr="00B64C8D">
        <w:rPr>
          <w:rFonts w:ascii="Times New Roman" w:hAnsi="Times New Roman" w:cs="Times New Roman"/>
          <w:color w:val="0E101A"/>
          <w:kern w:val="0"/>
          <w:lang w:eastAsia="nl-NL"/>
        </w:rPr>
        <w:t>The</w:t>
      </w:r>
      <w:r>
        <w:rPr>
          <w:rFonts w:ascii="Times New Roman" w:hAnsi="Times New Roman" w:cs="Times New Roman"/>
          <w:color w:val="0E101A"/>
          <w:kern w:val="0"/>
          <w:lang w:eastAsia="nl-NL"/>
        </w:rPr>
        <w:t>refore, the</w:t>
      </w:r>
      <w:r w:rsidR="00312B4B" w:rsidRPr="00B64C8D">
        <w:rPr>
          <w:rFonts w:ascii="Times New Roman" w:hAnsi="Times New Roman" w:cs="Times New Roman"/>
          <w:color w:val="0E101A"/>
          <w:kern w:val="0"/>
          <w:lang w:eastAsia="nl-NL"/>
        </w:rPr>
        <w:t xml:space="preserve"> </w:t>
      </w:r>
      <w:r w:rsidR="001035D7" w:rsidRPr="00B64C8D">
        <w:rPr>
          <w:rFonts w:ascii="Times New Roman" w:hAnsi="Times New Roman" w:cs="Times New Roman"/>
          <w:color w:val="0E101A"/>
          <w:kern w:val="0"/>
          <w:lang w:eastAsia="nl-NL"/>
        </w:rPr>
        <w:t>second question</w:t>
      </w:r>
      <w:r w:rsidR="00312B4B" w:rsidRPr="00B64C8D">
        <w:rPr>
          <w:rFonts w:ascii="Times New Roman" w:hAnsi="Times New Roman" w:cs="Times New Roman"/>
          <w:color w:val="0E101A"/>
          <w:kern w:val="0"/>
          <w:lang w:eastAsia="nl-NL"/>
        </w:rPr>
        <w:t xml:space="preserve"> mainly </w:t>
      </w:r>
      <w:r w:rsidR="00312B4B" w:rsidRPr="00B64C8D">
        <w:rPr>
          <w:rFonts w:ascii="Times New Roman" w:hAnsi="Times New Roman" w:cs="Times New Roman"/>
        </w:rPr>
        <w:t>looks at the other actors</w:t>
      </w:r>
      <w:r w:rsidR="00312B4B" w:rsidRPr="00B64C8D">
        <w:rPr>
          <w:rFonts w:ascii="Times New Roman" w:hAnsi="Times New Roman" w:cs="Times New Roman"/>
          <w:i/>
          <w:iCs/>
        </w:rPr>
        <w:t xml:space="preserve"> </w:t>
      </w:r>
      <w:r w:rsidR="00312B4B" w:rsidRPr="00B64C8D">
        <w:rPr>
          <w:rFonts w:ascii="Times New Roman" w:hAnsi="Times New Roman" w:cs="Times New Roman"/>
        </w:rPr>
        <w:t xml:space="preserve">that play a role in the MLG of the European Union, how these actors facilitate the shift within the agency and how their own goals and preferences have led to this. This leads to the other sub questions this paper will try to answer: </w:t>
      </w:r>
      <w:r w:rsidR="00312B4B" w:rsidRPr="00B64C8D">
        <w:rPr>
          <w:rFonts w:ascii="Times New Roman" w:hAnsi="Times New Roman" w:cs="Times New Roman"/>
          <w:i/>
          <w:iCs/>
        </w:rPr>
        <w:lastRenderedPageBreak/>
        <w:t>“What role do the European Parliament, European Commission and EU member states play in shaping Frontex’s autonomy and what political processes shape their preferences?”</w:t>
      </w:r>
      <w:r w:rsidR="00312B4B" w:rsidRPr="00B64C8D">
        <w:rPr>
          <w:rFonts w:ascii="Times New Roman" w:hAnsi="Times New Roman" w:cs="Times New Roman"/>
        </w:rPr>
        <w:t xml:space="preserve"> To answer this question, the actors that will be focused on are the Commission, </w:t>
      </w:r>
      <w:r w:rsidR="001B2B84" w:rsidRPr="00B64C8D">
        <w:rPr>
          <w:rFonts w:ascii="Times New Roman" w:hAnsi="Times New Roman" w:cs="Times New Roman"/>
        </w:rPr>
        <w:t>EP,</w:t>
      </w:r>
      <w:r w:rsidR="00312B4B" w:rsidRPr="00B64C8D">
        <w:rPr>
          <w:rFonts w:ascii="Times New Roman" w:hAnsi="Times New Roman" w:cs="Times New Roman"/>
        </w:rPr>
        <w:t xml:space="preserve"> and the member states. The analysis of these actors will focus on political and institutional motivations on why these actors act or do not act regarding Frontex’s growing autonomy. </w:t>
      </w:r>
    </w:p>
    <w:p w14:paraId="3719AC6C" w14:textId="77777777" w:rsidR="00D7137D" w:rsidRDefault="00D7137D">
      <w:pPr>
        <w:rPr>
          <w:rFonts w:ascii="Times New Roman" w:eastAsiaTheme="majorEastAsia" w:hAnsi="Times New Roman" w:cs="Times New Roman"/>
          <w:color w:val="2F5496" w:themeColor="accent1" w:themeShade="BF"/>
        </w:rPr>
      </w:pPr>
      <w:bookmarkStart w:id="16" w:name="_Toc149818678"/>
      <w:r>
        <w:br w:type="page"/>
      </w:r>
    </w:p>
    <w:p w14:paraId="4874D004" w14:textId="7540195B" w:rsidR="00312B4B" w:rsidRPr="00B64C8D" w:rsidRDefault="00312B4B" w:rsidP="00B64C8D">
      <w:pPr>
        <w:pStyle w:val="Kop1"/>
        <w:rPr>
          <w:sz w:val="22"/>
          <w:szCs w:val="22"/>
        </w:rPr>
      </w:pPr>
      <w:bookmarkStart w:id="17" w:name="_Toc152251977"/>
      <w:r w:rsidRPr="00B64C8D">
        <w:rPr>
          <w:sz w:val="22"/>
          <w:szCs w:val="22"/>
        </w:rPr>
        <w:lastRenderedPageBreak/>
        <w:t>Chapter 2: State of the art</w:t>
      </w:r>
      <w:bookmarkEnd w:id="16"/>
      <w:bookmarkEnd w:id="17"/>
    </w:p>
    <w:p w14:paraId="445D144D" w14:textId="79589A2A"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Within the next part of the chapter, there will be given a short overview of relevant studies that have been done on the topic of Frontex. These studies will be separated into overarching topics and for each topic we will shortly give an explanation and an overview of its most important findings. </w:t>
      </w:r>
    </w:p>
    <w:p w14:paraId="62AF66F0" w14:textId="1C0DF6E2" w:rsidR="00312B4B" w:rsidRDefault="00312B4B"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rPr>
        <w:t xml:space="preserve">Recently Frontex became a more widely researched topic, especially after the allegations of human rights violations came into the media (OLAF, 2021; de Jager, 2022; Kalkman, 2021) and the different expansions of Frontex mandate (Kalkman, 2021; EU, 2016; EU; 2019). </w:t>
      </w:r>
      <w:r w:rsidRPr="00B64C8D">
        <w:rPr>
          <w:rFonts w:ascii="Times New Roman" w:hAnsi="Times New Roman" w:cs="Times New Roman"/>
          <w:color w:val="222222"/>
          <w:shd w:val="clear" w:color="auto" w:fill="FFFFFF"/>
        </w:rPr>
        <w:t xml:space="preserve">The literature written about Frontex can roughly be divided into five themes. These are: Activities, Frontex’s place within the EU, Operational effects, Human Rights and Agency Characteristics (Kalkman, 2021). The chapter will start with research on Frontex’s activities and purpose, why the agency was created and what different schools of thought exist about it, the </w:t>
      </w:r>
      <w:r w:rsidR="001035D7" w:rsidRPr="00B64C8D">
        <w:rPr>
          <w:rFonts w:ascii="Times New Roman" w:hAnsi="Times New Roman" w:cs="Times New Roman"/>
          <w:color w:val="222222"/>
          <w:shd w:val="clear" w:color="auto" w:fill="FFFFFF"/>
        </w:rPr>
        <w:t>short- and long-term</w:t>
      </w:r>
      <w:r w:rsidRPr="00B64C8D">
        <w:rPr>
          <w:rFonts w:ascii="Times New Roman" w:hAnsi="Times New Roman" w:cs="Times New Roman"/>
          <w:color w:val="222222"/>
          <w:shd w:val="clear" w:color="auto" w:fill="FFFFFF"/>
        </w:rPr>
        <w:t xml:space="preserve"> effects of the agency and finally the identity and institutional characteristics of the agency and how this allows the agency to operate. </w:t>
      </w:r>
    </w:p>
    <w:p w14:paraId="48BF7D8B" w14:textId="77777777" w:rsidR="00D7137D" w:rsidRPr="00B64C8D" w:rsidRDefault="00D7137D" w:rsidP="00B64C8D">
      <w:pPr>
        <w:spacing w:line="360" w:lineRule="auto"/>
        <w:rPr>
          <w:rFonts w:ascii="Times New Roman" w:hAnsi="Times New Roman" w:cs="Times New Roman"/>
          <w:color w:val="222222"/>
          <w:shd w:val="clear" w:color="auto" w:fill="FFFFFF"/>
        </w:rPr>
      </w:pPr>
    </w:p>
    <w:p w14:paraId="7E0D0217" w14:textId="67270D57" w:rsidR="00312B4B" w:rsidRPr="00B64C8D" w:rsidRDefault="00312B4B" w:rsidP="00B64C8D">
      <w:pPr>
        <w:pStyle w:val="Kop2"/>
        <w:tabs>
          <w:tab w:val="left" w:pos="5645"/>
        </w:tabs>
        <w:spacing w:line="360" w:lineRule="auto"/>
        <w:rPr>
          <w:rFonts w:ascii="Times New Roman" w:hAnsi="Times New Roman" w:cs="Times New Roman"/>
          <w:sz w:val="22"/>
          <w:szCs w:val="22"/>
        </w:rPr>
      </w:pPr>
      <w:bookmarkStart w:id="18" w:name="_Toc149818679"/>
      <w:bookmarkStart w:id="19" w:name="_Toc152251978"/>
      <w:r w:rsidRPr="00B64C8D">
        <w:rPr>
          <w:rFonts w:ascii="Times New Roman" w:hAnsi="Times New Roman" w:cs="Times New Roman"/>
          <w:sz w:val="22"/>
          <w:szCs w:val="22"/>
        </w:rPr>
        <w:t>2.1. Activities</w:t>
      </w:r>
      <w:bookmarkEnd w:id="18"/>
      <w:bookmarkEnd w:id="19"/>
    </w:p>
    <w:p w14:paraId="541624B0" w14:textId="39627384"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The agency was established in 2004 as the European agency for the management of operational Cooperation at the External border (EU, 2004), over the years the mandate of the agency has been changed </w:t>
      </w:r>
      <w:r w:rsidR="001B2B84" w:rsidRPr="00B64C8D">
        <w:rPr>
          <w:rFonts w:ascii="Times New Roman" w:hAnsi="Times New Roman" w:cs="Times New Roman"/>
        </w:rPr>
        <w:t>several</w:t>
      </w:r>
      <w:r w:rsidRPr="00B64C8D">
        <w:rPr>
          <w:rFonts w:ascii="Times New Roman" w:hAnsi="Times New Roman" w:cs="Times New Roman"/>
        </w:rPr>
        <w:t xml:space="preserve"> times (EU, 2011; EU, 2016; EU, 2019). The mandate change in 2016 also changed the name of the agency into Frontex – European border and coast guard (EU, 2016). </w:t>
      </w:r>
    </w:p>
    <w:p w14:paraId="708A6959" w14:textId="3E0A5723" w:rsidR="00312B4B" w:rsidRPr="00B64C8D" w:rsidRDefault="00312B4B"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rPr>
        <w:t xml:space="preserve">Because of the changes in Frontex, the literature that examines Frontex’s activities often focusses on the shift in authority and tasks </w:t>
      </w:r>
      <w:r w:rsidR="00180289" w:rsidRPr="00B64C8D">
        <w:rPr>
          <w:rFonts w:ascii="Times New Roman" w:hAnsi="Times New Roman" w:cs="Times New Roman"/>
        </w:rPr>
        <w:t xml:space="preserve">the agency receives </w:t>
      </w:r>
      <w:r w:rsidRPr="00B64C8D">
        <w:rPr>
          <w:rFonts w:ascii="Times New Roman" w:hAnsi="Times New Roman" w:cs="Times New Roman"/>
        </w:rPr>
        <w:t>(</w:t>
      </w:r>
      <w:r w:rsidRPr="00B64C8D">
        <w:rPr>
          <w:rFonts w:ascii="Times New Roman" w:hAnsi="Times New Roman" w:cs="Times New Roman"/>
          <w:color w:val="222222"/>
          <w:shd w:val="clear" w:color="auto" w:fill="FFFFFF"/>
        </w:rPr>
        <w:t xml:space="preserve">Üstübici &amp; İçduygu, 2018, Cipioni, 2018). These articles often mention certain examples of Frontex’s growing autonomy, which are often descriptive and case specific. This is mainly the case for articles that are on Joint Operations (JO’s) (Marin, 2014; Campesi, 2014; Léonard &amp; Kaunert, 2022; Gkliati &amp; Kilpatrick, 2022). These </w:t>
      </w:r>
      <w:r w:rsidR="001035D7" w:rsidRPr="00B64C8D">
        <w:rPr>
          <w:rFonts w:ascii="Times New Roman" w:hAnsi="Times New Roman" w:cs="Times New Roman"/>
          <w:color w:val="222222"/>
          <w:shd w:val="clear" w:color="auto" w:fill="FFFFFF"/>
        </w:rPr>
        <w:t>JOs</w:t>
      </w:r>
      <w:r w:rsidRPr="00B64C8D">
        <w:rPr>
          <w:rFonts w:ascii="Times New Roman" w:hAnsi="Times New Roman" w:cs="Times New Roman"/>
          <w:color w:val="222222"/>
          <w:shd w:val="clear" w:color="auto" w:fill="FFFFFF"/>
        </w:rPr>
        <w:t xml:space="preserve"> were originally mainly done by national border agencies with guidance and information from Frontex. This changed after the 2019 regulation, since Frontex played a more important role in these JOs now that it gained access to vessels, drones, a large and increasing budget and broader mandates in (Gkliati &amp; Kilpatrick, 2022). </w:t>
      </w:r>
    </w:p>
    <w:p w14:paraId="08F86D60" w14:textId="4AD9D9A6" w:rsidR="00312B4B" w:rsidRPr="00B64C8D" w:rsidRDefault="00312B4B"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rPr>
        <w:t xml:space="preserve">Other noticeable trends in the action based Frontex literature is the focus on hotspots. </w:t>
      </w:r>
      <w:r w:rsidR="00180289" w:rsidRPr="00B64C8D">
        <w:rPr>
          <w:rFonts w:ascii="Times New Roman" w:hAnsi="Times New Roman" w:cs="Times New Roman"/>
        </w:rPr>
        <w:t>Examples of this hotspot literature are t</w:t>
      </w:r>
      <w:r w:rsidRPr="00B64C8D">
        <w:rPr>
          <w:rFonts w:ascii="Times New Roman" w:hAnsi="Times New Roman" w:cs="Times New Roman"/>
        </w:rPr>
        <w:t>he actions and mandate Frontex has/had at places like Lesbos</w:t>
      </w:r>
      <w:r w:rsidRPr="00B64C8D">
        <w:rPr>
          <w:rFonts w:ascii="Times New Roman" w:hAnsi="Times New Roman" w:cs="Times New Roman"/>
          <w:color w:val="222222"/>
          <w:shd w:val="clear" w:color="auto" w:fill="FFFFFF"/>
        </w:rPr>
        <w:t xml:space="preserve"> (Papada et al., 2020) and Moria (Morales, 2021). These </w:t>
      </w:r>
      <w:r w:rsidR="001035D7" w:rsidRPr="00B64C8D">
        <w:rPr>
          <w:rFonts w:ascii="Times New Roman" w:hAnsi="Times New Roman" w:cs="Times New Roman"/>
          <w:color w:val="222222"/>
          <w:shd w:val="clear" w:color="auto" w:fill="FFFFFF"/>
        </w:rPr>
        <w:t>research</w:t>
      </w:r>
      <w:r w:rsidRPr="00B64C8D">
        <w:rPr>
          <w:rFonts w:ascii="Times New Roman" w:hAnsi="Times New Roman" w:cs="Times New Roman"/>
          <w:color w:val="222222"/>
          <w:shd w:val="clear" w:color="auto" w:fill="FFFFFF"/>
        </w:rPr>
        <w:t xml:space="preserve"> focus on the </w:t>
      </w:r>
      <w:r w:rsidR="001B2B84" w:rsidRPr="00B64C8D">
        <w:rPr>
          <w:rFonts w:ascii="Times New Roman" w:hAnsi="Times New Roman" w:cs="Times New Roman"/>
          <w:color w:val="222222"/>
          <w:shd w:val="clear" w:color="auto" w:fill="FFFFFF"/>
        </w:rPr>
        <w:t>activity’s</w:t>
      </w:r>
      <w:r w:rsidRPr="00B64C8D">
        <w:rPr>
          <w:rFonts w:ascii="Times New Roman" w:hAnsi="Times New Roman" w:cs="Times New Roman"/>
          <w:color w:val="222222"/>
          <w:shd w:val="clear" w:color="auto" w:fill="FFFFFF"/>
        </w:rPr>
        <w:t xml:space="preserve"> agents of Frontex </w:t>
      </w:r>
      <w:r w:rsidR="001B2B84" w:rsidRPr="00B64C8D">
        <w:rPr>
          <w:rFonts w:ascii="Times New Roman" w:hAnsi="Times New Roman" w:cs="Times New Roman"/>
          <w:color w:val="222222"/>
          <w:shd w:val="clear" w:color="auto" w:fill="FFFFFF"/>
        </w:rPr>
        <w:t>must</w:t>
      </w:r>
      <w:r w:rsidRPr="00B64C8D">
        <w:rPr>
          <w:rFonts w:ascii="Times New Roman" w:hAnsi="Times New Roman" w:cs="Times New Roman"/>
          <w:color w:val="222222"/>
          <w:shd w:val="clear" w:color="auto" w:fill="FFFFFF"/>
        </w:rPr>
        <w:t xml:space="preserve"> undertake in these hotspots, such as taking fingerprints, document migrants, but also possibly send them back with return flights (Scipioni, 2018). </w:t>
      </w:r>
    </w:p>
    <w:p w14:paraId="3D88C109" w14:textId="4AD9D9A6" w:rsidR="00312B4B" w:rsidRPr="00B64C8D" w:rsidRDefault="00312B4B" w:rsidP="00B64C8D">
      <w:pPr>
        <w:pStyle w:val="Kop2"/>
        <w:spacing w:line="360" w:lineRule="auto"/>
        <w:rPr>
          <w:rFonts w:ascii="Times New Roman" w:hAnsi="Times New Roman" w:cs="Times New Roman"/>
          <w:sz w:val="22"/>
          <w:szCs w:val="22"/>
        </w:rPr>
      </w:pPr>
      <w:bookmarkStart w:id="20" w:name="_Toc149818680"/>
      <w:bookmarkStart w:id="21" w:name="_Toc152251979"/>
      <w:r w:rsidRPr="00B64C8D">
        <w:rPr>
          <w:rFonts w:ascii="Times New Roman" w:hAnsi="Times New Roman" w:cs="Times New Roman"/>
          <w:sz w:val="22"/>
          <w:szCs w:val="22"/>
        </w:rPr>
        <w:lastRenderedPageBreak/>
        <w:t>2.2. Frontex’ place within the EU</w:t>
      </w:r>
      <w:bookmarkEnd w:id="20"/>
      <w:bookmarkEnd w:id="21"/>
    </w:p>
    <w:p w14:paraId="426242D9" w14:textId="561ED454"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This part of the literature on Frontex tries to explain why Frontex emerged. As this literature often uses theories such as historical institutionalism, (neo-)functionalism, and (neo-)institutionalism, this subchapter will dive into the meaning of these different schools and the aspects of Frontex they flash out. Other than that, there will be attention for the history of the agency because this largely determined which school was dominant.</w:t>
      </w:r>
    </w:p>
    <w:p w14:paraId="01F9F3A0" w14:textId="3B1D8458" w:rsidR="00180289"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Since the EU and the other Schengen countries share a de facto border there was a certain functional need to cooperate when it comes to managing this border. This became more urgent in 2004 when the EU was about to grow substantially as more countries joined (Léonard, 2009). The member states in that period of time agreed to transferring power towards the agency, as long as they could keep control through their representative in the management board (Léonard, 2009). However, there still is a fundamental academic debate about the reason why member states handed the authority of border control to Frontex. Two fundamental schools of thought have the predominate position. These are the neo-functionalist and the neo-institutionalist school. They are both theoretical schools, used in a wide variety of areas and very prominent in EU studies. The neo-functionalist school focuses on economic collaboration and growing interdependence between actors. This theory believes that collaboration in one policy field will lead to collaboration in others. For example, the free movement of people and goods within Schengen leads to a call for a common border policy (Niemann, 2021). This </w:t>
      </w:r>
      <w:r w:rsidR="00180289" w:rsidRPr="00B64C8D">
        <w:rPr>
          <w:rFonts w:ascii="Times New Roman" w:hAnsi="Times New Roman" w:cs="Times New Roman"/>
        </w:rPr>
        <w:t>theory</w:t>
      </w:r>
      <w:r w:rsidRPr="00B64C8D">
        <w:rPr>
          <w:rFonts w:ascii="Times New Roman" w:hAnsi="Times New Roman" w:cs="Times New Roman"/>
        </w:rPr>
        <w:t xml:space="preserve"> sees the establishment of Frontex as an initial solution which allowed for limited diminishing of member state power, but when the migration </w:t>
      </w:r>
      <w:r w:rsidR="00616B28" w:rsidRPr="00B64C8D">
        <w:rPr>
          <w:rFonts w:ascii="Times New Roman" w:hAnsi="Times New Roman" w:cs="Times New Roman"/>
        </w:rPr>
        <w:t>‘</w:t>
      </w:r>
      <w:r w:rsidRPr="00B64C8D">
        <w:rPr>
          <w:rFonts w:ascii="Times New Roman" w:hAnsi="Times New Roman" w:cs="Times New Roman"/>
        </w:rPr>
        <w:t>crisis</w:t>
      </w:r>
      <w:r w:rsidR="00616B28" w:rsidRPr="00B64C8D">
        <w:rPr>
          <w:rFonts w:ascii="Times New Roman" w:hAnsi="Times New Roman" w:cs="Times New Roman"/>
        </w:rPr>
        <w:t>’</w:t>
      </w:r>
      <w:r w:rsidRPr="00B64C8D">
        <w:rPr>
          <w:rFonts w:ascii="Times New Roman" w:hAnsi="Times New Roman" w:cs="Times New Roman"/>
        </w:rPr>
        <w:t xml:space="preserve"> was in effect there was a larger call for a powerful border agency (Niemann &amp; Speyer, 2018). At this point in </w:t>
      </w:r>
      <w:r w:rsidR="001035D7" w:rsidRPr="00B64C8D">
        <w:rPr>
          <w:rFonts w:ascii="Times New Roman" w:hAnsi="Times New Roman" w:cs="Times New Roman"/>
        </w:rPr>
        <w:t>time,</w:t>
      </w:r>
      <w:r w:rsidRPr="00B64C8D">
        <w:rPr>
          <w:rFonts w:ascii="Times New Roman" w:hAnsi="Times New Roman" w:cs="Times New Roman"/>
        </w:rPr>
        <w:t xml:space="preserve"> it was no longer feasible for countries to close their open borders within Schengen. </w:t>
      </w:r>
    </w:p>
    <w:p w14:paraId="1C5EE837" w14:textId="77777777" w:rsidR="00312B4B" w:rsidRPr="00B64C8D" w:rsidRDefault="00312B4B" w:rsidP="00B64C8D">
      <w:pPr>
        <w:pStyle w:val="Kop2"/>
        <w:spacing w:line="360" w:lineRule="auto"/>
        <w:rPr>
          <w:rFonts w:ascii="Times New Roman" w:hAnsi="Times New Roman" w:cs="Times New Roman"/>
          <w:sz w:val="22"/>
          <w:szCs w:val="22"/>
        </w:rPr>
      </w:pPr>
      <w:bookmarkStart w:id="22" w:name="_Toc149818681"/>
      <w:bookmarkStart w:id="23" w:name="_Toc152251980"/>
      <w:r w:rsidRPr="00B64C8D">
        <w:rPr>
          <w:rFonts w:ascii="Times New Roman" w:hAnsi="Times New Roman" w:cs="Times New Roman"/>
          <w:sz w:val="22"/>
          <w:szCs w:val="22"/>
        </w:rPr>
        <w:t>2.3. Frontex operational effects</w:t>
      </w:r>
      <w:bookmarkEnd w:id="22"/>
      <w:bookmarkEnd w:id="23"/>
    </w:p>
    <w:p w14:paraId="7FFF3841" w14:textId="23A5FE05"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Another section of research mainly focusses on the Frontex’s long-term effects on for instance the narrative on migrants, the consensus on guarding borders and the treatments of migrants (Kalkman, 2021). There is a wide range of effects which can be considered both positive and negative. A </w:t>
      </w:r>
      <w:r w:rsidR="001035D7" w:rsidRPr="00B64C8D">
        <w:rPr>
          <w:rFonts w:ascii="Times New Roman" w:hAnsi="Times New Roman" w:cs="Times New Roman"/>
        </w:rPr>
        <w:t>positive effect</w:t>
      </w:r>
      <w:r w:rsidRPr="00B64C8D">
        <w:rPr>
          <w:rFonts w:ascii="Times New Roman" w:hAnsi="Times New Roman" w:cs="Times New Roman"/>
        </w:rPr>
        <w:t xml:space="preserve">, for instance, is that the cooperation between member states in the policy area of border control has grown tighter since Frontex entered the scene (Hori, 2012). </w:t>
      </w:r>
    </w:p>
    <w:p w14:paraId="7D1E113E" w14:textId="4E7D7458"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Frontex has also proved itself capable to push the narrative that encompasses migrants and migration. The narrative it took on was mainly focused on migration as a threat (Léonard, 2010). Frontex focused the attention to migrants as a possible source of crime (Bigo, 2014).</w:t>
      </w:r>
      <w:r w:rsidR="00427128" w:rsidRPr="00B64C8D">
        <w:rPr>
          <w:rFonts w:ascii="Times New Roman" w:hAnsi="Times New Roman" w:cs="Times New Roman"/>
        </w:rPr>
        <w:t xml:space="preserve"> In the article by Bigo (2014) it becomes clear that multiple narratives are possible, for instance, migrants filling important roles in society. The operational effects literature is not saying Frontex was the sole reason to this narrative but states that the agency has contributed to the existence of the narrative. </w:t>
      </w:r>
      <w:r w:rsidR="00616B28" w:rsidRPr="00B64C8D">
        <w:rPr>
          <w:rFonts w:ascii="Times New Roman" w:hAnsi="Times New Roman" w:cs="Times New Roman"/>
        </w:rPr>
        <w:t>The narrative of migration as a crisis gives Frontex more reason for existence, to shield from this crisis.</w:t>
      </w:r>
    </w:p>
    <w:p w14:paraId="5DBC7F75" w14:textId="56C9F021" w:rsidR="00312B4B" w:rsidRPr="00D7137D" w:rsidRDefault="00312B4B" w:rsidP="00B64C8D">
      <w:pPr>
        <w:spacing w:line="360" w:lineRule="auto"/>
        <w:rPr>
          <w:rFonts w:ascii="Times New Roman" w:hAnsi="Times New Roman" w:cs="Times New Roman"/>
        </w:rPr>
      </w:pPr>
      <w:r w:rsidRPr="00B64C8D">
        <w:rPr>
          <w:rFonts w:ascii="Times New Roman" w:hAnsi="Times New Roman" w:cs="Times New Roman"/>
        </w:rPr>
        <w:lastRenderedPageBreak/>
        <w:t xml:space="preserve">Another effect described in the Frontex literature is the role they have played in the further militarization of the border. By using the narrative of migrants as a security threat, Frontex gives a reason to use military technology to keep the borders “safe” (Maurits, 2015; Csernatoni, 2018). </w:t>
      </w:r>
    </w:p>
    <w:p w14:paraId="237287F8" w14:textId="3C74FB8F" w:rsidR="00312B4B" w:rsidRPr="00B64C8D" w:rsidRDefault="00312B4B" w:rsidP="00B64C8D">
      <w:pPr>
        <w:pStyle w:val="Kop2"/>
        <w:spacing w:line="360" w:lineRule="auto"/>
        <w:rPr>
          <w:rFonts w:ascii="Times New Roman" w:hAnsi="Times New Roman" w:cs="Times New Roman"/>
          <w:sz w:val="22"/>
          <w:szCs w:val="22"/>
          <w:shd w:val="clear" w:color="auto" w:fill="FFFFFF"/>
        </w:rPr>
      </w:pPr>
      <w:bookmarkStart w:id="24" w:name="_Toc149818682"/>
      <w:bookmarkStart w:id="25" w:name="_Toc152251981"/>
      <w:r w:rsidRPr="00B64C8D">
        <w:rPr>
          <w:rFonts w:ascii="Times New Roman" w:hAnsi="Times New Roman" w:cs="Times New Roman"/>
          <w:sz w:val="22"/>
          <w:szCs w:val="22"/>
          <w:shd w:val="clear" w:color="auto" w:fill="FFFFFF"/>
        </w:rPr>
        <w:t>2.4. Human rights</w:t>
      </w:r>
      <w:bookmarkEnd w:id="24"/>
      <w:bookmarkEnd w:id="25"/>
    </w:p>
    <w:p w14:paraId="7BD6EE1C" w14:textId="4894FA76"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This military technology is part of the next topic that is often discussed in Frontex literature: human rights and human right violations. These violations are often made possible by the weapons, </w:t>
      </w:r>
      <w:r w:rsidR="001B2B84" w:rsidRPr="00B64C8D">
        <w:rPr>
          <w:rFonts w:ascii="Times New Roman" w:hAnsi="Times New Roman" w:cs="Times New Roman"/>
        </w:rPr>
        <w:t>vessels,</w:t>
      </w:r>
      <w:r w:rsidRPr="00B64C8D">
        <w:rPr>
          <w:rFonts w:ascii="Times New Roman" w:hAnsi="Times New Roman" w:cs="Times New Roman"/>
        </w:rPr>
        <w:t xml:space="preserve"> or other hardware Frontex has gained access to in recent years.</w:t>
      </w:r>
    </w:p>
    <w:p w14:paraId="7F79B123" w14:textId="7D739B0C"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This is getting exceedingly clear when looked at news articles from the past decade. Articles on Frontex are often written to point out the </w:t>
      </w:r>
      <w:r w:rsidR="001035D7" w:rsidRPr="00B64C8D">
        <w:rPr>
          <w:rFonts w:ascii="Times New Roman" w:hAnsi="Times New Roman" w:cs="Times New Roman"/>
        </w:rPr>
        <w:t>agency’s</w:t>
      </w:r>
      <w:r w:rsidRPr="00B64C8D">
        <w:rPr>
          <w:rFonts w:ascii="Times New Roman" w:hAnsi="Times New Roman" w:cs="Times New Roman"/>
        </w:rPr>
        <w:t xml:space="preserve"> human rights violations (Opromolla &amp; de Bruijne, 2023; van Poucke, 2022; Schmidt, 2021; Rettman, 2012). This, together with the research conducted by anti-fraud watchdog OLAF into the human rights violations organized, tolerated and/or financed by Frontex (OLAF, 2021), is part of the reason why there is an academic trend in researching human rights violations within the border agency. Most of this research, however, has been done before the new mandate Frontex received in 2019. For this reason, there is a lack of research into how autonomy has been a factor within some operations where human rights were harmed.</w:t>
      </w:r>
    </w:p>
    <w:p w14:paraId="7A8D8D6A" w14:textId="26653FA9" w:rsidR="00312B4B" w:rsidRPr="00B64C8D" w:rsidRDefault="00312B4B" w:rsidP="00B64C8D">
      <w:pPr>
        <w:pStyle w:val="Kop3"/>
        <w:spacing w:line="360" w:lineRule="auto"/>
        <w:rPr>
          <w:rFonts w:ascii="Times New Roman" w:hAnsi="Times New Roman" w:cs="Times New Roman"/>
          <w:sz w:val="22"/>
          <w:szCs w:val="22"/>
        </w:rPr>
      </w:pPr>
      <w:bookmarkStart w:id="26" w:name="_Toc149818683"/>
      <w:bookmarkStart w:id="27" w:name="_Toc152251982"/>
      <w:r w:rsidRPr="00B64C8D">
        <w:rPr>
          <w:rFonts w:ascii="Times New Roman" w:hAnsi="Times New Roman" w:cs="Times New Roman"/>
          <w:sz w:val="22"/>
          <w:szCs w:val="22"/>
        </w:rPr>
        <w:t>2.4.</w:t>
      </w:r>
      <w:r w:rsidR="008861ED" w:rsidRPr="00B64C8D">
        <w:rPr>
          <w:rFonts w:ascii="Times New Roman" w:hAnsi="Times New Roman" w:cs="Times New Roman"/>
          <w:sz w:val="22"/>
          <w:szCs w:val="22"/>
        </w:rPr>
        <w:t>1</w:t>
      </w:r>
      <w:r w:rsidRPr="00B64C8D">
        <w:rPr>
          <w:rFonts w:ascii="Times New Roman" w:hAnsi="Times New Roman" w:cs="Times New Roman"/>
          <w:sz w:val="22"/>
          <w:szCs w:val="22"/>
        </w:rPr>
        <w:t>. Non-refoulement</w:t>
      </w:r>
      <w:bookmarkEnd w:id="26"/>
      <w:bookmarkEnd w:id="27"/>
      <w:r w:rsidRPr="00B64C8D">
        <w:rPr>
          <w:rFonts w:ascii="Times New Roman" w:hAnsi="Times New Roman" w:cs="Times New Roman"/>
          <w:sz w:val="22"/>
          <w:szCs w:val="22"/>
        </w:rPr>
        <w:t xml:space="preserve"> </w:t>
      </w:r>
    </w:p>
    <w:p w14:paraId="23770589" w14:textId="2A299738" w:rsidR="00312B4B" w:rsidRPr="00B64C8D" w:rsidRDefault="00312B4B"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rPr>
        <w:t>There are multiple subcategories when it comes to research into Frontex and human rights. The first subcategory centers around the non-refoulement principle. This is the idea that participating states</w:t>
      </w:r>
      <w:r w:rsidR="00427128" w:rsidRPr="00B64C8D">
        <w:rPr>
          <w:rFonts w:ascii="Times New Roman" w:hAnsi="Times New Roman" w:cs="Times New Roman"/>
        </w:rPr>
        <w:t xml:space="preserve"> </w:t>
      </w:r>
      <w:r w:rsidRPr="00B64C8D">
        <w:rPr>
          <w:rFonts w:ascii="Times New Roman" w:hAnsi="Times New Roman" w:cs="Times New Roman"/>
        </w:rPr>
        <w:t>should not return asylum-seekers back to a country where they are likely to face persecution or other harm (</w:t>
      </w:r>
      <w:r w:rsidRPr="00B64C8D">
        <w:rPr>
          <w:rFonts w:ascii="Times New Roman" w:hAnsi="Times New Roman" w:cs="Times New Roman"/>
          <w:color w:val="222222"/>
          <w:shd w:val="clear" w:color="auto" w:fill="FFFFFF"/>
        </w:rPr>
        <w:t xml:space="preserve">Papastavridis, 2010). Frontex has broken this principle by taking migrants they had intercepted back to their ports of origin (Marin, 2011). Since the 2019 regulation (2019/1896) (EU, 2019) drones are being used to harm this principle as well. However, according to the literature, this made it more difficult to come with hard data. This was caused by the fact that drone flight schedules are often not available to the general public, and it is difficult for third parties to make hard claims about what the drones witnessed and how this information was used (Garijo, 2020). But it has been made evident that drones have been used to provide the Libyan coast guard with information which has led to human rights violations in Libya (Sunderland &amp; Pezzani, 2022). </w:t>
      </w:r>
    </w:p>
    <w:p w14:paraId="281C0D25" w14:textId="0778ACEC" w:rsidR="00312B4B" w:rsidRPr="00B64C8D" w:rsidRDefault="00312B4B" w:rsidP="00B64C8D">
      <w:pPr>
        <w:pStyle w:val="Kop3"/>
        <w:spacing w:line="360" w:lineRule="auto"/>
        <w:rPr>
          <w:rFonts w:ascii="Times New Roman" w:hAnsi="Times New Roman" w:cs="Times New Roman"/>
          <w:sz w:val="22"/>
          <w:szCs w:val="22"/>
        </w:rPr>
      </w:pPr>
      <w:bookmarkStart w:id="28" w:name="_Toc149818684"/>
      <w:bookmarkStart w:id="29" w:name="_Toc152251983"/>
      <w:r w:rsidRPr="00B64C8D">
        <w:rPr>
          <w:rFonts w:ascii="Times New Roman" w:hAnsi="Times New Roman" w:cs="Times New Roman"/>
          <w:sz w:val="22"/>
          <w:szCs w:val="22"/>
        </w:rPr>
        <w:t>2.4.</w:t>
      </w:r>
      <w:r w:rsidR="008861ED" w:rsidRPr="00B64C8D">
        <w:rPr>
          <w:rFonts w:ascii="Times New Roman" w:hAnsi="Times New Roman" w:cs="Times New Roman"/>
          <w:sz w:val="22"/>
          <w:szCs w:val="22"/>
        </w:rPr>
        <w:t>2</w:t>
      </w:r>
      <w:r w:rsidRPr="00B64C8D">
        <w:rPr>
          <w:rFonts w:ascii="Times New Roman" w:hAnsi="Times New Roman" w:cs="Times New Roman"/>
          <w:sz w:val="22"/>
          <w:szCs w:val="22"/>
        </w:rPr>
        <w:t>. Illegal pushbacks</w:t>
      </w:r>
      <w:bookmarkEnd w:id="28"/>
      <w:bookmarkEnd w:id="29"/>
    </w:p>
    <w:p w14:paraId="57311D01" w14:textId="59CBCAAC" w:rsidR="00312B4B" w:rsidRPr="00B64C8D" w:rsidRDefault="00312B4B"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Next up are the role Frontex played in the illegal pushbacks, this is the dragging back of ships or boats often with vulnerable migrants back to open sea (Karamanidou &amp; Kasparek, 2020), which are at odds with the EU human rights chapter (Del Monte &amp; Luyten, 2021). However, even though it is still difficult to pinpoint the exact role of Frontex into these pushbacks, it has been clear that Frontex at least has helped cover up pushbacks by Greek border patrols (OLAF, 2021; ECRE, 2021).</w:t>
      </w:r>
    </w:p>
    <w:p w14:paraId="1232A408" w14:textId="67B7D7AF" w:rsidR="00312B4B" w:rsidRPr="00B64C8D" w:rsidRDefault="00312B4B" w:rsidP="00B64C8D">
      <w:pPr>
        <w:pStyle w:val="Kop3"/>
        <w:spacing w:line="360" w:lineRule="auto"/>
        <w:rPr>
          <w:rFonts w:ascii="Times New Roman" w:hAnsi="Times New Roman" w:cs="Times New Roman"/>
          <w:sz w:val="22"/>
          <w:szCs w:val="22"/>
          <w:shd w:val="clear" w:color="auto" w:fill="FFFFFF"/>
        </w:rPr>
      </w:pPr>
      <w:bookmarkStart w:id="30" w:name="_Toc149818685"/>
      <w:bookmarkStart w:id="31" w:name="_Toc152251984"/>
      <w:r w:rsidRPr="00B64C8D">
        <w:rPr>
          <w:rFonts w:ascii="Times New Roman" w:hAnsi="Times New Roman" w:cs="Times New Roman"/>
          <w:sz w:val="22"/>
          <w:szCs w:val="22"/>
          <w:shd w:val="clear" w:color="auto" w:fill="FFFFFF"/>
        </w:rPr>
        <w:lastRenderedPageBreak/>
        <w:t>2.4.</w:t>
      </w:r>
      <w:r w:rsidR="008861ED" w:rsidRPr="00B64C8D">
        <w:rPr>
          <w:rFonts w:ascii="Times New Roman" w:hAnsi="Times New Roman" w:cs="Times New Roman"/>
          <w:sz w:val="22"/>
          <w:szCs w:val="22"/>
          <w:shd w:val="clear" w:color="auto" w:fill="FFFFFF"/>
        </w:rPr>
        <w:t>3</w:t>
      </w:r>
      <w:r w:rsidRPr="00B64C8D">
        <w:rPr>
          <w:rFonts w:ascii="Times New Roman" w:hAnsi="Times New Roman" w:cs="Times New Roman"/>
          <w:sz w:val="22"/>
          <w:szCs w:val="22"/>
          <w:shd w:val="clear" w:color="auto" w:fill="FFFFFF"/>
        </w:rPr>
        <w:t>. Attention for human rights</w:t>
      </w:r>
      <w:bookmarkEnd w:id="30"/>
      <w:bookmarkEnd w:id="31"/>
    </w:p>
    <w:p w14:paraId="3BCB7344" w14:textId="41D2DBE3" w:rsidR="00312B4B" w:rsidRPr="00B64C8D" w:rsidRDefault="00312B4B"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 xml:space="preserve">However, some research does show that Frontex has become more aware of the importance of human rights Marin, 2011; Slominski, 2013. In the original regulation Frontex established, it did not mention human rights whatsoever. The change in Frontex official stance </w:t>
      </w:r>
      <w:r w:rsidR="00427128" w:rsidRPr="00B64C8D">
        <w:rPr>
          <w:rFonts w:ascii="Times New Roman" w:hAnsi="Times New Roman" w:cs="Times New Roman"/>
          <w:color w:val="222222"/>
          <w:shd w:val="clear" w:color="auto" w:fill="FFFFFF"/>
        </w:rPr>
        <w:t xml:space="preserve">towards human rights, </w:t>
      </w:r>
      <w:r w:rsidRPr="00B64C8D">
        <w:rPr>
          <w:rFonts w:ascii="Times New Roman" w:hAnsi="Times New Roman" w:cs="Times New Roman"/>
          <w:color w:val="222222"/>
          <w:shd w:val="clear" w:color="auto" w:fill="FFFFFF"/>
        </w:rPr>
        <w:t xml:space="preserve">was probably caused by popular backlash, especially after the pushbacks (Ekelund, 2014), in which Frontex officers were linked to illegally pushing back boats with migrants into the open sea. Later in the agencies’ existence, the importance of human rights was established and published in their policy papers. For instance, the protection of human rights was put into Frontex’s code of conduct (Marin, 2011; Slominski, 2013). It could be rephrased as: “However, these goals and obligations remain largely unimplemented in practice, as Frontex still eludes many of the responsibilities that come with the protection of human rights in their conduct” (Marinai, 2016). In the human </w:t>
      </w:r>
      <w:r w:rsidR="001035D7" w:rsidRPr="00B64C8D">
        <w:rPr>
          <w:rFonts w:ascii="Times New Roman" w:hAnsi="Times New Roman" w:cs="Times New Roman"/>
          <w:color w:val="222222"/>
          <w:shd w:val="clear" w:color="auto" w:fill="FFFFFF"/>
        </w:rPr>
        <w:t>rights subchapter,</w:t>
      </w:r>
      <w:r w:rsidRPr="00B64C8D">
        <w:rPr>
          <w:rFonts w:ascii="Times New Roman" w:hAnsi="Times New Roman" w:cs="Times New Roman"/>
          <w:color w:val="222222"/>
          <w:shd w:val="clear" w:color="auto" w:fill="FFFFFF"/>
        </w:rPr>
        <w:t xml:space="preserve"> it becomes visible that migration within the EU can be quite the political hot topic, with the EU border security doing things that are formally not allowed. </w:t>
      </w:r>
    </w:p>
    <w:p w14:paraId="0711BF90" w14:textId="4D031D66" w:rsidR="00312B4B" w:rsidRPr="00B64C8D" w:rsidRDefault="00312B4B" w:rsidP="00B64C8D">
      <w:pPr>
        <w:pStyle w:val="Kop2"/>
        <w:spacing w:line="360" w:lineRule="auto"/>
        <w:rPr>
          <w:rFonts w:ascii="Times New Roman" w:hAnsi="Times New Roman" w:cs="Times New Roman"/>
          <w:sz w:val="22"/>
          <w:szCs w:val="22"/>
        </w:rPr>
      </w:pPr>
      <w:bookmarkStart w:id="32" w:name="_Toc149818686"/>
      <w:bookmarkStart w:id="33" w:name="_Toc152251985"/>
      <w:r w:rsidRPr="00B64C8D">
        <w:rPr>
          <w:rFonts w:ascii="Times New Roman" w:hAnsi="Times New Roman" w:cs="Times New Roman"/>
          <w:sz w:val="22"/>
          <w:szCs w:val="22"/>
        </w:rPr>
        <w:t>2.5 Agency Characteristics</w:t>
      </w:r>
      <w:bookmarkEnd w:id="32"/>
      <w:bookmarkEnd w:id="33"/>
      <w:r w:rsidRPr="00B64C8D">
        <w:rPr>
          <w:rFonts w:ascii="Times New Roman" w:hAnsi="Times New Roman" w:cs="Times New Roman"/>
          <w:sz w:val="22"/>
          <w:szCs w:val="22"/>
        </w:rPr>
        <w:t xml:space="preserve"> </w:t>
      </w:r>
    </w:p>
    <w:p w14:paraId="4EEEB235" w14:textId="080F04B6" w:rsidR="00312B4B" w:rsidRPr="00B64C8D" w:rsidRDefault="00312B4B" w:rsidP="00B64C8D">
      <w:pPr>
        <w:pStyle w:val="Kop3"/>
        <w:spacing w:line="360" w:lineRule="auto"/>
        <w:rPr>
          <w:rFonts w:ascii="Times New Roman" w:hAnsi="Times New Roman" w:cs="Times New Roman"/>
          <w:sz w:val="22"/>
          <w:szCs w:val="22"/>
        </w:rPr>
      </w:pPr>
      <w:bookmarkStart w:id="34" w:name="_Toc149818687"/>
      <w:bookmarkStart w:id="35" w:name="_Toc152251986"/>
      <w:r w:rsidRPr="00B64C8D">
        <w:rPr>
          <w:rFonts w:ascii="Times New Roman" w:hAnsi="Times New Roman" w:cs="Times New Roman"/>
          <w:sz w:val="22"/>
          <w:szCs w:val="22"/>
        </w:rPr>
        <w:t>2.5.</w:t>
      </w:r>
      <w:r w:rsidR="008861ED" w:rsidRPr="00B64C8D">
        <w:rPr>
          <w:rFonts w:ascii="Times New Roman" w:hAnsi="Times New Roman" w:cs="Times New Roman"/>
          <w:sz w:val="22"/>
          <w:szCs w:val="22"/>
        </w:rPr>
        <w:t>1.</w:t>
      </w:r>
      <w:r w:rsidRPr="00B64C8D">
        <w:rPr>
          <w:rFonts w:ascii="Times New Roman" w:hAnsi="Times New Roman" w:cs="Times New Roman"/>
          <w:sz w:val="22"/>
          <w:szCs w:val="22"/>
        </w:rPr>
        <w:t xml:space="preserve"> Information sharing and transparency</w:t>
      </w:r>
      <w:bookmarkEnd w:id="34"/>
      <w:bookmarkEnd w:id="35"/>
    </w:p>
    <w:p w14:paraId="36376C41" w14:textId="77777777"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First of all, there is little oversight over Frontex’s actions (Buckel &amp; Wissel, 2010), especially when it comes to militarized operations in the domain of the Common Security and Defense Policy (CSDP) (Dura, 2018). With these operations, a lesser standard of reporting is maintained, giving Frontex more leeway in its actions and less chances of spotting human rights violations by the European Parliament.  </w:t>
      </w:r>
    </w:p>
    <w:p w14:paraId="0740BAA8" w14:textId="4F629A9C" w:rsidR="00312B4B" w:rsidRPr="00B64C8D" w:rsidRDefault="00312B4B" w:rsidP="00B64C8D">
      <w:pPr>
        <w:pStyle w:val="Kop3"/>
        <w:spacing w:line="360" w:lineRule="auto"/>
        <w:rPr>
          <w:rFonts w:ascii="Times New Roman" w:hAnsi="Times New Roman" w:cs="Times New Roman"/>
          <w:sz w:val="22"/>
          <w:szCs w:val="22"/>
        </w:rPr>
      </w:pPr>
      <w:bookmarkStart w:id="36" w:name="_Toc149818688"/>
      <w:bookmarkStart w:id="37" w:name="_Toc152251987"/>
      <w:r w:rsidRPr="00B64C8D">
        <w:rPr>
          <w:rFonts w:ascii="Times New Roman" w:hAnsi="Times New Roman" w:cs="Times New Roman"/>
          <w:sz w:val="22"/>
          <w:szCs w:val="22"/>
        </w:rPr>
        <w:t>2.5.</w:t>
      </w:r>
      <w:r w:rsidR="008861ED" w:rsidRPr="00B64C8D">
        <w:rPr>
          <w:rFonts w:ascii="Times New Roman" w:hAnsi="Times New Roman" w:cs="Times New Roman"/>
          <w:sz w:val="22"/>
          <w:szCs w:val="22"/>
        </w:rPr>
        <w:t>2.</w:t>
      </w:r>
      <w:r w:rsidRPr="00B64C8D">
        <w:rPr>
          <w:rFonts w:ascii="Times New Roman" w:hAnsi="Times New Roman" w:cs="Times New Roman"/>
          <w:sz w:val="22"/>
          <w:szCs w:val="22"/>
        </w:rPr>
        <w:t xml:space="preserve"> Accountability</w:t>
      </w:r>
      <w:bookmarkEnd w:id="36"/>
      <w:bookmarkEnd w:id="37"/>
    </w:p>
    <w:p w14:paraId="5945659E" w14:textId="7A526DF8"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Next to the lack of information that reaches the EU institutions, there is also a lack of different forms of accountability within the agency. First of all, the management board that is responsible for the actions of the agency is mainly made up by national representatives. This means that the agency is susceptible to national political interference, resulting in the fact that the agency is more likely to be held responsible by member state actors than by the EU institutions (Buckel &amp; Wissel, 2010).</w:t>
      </w:r>
    </w:p>
    <w:p w14:paraId="56584D24" w14:textId="61C28411" w:rsidR="00312B4B" w:rsidRPr="00B64C8D" w:rsidRDefault="00312B4B" w:rsidP="00B64C8D">
      <w:pPr>
        <w:pStyle w:val="Kop3"/>
        <w:spacing w:line="360" w:lineRule="auto"/>
        <w:rPr>
          <w:rFonts w:ascii="Times New Roman" w:hAnsi="Times New Roman" w:cs="Times New Roman"/>
          <w:sz w:val="22"/>
          <w:szCs w:val="22"/>
        </w:rPr>
      </w:pPr>
      <w:bookmarkStart w:id="38" w:name="_Toc149818689"/>
      <w:bookmarkStart w:id="39" w:name="_Toc152251988"/>
      <w:r w:rsidRPr="00B64C8D">
        <w:rPr>
          <w:rFonts w:ascii="Times New Roman" w:hAnsi="Times New Roman" w:cs="Times New Roman"/>
          <w:sz w:val="22"/>
          <w:szCs w:val="22"/>
        </w:rPr>
        <w:t>2.5.</w:t>
      </w:r>
      <w:r w:rsidR="008861ED" w:rsidRPr="00B64C8D">
        <w:rPr>
          <w:rFonts w:ascii="Times New Roman" w:hAnsi="Times New Roman" w:cs="Times New Roman"/>
          <w:sz w:val="22"/>
          <w:szCs w:val="22"/>
        </w:rPr>
        <w:t>3.</w:t>
      </w:r>
      <w:r w:rsidRPr="00B64C8D">
        <w:rPr>
          <w:rFonts w:ascii="Times New Roman" w:hAnsi="Times New Roman" w:cs="Times New Roman"/>
          <w:sz w:val="22"/>
          <w:szCs w:val="22"/>
        </w:rPr>
        <w:t xml:space="preserve"> Legitimacy</w:t>
      </w:r>
      <w:bookmarkEnd w:id="38"/>
      <w:bookmarkEnd w:id="39"/>
      <w:r w:rsidRPr="00B64C8D">
        <w:rPr>
          <w:rFonts w:ascii="Times New Roman" w:hAnsi="Times New Roman" w:cs="Times New Roman"/>
          <w:sz w:val="22"/>
          <w:szCs w:val="22"/>
        </w:rPr>
        <w:t xml:space="preserve"> </w:t>
      </w:r>
    </w:p>
    <w:p w14:paraId="149449C1" w14:textId="2A626C9F"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This lack of transparency and accountability is also to be found in the literature that researches the legitimacy of Frontex. The main problem regarding the legitimacy is the fact that Frontex does not hold responsibility for its personnel. The responsibility for Frontex agents is with the member state that detached the agent to Frontex (Horii, 2018). A similar construction is to be found within the Joint Operations Frontex is a part of. These operations are always under the responsibility of the helping member state, making it very difficult to hold the agency responsible, even if people were treated wrongly by the agency (Kalkman, 2021). </w:t>
      </w:r>
    </w:p>
    <w:p w14:paraId="17DE2544" w14:textId="2A626C9F" w:rsidR="00312B4B" w:rsidRPr="00B64C8D" w:rsidRDefault="00312B4B" w:rsidP="00B64C8D">
      <w:pPr>
        <w:pStyle w:val="Kop2"/>
        <w:spacing w:line="360" w:lineRule="auto"/>
        <w:rPr>
          <w:rFonts w:ascii="Times New Roman" w:hAnsi="Times New Roman" w:cs="Times New Roman"/>
          <w:sz w:val="22"/>
          <w:szCs w:val="22"/>
        </w:rPr>
      </w:pPr>
      <w:bookmarkStart w:id="40" w:name="_Toc149818690"/>
      <w:bookmarkStart w:id="41" w:name="_Toc152251989"/>
      <w:r w:rsidRPr="00B64C8D">
        <w:rPr>
          <w:rFonts w:ascii="Times New Roman" w:hAnsi="Times New Roman" w:cs="Times New Roman"/>
          <w:sz w:val="22"/>
          <w:szCs w:val="22"/>
        </w:rPr>
        <w:lastRenderedPageBreak/>
        <w:t>2.6</w:t>
      </w:r>
      <w:r w:rsidR="008861ED" w:rsidRPr="00B64C8D">
        <w:rPr>
          <w:rFonts w:ascii="Times New Roman" w:hAnsi="Times New Roman" w:cs="Times New Roman"/>
          <w:sz w:val="22"/>
          <w:szCs w:val="22"/>
        </w:rPr>
        <w:t>.</w:t>
      </w:r>
      <w:r w:rsidRPr="00B64C8D">
        <w:rPr>
          <w:rFonts w:ascii="Times New Roman" w:hAnsi="Times New Roman" w:cs="Times New Roman"/>
          <w:sz w:val="22"/>
          <w:szCs w:val="22"/>
        </w:rPr>
        <w:t xml:space="preserve"> Chapter conclusion</w:t>
      </w:r>
      <w:bookmarkEnd w:id="40"/>
      <w:bookmarkEnd w:id="41"/>
      <w:r w:rsidRPr="00B64C8D">
        <w:rPr>
          <w:rFonts w:ascii="Times New Roman" w:hAnsi="Times New Roman" w:cs="Times New Roman"/>
          <w:sz w:val="22"/>
          <w:szCs w:val="22"/>
        </w:rPr>
        <w:t xml:space="preserve"> </w:t>
      </w:r>
    </w:p>
    <w:p w14:paraId="364991CB" w14:textId="689E4462" w:rsidR="00971562"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The chapter focusses on the most important academic narratives that Frontex has been a part of. Firstly, it looks at what the agency does now and why that sparked a (new) interest into the agency. Then, it went into the history of the agency and what different academic schools have been used to explain its existence and place within the EU context.</w:t>
      </w:r>
      <w:r w:rsidR="00616B28" w:rsidRPr="00B64C8D">
        <w:rPr>
          <w:rFonts w:ascii="Times New Roman" w:hAnsi="Times New Roman" w:cs="Times New Roman"/>
        </w:rPr>
        <w:t xml:space="preserve"> The chapter gives an oversight on human rights violations which is by a deep dive</w:t>
      </w:r>
      <w:r w:rsidRPr="00B64C8D">
        <w:rPr>
          <w:rFonts w:ascii="Times New Roman" w:hAnsi="Times New Roman" w:cs="Times New Roman"/>
        </w:rPr>
        <w:t xml:space="preserve"> into the characteristics of the agency</w:t>
      </w:r>
      <w:r w:rsidR="00F5784F" w:rsidRPr="00B64C8D">
        <w:rPr>
          <w:rFonts w:ascii="Times New Roman" w:hAnsi="Times New Roman" w:cs="Times New Roman"/>
        </w:rPr>
        <w:t xml:space="preserve">.  </w:t>
      </w:r>
      <w:r w:rsidRPr="00B64C8D">
        <w:rPr>
          <w:rFonts w:ascii="Times New Roman" w:hAnsi="Times New Roman" w:cs="Times New Roman"/>
        </w:rPr>
        <w:t xml:space="preserve">with the specific goal to paint the picture that the agency has a lot of autonomy and in what ways this comes to fruition. </w:t>
      </w:r>
    </w:p>
    <w:p w14:paraId="39FDC060" w14:textId="77777777" w:rsidR="00D7137D" w:rsidRDefault="00D7137D">
      <w:pPr>
        <w:rPr>
          <w:rFonts w:ascii="Times New Roman" w:eastAsia="Times New Roman" w:hAnsi="Times New Roman" w:cs="Times New Roman"/>
          <w:color w:val="2F5496" w:themeColor="accent1" w:themeShade="BF"/>
          <w:shd w:val="clear" w:color="auto" w:fill="FFFFFF"/>
          <w:lang w:eastAsia="nl-NL"/>
        </w:rPr>
      </w:pPr>
      <w:r>
        <w:rPr>
          <w:rFonts w:ascii="Times New Roman" w:eastAsia="Times New Roman" w:hAnsi="Times New Roman"/>
          <w:lang w:eastAsia="nl-NL"/>
        </w:rPr>
        <w:br w:type="page"/>
      </w:r>
    </w:p>
    <w:p w14:paraId="1AC589CF" w14:textId="024F5F0A" w:rsidR="00703A89" w:rsidRPr="00B64C8D" w:rsidRDefault="00C62D23" w:rsidP="00B64C8D">
      <w:pPr>
        <w:pStyle w:val="Stijl1"/>
        <w:rPr>
          <w:rFonts w:ascii="Times New Roman" w:eastAsia="Times New Roman" w:hAnsi="Times New Roman"/>
          <w:sz w:val="22"/>
          <w:szCs w:val="22"/>
          <w:lang w:eastAsia="nl-NL"/>
        </w:rPr>
      </w:pPr>
      <w:bookmarkStart w:id="42" w:name="_Toc152251990"/>
      <w:r w:rsidRPr="00B64C8D">
        <w:rPr>
          <w:rFonts w:ascii="Times New Roman" w:eastAsia="Times New Roman" w:hAnsi="Times New Roman"/>
          <w:sz w:val="22"/>
          <w:szCs w:val="22"/>
          <w:lang w:eastAsia="nl-NL"/>
        </w:rPr>
        <w:lastRenderedPageBreak/>
        <w:t xml:space="preserve">Chapter 3: </w:t>
      </w:r>
      <w:r w:rsidR="00703A89" w:rsidRPr="00B64C8D">
        <w:rPr>
          <w:rFonts w:ascii="Times New Roman" w:eastAsia="Times New Roman" w:hAnsi="Times New Roman"/>
          <w:sz w:val="22"/>
          <w:szCs w:val="22"/>
          <w:lang w:eastAsia="nl-NL"/>
        </w:rPr>
        <w:t>Theory</w:t>
      </w:r>
      <w:bookmarkEnd w:id="42"/>
      <w:r w:rsidR="00703A89" w:rsidRPr="00B64C8D">
        <w:rPr>
          <w:rFonts w:ascii="Times New Roman" w:eastAsia="Times New Roman" w:hAnsi="Times New Roman"/>
          <w:sz w:val="22"/>
          <w:szCs w:val="22"/>
          <w:lang w:eastAsia="nl-NL"/>
        </w:rPr>
        <w:t> </w:t>
      </w:r>
    </w:p>
    <w:p w14:paraId="27449042" w14:textId="56D0B07F" w:rsidR="00703A89" w:rsidRPr="00B64C8D" w:rsidRDefault="00703A89"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In the following chapter, the most important theories and concepts utilized in this research</w:t>
      </w:r>
      <w:r w:rsidR="005D0017" w:rsidRPr="00B64C8D">
        <w:rPr>
          <w:rFonts w:ascii="Times New Roman" w:eastAsia="Times New Roman" w:hAnsi="Times New Roman" w:cs="Times New Roman"/>
          <w:color w:val="0E101A"/>
          <w:kern w:val="0"/>
          <w:lang w:eastAsia="nl-NL"/>
          <w14:ligatures w14:val="none"/>
        </w:rPr>
        <w:t xml:space="preserve"> will be explained</w:t>
      </w:r>
      <w:r w:rsidRPr="00B64C8D">
        <w:rPr>
          <w:rFonts w:ascii="Times New Roman" w:eastAsia="Times New Roman" w:hAnsi="Times New Roman" w:cs="Times New Roman"/>
          <w:color w:val="0E101A"/>
          <w:kern w:val="0"/>
          <w:lang w:eastAsia="nl-NL"/>
          <w14:ligatures w14:val="none"/>
        </w:rPr>
        <w:t xml:space="preserve">. For the most significant theories, the historical background and academic contestations will also be added. The goal of the chapter is to paint a broader historical picture of the entire research on EU agencies, multi-level governance (MLG), </w:t>
      </w:r>
      <w:r w:rsidR="009516F1" w:rsidRPr="00B64C8D">
        <w:rPr>
          <w:rFonts w:ascii="Times New Roman" w:eastAsia="Times New Roman" w:hAnsi="Times New Roman" w:cs="Times New Roman"/>
          <w:color w:val="0E101A"/>
          <w:kern w:val="0"/>
          <w:lang w:eastAsia="nl-NL"/>
          <w14:ligatures w14:val="none"/>
        </w:rPr>
        <w:t>and the concept of autonomy</w:t>
      </w:r>
      <w:r w:rsidRPr="00B64C8D">
        <w:rPr>
          <w:rFonts w:ascii="Times New Roman" w:eastAsia="Times New Roman" w:hAnsi="Times New Roman" w:cs="Times New Roman"/>
          <w:color w:val="0E101A"/>
          <w:kern w:val="0"/>
          <w:lang w:eastAsia="nl-NL"/>
          <w14:ligatures w14:val="none"/>
        </w:rPr>
        <w:t>. However, it</w:t>
      </w:r>
      <w:r w:rsidR="009516F1" w:rsidRPr="00B64C8D">
        <w:rPr>
          <w:rFonts w:ascii="Times New Roman" w:eastAsia="Times New Roman" w:hAnsi="Times New Roman" w:cs="Times New Roman"/>
          <w:color w:val="0E101A"/>
          <w:kern w:val="0"/>
          <w:lang w:eastAsia="nl-NL"/>
          <w14:ligatures w14:val="none"/>
        </w:rPr>
        <w:t xml:space="preserve"> is</w:t>
      </w:r>
      <w:r w:rsidRPr="00B64C8D">
        <w:rPr>
          <w:rFonts w:ascii="Times New Roman" w:eastAsia="Times New Roman" w:hAnsi="Times New Roman" w:cs="Times New Roman"/>
          <w:color w:val="0E101A"/>
          <w:kern w:val="0"/>
          <w:lang w:eastAsia="nl-NL"/>
          <w14:ligatures w14:val="none"/>
        </w:rPr>
        <w:t xml:space="preserve"> important to note that not all the concepts discussed have a complete academic consensus regarding their meaning and use. In such cases, there is decided to pick the ones that best fit this specific research. These decisions are based on theoretical arguments, which are provided in the chapter. </w:t>
      </w:r>
      <w:r w:rsidR="00262DAE" w:rsidRPr="00B64C8D">
        <w:rPr>
          <w:rFonts w:ascii="Times New Roman" w:eastAsia="Times New Roman" w:hAnsi="Times New Roman" w:cs="Times New Roman"/>
          <w:color w:val="0E101A"/>
          <w:kern w:val="0"/>
          <w:lang w:eastAsia="nl-NL"/>
          <w14:ligatures w14:val="none"/>
        </w:rPr>
        <w:t xml:space="preserve">These existing theories and concepts will be used to </w:t>
      </w:r>
      <w:r w:rsidR="005650A1" w:rsidRPr="00B64C8D">
        <w:rPr>
          <w:rFonts w:ascii="Times New Roman" w:eastAsia="Times New Roman" w:hAnsi="Times New Roman" w:cs="Times New Roman"/>
          <w:color w:val="0E101A"/>
          <w:kern w:val="0"/>
          <w:lang w:eastAsia="nl-NL"/>
          <w14:ligatures w14:val="none"/>
        </w:rPr>
        <w:t xml:space="preserve">paint a picture of the expected causal mechanism that will be tested in the analysis chapter. </w:t>
      </w:r>
      <w:r w:rsidR="008D5F15" w:rsidRPr="00B64C8D">
        <w:rPr>
          <w:rFonts w:ascii="Times New Roman" w:eastAsia="Times New Roman" w:hAnsi="Times New Roman" w:cs="Times New Roman"/>
          <w:color w:val="0E101A"/>
          <w:kern w:val="0"/>
          <w:lang w:eastAsia="nl-NL"/>
          <w14:ligatures w14:val="none"/>
        </w:rPr>
        <w:t xml:space="preserve">The chapter will firstly go into what MLG is, for it is going to be the lens </w:t>
      </w:r>
      <w:r w:rsidR="001035D7" w:rsidRPr="00B64C8D">
        <w:rPr>
          <w:rFonts w:ascii="Times New Roman" w:eastAsia="Times New Roman" w:hAnsi="Times New Roman" w:cs="Times New Roman"/>
          <w:color w:val="0E101A"/>
          <w:kern w:val="0"/>
          <w:lang w:eastAsia="nl-NL"/>
          <w14:ligatures w14:val="none"/>
        </w:rPr>
        <w:t>through</w:t>
      </w:r>
      <w:r w:rsidR="008D5F15" w:rsidRPr="00B64C8D">
        <w:rPr>
          <w:rFonts w:ascii="Times New Roman" w:eastAsia="Times New Roman" w:hAnsi="Times New Roman" w:cs="Times New Roman"/>
          <w:color w:val="0E101A"/>
          <w:kern w:val="0"/>
          <w:lang w:eastAsia="nl-NL"/>
          <w14:ligatures w14:val="none"/>
        </w:rPr>
        <w:t xml:space="preserve"> which the eventual analysis will be conducted. Following that the expectations for the causal mechanism will be theoretically substantiated. The theory will give a wider causal mechanism for how EU agencies function, which in later chapters will be analyzed for Frontex specifically. </w:t>
      </w:r>
      <w:r w:rsidR="0092409D" w:rsidRPr="00B64C8D">
        <w:rPr>
          <w:rFonts w:ascii="Times New Roman" w:eastAsia="Times New Roman" w:hAnsi="Times New Roman" w:cs="Times New Roman"/>
          <w:color w:val="0E101A"/>
          <w:kern w:val="0"/>
          <w:lang w:eastAsia="nl-NL"/>
          <w14:ligatures w14:val="none"/>
        </w:rPr>
        <w:t xml:space="preserve">The causal mechanism in this chapter is split into two, just like the rest of the research. </w:t>
      </w:r>
    </w:p>
    <w:p w14:paraId="0C5F0773" w14:textId="77777777" w:rsidR="00703A89" w:rsidRPr="00B64C8D" w:rsidRDefault="00703A89" w:rsidP="00B64C8D">
      <w:pPr>
        <w:spacing w:after="0" w:line="360" w:lineRule="auto"/>
        <w:rPr>
          <w:rFonts w:ascii="Times New Roman" w:eastAsia="Times New Roman" w:hAnsi="Times New Roman" w:cs="Times New Roman"/>
          <w:color w:val="0E101A"/>
          <w:kern w:val="0"/>
          <w:lang w:eastAsia="nl-NL"/>
          <w14:ligatures w14:val="none"/>
        </w:rPr>
      </w:pPr>
    </w:p>
    <w:p w14:paraId="34AD8797" w14:textId="4E69BDD5" w:rsidR="00703A89" w:rsidRPr="00B64C8D" w:rsidRDefault="00D17B37" w:rsidP="00B64C8D">
      <w:pPr>
        <w:pStyle w:val="Kop2"/>
        <w:spacing w:line="360" w:lineRule="auto"/>
        <w:rPr>
          <w:rFonts w:ascii="Times New Roman" w:hAnsi="Times New Roman" w:cs="Times New Roman"/>
          <w:sz w:val="22"/>
          <w:szCs w:val="22"/>
        </w:rPr>
      </w:pPr>
      <w:bookmarkStart w:id="43" w:name="_Toc152251991"/>
      <w:r w:rsidRPr="00B64C8D">
        <w:rPr>
          <w:rFonts w:ascii="Times New Roman" w:hAnsi="Times New Roman" w:cs="Times New Roman"/>
          <w:sz w:val="22"/>
          <w:szCs w:val="22"/>
        </w:rPr>
        <w:t xml:space="preserve">3.1. </w:t>
      </w:r>
      <w:r w:rsidR="00703A89" w:rsidRPr="00B64C8D">
        <w:rPr>
          <w:rFonts w:ascii="Times New Roman" w:hAnsi="Times New Roman" w:cs="Times New Roman"/>
          <w:sz w:val="22"/>
          <w:szCs w:val="22"/>
        </w:rPr>
        <w:t>Multi-level governance</w:t>
      </w:r>
      <w:bookmarkEnd w:id="43"/>
    </w:p>
    <w:p w14:paraId="0A9B12D6" w14:textId="3C1973F3" w:rsidR="00703A89" w:rsidRPr="00B64C8D" w:rsidRDefault="005650A1"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 xml:space="preserve">The theory that this research will be most dependent on is multi-level governance (MLG). </w:t>
      </w:r>
    </w:p>
    <w:p w14:paraId="41EFB23A" w14:textId="77777777" w:rsidR="000D1737" w:rsidRPr="00B64C8D" w:rsidRDefault="00703A89"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 xml:space="preserve">The theory departed from state-centric ideas that were dominant </w:t>
      </w:r>
      <w:r w:rsidR="005650A1" w:rsidRPr="00B64C8D">
        <w:rPr>
          <w:rFonts w:ascii="Times New Roman" w:eastAsia="Times New Roman" w:hAnsi="Times New Roman" w:cs="Times New Roman"/>
          <w:color w:val="0E101A"/>
          <w:kern w:val="0"/>
          <w:lang w:eastAsia="nl-NL"/>
          <w14:ligatures w14:val="none"/>
        </w:rPr>
        <w:t xml:space="preserve">for a long time in international relations and EU studies. </w:t>
      </w:r>
      <w:r w:rsidRPr="00B64C8D">
        <w:rPr>
          <w:rFonts w:ascii="Times New Roman" w:eastAsia="Times New Roman" w:hAnsi="Times New Roman" w:cs="Times New Roman"/>
          <w:color w:val="0E101A"/>
          <w:kern w:val="0"/>
          <w:lang w:eastAsia="nl-NL"/>
          <w14:ligatures w14:val="none"/>
        </w:rPr>
        <w:t>It focused on the power that is divided between different political levels, ranging from subnational to supranational.</w:t>
      </w:r>
      <w:r w:rsidR="002C4B52" w:rsidRPr="00B64C8D">
        <w:rPr>
          <w:rFonts w:ascii="Times New Roman" w:eastAsia="Times New Roman" w:hAnsi="Times New Roman" w:cs="Times New Roman"/>
          <w:color w:val="0E101A"/>
          <w:kern w:val="0"/>
          <w:lang w:eastAsia="nl-NL"/>
          <w14:ligatures w14:val="none"/>
        </w:rPr>
        <w:t xml:space="preserve"> The frame of MLG is very </w:t>
      </w:r>
      <w:r w:rsidR="000D1737" w:rsidRPr="00B64C8D">
        <w:rPr>
          <w:rFonts w:ascii="Times New Roman" w:eastAsia="Times New Roman" w:hAnsi="Times New Roman" w:cs="Times New Roman"/>
          <w:color w:val="0E101A"/>
          <w:kern w:val="0"/>
          <w:lang w:eastAsia="nl-NL"/>
          <w14:ligatures w14:val="none"/>
        </w:rPr>
        <w:t>suitable for EU agencies, for they often have multiple organizations with formal or informal jurisdiction over them.</w:t>
      </w:r>
    </w:p>
    <w:p w14:paraId="7A2E4BC5" w14:textId="2144642D" w:rsidR="00703A89" w:rsidRPr="00B64C8D" w:rsidRDefault="00703A89"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 xml:space="preserve">By taking these into account and not just focusing on the power of states the theory could explain the decentralization of state power and the diffusing of power to other levels (Stephenson, 2013). Marks himself called the multi-level system “Supranational, national, regional, and local governments </w:t>
      </w:r>
      <w:r w:rsidR="005875CB">
        <w:rPr>
          <w:rFonts w:ascii="Times New Roman" w:eastAsia="Times New Roman" w:hAnsi="Times New Roman" w:cs="Times New Roman"/>
          <w:color w:val="0E101A"/>
          <w:kern w:val="0"/>
          <w:lang w:eastAsia="nl-NL"/>
          <w14:ligatures w14:val="none"/>
        </w:rPr>
        <w:t>[</w:t>
      </w:r>
      <w:r w:rsidRPr="00B64C8D">
        <w:rPr>
          <w:rFonts w:ascii="Times New Roman" w:eastAsia="Times New Roman" w:hAnsi="Times New Roman" w:cs="Times New Roman"/>
          <w:color w:val="0E101A"/>
          <w:kern w:val="0"/>
          <w:lang w:eastAsia="nl-NL"/>
          <w14:ligatures w14:val="none"/>
        </w:rPr>
        <w:t>…</w:t>
      </w:r>
      <w:r w:rsidR="005875CB">
        <w:rPr>
          <w:rFonts w:ascii="Times New Roman" w:eastAsia="Times New Roman" w:hAnsi="Times New Roman" w:cs="Times New Roman"/>
          <w:color w:val="0E101A"/>
          <w:kern w:val="0"/>
          <w:lang w:eastAsia="nl-NL"/>
          <w14:ligatures w14:val="none"/>
        </w:rPr>
        <w:t>]</w:t>
      </w:r>
      <w:r w:rsidRPr="00B64C8D">
        <w:rPr>
          <w:rFonts w:ascii="Times New Roman" w:eastAsia="Times New Roman" w:hAnsi="Times New Roman" w:cs="Times New Roman"/>
          <w:color w:val="0E101A"/>
          <w:kern w:val="0"/>
          <w:lang w:eastAsia="nl-NL"/>
          <w14:ligatures w14:val="none"/>
        </w:rPr>
        <w:t xml:space="preserve"> enmeshed in territorially overarching policy networks” (Marks, 1993 p.402). It is a theoretical </w:t>
      </w:r>
      <w:r w:rsidR="001B2B84" w:rsidRPr="00B64C8D">
        <w:rPr>
          <w:rFonts w:ascii="Times New Roman" w:eastAsia="Times New Roman" w:hAnsi="Times New Roman" w:cs="Times New Roman"/>
          <w:color w:val="0E101A"/>
          <w:kern w:val="0"/>
          <w:lang w:eastAsia="nl-NL"/>
          <w14:ligatures w14:val="none"/>
        </w:rPr>
        <w:t>framework</w:t>
      </w:r>
      <w:r w:rsidRPr="00B64C8D">
        <w:rPr>
          <w:rFonts w:ascii="Times New Roman" w:eastAsia="Times New Roman" w:hAnsi="Times New Roman" w:cs="Times New Roman"/>
          <w:color w:val="0E101A"/>
          <w:kern w:val="0"/>
          <w:lang w:eastAsia="nl-NL"/>
          <w14:ligatures w14:val="none"/>
        </w:rPr>
        <w:t xml:space="preserve"> that allows researchers to look at formally independent </w:t>
      </w:r>
      <w:r w:rsidR="001035D7" w:rsidRPr="00B64C8D">
        <w:rPr>
          <w:rFonts w:ascii="Times New Roman" w:eastAsia="Times New Roman" w:hAnsi="Times New Roman" w:cs="Times New Roman"/>
          <w:color w:val="0E101A"/>
          <w:kern w:val="0"/>
          <w:lang w:eastAsia="nl-NL"/>
          <w14:ligatures w14:val="none"/>
        </w:rPr>
        <w:t>but in</w:t>
      </w:r>
      <w:r w:rsidRPr="00B64C8D">
        <w:rPr>
          <w:rFonts w:ascii="Times New Roman" w:eastAsia="Times New Roman" w:hAnsi="Times New Roman" w:cs="Times New Roman"/>
          <w:color w:val="0E101A"/>
          <w:kern w:val="0"/>
          <w:lang w:eastAsia="nl-NL"/>
          <w14:ligatures w14:val="none"/>
        </w:rPr>
        <w:t xml:space="preserve"> </w:t>
      </w:r>
      <w:r w:rsidR="005875CB">
        <w:rPr>
          <w:rFonts w:ascii="Times New Roman" w:eastAsia="Times New Roman" w:hAnsi="Times New Roman" w:cs="Times New Roman"/>
          <w:color w:val="0E101A"/>
          <w:kern w:val="0"/>
          <w:lang w:eastAsia="nl-NL"/>
          <w14:ligatures w14:val="none"/>
        </w:rPr>
        <w:t>practice</w:t>
      </w:r>
      <w:r w:rsidR="001B2B84" w:rsidRPr="00B64C8D">
        <w:rPr>
          <w:rFonts w:ascii="Times New Roman" w:eastAsia="Times New Roman" w:hAnsi="Times New Roman" w:cs="Times New Roman"/>
          <w:color w:val="0E101A"/>
          <w:kern w:val="0"/>
          <w:lang w:eastAsia="nl-NL"/>
          <w14:ligatures w14:val="none"/>
        </w:rPr>
        <w:t>,</w:t>
      </w:r>
      <w:r w:rsidRPr="00B64C8D">
        <w:rPr>
          <w:rFonts w:ascii="Times New Roman" w:eastAsia="Times New Roman" w:hAnsi="Times New Roman" w:cs="Times New Roman"/>
          <w:color w:val="0E101A"/>
          <w:kern w:val="0"/>
          <w:lang w:eastAsia="nl-NL"/>
          <w14:ligatures w14:val="none"/>
        </w:rPr>
        <w:t xml:space="preserve"> interdependent actors that </w:t>
      </w:r>
      <w:r w:rsidR="00C75704" w:rsidRPr="00B64C8D">
        <w:rPr>
          <w:rFonts w:ascii="Times New Roman" w:eastAsia="Times New Roman" w:hAnsi="Times New Roman" w:cs="Times New Roman"/>
          <w:color w:val="0E101A"/>
          <w:kern w:val="0"/>
          <w:lang w:eastAsia="nl-NL"/>
          <w14:ligatures w14:val="none"/>
        </w:rPr>
        <w:t>through</w:t>
      </w:r>
      <w:r w:rsidRPr="00B64C8D">
        <w:rPr>
          <w:rFonts w:ascii="Times New Roman" w:eastAsia="Times New Roman" w:hAnsi="Times New Roman" w:cs="Times New Roman"/>
          <w:color w:val="0E101A"/>
          <w:kern w:val="0"/>
          <w:lang w:eastAsia="nl-NL"/>
          <w14:ligatures w14:val="none"/>
        </w:rPr>
        <w:t xml:space="preserve"> a process of negotiation and </w:t>
      </w:r>
      <w:r w:rsidR="001035D7" w:rsidRPr="00B64C8D">
        <w:rPr>
          <w:rFonts w:ascii="Times New Roman" w:eastAsia="Times New Roman" w:hAnsi="Times New Roman" w:cs="Times New Roman"/>
          <w:color w:val="0E101A"/>
          <w:kern w:val="0"/>
          <w:lang w:eastAsia="nl-NL"/>
          <w14:ligatures w14:val="none"/>
        </w:rPr>
        <w:t>tradeoffs</w:t>
      </w:r>
      <w:r w:rsidRPr="00B64C8D">
        <w:rPr>
          <w:rFonts w:ascii="Times New Roman" w:eastAsia="Times New Roman" w:hAnsi="Times New Roman" w:cs="Times New Roman"/>
          <w:color w:val="0E101A"/>
          <w:kern w:val="0"/>
          <w:lang w:eastAsia="nl-NL"/>
          <w14:ligatures w14:val="none"/>
        </w:rPr>
        <w:t xml:space="preserve"> come to create and enforce policies (Sabel &amp; Zeitlin, 2007). There are generally two different types of levels understood in </w:t>
      </w:r>
      <w:r w:rsidR="001035D7" w:rsidRPr="00B64C8D">
        <w:rPr>
          <w:rFonts w:ascii="Times New Roman" w:eastAsia="Times New Roman" w:hAnsi="Times New Roman" w:cs="Times New Roman"/>
          <w:color w:val="0E101A"/>
          <w:kern w:val="0"/>
          <w:lang w:eastAsia="nl-NL"/>
          <w14:ligatures w14:val="none"/>
        </w:rPr>
        <w:t>Multi-Level</w:t>
      </w:r>
      <w:r w:rsidRPr="00B64C8D">
        <w:rPr>
          <w:rFonts w:ascii="Times New Roman" w:eastAsia="Times New Roman" w:hAnsi="Times New Roman" w:cs="Times New Roman"/>
          <w:color w:val="0E101A"/>
          <w:kern w:val="0"/>
          <w:lang w:eastAsia="nl-NL"/>
          <w14:ligatures w14:val="none"/>
        </w:rPr>
        <w:t xml:space="preserve"> </w:t>
      </w:r>
      <w:r w:rsidR="00FE0A53" w:rsidRPr="00B64C8D">
        <w:rPr>
          <w:rFonts w:ascii="Times New Roman" w:eastAsia="Times New Roman" w:hAnsi="Times New Roman" w:cs="Times New Roman"/>
          <w:color w:val="0E101A"/>
          <w:kern w:val="0"/>
          <w:lang w:eastAsia="nl-NL"/>
          <w14:ligatures w14:val="none"/>
        </w:rPr>
        <w:t>G</w:t>
      </w:r>
      <w:r w:rsidRPr="00B64C8D">
        <w:rPr>
          <w:rFonts w:ascii="Times New Roman" w:eastAsia="Times New Roman" w:hAnsi="Times New Roman" w:cs="Times New Roman"/>
          <w:color w:val="0E101A"/>
          <w:kern w:val="0"/>
          <w:lang w:eastAsia="nl-NL"/>
          <w14:ligatures w14:val="none"/>
        </w:rPr>
        <w:t xml:space="preserve">overnance. The first one is territorial levels, these are the subnational, </w:t>
      </w:r>
      <w:r w:rsidR="001B2B84" w:rsidRPr="00B64C8D">
        <w:rPr>
          <w:rFonts w:ascii="Times New Roman" w:eastAsia="Times New Roman" w:hAnsi="Times New Roman" w:cs="Times New Roman"/>
          <w:color w:val="0E101A"/>
          <w:kern w:val="0"/>
          <w:lang w:eastAsia="nl-NL"/>
          <w14:ligatures w14:val="none"/>
        </w:rPr>
        <w:t>national,</w:t>
      </w:r>
      <w:r w:rsidRPr="00B64C8D">
        <w:rPr>
          <w:rFonts w:ascii="Times New Roman" w:eastAsia="Times New Roman" w:hAnsi="Times New Roman" w:cs="Times New Roman"/>
          <w:color w:val="0E101A"/>
          <w:kern w:val="0"/>
          <w:lang w:eastAsia="nl-NL"/>
          <w14:ligatures w14:val="none"/>
        </w:rPr>
        <w:t xml:space="preserve"> and supranational levels. Each level has some level of authority over this geographical area and the people in it. </w:t>
      </w:r>
    </w:p>
    <w:p w14:paraId="5D1DAEF7" w14:textId="38A7A7B7" w:rsidR="00703A89" w:rsidRPr="00B64C8D" w:rsidRDefault="00703A89"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 xml:space="preserve">In the early days of the </w:t>
      </w:r>
      <w:r w:rsidR="001035D7" w:rsidRPr="00B64C8D">
        <w:rPr>
          <w:rFonts w:ascii="Times New Roman" w:eastAsia="Times New Roman" w:hAnsi="Times New Roman" w:cs="Times New Roman"/>
          <w:color w:val="0E101A"/>
          <w:kern w:val="0"/>
          <w:lang w:eastAsia="nl-NL"/>
          <w14:ligatures w14:val="none"/>
        </w:rPr>
        <w:t>theory,</w:t>
      </w:r>
      <w:r w:rsidRPr="00B64C8D">
        <w:rPr>
          <w:rFonts w:ascii="Times New Roman" w:eastAsia="Times New Roman" w:hAnsi="Times New Roman" w:cs="Times New Roman"/>
          <w:color w:val="0E101A"/>
          <w:kern w:val="0"/>
          <w:lang w:eastAsia="nl-NL"/>
          <w14:ligatures w14:val="none"/>
        </w:rPr>
        <w:t xml:space="preserve"> it mainly accounted for coordinated action between these different levels of governance, so governance that was based on reciprocity. It was not until later that MLG also </w:t>
      </w:r>
      <w:r w:rsidR="003B1A6D" w:rsidRPr="00B64C8D">
        <w:rPr>
          <w:rFonts w:ascii="Times New Roman" w:eastAsia="Times New Roman" w:hAnsi="Times New Roman" w:cs="Times New Roman"/>
          <w:color w:val="0E101A"/>
          <w:kern w:val="0"/>
          <w:lang w:eastAsia="nl-NL"/>
          <w14:ligatures w14:val="none"/>
        </w:rPr>
        <w:t>considered</w:t>
      </w:r>
      <w:r w:rsidRPr="00B64C8D">
        <w:rPr>
          <w:rFonts w:ascii="Times New Roman" w:eastAsia="Times New Roman" w:hAnsi="Times New Roman" w:cs="Times New Roman"/>
          <w:color w:val="0E101A"/>
          <w:kern w:val="0"/>
          <w:lang w:eastAsia="nl-NL"/>
          <w14:ligatures w14:val="none"/>
        </w:rPr>
        <w:t xml:space="preserve"> the more unintended outcomes of its policy (Stephenson, 2013). These unintended outcomes often come from the fact that the different levels are not completely aware of what the other actors are doing. Next to that do the different levels often share so much in the responsibility on different policy areas that it becomes opaque which actors is responsible for which outcomes. </w:t>
      </w:r>
      <w:r w:rsidR="001035D7" w:rsidRPr="00B64C8D">
        <w:rPr>
          <w:rFonts w:ascii="Times New Roman" w:eastAsia="Times New Roman" w:hAnsi="Times New Roman" w:cs="Times New Roman"/>
          <w:color w:val="0E101A"/>
          <w:kern w:val="0"/>
          <w:lang w:eastAsia="nl-NL"/>
          <w14:ligatures w14:val="none"/>
        </w:rPr>
        <w:t>So,</w:t>
      </w:r>
      <w:r w:rsidRPr="00B64C8D">
        <w:rPr>
          <w:rFonts w:ascii="Times New Roman" w:eastAsia="Times New Roman" w:hAnsi="Times New Roman" w:cs="Times New Roman"/>
          <w:color w:val="0E101A"/>
          <w:kern w:val="0"/>
          <w:lang w:eastAsia="nl-NL"/>
          <w14:ligatures w14:val="none"/>
        </w:rPr>
        <w:t xml:space="preserve"> the </w:t>
      </w:r>
      <w:r w:rsidRPr="00B64C8D">
        <w:rPr>
          <w:rFonts w:ascii="Times New Roman" w:eastAsia="Times New Roman" w:hAnsi="Times New Roman" w:cs="Times New Roman"/>
          <w:color w:val="0E101A"/>
          <w:kern w:val="0"/>
          <w:lang w:eastAsia="nl-NL"/>
          <w14:ligatures w14:val="none"/>
        </w:rPr>
        <w:lastRenderedPageBreak/>
        <w:t xml:space="preserve">structures that are researched with a MLG framework often have an accountability deficit (Stephenson, 2013). </w:t>
      </w:r>
    </w:p>
    <w:p w14:paraId="56CE10DF" w14:textId="6B45356D" w:rsidR="00703A89" w:rsidRPr="00B64C8D" w:rsidRDefault="00703A89"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 xml:space="preserve">Since 1993 MLG was the only theory that could effectively be used while analyzing EU cohesion policy until Blom-Hansen (2005) translated the </w:t>
      </w:r>
      <w:r w:rsidR="001035D7" w:rsidRPr="00B64C8D">
        <w:rPr>
          <w:rFonts w:ascii="Times New Roman" w:eastAsia="Times New Roman" w:hAnsi="Times New Roman" w:cs="Times New Roman"/>
          <w:color w:val="0E101A"/>
          <w:kern w:val="0"/>
          <w:lang w:eastAsia="nl-NL"/>
          <w14:ligatures w14:val="none"/>
        </w:rPr>
        <w:t>principal</w:t>
      </w:r>
      <w:r w:rsidRPr="00B64C8D">
        <w:rPr>
          <w:rFonts w:ascii="Times New Roman" w:eastAsia="Times New Roman" w:hAnsi="Times New Roman" w:cs="Times New Roman"/>
          <w:color w:val="0E101A"/>
          <w:kern w:val="0"/>
          <w:lang w:eastAsia="nl-NL"/>
          <w14:ligatures w14:val="none"/>
        </w:rPr>
        <w:t xml:space="preserve">-Agent theory that originated in Rational Choice institutionalism to the field of EU studies. Blom-Hansen argued that MLG lacks in showing causality (Blom-Hansen, 2005). While Principal-Agent (PA) theory could show the causally important actors (Stephenson, 2013). The PA-theory however has some weaknesses that MLG does not have. Mainly when it comes to the interactions all the different levels have on each other. Principal-Agent theory looks at authority that is delegated from one (or at most a few) actors to an agent (Blom-Hansen, 2005). It does not </w:t>
      </w:r>
      <w:r w:rsidR="001B2B84" w:rsidRPr="00B64C8D">
        <w:rPr>
          <w:rFonts w:ascii="Times New Roman" w:eastAsia="Times New Roman" w:hAnsi="Times New Roman" w:cs="Times New Roman"/>
          <w:color w:val="0E101A"/>
          <w:kern w:val="0"/>
          <w:lang w:eastAsia="nl-NL"/>
          <w14:ligatures w14:val="none"/>
        </w:rPr>
        <w:t>consider</w:t>
      </w:r>
      <w:r w:rsidRPr="00B64C8D">
        <w:rPr>
          <w:rFonts w:ascii="Times New Roman" w:eastAsia="Times New Roman" w:hAnsi="Times New Roman" w:cs="Times New Roman"/>
          <w:color w:val="0E101A"/>
          <w:kern w:val="0"/>
          <w:lang w:eastAsia="nl-NL"/>
          <w14:ligatures w14:val="none"/>
        </w:rPr>
        <w:t xml:space="preserve"> the interactions the different principals have on each other and how this shapes eventual policy. Especially in a complex context is where many different levels of bureaucratic institutions work together in the same policy field or geographical location MLG gives an edge in describing and accounting for the complexities of reality. </w:t>
      </w:r>
    </w:p>
    <w:p w14:paraId="5BEA0CC6" w14:textId="5D575B7B" w:rsidR="00FE0D71" w:rsidRPr="00B64C8D" w:rsidRDefault="000D1737"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Within MLG theory there are generally understood to be two different schools</w:t>
      </w:r>
      <w:r w:rsidR="00703A89" w:rsidRPr="00B64C8D">
        <w:rPr>
          <w:rFonts w:ascii="Times New Roman" w:eastAsia="Times New Roman" w:hAnsi="Times New Roman" w:cs="Times New Roman"/>
          <w:color w:val="0E101A"/>
          <w:kern w:val="0"/>
          <w:lang w:eastAsia="nl-NL"/>
          <w14:ligatures w14:val="none"/>
        </w:rPr>
        <w:t xml:space="preserve"> (Hooghe &amp; Marks, 2010), these </w:t>
      </w:r>
      <w:r w:rsidRPr="00B64C8D">
        <w:rPr>
          <w:rFonts w:ascii="Times New Roman" w:eastAsia="Times New Roman" w:hAnsi="Times New Roman" w:cs="Times New Roman"/>
          <w:color w:val="0E101A"/>
          <w:kern w:val="0"/>
          <w:lang w:eastAsia="nl-NL"/>
          <w14:ligatures w14:val="none"/>
        </w:rPr>
        <w:t>schools</w:t>
      </w:r>
      <w:r w:rsidR="00703A89" w:rsidRPr="00B64C8D">
        <w:rPr>
          <w:rFonts w:ascii="Times New Roman" w:eastAsia="Times New Roman" w:hAnsi="Times New Roman" w:cs="Times New Roman"/>
          <w:color w:val="0E101A"/>
          <w:kern w:val="0"/>
          <w:lang w:eastAsia="nl-NL"/>
          <w14:ligatures w14:val="none"/>
        </w:rPr>
        <w:t xml:space="preserve"> are specially fitted for two different general purposes (Enderlein et al., 2010). Type I looks at a distribution of authority over a limited number of actors at a limited number of levels; The system and distribution of power are relatively stable; Jurisdictions are not overlapping, meaning that every actor has a clear purpose, </w:t>
      </w:r>
      <w:r w:rsidR="001B2B84" w:rsidRPr="00B64C8D">
        <w:rPr>
          <w:rFonts w:ascii="Times New Roman" w:eastAsia="Times New Roman" w:hAnsi="Times New Roman" w:cs="Times New Roman"/>
          <w:color w:val="0E101A"/>
          <w:kern w:val="0"/>
          <w:lang w:eastAsia="nl-NL"/>
          <w14:ligatures w14:val="none"/>
        </w:rPr>
        <w:t>authority,</w:t>
      </w:r>
      <w:r w:rsidR="00703A89" w:rsidRPr="00B64C8D">
        <w:rPr>
          <w:rFonts w:ascii="Times New Roman" w:eastAsia="Times New Roman" w:hAnsi="Times New Roman" w:cs="Times New Roman"/>
          <w:color w:val="0E101A"/>
          <w:kern w:val="0"/>
          <w:lang w:eastAsia="nl-NL"/>
          <w14:ligatures w14:val="none"/>
        </w:rPr>
        <w:t xml:space="preserve"> and geographical area where it is allowed to act. Within type I MLG the division of power and tasks is following a more structured system wide architecture. In </w:t>
      </w:r>
      <w:r w:rsidR="001035D7" w:rsidRPr="00B64C8D">
        <w:rPr>
          <w:rFonts w:ascii="Times New Roman" w:eastAsia="Times New Roman" w:hAnsi="Times New Roman" w:cs="Times New Roman"/>
          <w:color w:val="0E101A"/>
          <w:kern w:val="0"/>
          <w:lang w:eastAsia="nl-NL"/>
          <w14:ligatures w14:val="none"/>
        </w:rPr>
        <w:t>general,</w:t>
      </w:r>
      <w:r w:rsidR="00703A89" w:rsidRPr="00B64C8D">
        <w:rPr>
          <w:rFonts w:ascii="Times New Roman" w:eastAsia="Times New Roman" w:hAnsi="Times New Roman" w:cs="Times New Roman"/>
          <w:color w:val="0E101A"/>
          <w:kern w:val="0"/>
          <w:lang w:eastAsia="nl-NL"/>
          <w14:ligatures w14:val="none"/>
        </w:rPr>
        <w:t xml:space="preserve"> the structures that are classified as Type I MLG are the ones that have a clear top to bottom hierarchy (Hooghe &amp; Marks, 2003). The actors that could be better understood by using Type I MLG are </w:t>
      </w:r>
      <w:r w:rsidR="00F97BAD" w:rsidRPr="00B64C8D">
        <w:rPr>
          <w:rFonts w:ascii="Times New Roman" w:eastAsia="Times New Roman" w:hAnsi="Times New Roman" w:cs="Times New Roman"/>
          <w:color w:val="0E101A"/>
          <w:kern w:val="0"/>
          <w:lang w:eastAsia="nl-NL"/>
          <w14:ligatures w14:val="none"/>
        </w:rPr>
        <w:t xml:space="preserve">federalist systems </w:t>
      </w:r>
      <w:r w:rsidR="003F7DC3" w:rsidRPr="00B64C8D">
        <w:rPr>
          <w:rFonts w:ascii="Times New Roman" w:eastAsia="Times New Roman" w:hAnsi="Times New Roman" w:cs="Times New Roman"/>
          <w:color w:val="0E101A"/>
          <w:kern w:val="0"/>
          <w:lang w:eastAsia="nl-NL"/>
          <w14:ligatures w14:val="none"/>
        </w:rPr>
        <w:t>such as</w:t>
      </w:r>
      <w:r w:rsidR="00F97BAD" w:rsidRPr="00B64C8D">
        <w:rPr>
          <w:rFonts w:ascii="Times New Roman" w:eastAsia="Times New Roman" w:hAnsi="Times New Roman" w:cs="Times New Roman"/>
          <w:color w:val="0E101A"/>
          <w:kern w:val="0"/>
          <w:lang w:eastAsia="nl-NL"/>
          <w14:ligatures w14:val="none"/>
        </w:rPr>
        <w:t xml:space="preserve"> the one that is in use in the United States (Hooghe &amp; Marks, 2010)</w:t>
      </w:r>
      <w:r w:rsidR="00703A89" w:rsidRPr="00B64C8D">
        <w:rPr>
          <w:rFonts w:ascii="Times New Roman" w:eastAsia="Times New Roman" w:hAnsi="Times New Roman" w:cs="Times New Roman"/>
          <w:color w:val="0E101A"/>
          <w:kern w:val="0"/>
          <w:lang w:eastAsia="nl-NL"/>
          <w14:ligatures w14:val="none"/>
        </w:rPr>
        <w:t xml:space="preserve">. </w:t>
      </w:r>
      <w:r w:rsidR="00F97BAD" w:rsidRPr="00B64C8D">
        <w:rPr>
          <w:rFonts w:ascii="Times New Roman" w:eastAsia="Times New Roman" w:hAnsi="Times New Roman" w:cs="Times New Roman"/>
          <w:color w:val="0E101A"/>
          <w:kern w:val="0"/>
          <w:lang w:eastAsia="nl-NL"/>
          <w14:ligatures w14:val="none"/>
        </w:rPr>
        <w:t xml:space="preserve">Within this system there is a clear hierarchy in mandate. There is a demarcation in what level </w:t>
      </w:r>
      <w:r w:rsidR="001B2B84" w:rsidRPr="00B64C8D">
        <w:rPr>
          <w:rFonts w:ascii="Times New Roman" w:eastAsia="Times New Roman" w:hAnsi="Times New Roman" w:cs="Times New Roman"/>
          <w:color w:val="0E101A"/>
          <w:kern w:val="0"/>
          <w:lang w:eastAsia="nl-NL"/>
          <w14:ligatures w14:val="none"/>
        </w:rPr>
        <w:t>oversees</w:t>
      </w:r>
      <w:r w:rsidR="00F97BAD" w:rsidRPr="00B64C8D">
        <w:rPr>
          <w:rFonts w:ascii="Times New Roman" w:eastAsia="Times New Roman" w:hAnsi="Times New Roman" w:cs="Times New Roman"/>
          <w:color w:val="0E101A"/>
          <w:kern w:val="0"/>
          <w:lang w:eastAsia="nl-NL"/>
          <w14:ligatures w14:val="none"/>
        </w:rPr>
        <w:t xml:space="preserve"> what. Meaning </w:t>
      </w:r>
      <w:r w:rsidR="00FE0D71" w:rsidRPr="00B64C8D">
        <w:rPr>
          <w:rFonts w:ascii="Times New Roman" w:eastAsia="Times New Roman" w:hAnsi="Times New Roman" w:cs="Times New Roman"/>
          <w:color w:val="0E101A"/>
          <w:kern w:val="0"/>
          <w:lang w:eastAsia="nl-NL"/>
          <w14:ligatures w14:val="none"/>
        </w:rPr>
        <w:t xml:space="preserve">that there is a relatively stable system in place in which actors on a limited </w:t>
      </w:r>
      <w:r w:rsidR="001035D7" w:rsidRPr="00B64C8D">
        <w:rPr>
          <w:rFonts w:ascii="Times New Roman" w:eastAsia="Times New Roman" w:hAnsi="Times New Roman" w:cs="Times New Roman"/>
          <w:color w:val="0E101A"/>
          <w:kern w:val="0"/>
          <w:lang w:eastAsia="nl-NL"/>
          <w14:ligatures w14:val="none"/>
        </w:rPr>
        <w:t>number</w:t>
      </w:r>
      <w:r w:rsidR="00FE0D71" w:rsidRPr="00B64C8D">
        <w:rPr>
          <w:rFonts w:ascii="Times New Roman" w:eastAsia="Times New Roman" w:hAnsi="Times New Roman" w:cs="Times New Roman"/>
          <w:color w:val="0E101A"/>
          <w:kern w:val="0"/>
          <w:lang w:eastAsia="nl-NL"/>
          <w14:ligatures w14:val="none"/>
        </w:rPr>
        <w:t xml:space="preserve"> of levels have a clear description of tasks and authority.</w:t>
      </w:r>
      <w:r w:rsidR="00703A89" w:rsidRPr="00B64C8D">
        <w:rPr>
          <w:rFonts w:ascii="Times New Roman" w:eastAsia="Times New Roman" w:hAnsi="Times New Roman" w:cs="Times New Roman"/>
          <w:color w:val="0E101A"/>
          <w:kern w:val="0"/>
          <w:lang w:eastAsia="nl-NL"/>
          <w14:ligatures w14:val="none"/>
        </w:rPr>
        <w:t xml:space="preserve"> </w:t>
      </w:r>
    </w:p>
    <w:p w14:paraId="209DA7B9" w14:textId="07906717" w:rsidR="00FE0D71" w:rsidRPr="00B64C8D" w:rsidRDefault="00FE0D71"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 xml:space="preserve">This is what we see in federal systems in which a central government delegates authority to subnational levels, </w:t>
      </w:r>
      <w:r w:rsidR="003F7DC3" w:rsidRPr="00B64C8D">
        <w:rPr>
          <w:rFonts w:ascii="Times New Roman" w:eastAsia="Times New Roman" w:hAnsi="Times New Roman" w:cs="Times New Roman"/>
          <w:color w:val="0E101A"/>
          <w:kern w:val="0"/>
          <w:lang w:eastAsia="nl-NL"/>
          <w14:ligatures w14:val="none"/>
        </w:rPr>
        <w:t>for instance</w:t>
      </w:r>
      <w:r w:rsidRPr="00B64C8D">
        <w:rPr>
          <w:rFonts w:ascii="Times New Roman" w:eastAsia="Times New Roman" w:hAnsi="Times New Roman" w:cs="Times New Roman"/>
          <w:color w:val="0E101A"/>
          <w:kern w:val="0"/>
          <w:lang w:eastAsia="nl-NL"/>
          <w14:ligatures w14:val="none"/>
        </w:rPr>
        <w:t xml:space="preserve"> the states in the USA. These states have a clearly demarcated area they control and clearly designated policy areas and authority. </w:t>
      </w:r>
    </w:p>
    <w:p w14:paraId="2DAD8527" w14:textId="4C793A91" w:rsidR="00703A89" w:rsidRPr="00B64C8D" w:rsidRDefault="00703A89"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 xml:space="preserve">Type II is the one that will be used in this research and is more suitable for </w:t>
      </w:r>
      <w:r w:rsidR="0073640B" w:rsidRPr="00B64C8D">
        <w:rPr>
          <w:rFonts w:ascii="Times New Roman" w:eastAsia="Times New Roman" w:hAnsi="Times New Roman" w:cs="Times New Roman"/>
          <w:color w:val="0E101A"/>
          <w:kern w:val="0"/>
          <w:lang w:eastAsia="nl-NL"/>
          <w14:ligatures w14:val="none"/>
        </w:rPr>
        <w:t xml:space="preserve">the context of the European Agencies. </w:t>
      </w:r>
      <w:r w:rsidRPr="00B64C8D">
        <w:rPr>
          <w:rFonts w:ascii="Times New Roman" w:eastAsia="Times New Roman" w:hAnsi="Times New Roman" w:cs="Times New Roman"/>
          <w:color w:val="0E101A"/>
          <w:kern w:val="0"/>
          <w:lang w:eastAsia="nl-NL"/>
          <w14:ligatures w14:val="none"/>
        </w:rPr>
        <w:t xml:space="preserve">It focuses more on a diffuse distribution of power. The distribution of power is more flexible and less stable, and jurisdiction is less clearly defined (Bache et al., 2016). Because there is no clear hierarchy, and more room for multiple actors that operate horizontal from each other in these networks. The actors active in this field are not </w:t>
      </w:r>
      <w:r w:rsidR="005C5842" w:rsidRPr="00B64C8D">
        <w:rPr>
          <w:rFonts w:ascii="Times New Roman" w:eastAsia="Times New Roman" w:hAnsi="Times New Roman" w:cs="Times New Roman"/>
          <w:color w:val="0E101A"/>
          <w:kern w:val="0"/>
          <w:lang w:eastAsia="nl-NL"/>
          <w14:ligatures w14:val="none"/>
        </w:rPr>
        <w:t>necessarily</w:t>
      </w:r>
      <w:r w:rsidRPr="00B64C8D">
        <w:rPr>
          <w:rFonts w:ascii="Times New Roman" w:eastAsia="Times New Roman" w:hAnsi="Times New Roman" w:cs="Times New Roman"/>
          <w:color w:val="0E101A"/>
          <w:kern w:val="0"/>
          <w:lang w:eastAsia="nl-NL"/>
          <w14:ligatures w14:val="none"/>
        </w:rPr>
        <w:t xml:space="preserve"> public actors, it is possible that it is also influenced by private parties that are motivated by profit (Ostrom, 2010). MLG scholars also refer to Type II MLG as polycentric or multi-tiered governance (Hooghe &amp; Marks, 2010; Hooghe &amp; Marks, 2003, Ostrom, 2010). This is to show the fact that jurisdiction is not formally fixed and there is no central node. Type II MLG has more focus on </w:t>
      </w:r>
      <w:r w:rsidR="005875CB">
        <w:rPr>
          <w:rFonts w:ascii="Times New Roman" w:eastAsia="Times New Roman" w:hAnsi="Times New Roman" w:cs="Times New Roman"/>
          <w:color w:val="0E101A"/>
          <w:kern w:val="0"/>
          <w:lang w:eastAsia="nl-NL"/>
          <w14:ligatures w14:val="none"/>
        </w:rPr>
        <w:t>ad hoc</w:t>
      </w:r>
      <w:r w:rsidRPr="00B64C8D">
        <w:rPr>
          <w:rFonts w:ascii="Times New Roman" w:eastAsia="Times New Roman" w:hAnsi="Times New Roman" w:cs="Times New Roman"/>
          <w:i/>
          <w:iCs/>
          <w:color w:val="0E101A"/>
          <w:kern w:val="0"/>
          <w:lang w:eastAsia="nl-NL"/>
          <w14:ligatures w14:val="none"/>
        </w:rPr>
        <w:t> </w:t>
      </w:r>
      <w:r w:rsidRPr="00B64C8D">
        <w:rPr>
          <w:rFonts w:ascii="Times New Roman" w:eastAsia="Times New Roman" w:hAnsi="Times New Roman" w:cs="Times New Roman"/>
          <w:color w:val="0E101A"/>
          <w:kern w:val="0"/>
          <w:lang w:eastAsia="nl-NL"/>
          <w14:ligatures w14:val="none"/>
        </w:rPr>
        <w:t xml:space="preserve">problem-solving jurisdictions that can overlap </w:t>
      </w:r>
      <w:r w:rsidRPr="00B64C8D">
        <w:rPr>
          <w:rFonts w:ascii="Times New Roman" w:eastAsia="Times New Roman" w:hAnsi="Times New Roman" w:cs="Times New Roman"/>
          <w:color w:val="0E101A"/>
          <w:kern w:val="0"/>
          <w:lang w:eastAsia="nl-NL"/>
          <w14:ligatures w14:val="none"/>
        </w:rPr>
        <w:lastRenderedPageBreak/>
        <w:t>and are often flexible (Hooghe, Marks &amp; Marks, 2001), the different actors are in an interdependent relation from each other but formally they remain independent (Ostrom, 2010). This means that jurisdiction is given on the bases of the goodness of fit, so not all the actors need to operate in the same policy field all the time</w:t>
      </w:r>
      <w:r w:rsidR="00B96CB4" w:rsidRPr="00B64C8D" w:rsidDel="00B96CB4">
        <w:rPr>
          <w:rFonts w:ascii="Times New Roman" w:eastAsia="Times New Roman" w:hAnsi="Times New Roman" w:cs="Times New Roman"/>
          <w:color w:val="0E101A"/>
          <w:kern w:val="0"/>
          <w:lang w:eastAsia="nl-NL"/>
          <w14:ligatures w14:val="none"/>
        </w:rPr>
        <w:t xml:space="preserve"> </w:t>
      </w:r>
      <w:r w:rsidRPr="00B64C8D">
        <w:rPr>
          <w:rFonts w:ascii="Times New Roman" w:eastAsia="Times New Roman" w:hAnsi="Times New Roman" w:cs="Times New Roman"/>
          <w:color w:val="0E101A"/>
          <w:kern w:val="0"/>
          <w:lang w:eastAsia="nl-NL"/>
          <w14:ligatures w14:val="none"/>
        </w:rPr>
        <w:t>Enderlein, Walti &amp; Zurn, 2010). This results in a form of </w:t>
      </w:r>
      <w:r w:rsidRPr="00B64C8D">
        <w:rPr>
          <w:rFonts w:ascii="Times New Roman" w:eastAsia="Times New Roman" w:hAnsi="Times New Roman" w:cs="Times New Roman"/>
          <w:i/>
          <w:iCs/>
          <w:color w:val="0E101A"/>
          <w:kern w:val="0"/>
          <w:lang w:eastAsia="nl-NL"/>
          <w14:ligatures w14:val="none"/>
        </w:rPr>
        <w:t>Market of Governance </w:t>
      </w:r>
      <w:r w:rsidRPr="00B64C8D">
        <w:rPr>
          <w:rFonts w:ascii="Times New Roman" w:eastAsia="Times New Roman" w:hAnsi="Times New Roman" w:cs="Times New Roman"/>
          <w:color w:val="0E101A"/>
          <w:kern w:val="0"/>
          <w:lang w:eastAsia="nl-NL"/>
          <w14:ligatures w14:val="none"/>
        </w:rPr>
        <w:t xml:space="preserve">where different actors </w:t>
      </w:r>
      <w:r w:rsidR="003B1A6D" w:rsidRPr="00B64C8D">
        <w:rPr>
          <w:rFonts w:ascii="Times New Roman" w:eastAsia="Times New Roman" w:hAnsi="Times New Roman" w:cs="Times New Roman"/>
          <w:color w:val="0E101A"/>
          <w:kern w:val="0"/>
          <w:lang w:eastAsia="nl-NL"/>
          <w14:ligatures w14:val="none"/>
        </w:rPr>
        <w:t>compete</w:t>
      </w:r>
      <w:r w:rsidR="00790AC7">
        <w:rPr>
          <w:rFonts w:ascii="Times New Roman" w:eastAsia="Times New Roman" w:hAnsi="Times New Roman" w:cs="Times New Roman"/>
          <w:color w:val="0E101A"/>
          <w:kern w:val="0"/>
          <w:lang w:eastAsia="nl-NL"/>
          <w14:ligatures w14:val="none"/>
        </w:rPr>
        <w:t>. The</w:t>
      </w:r>
      <w:r w:rsidRPr="00B64C8D">
        <w:rPr>
          <w:rFonts w:ascii="Times New Roman" w:eastAsia="Times New Roman" w:hAnsi="Times New Roman" w:cs="Times New Roman"/>
          <w:color w:val="0E101A"/>
          <w:kern w:val="0"/>
          <w:lang w:eastAsia="nl-NL"/>
          <w14:ligatures w14:val="none"/>
        </w:rPr>
        <w:t xml:space="preserve"> different actors are </w:t>
      </w:r>
      <w:r w:rsidR="00CE664B" w:rsidRPr="00B64C8D">
        <w:rPr>
          <w:rFonts w:ascii="Times New Roman" w:eastAsia="Times New Roman" w:hAnsi="Times New Roman" w:cs="Times New Roman"/>
          <w:color w:val="0E101A"/>
          <w:kern w:val="0"/>
          <w:lang w:eastAsia="nl-NL"/>
          <w14:ligatures w14:val="none"/>
        </w:rPr>
        <w:t>each</w:t>
      </w:r>
      <w:r w:rsidRPr="00B64C8D">
        <w:rPr>
          <w:rFonts w:ascii="Times New Roman" w:eastAsia="Times New Roman" w:hAnsi="Times New Roman" w:cs="Times New Roman"/>
          <w:color w:val="0E101A"/>
          <w:kern w:val="0"/>
          <w:lang w:eastAsia="nl-NL"/>
          <w14:ligatures w14:val="none"/>
        </w:rPr>
        <w:t xml:space="preserve"> able to perform the service in a specific way</w:t>
      </w:r>
      <w:r w:rsidR="00790AC7">
        <w:rPr>
          <w:rFonts w:ascii="Times New Roman" w:eastAsia="Times New Roman" w:hAnsi="Times New Roman" w:cs="Times New Roman"/>
          <w:color w:val="0E101A"/>
          <w:kern w:val="0"/>
          <w:lang w:eastAsia="nl-NL"/>
          <w14:ligatures w14:val="none"/>
        </w:rPr>
        <w:t>, r</w:t>
      </w:r>
      <w:r w:rsidRPr="00B64C8D">
        <w:rPr>
          <w:rFonts w:ascii="Times New Roman" w:eastAsia="Times New Roman" w:hAnsi="Times New Roman" w:cs="Times New Roman"/>
          <w:color w:val="0E101A"/>
          <w:kern w:val="0"/>
          <w:lang w:eastAsia="nl-NL"/>
          <w14:ligatures w14:val="none"/>
        </w:rPr>
        <w:t xml:space="preserve">esulting in a system where every actor in a policy field has its strengths and weaknesses. </w:t>
      </w:r>
      <w:r w:rsidR="001035D7" w:rsidRPr="00B64C8D">
        <w:rPr>
          <w:rFonts w:ascii="Times New Roman" w:eastAsia="Times New Roman" w:hAnsi="Times New Roman" w:cs="Times New Roman"/>
          <w:color w:val="0E101A"/>
          <w:kern w:val="0"/>
          <w:lang w:eastAsia="nl-NL"/>
          <w14:ligatures w14:val="none"/>
        </w:rPr>
        <w:t>So,</w:t>
      </w:r>
      <w:r w:rsidRPr="00B64C8D">
        <w:rPr>
          <w:rFonts w:ascii="Times New Roman" w:eastAsia="Times New Roman" w:hAnsi="Times New Roman" w:cs="Times New Roman"/>
          <w:color w:val="0E101A"/>
          <w:kern w:val="0"/>
          <w:lang w:eastAsia="nl-NL"/>
          <w14:ligatures w14:val="none"/>
        </w:rPr>
        <w:t xml:space="preserve"> there is no one powerful all-knowing state (Ostrom &amp; Walker, 1997)</w:t>
      </w:r>
      <w:r w:rsidR="00790AC7">
        <w:rPr>
          <w:rFonts w:ascii="Times New Roman" w:eastAsia="Times New Roman" w:hAnsi="Times New Roman" w:cs="Times New Roman"/>
          <w:color w:val="0E101A"/>
          <w:kern w:val="0"/>
          <w:lang w:eastAsia="nl-NL"/>
          <w14:ligatures w14:val="none"/>
        </w:rPr>
        <w:t xml:space="preserve"> like there is in type I</w:t>
      </w:r>
      <w:r w:rsidRPr="00B64C8D">
        <w:rPr>
          <w:rFonts w:ascii="Times New Roman" w:eastAsia="Times New Roman" w:hAnsi="Times New Roman" w:cs="Times New Roman"/>
          <w:color w:val="0E101A"/>
          <w:kern w:val="0"/>
          <w:lang w:eastAsia="nl-NL"/>
          <w14:ligatures w14:val="none"/>
        </w:rPr>
        <w:t xml:space="preserve">. However, this does not mean you can attach rational self-interested logic to these actors. For MLG to be used the actors active need to provide a common good. This is what differentiates MLG from a network or a Multi-tiered Governance structure (Enderlein et al., 2010). One of the places where Type II MLG comes into existence is during the process of shifting competencies from the national level to the supranational level. Especially when a new supranational body is erected without it completely being clear who can keep it accountable (Hooghe, Marks &amp; Marks, 2001). For </w:t>
      </w:r>
      <w:r w:rsidR="001035D7" w:rsidRPr="00B64C8D">
        <w:rPr>
          <w:rFonts w:ascii="Times New Roman" w:eastAsia="Times New Roman" w:hAnsi="Times New Roman" w:cs="Times New Roman"/>
          <w:color w:val="0E101A"/>
          <w:kern w:val="0"/>
          <w:lang w:eastAsia="nl-NL"/>
          <w14:ligatures w14:val="none"/>
        </w:rPr>
        <w:t>instance,</w:t>
      </w:r>
      <w:r w:rsidRPr="00B64C8D">
        <w:rPr>
          <w:rFonts w:ascii="Times New Roman" w:eastAsia="Times New Roman" w:hAnsi="Times New Roman" w:cs="Times New Roman"/>
          <w:color w:val="0E101A"/>
          <w:kern w:val="0"/>
          <w:lang w:eastAsia="nl-NL"/>
          <w14:ligatures w14:val="none"/>
        </w:rPr>
        <w:t xml:space="preserve"> when jurisdiction in monitoring is shared between an EU agency and a member state (Enderlein et al., 2010). The ability to make policy decisions is divided among many actors that have tasks specific authority (Ostrom &amp; Walker, 1997). </w:t>
      </w:r>
      <w:r w:rsidR="001035D7" w:rsidRPr="00B64C8D">
        <w:rPr>
          <w:rFonts w:ascii="Times New Roman" w:eastAsia="Times New Roman" w:hAnsi="Times New Roman" w:cs="Times New Roman"/>
          <w:color w:val="0E101A"/>
          <w:kern w:val="0"/>
          <w:lang w:eastAsia="nl-NL"/>
          <w14:ligatures w14:val="none"/>
        </w:rPr>
        <w:t>So,</w:t>
      </w:r>
      <w:r w:rsidRPr="00B64C8D">
        <w:rPr>
          <w:rFonts w:ascii="Times New Roman" w:eastAsia="Times New Roman" w:hAnsi="Times New Roman" w:cs="Times New Roman"/>
          <w:color w:val="0E101A"/>
          <w:kern w:val="0"/>
          <w:lang w:eastAsia="nl-NL"/>
          <w14:ligatures w14:val="none"/>
        </w:rPr>
        <w:t xml:space="preserve"> the actors active in the Type II field often get established to do a specific task, often when jurisdiction is just shifting from national levels to a more supranational level. This results in high institutional mortality for these actors. These numbers are 5 times lower for the Type I actors that have a more formal jurisdiction (Enderlein et al., 2010). </w:t>
      </w:r>
    </w:p>
    <w:p w14:paraId="6839D1D9" w14:textId="1653EF8C" w:rsidR="00703A89" w:rsidRDefault="00703A89"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 xml:space="preserve">Another difference between the actors active in Type I and II is the relationship they tend to have with private actors. The Type II model </w:t>
      </w:r>
      <w:r w:rsidR="001B2B84" w:rsidRPr="00B64C8D">
        <w:rPr>
          <w:rFonts w:ascii="Times New Roman" w:eastAsia="Times New Roman" w:hAnsi="Times New Roman" w:cs="Times New Roman"/>
          <w:color w:val="0E101A"/>
          <w:kern w:val="0"/>
          <w:lang w:eastAsia="nl-NL"/>
          <w14:ligatures w14:val="none"/>
        </w:rPr>
        <w:t>considers</w:t>
      </w:r>
      <w:r w:rsidRPr="00B64C8D">
        <w:rPr>
          <w:rFonts w:ascii="Times New Roman" w:eastAsia="Times New Roman" w:hAnsi="Times New Roman" w:cs="Times New Roman"/>
          <w:color w:val="0E101A"/>
          <w:kern w:val="0"/>
          <w:lang w:eastAsia="nl-NL"/>
          <w14:ligatures w14:val="none"/>
        </w:rPr>
        <w:t xml:space="preserve"> that the actors in the model can be influenced by</w:t>
      </w:r>
      <w:r w:rsidR="00777AEB" w:rsidRPr="00B64C8D">
        <w:rPr>
          <w:rFonts w:ascii="Times New Roman" w:eastAsia="Times New Roman" w:hAnsi="Times New Roman" w:cs="Times New Roman"/>
          <w:color w:val="0E101A"/>
          <w:kern w:val="0"/>
          <w:lang w:eastAsia="nl-NL"/>
          <w14:ligatures w14:val="none"/>
        </w:rPr>
        <w:t>,</w:t>
      </w:r>
      <w:r w:rsidRPr="00B64C8D">
        <w:rPr>
          <w:rFonts w:ascii="Times New Roman" w:eastAsia="Times New Roman" w:hAnsi="Times New Roman" w:cs="Times New Roman"/>
          <w:color w:val="0E101A"/>
          <w:kern w:val="0"/>
          <w:lang w:eastAsia="nl-NL"/>
          <w14:ligatures w14:val="none"/>
        </w:rPr>
        <w:t xml:space="preserve"> </w:t>
      </w:r>
      <w:r w:rsidR="00777AEB" w:rsidRPr="00B64C8D">
        <w:rPr>
          <w:rFonts w:ascii="Times New Roman" w:eastAsia="Times New Roman" w:hAnsi="Times New Roman" w:cs="Times New Roman"/>
          <w:color w:val="0E101A"/>
          <w:kern w:val="0"/>
          <w:lang w:eastAsia="nl-NL"/>
          <w14:ligatures w14:val="none"/>
        </w:rPr>
        <w:t xml:space="preserve">for instance, </w:t>
      </w:r>
      <w:r w:rsidRPr="00B64C8D">
        <w:rPr>
          <w:rFonts w:ascii="Times New Roman" w:eastAsia="Times New Roman" w:hAnsi="Times New Roman" w:cs="Times New Roman"/>
          <w:color w:val="0E101A"/>
          <w:kern w:val="0"/>
          <w:lang w:eastAsia="nl-NL"/>
          <w14:ligatures w14:val="none"/>
        </w:rPr>
        <w:t>interest groups (Hassel, 2010). </w:t>
      </w:r>
      <w:r w:rsidR="00540F78" w:rsidRPr="00B64C8D">
        <w:rPr>
          <w:rFonts w:ascii="Times New Roman" w:eastAsia="Times New Roman" w:hAnsi="Times New Roman" w:cs="Times New Roman"/>
          <w:color w:val="0E101A"/>
          <w:kern w:val="0"/>
          <w:lang w:eastAsia="nl-NL"/>
          <w14:ligatures w14:val="none"/>
        </w:rPr>
        <w:t xml:space="preserve"> </w:t>
      </w:r>
    </w:p>
    <w:p w14:paraId="50E5287F" w14:textId="77777777" w:rsidR="00D7137D" w:rsidRPr="00B64C8D" w:rsidRDefault="00D7137D" w:rsidP="00B64C8D">
      <w:pPr>
        <w:spacing w:after="0" w:line="360" w:lineRule="auto"/>
        <w:rPr>
          <w:rFonts w:ascii="Times New Roman" w:eastAsia="Times New Roman" w:hAnsi="Times New Roman" w:cs="Times New Roman"/>
          <w:color w:val="0E101A"/>
          <w:kern w:val="0"/>
          <w:lang w:eastAsia="nl-NL"/>
          <w14:ligatures w14:val="none"/>
        </w:rPr>
      </w:pPr>
    </w:p>
    <w:p w14:paraId="2A04AF3A" w14:textId="5C40E92F" w:rsidR="00703993" w:rsidRPr="00B64C8D" w:rsidRDefault="00703993" w:rsidP="00B64C8D">
      <w:pPr>
        <w:pStyle w:val="Kop2"/>
        <w:spacing w:line="360" w:lineRule="auto"/>
        <w:rPr>
          <w:rFonts w:ascii="Times New Roman" w:eastAsia="Times New Roman" w:hAnsi="Times New Roman" w:cs="Times New Roman"/>
          <w:sz w:val="22"/>
          <w:szCs w:val="22"/>
          <w:lang w:eastAsia="nl-NL"/>
        </w:rPr>
      </w:pPr>
      <w:bookmarkStart w:id="44" w:name="_Toc152251992"/>
      <w:r w:rsidRPr="00B64C8D">
        <w:rPr>
          <w:rFonts w:ascii="Times New Roman" w:eastAsia="Times New Roman" w:hAnsi="Times New Roman" w:cs="Times New Roman"/>
          <w:sz w:val="22"/>
          <w:szCs w:val="22"/>
          <w:lang w:eastAsia="nl-NL"/>
        </w:rPr>
        <w:t>3.</w:t>
      </w:r>
      <w:r w:rsidR="008861ED" w:rsidRPr="00B64C8D">
        <w:rPr>
          <w:rFonts w:ascii="Times New Roman" w:eastAsia="Times New Roman" w:hAnsi="Times New Roman" w:cs="Times New Roman"/>
          <w:sz w:val="22"/>
          <w:szCs w:val="22"/>
          <w:lang w:eastAsia="nl-NL"/>
        </w:rPr>
        <w:t>2</w:t>
      </w:r>
      <w:r w:rsidRPr="00B64C8D">
        <w:rPr>
          <w:rFonts w:ascii="Times New Roman" w:eastAsia="Times New Roman" w:hAnsi="Times New Roman" w:cs="Times New Roman"/>
          <w:sz w:val="22"/>
          <w:szCs w:val="22"/>
          <w:lang w:eastAsia="nl-NL"/>
        </w:rPr>
        <w:t>. Autonomy</w:t>
      </w:r>
      <w:bookmarkEnd w:id="44"/>
    </w:p>
    <w:p w14:paraId="10C31153" w14:textId="7E46E271" w:rsidR="00703993" w:rsidRPr="00B64C8D" w:rsidRDefault="00790AC7" w:rsidP="00B64C8D">
      <w:pPr>
        <w:spacing w:line="360" w:lineRule="auto"/>
        <w:rPr>
          <w:rFonts w:ascii="Times New Roman" w:hAnsi="Times New Roman" w:cs="Times New Roman"/>
          <w:lang w:eastAsia="nl-NL"/>
        </w:rPr>
      </w:pPr>
      <w:r>
        <w:rPr>
          <w:rFonts w:ascii="Times New Roman" w:hAnsi="Times New Roman" w:cs="Times New Roman"/>
          <w:lang w:eastAsia="nl-NL"/>
        </w:rPr>
        <w:t xml:space="preserve">The following concept we discuss is autonomy, which is the factor we try to explain in this research. </w:t>
      </w:r>
      <w:r w:rsidR="00703993" w:rsidRPr="00B64C8D">
        <w:rPr>
          <w:rFonts w:ascii="Times New Roman" w:hAnsi="Times New Roman" w:cs="Times New Roman"/>
          <w:lang w:eastAsia="nl-NL"/>
        </w:rPr>
        <w:t>Autonomy is</w:t>
      </w:r>
      <w:r>
        <w:rPr>
          <w:rFonts w:ascii="Times New Roman" w:hAnsi="Times New Roman" w:cs="Times New Roman"/>
          <w:lang w:eastAsia="nl-NL"/>
        </w:rPr>
        <w:t xml:space="preserve"> a loaded concept with multiple meanings </w:t>
      </w:r>
      <w:r w:rsidR="00AD2103">
        <w:rPr>
          <w:rFonts w:ascii="Times New Roman" w:hAnsi="Times New Roman" w:cs="Times New Roman"/>
          <w:lang w:eastAsia="nl-NL"/>
        </w:rPr>
        <w:t>on</w:t>
      </w:r>
      <w:r>
        <w:rPr>
          <w:rFonts w:ascii="Times New Roman" w:hAnsi="Times New Roman" w:cs="Times New Roman"/>
          <w:lang w:eastAsia="nl-NL"/>
        </w:rPr>
        <w:t xml:space="preserve"> both an </w:t>
      </w:r>
      <w:r w:rsidR="00703993" w:rsidRPr="00B64C8D">
        <w:rPr>
          <w:rFonts w:ascii="Times New Roman" w:hAnsi="Times New Roman" w:cs="Times New Roman"/>
          <w:lang w:eastAsia="nl-NL"/>
        </w:rPr>
        <w:t xml:space="preserve">individual (Benson, 2007; Ryan et al., 2015) and on a more institutional </w:t>
      </w:r>
      <w:r w:rsidR="00AD2103">
        <w:rPr>
          <w:rFonts w:ascii="Times New Roman" w:hAnsi="Times New Roman" w:cs="Times New Roman"/>
          <w:lang w:eastAsia="nl-NL"/>
        </w:rPr>
        <w:t>level</w:t>
      </w:r>
      <w:r w:rsidR="00703993" w:rsidRPr="00B64C8D">
        <w:rPr>
          <w:rFonts w:ascii="Times New Roman" w:hAnsi="Times New Roman" w:cs="Times New Roman"/>
          <w:lang w:eastAsia="nl-NL"/>
        </w:rPr>
        <w:t xml:space="preserve"> (Busuioc et al., 2011; Abrutyn, 2009). </w:t>
      </w:r>
      <w:r w:rsidR="001035D7" w:rsidRPr="00B64C8D">
        <w:rPr>
          <w:rFonts w:ascii="Times New Roman" w:hAnsi="Times New Roman" w:cs="Times New Roman"/>
          <w:lang w:eastAsia="nl-NL"/>
        </w:rPr>
        <w:t>So,</w:t>
      </w:r>
      <w:r w:rsidR="00703993" w:rsidRPr="00B64C8D">
        <w:rPr>
          <w:rFonts w:ascii="Times New Roman" w:hAnsi="Times New Roman" w:cs="Times New Roman"/>
          <w:lang w:eastAsia="nl-NL"/>
        </w:rPr>
        <w:t xml:space="preserve"> there is a variety of ways the concept is used but can always roughly </w:t>
      </w:r>
      <w:r w:rsidR="001B2B84" w:rsidRPr="00B64C8D">
        <w:rPr>
          <w:rFonts w:ascii="Times New Roman" w:hAnsi="Times New Roman" w:cs="Times New Roman"/>
          <w:lang w:eastAsia="nl-NL"/>
        </w:rPr>
        <w:t>be described as</w:t>
      </w:r>
      <w:r w:rsidR="00703993" w:rsidRPr="00B64C8D">
        <w:rPr>
          <w:rFonts w:ascii="Times New Roman" w:hAnsi="Times New Roman" w:cs="Times New Roman"/>
          <w:lang w:eastAsia="nl-NL"/>
        </w:rPr>
        <w:t xml:space="preserve"> able to independently function and make decisions (Abrutyn, 2009; Benson, 2007). Abrutyn (2009) describes autonomy in the broader sense as being higher positioned on both the vertical and horizontal position.</w:t>
      </w:r>
    </w:p>
    <w:p w14:paraId="267C5B0C" w14:textId="66D34E6C" w:rsidR="00703993" w:rsidRPr="00B64C8D" w:rsidRDefault="00703993" w:rsidP="00B64C8D">
      <w:pPr>
        <w:spacing w:line="360" w:lineRule="auto"/>
        <w:rPr>
          <w:rFonts w:ascii="Times New Roman" w:hAnsi="Times New Roman" w:cs="Times New Roman"/>
          <w:lang w:eastAsia="nl-NL"/>
        </w:rPr>
      </w:pPr>
      <w:r w:rsidRPr="00B64C8D">
        <w:rPr>
          <w:rFonts w:ascii="Times New Roman" w:hAnsi="Times New Roman" w:cs="Times New Roman"/>
          <w:lang w:eastAsia="nl-NL"/>
        </w:rPr>
        <w:t xml:space="preserve">The horizontal position regards a certain division of labor. </w:t>
      </w:r>
      <w:r w:rsidR="001035D7" w:rsidRPr="00B64C8D">
        <w:rPr>
          <w:rFonts w:ascii="Times New Roman" w:hAnsi="Times New Roman" w:cs="Times New Roman"/>
          <w:lang w:eastAsia="nl-NL"/>
        </w:rPr>
        <w:t>So,</w:t>
      </w:r>
      <w:r w:rsidRPr="00B64C8D">
        <w:rPr>
          <w:rFonts w:ascii="Times New Roman" w:hAnsi="Times New Roman" w:cs="Times New Roman"/>
          <w:lang w:eastAsia="nl-NL"/>
        </w:rPr>
        <w:t xml:space="preserve"> what authority does an individual or organization have. On what topics can they act and what is the technical division of labor. This means that a greater horizontal position, means larger formal tasks, means greater autonomy. </w:t>
      </w:r>
    </w:p>
    <w:p w14:paraId="0BBD9030" w14:textId="77777777" w:rsidR="00703993" w:rsidRPr="00B64C8D" w:rsidRDefault="00703993" w:rsidP="00B64C8D">
      <w:pPr>
        <w:spacing w:line="360" w:lineRule="auto"/>
        <w:rPr>
          <w:rFonts w:ascii="Times New Roman" w:hAnsi="Times New Roman" w:cs="Times New Roman"/>
          <w:lang w:eastAsia="nl-NL"/>
        </w:rPr>
      </w:pPr>
      <w:r w:rsidRPr="00B64C8D">
        <w:rPr>
          <w:rFonts w:ascii="Times New Roman" w:hAnsi="Times New Roman" w:cs="Times New Roman"/>
          <w:lang w:eastAsia="nl-NL"/>
        </w:rPr>
        <w:t xml:space="preserve">The vertical position is a more social and relative one. This is about both the status an actor has relative to the other actors in its system. This is about a hierarchy that can be both formal and informal. </w:t>
      </w:r>
    </w:p>
    <w:p w14:paraId="02513717" w14:textId="633A5E12" w:rsidR="00703993" w:rsidRPr="00B64C8D" w:rsidRDefault="00703993" w:rsidP="00B64C8D">
      <w:pPr>
        <w:spacing w:line="360" w:lineRule="auto"/>
        <w:rPr>
          <w:rFonts w:ascii="Times New Roman" w:hAnsi="Times New Roman" w:cs="Times New Roman"/>
          <w:lang w:eastAsia="nl-NL"/>
        </w:rPr>
      </w:pPr>
      <w:r w:rsidRPr="00B64C8D">
        <w:rPr>
          <w:rFonts w:ascii="Times New Roman" w:hAnsi="Times New Roman" w:cs="Times New Roman"/>
          <w:lang w:eastAsia="nl-NL"/>
        </w:rPr>
        <w:lastRenderedPageBreak/>
        <w:t xml:space="preserve">This research is focused on the institutional meaning of the concept of autonomy and will leave the individual meaning behind. </w:t>
      </w:r>
      <w:r w:rsidR="001035D7" w:rsidRPr="00B64C8D">
        <w:rPr>
          <w:rFonts w:ascii="Times New Roman" w:hAnsi="Times New Roman" w:cs="Times New Roman"/>
          <w:lang w:eastAsia="nl-NL"/>
        </w:rPr>
        <w:t>However,</w:t>
      </w:r>
      <w:r w:rsidRPr="00B64C8D">
        <w:rPr>
          <w:rFonts w:ascii="Times New Roman" w:hAnsi="Times New Roman" w:cs="Times New Roman"/>
          <w:lang w:eastAsia="nl-NL"/>
        </w:rPr>
        <w:t xml:space="preserve"> the institutional definition that will be used is not very different from the larger definition just more specified. As Abrutyn gives the definition as “</w:t>
      </w:r>
      <w:r w:rsidRPr="00B64C8D">
        <w:rPr>
          <w:rFonts w:ascii="Times New Roman" w:hAnsi="Times New Roman" w:cs="Times New Roman"/>
          <w:i/>
          <w:iCs/>
          <w:lang w:eastAsia="nl-NL"/>
        </w:rPr>
        <w:t xml:space="preserve">Autonomy is a function of the degree to which sets of specialized corporate actors are structurally and symbolically independent from other sets of corporate </w:t>
      </w:r>
      <w:r w:rsidR="001035D7" w:rsidRPr="00B64C8D">
        <w:rPr>
          <w:rFonts w:ascii="Times New Roman" w:hAnsi="Times New Roman" w:cs="Times New Roman"/>
          <w:i/>
          <w:iCs/>
          <w:lang w:eastAsia="nl-NL"/>
        </w:rPr>
        <w:t>actors”</w:t>
      </w:r>
      <w:r w:rsidR="001035D7" w:rsidRPr="00B64C8D">
        <w:rPr>
          <w:rFonts w:ascii="Times New Roman" w:hAnsi="Times New Roman" w:cs="Times New Roman"/>
          <w:lang w:eastAsia="nl-NL"/>
        </w:rPr>
        <w:t xml:space="preserve"> (</w:t>
      </w:r>
      <w:r w:rsidRPr="00B64C8D">
        <w:rPr>
          <w:rFonts w:ascii="Times New Roman" w:hAnsi="Times New Roman" w:cs="Times New Roman"/>
          <w:lang w:eastAsia="nl-NL"/>
        </w:rPr>
        <w:t xml:space="preserve">Abrutyn, 2009, p2). </w:t>
      </w:r>
    </w:p>
    <w:p w14:paraId="00BB22EF" w14:textId="12F4D2C6" w:rsidR="00703993" w:rsidRPr="00B64C8D" w:rsidRDefault="00703993" w:rsidP="00B64C8D">
      <w:pPr>
        <w:spacing w:line="360" w:lineRule="auto"/>
        <w:rPr>
          <w:rFonts w:ascii="Times New Roman" w:hAnsi="Times New Roman" w:cs="Times New Roman"/>
          <w:lang w:eastAsia="nl-NL"/>
        </w:rPr>
      </w:pPr>
      <w:r w:rsidRPr="00B64C8D">
        <w:rPr>
          <w:rFonts w:ascii="Times New Roman" w:hAnsi="Times New Roman" w:cs="Times New Roman"/>
          <w:lang w:eastAsia="nl-NL"/>
        </w:rPr>
        <w:t xml:space="preserve">This research has a specific focus on the functioning of the EU and interplay of different actors within this context. There are a few reasons why the concept of autonomy needs to be specified for the EU context. </w:t>
      </w:r>
      <w:r w:rsidR="001035D7" w:rsidRPr="00B64C8D">
        <w:rPr>
          <w:rFonts w:ascii="Times New Roman" w:hAnsi="Times New Roman" w:cs="Times New Roman"/>
          <w:lang w:eastAsia="nl-NL"/>
        </w:rPr>
        <w:t>Firstly,</w:t>
      </w:r>
      <w:r w:rsidRPr="00B64C8D">
        <w:rPr>
          <w:rFonts w:ascii="Times New Roman" w:hAnsi="Times New Roman" w:cs="Times New Roman"/>
          <w:lang w:eastAsia="nl-NL"/>
        </w:rPr>
        <w:t xml:space="preserve"> the tasks and authorities of EU actors (agencies, networks, ect.) are often difficult to immediately understand for third parties. The division of labor of these actors is often given informally or simply appropriated by an actor. This results in a scenario where it is difficult for anyone outside an agency/network to completely understand what is going on within (Busuioc et al., 2011).   </w:t>
      </w:r>
    </w:p>
    <w:p w14:paraId="2637D96F" w14:textId="74FE402A" w:rsidR="00703993" w:rsidRPr="00B64C8D" w:rsidRDefault="00703993" w:rsidP="00B64C8D">
      <w:pPr>
        <w:spacing w:line="360" w:lineRule="auto"/>
        <w:rPr>
          <w:rFonts w:ascii="Times New Roman" w:eastAsia="Times New Roman" w:hAnsi="Times New Roman" w:cs="Times New Roman"/>
          <w:color w:val="0E101A"/>
          <w:kern w:val="0"/>
          <w:lang w:eastAsia="nl-NL"/>
          <w14:ligatures w14:val="none"/>
        </w:rPr>
      </w:pPr>
      <w:r w:rsidRPr="00B64C8D">
        <w:rPr>
          <w:rFonts w:ascii="Times New Roman" w:hAnsi="Times New Roman" w:cs="Times New Roman"/>
          <w:lang w:eastAsia="nl-NL"/>
        </w:rPr>
        <w:t xml:space="preserve">An agency is considered autonomous when they are free to manage inside affairs, are free to act how they choose and are allowed to follow their preferences without being restrained by the preferences of their formal principal </w:t>
      </w:r>
      <w:r w:rsidRPr="00B64C8D">
        <w:rPr>
          <w:rFonts w:ascii="Times New Roman" w:eastAsia="Times New Roman" w:hAnsi="Times New Roman" w:cs="Times New Roman"/>
          <w:color w:val="0E101A"/>
          <w:kern w:val="0"/>
          <w:lang w:eastAsia="nl-NL"/>
          <w14:ligatures w14:val="none"/>
        </w:rPr>
        <w:t xml:space="preserve">(Busuioc et al., 2011). This means that the definition of autonomy this research will follow is not the formal but actual autonomy (Yesilkagit, 2004). For the purposes of this </w:t>
      </w:r>
      <w:r w:rsidR="001035D7" w:rsidRPr="00B64C8D">
        <w:rPr>
          <w:rFonts w:ascii="Times New Roman" w:eastAsia="Times New Roman" w:hAnsi="Times New Roman" w:cs="Times New Roman"/>
          <w:color w:val="0E101A"/>
          <w:kern w:val="0"/>
          <w:lang w:eastAsia="nl-NL"/>
          <w14:ligatures w14:val="none"/>
        </w:rPr>
        <w:t>research,</w:t>
      </w:r>
      <w:r w:rsidRPr="00B64C8D">
        <w:rPr>
          <w:rFonts w:ascii="Times New Roman" w:eastAsia="Times New Roman" w:hAnsi="Times New Roman" w:cs="Times New Roman"/>
          <w:color w:val="0E101A"/>
          <w:kern w:val="0"/>
          <w:lang w:eastAsia="nl-NL"/>
          <w14:ligatures w14:val="none"/>
        </w:rPr>
        <w:t xml:space="preserve"> it is important that this actual autonomy is quantifiable and specific enough so it can be measured.</w:t>
      </w:r>
    </w:p>
    <w:p w14:paraId="479D410C" w14:textId="543C08BE" w:rsidR="00703993" w:rsidRPr="00B64C8D" w:rsidRDefault="00703993" w:rsidP="00B64C8D">
      <w:pPr>
        <w:spacing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 xml:space="preserve">For this </w:t>
      </w:r>
      <w:r w:rsidR="001B2B84" w:rsidRPr="00B64C8D">
        <w:rPr>
          <w:rFonts w:ascii="Times New Roman" w:eastAsia="Times New Roman" w:hAnsi="Times New Roman" w:cs="Times New Roman"/>
          <w:color w:val="0E101A"/>
          <w:kern w:val="0"/>
          <w:lang w:eastAsia="nl-NL"/>
          <w14:ligatures w14:val="none"/>
        </w:rPr>
        <w:t>reason,</w:t>
      </w:r>
      <w:r w:rsidRPr="00B64C8D">
        <w:rPr>
          <w:rFonts w:ascii="Times New Roman" w:eastAsia="Times New Roman" w:hAnsi="Times New Roman" w:cs="Times New Roman"/>
          <w:color w:val="0E101A"/>
          <w:kern w:val="0"/>
          <w:lang w:eastAsia="nl-NL"/>
          <w14:ligatures w14:val="none"/>
        </w:rPr>
        <w:t xml:space="preserve"> the definition of autonomy used in this research will be split up into four different groups (Busuioc et al., 2011; Verhoest et al., 2004; Yesilkagit, 2004</w:t>
      </w:r>
      <w:r w:rsidR="001035D7" w:rsidRPr="00B64C8D">
        <w:rPr>
          <w:rFonts w:ascii="Times New Roman" w:eastAsia="Times New Roman" w:hAnsi="Times New Roman" w:cs="Times New Roman"/>
          <w:color w:val="0E101A"/>
          <w:kern w:val="0"/>
          <w:lang w:eastAsia="nl-NL"/>
          <w14:ligatures w14:val="none"/>
        </w:rPr>
        <w:t>):</w:t>
      </w:r>
    </w:p>
    <w:p w14:paraId="76D54C39" w14:textId="77777777" w:rsidR="00703993" w:rsidRPr="00B64C8D" w:rsidRDefault="00703993" w:rsidP="00B64C8D">
      <w:pPr>
        <w:numPr>
          <w:ilvl w:val="0"/>
          <w:numId w:val="1"/>
        </w:num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Policy autonomy: can the agent itself decide what its goals and methods are? To what extent can the agency decide its own policy and draw its own conclusions.</w:t>
      </w:r>
    </w:p>
    <w:p w14:paraId="6FDA2D93" w14:textId="77777777" w:rsidR="00703993" w:rsidRPr="00B64C8D" w:rsidRDefault="00703993" w:rsidP="00B64C8D">
      <w:pPr>
        <w:numPr>
          <w:ilvl w:val="0"/>
          <w:numId w:val="1"/>
        </w:num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Personnel autonomy: Is the agency able to recruit its own personnel. This also includes things as freedom in choosing a training program, payment of their staff, and the ability to fire their staff members. </w:t>
      </w:r>
    </w:p>
    <w:p w14:paraId="20135ECF" w14:textId="77777777" w:rsidR="00703993" w:rsidRPr="00B64C8D" w:rsidRDefault="00703993" w:rsidP="00B64C8D">
      <w:pPr>
        <w:numPr>
          <w:ilvl w:val="0"/>
          <w:numId w:val="1"/>
        </w:num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Financial autonomy: is the agency dependent on other institutions for its funding or is it capable to secure its own funding. The other part of this is, is it free in the decision to where to allocate funds. </w:t>
      </w:r>
    </w:p>
    <w:p w14:paraId="2228EF29" w14:textId="77777777" w:rsidR="00703993" w:rsidRPr="00B64C8D" w:rsidRDefault="00703993" w:rsidP="00B64C8D">
      <w:pPr>
        <w:numPr>
          <w:ilvl w:val="0"/>
          <w:numId w:val="1"/>
        </w:num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Legal autonomy: is the agency able to go into agreements with third parties? Can they obtain and provide goods and services from and to other actors without gaining permission from someone else first?</w:t>
      </w:r>
    </w:p>
    <w:p w14:paraId="176BC812" w14:textId="138A5E19" w:rsidR="00703993" w:rsidRPr="00B64C8D" w:rsidRDefault="00703993"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 xml:space="preserve">The EU has </w:t>
      </w:r>
      <w:r w:rsidR="001B2B84" w:rsidRPr="00B64C8D">
        <w:rPr>
          <w:rFonts w:ascii="Times New Roman" w:eastAsia="Times New Roman" w:hAnsi="Times New Roman" w:cs="Times New Roman"/>
          <w:color w:val="0E101A"/>
          <w:kern w:val="0"/>
          <w:lang w:eastAsia="nl-NL"/>
          <w14:ligatures w14:val="none"/>
        </w:rPr>
        <w:t>a unique</w:t>
      </w:r>
      <w:r w:rsidRPr="00B64C8D">
        <w:rPr>
          <w:rFonts w:ascii="Times New Roman" w:eastAsia="Times New Roman" w:hAnsi="Times New Roman" w:cs="Times New Roman"/>
          <w:color w:val="0E101A"/>
          <w:kern w:val="0"/>
          <w:lang w:eastAsia="nl-NL"/>
          <w14:ligatures w14:val="none"/>
        </w:rPr>
        <w:t xml:space="preserve"> and </w:t>
      </w:r>
      <w:r w:rsidR="001035D7" w:rsidRPr="00B64C8D">
        <w:rPr>
          <w:rFonts w:ascii="Times New Roman" w:eastAsia="Times New Roman" w:hAnsi="Times New Roman" w:cs="Times New Roman"/>
          <w:color w:val="0E101A"/>
          <w:kern w:val="0"/>
          <w:lang w:eastAsia="nl-NL"/>
          <w14:ligatures w14:val="none"/>
        </w:rPr>
        <w:t>ever-changing</w:t>
      </w:r>
      <w:r w:rsidRPr="00B64C8D">
        <w:rPr>
          <w:rFonts w:ascii="Times New Roman" w:eastAsia="Times New Roman" w:hAnsi="Times New Roman" w:cs="Times New Roman"/>
          <w:color w:val="0E101A"/>
          <w:kern w:val="0"/>
          <w:lang w:eastAsia="nl-NL"/>
          <w14:ligatures w14:val="none"/>
        </w:rPr>
        <w:t xml:space="preserve"> status, including different responsibilities, tasks, and relations to its member states and third states. Because the context is so flexible agencies often need to find </w:t>
      </w:r>
      <w:r w:rsidRPr="00B64C8D">
        <w:rPr>
          <w:rFonts w:ascii="Times New Roman" w:eastAsia="Times New Roman" w:hAnsi="Times New Roman" w:cs="Times New Roman"/>
          <w:i/>
          <w:iCs/>
          <w:color w:val="0E101A"/>
          <w:kern w:val="0"/>
          <w:lang w:eastAsia="nl-NL"/>
          <w14:ligatures w14:val="none"/>
        </w:rPr>
        <w:t>ad hoc</w:t>
      </w:r>
      <w:r w:rsidRPr="00B64C8D">
        <w:rPr>
          <w:rFonts w:ascii="Times New Roman" w:eastAsia="Times New Roman" w:hAnsi="Times New Roman" w:cs="Times New Roman"/>
          <w:color w:val="0E101A"/>
          <w:kern w:val="0"/>
          <w:lang w:eastAsia="nl-NL"/>
          <w14:ligatures w14:val="none"/>
        </w:rPr>
        <w:t xml:space="preserve"> solutions or start collaborating with other actors or agencies. Within this process an agency can develop its own preferences, incorporate preferences of others, but also gain power or instruments that go further than the ones that were originally intended (Thatcher &amp; Stone Sweet, 2002; Busuioc, 2011). </w:t>
      </w:r>
      <w:r w:rsidRPr="00B64C8D">
        <w:rPr>
          <w:rFonts w:ascii="Times New Roman" w:eastAsia="Times New Roman" w:hAnsi="Times New Roman" w:cs="Times New Roman"/>
          <w:color w:val="0E101A"/>
          <w:kern w:val="0"/>
          <w:lang w:eastAsia="nl-NL"/>
          <w14:ligatures w14:val="none"/>
        </w:rPr>
        <w:lastRenderedPageBreak/>
        <w:t xml:space="preserve">This is why it is important to look at the </w:t>
      </w:r>
      <w:r w:rsidRPr="00B64C8D">
        <w:rPr>
          <w:rFonts w:ascii="Times New Roman" w:eastAsia="Times New Roman" w:hAnsi="Times New Roman" w:cs="Times New Roman"/>
          <w:i/>
          <w:iCs/>
          <w:color w:val="0E101A"/>
          <w:kern w:val="0"/>
          <w:lang w:eastAsia="nl-NL"/>
          <w14:ligatures w14:val="none"/>
        </w:rPr>
        <w:t xml:space="preserve">de facto </w:t>
      </w:r>
      <w:r w:rsidRPr="00B64C8D">
        <w:rPr>
          <w:rFonts w:ascii="Times New Roman" w:eastAsia="Times New Roman" w:hAnsi="Times New Roman" w:cs="Times New Roman"/>
          <w:color w:val="0E101A"/>
          <w:kern w:val="0"/>
          <w:lang w:eastAsia="nl-NL"/>
          <w14:ligatures w14:val="none"/>
        </w:rPr>
        <w:t xml:space="preserve">autonomy instead of the autonomy agencies officially have. </w:t>
      </w:r>
    </w:p>
    <w:p w14:paraId="1E66CE97" w14:textId="77777777" w:rsidR="00540F78" w:rsidRPr="00B64C8D" w:rsidRDefault="00540F78" w:rsidP="00B64C8D">
      <w:pPr>
        <w:tabs>
          <w:tab w:val="left" w:pos="8330"/>
        </w:tabs>
        <w:spacing w:after="0" w:line="360" w:lineRule="auto"/>
        <w:rPr>
          <w:rFonts w:ascii="Times New Roman" w:eastAsia="Times New Roman" w:hAnsi="Times New Roman" w:cs="Times New Roman"/>
          <w:color w:val="0E101A"/>
          <w:kern w:val="0"/>
          <w:lang w:eastAsia="nl-NL"/>
          <w14:ligatures w14:val="none"/>
        </w:rPr>
      </w:pPr>
    </w:p>
    <w:p w14:paraId="2E464842" w14:textId="77777777" w:rsidR="00540F78" w:rsidRPr="00B64C8D" w:rsidRDefault="00540F78" w:rsidP="00B64C8D">
      <w:pPr>
        <w:pStyle w:val="Kop2"/>
        <w:spacing w:line="360" w:lineRule="auto"/>
        <w:rPr>
          <w:rFonts w:ascii="Times New Roman" w:eastAsia="Times New Roman" w:hAnsi="Times New Roman" w:cs="Times New Roman"/>
          <w:sz w:val="22"/>
          <w:szCs w:val="22"/>
          <w:lang w:eastAsia="nl-NL"/>
        </w:rPr>
      </w:pPr>
      <w:bookmarkStart w:id="45" w:name="_Toc152251993"/>
      <w:r w:rsidRPr="00B64C8D">
        <w:rPr>
          <w:rFonts w:ascii="Times New Roman" w:eastAsia="Times New Roman" w:hAnsi="Times New Roman" w:cs="Times New Roman"/>
          <w:sz w:val="22"/>
          <w:szCs w:val="22"/>
          <w:lang w:eastAsia="nl-NL"/>
        </w:rPr>
        <w:t>3.3. Institutional survival</w:t>
      </w:r>
      <w:bookmarkEnd w:id="45"/>
    </w:p>
    <w:p w14:paraId="21F29444" w14:textId="63FB6BE3" w:rsidR="009C1C3A" w:rsidRPr="00B64C8D" w:rsidRDefault="009C1C3A" w:rsidP="00B64C8D">
      <w:pPr>
        <w:spacing w:line="360" w:lineRule="auto"/>
        <w:rPr>
          <w:rFonts w:ascii="Times New Roman" w:hAnsi="Times New Roman" w:cs="Times New Roman"/>
          <w:lang w:eastAsia="nl-NL"/>
        </w:rPr>
      </w:pPr>
      <w:r w:rsidRPr="00B64C8D">
        <w:rPr>
          <w:rFonts w:ascii="Times New Roman" w:hAnsi="Times New Roman" w:cs="Times New Roman"/>
          <w:lang w:eastAsia="nl-NL"/>
        </w:rPr>
        <w:t>This part of the chapter is specifically on how institutional survival works as concept, but more specific how it can influence agencies behavior.</w:t>
      </w:r>
      <w:r w:rsidR="009120F0" w:rsidRPr="00B64C8D">
        <w:rPr>
          <w:rFonts w:ascii="Times New Roman" w:hAnsi="Times New Roman" w:cs="Times New Roman"/>
          <w:lang w:eastAsia="nl-NL"/>
        </w:rPr>
        <w:t xml:space="preserve"> The sub chapter also dives into how interest groups use institutional survival for their own gain. </w:t>
      </w:r>
    </w:p>
    <w:p w14:paraId="594EDE2C" w14:textId="053EF307" w:rsidR="00540F78" w:rsidRPr="00B64C8D" w:rsidRDefault="00540F78"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 xml:space="preserve">As </w:t>
      </w:r>
      <w:r w:rsidR="001035D7" w:rsidRPr="00B64C8D">
        <w:rPr>
          <w:rFonts w:ascii="Times New Roman" w:eastAsia="Times New Roman" w:hAnsi="Times New Roman" w:cs="Times New Roman"/>
          <w:color w:val="0E101A"/>
          <w:kern w:val="0"/>
          <w:lang w:eastAsia="nl-NL"/>
          <w14:ligatures w14:val="none"/>
        </w:rPr>
        <w:t>stated,</w:t>
      </w:r>
      <w:r w:rsidRPr="00B64C8D">
        <w:rPr>
          <w:rFonts w:ascii="Times New Roman" w:eastAsia="Times New Roman" w:hAnsi="Times New Roman" w:cs="Times New Roman"/>
          <w:color w:val="0E101A"/>
          <w:kern w:val="0"/>
          <w:lang w:eastAsia="nl-NL"/>
          <w14:ligatures w14:val="none"/>
        </w:rPr>
        <w:t xml:space="preserve"> before the MLG Type II system is a market, where different actors compete (Ostrom &amp; Walker, 1997).  Within this marketplace there is a competition between the different actors that </w:t>
      </w:r>
      <w:r w:rsidR="001B2B84" w:rsidRPr="00B64C8D">
        <w:rPr>
          <w:rFonts w:ascii="Times New Roman" w:eastAsia="Times New Roman" w:hAnsi="Times New Roman" w:cs="Times New Roman"/>
          <w:color w:val="0E101A"/>
          <w:kern w:val="0"/>
          <w:lang w:eastAsia="nl-NL"/>
          <w14:ligatures w14:val="none"/>
        </w:rPr>
        <w:t>can provide</w:t>
      </w:r>
      <w:r w:rsidRPr="00B64C8D">
        <w:rPr>
          <w:rFonts w:ascii="Times New Roman" w:eastAsia="Times New Roman" w:hAnsi="Times New Roman" w:cs="Times New Roman"/>
          <w:color w:val="0E101A"/>
          <w:kern w:val="0"/>
          <w:lang w:eastAsia="nl-NL"/>
          <w14:ligatures w14:val="none"/>
        </w:rPr>
        <w:t xml:space="preserve"> a service. For this system to work all actors are at least to some extent </w:t>
      </w:r>
      <w:r w:rsidR="001035D7" w:rsidRPr="00B64C8D">
        <w:rPr>
          <w:rFonts w:ascii="Times New Roman" w:eastAsia="Times New Roman" w:hAnsi="Times New Roman" w:cs="Times New Roman"/>
          <w:color w:val="0E101A"/>
          <w:kern w:val="0"/>
          <w:lang w:eastAsia="nl-NL"/>
          <w14:ligatures w14:val="none"/>
        </w:rPr>
        <w:t>self-interested</w:t>
      </w:r>
      <w:r w:rsidRPr="00B64C8D">
        <w:rPr>
          <w:rFonts w:ascii="Times New Roman" w:eastAsia="Times New Roman" w:hAnsi="Times New Roman" w:cs="Times New Roman"/>
          <w:color w:val="0E101A"/>
          <w:kern w:val="0"/>
          <w:lang w:eastAsia="nl-NL"/>
          <w14:ligatures w14:val="none"/>
        </w:rPr>
        <w:t xml:space="preserve">, and willing to compete instead of coordinate and work together. This is one of the reasons that we see one goal coming back in most of the actors active in the polycentric governance arena, this is institutional </w:t>
      </w:r>
      <w:r w:rsidR="001035D7" w:rsidRPr="00B64C8D">
        <w:rPr>
          <w:rFonts w:ascii="Times New Roman" w:eastAsia="Times New Roman" w:hAnsi="Times New Roman" w:cs="Times New Roman"/>
          <w:color w:val="0E101A"/>
          <w:kern w:val="0"/>
          <w:lang w:eastAsia="nl-NL"/>
          <w14:ligatures w14:val="none"/>
        </w:rPr>
        <w:t>survival (</w:t>
      </w:r>
      <w:r w:rsidRPr="00B64C8D">
        <w:rPr>
          <w:rFonts w:ascii="Times New Roman" w:eastAsia="Times New Roman" w:hAnsi="Times New Roman" w:cs="Times New Roman"/>
          <w:color w:val="0E101A"/>
          <w:kern w:val="0"/>
          <w:lang w:eastAsia="nl-NL"/>
          <w14:ligatures w14:val="none"/>
        </w:rPr>
        <w:t xml:space="preserve">Delreux &amp; Adriaensen, 2017). Meaning that the actor will try its hardest to not become obsolete or replaceable. To ensure this, agencies often try to gain more power and competencies so they cannot be replaced or forced out of their position. </w:t>
      </w:r>
    </w:p>
    <w:p w14:paraId="41AE21CA" w14:textId="2E3561CC" w:rsidR="00540F78" w:rsidRPr="00B64C8D" w:rsidRDefault="00540F78"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 xml:space="preserve">Another important way to preserve the agency is to protect it from public scrutiny. This can be done in different ways one of them is building legitimacy. This is a way to shape the public perception of an actor in such a way that the public is convinced they are the right choice for their role. This can be done in a multitude of ways, often by behavior, outside </w:t>
      </w:r>
      <w:r w:rsidR="001B2B84" w:rsidRPr="00B64C8D">
        <w:rPr>
          <w:rFonts w:ascii="Times New Roman" w:eastAsia="Times New Roman" w:hAnsi="Times New Roman" w:cs="Times New Roman"/>
          <w:color w:val="0E101A"/>
          <w:kern w:val="0"/>
          <w:lang w:eastAsia="nl-NL"/>
          <w14:ligatures w14:val="none"/>
        </w:rPr>
        <w:t>communication,</w:t>
      </w:r>
      <w:r w:rsidRPr="00B64C8D">
        <w:rPr>
          <w:rFonts w:ascii="Times New Roman" w:eastAsia="Times New Roman" w:hAnsi="Times New Roman" w:cs="Times New Roman"/>
          <w:color w:val="0E101A"/>
          <w:kern w:val="0"/>
          <w:lang w:eastAsia="nl-NL"/>
          <w14:ligatures w14:val="none"/>
        </w:rPr>
        <w:t xml:space="preserve"> or other ways of controlling the narrative (Rimkutè, 2020). By these strategies an actor attempts to gain a favorable reputation so it can count on public support.</w:t>
      </w:r>
    </w:p>
    <w:p w14:paraId="50531A20" w14:textId="785A966D" w:rsidR="00540F78" w:rsidRPr="00B64C8D" w:rsidRDefault="00540F78"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A</w:t>
      </w:r>
      <w:r w:rsidR="00D67D0D">
        <w:rPr>
          <w:rFonts w:ascii="Times New Roman" w:eastAsia="Times New Roman" w:hAnsi="Times New Roman" w:cs="Times New Roman"/>
          <w:color w:val="0E101A"/>
          <w:kern w:val="0"/>
          <w:lang w:eastAsia="nl-NL"/>
          <w14:ligatures w14:val="none"/>
        </w:rPr>
        <w:t xml:space="preserve"> different</w:t>
      </w:r>
      <w:r w:rsidRPr="00B64C8D">
        <w:rPr>
          <w:rFonts w:ascii="Times New Roman" w:eastAsia="Times New Roman" w:hAnsi="Times New Roman" w:cs="Times New Roman"/>
          <w:color w:val="0E101A"/>
          <w:kern w:val="0"/>
          <w:lang w:eastAsia="nl-NL"/>
          <w14:ligatures w14:val="none"/>
        </w:rPr>
        <w:t xml:space="preserve"> way of protecting the agency is by creating an institutional makeup that is autonomous with fairly little accountability, or the agency slowly shifting towards this autonomy (Busuioc et al., 2011). Agencies are generally assumed to be able to act separately from their political oversight but for their democratic legitimacy are also expected to report back to the political actors (Busuioc et al., 2011). So often when an agency is founded it comes there are certain checks and balances and a clearly defined contract in which it states what its jurisdiction is and what they are forbidden to do (Busuioc et al., 2011; Blom-Hansen, 2005). However, </w:t>
      </w:r>
      <w:r w:rsidR="001B2B84" w:rsidRPr="00B64C8D">
        <w:rPr>
          <w:rFonts w:ascii="Times New Roman" w:eastAsia="Times New Roman" w:hAnsi="Times New Roman" w:cs="Times New Roman"/>
          <w:color w:val="0E101A"/>
          <w:kern w:val="0"/>
          <w:lang w:eastAsia="nl-NL"/>
          <w14:ligatures w14:val="none"/>
        </w:rPr>
        <w:t>during</w:t>
      </w:r>
      <w:r w:rsidRPr="00B64C8D">
        <w:rPr>
          <w:rFonts w:ascii="Times New Roman" w:eastAsia="Times New Roman" w:hAnsi="Times New Roman" w:cs="Times New Roman"/>
          <w:color w:val="0E101A"/>
          <w:kern w:val="0"/>
          <w:lang w:eastAsia="nl-NL"/>
          <w14:ligatures w14:val="none"/>
        </w:rPr>
        <w:t xml:space="preserve"> the life of an agency, there is a shift from the autonomy they received in their founding treaties and the autonomy they eventually wield (Yesilkagit, 2004; Busuioc et al., 2011). As previously established, autonomy is divided into 4 subcategories. These subdivisions </w:t>
      </w:r>
      <w:r w:rsidR="003B1A6D" w:rsidRPr="00B64C8D">
        <w:rPr>
          <w:rFonts w:ascii="Times New Roman" w:eastAsia="Times New Roman" w:hAnsi="Times New Roman" w:cs="Times New Roman"/>
          <w:color w:val="0E101A"/>
          <w:kern w:val="0"/>
          <w:lang w:eastAsia="nl-NL"/>
          <w14:ligatures w14:val="none"/>
        </w:rPr>
        <w:t>are</w:t>
      </w:r>
      <w:r w:rsidRPr="00B64C8D">
        <w:rPr>
          <w:rFonts w:ascii="Times New Roman" w:eastAsia="Times New Roman" w:hAnsi="Times New Roman" w:cs="Times New Roman"/>
          <w:color w:val="0E101A"/>
          <w:kern w:val="0"/>
          <w:lang w:eastAsia="nl-NL"/>
          <w14:ligatures w14:val="none"/>
        </w:rPr>
        <w:t xml:space="preserve"> policy, personal, financial, and legal autonomy. In line with the logic of Busuiocs (2011) the agencies always try the acquire this autonomy, as it is a certain security for their institutional survival. This would support the argument that semi-regulated agencies are striving to gain autonomy to ensure their institutional survival.</w:t>
      </w:r>
    </w:p>
    <w:p w14:paraId="2D79A1F0" w14:textId="16B6EE7D" w:rsidR="00540F78" w:rsidRPr="00B64C8D" w:rsidRDefault="00540F78" w:rsidP="00D67D0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 xml:space="preserve">Another way to ensure the institutional survival of agencies is by performance (De Sousa, 2009). Meaning that if a (semi-)independent agency is performing well, according to the actors in its policy </w:t>
      </w:r>
      <w:r w:rsidRPr="00B64C8D">
        <w:rPr>
          <w:rFonts w:ascii="Times New Roman" w:eastAsia="Times New Roman" w:hAnsi="Times New Roman" w:cs="Times New Roman"/>
          <w:color w:val="0E101A"/>
          <w:kern w:val="0"/>
          <w:lang w:eastAsia="nl-NL"/>
          <w14:ligatures w14:val="none"/>
        </w:rPr>
        <w:lastRenderedPageBreak/>
        <w:t xml:space="preserve">field or the actors that have formal jurisdiction over the agency they are less likely to get involved. Traditionally this performance was mainly evaluated through perceived output, but more recently there is also more attention to input and throughput indicators of performance (De Sousa, 2009). Input mainly goes into the fact if the institution is perceived as legitimate, so is there enough democratic influence in shaping the institution? </w:t>
      </w:r>
      <w:r w:rsidR="001035D7" w:rsidRPr="00B64C8D">
        <w:rPr>
          <w:rFonts w:ascii="Times New Roman" w:eastAsia="Times New Roman" w:hAnsi="Times New Roman" w:cs="Times New Roman"/>
          <w:color w:val="0E101A"/>
          <w:kern w:val="0"/>
          <w:lang w:eastAsia="nl-NL"/>
          <w14:ligatures w14:val="none"/>
        </w:rPr>
        <w:t>So,</w:t>
      </w:r>
      <w:r w:rsidRPr="00B64C8D">
        <w:rPr>
          <w:rFonts w:ascii="Times New Roman" w:eastAsia="Times New Roman" w:hAnsi="Times New Roman" w:cs="Times New Roman"/>
          <w:color w:val="0E101A"/>
          <w:kern w:val="0"/>
          <w:lang w:eastAsia="nl-NL"/>
          <w14:ligatures w14:val="none"/>
        </w:rPr>
        <w:t xml:space="preserve"> is there some form of responsiveness to the wants of the citizens? Are the citizens included in the creation of policy and are they heard? In the European context, it is seen as a majoritarian input that should be leading. This does not necessarily mean </w:t>
      </w:r>
      <w:r w:rsidR="001035D7" w:rsidRPr="00B64C8D">
        <w:rPr>
          <w:rFonts w:ascii="Times New Roman" w:eastAsia="Times New Roman" w:hAnsi="Times New Roman" w:cs="Times New Roman"/>
          <w:color w:val="0E101A"/>
          <w:kern w:val="0"/>
          <w:lang w:eastAsia="nl-NL"/>
          <w14:ligatures w14:val="none"/>
        </w:rPr>
        <w:t>voting,</w:t>
      </w:r>
      <w:r w:rsidRPr="00B64C8D">
        <w:rPr>
          <w:rFonts w:ascii="Times New Roman" w:eastAsia="Times New Roman" w:hAnsi="Times New Roman" w:cs="Times New Roman"/>
          <w:color w:val="0E101A"/>
          <w:kern w:val="0"/>
          <w:lang w:eastAsia="nl-NL"/>
          <w14:ligatures w14:val="none"/>
        </w:rPr>
        <w:t xml:space="preserve"> but it could include it. Next to direct democratic participation of all citizens, the input can also come from a range of public actors, such as interest groups, demonstrations, or public interest groups. Then there is the perceived output, as is in the name it mainly looks at the production of effective policy. So </w:t>
      </w:r>
      <w:r w:rsidR="001035D7" w:rsidRPr="00B64C8D">
        <w:rPr>
          <w:rFonts w:ascii="Times New Roman" w:eastAsia="Times New Roman" w:hAnsi="Times New Roman" w:cs="Times New Roman"/>
          <w:color w:val="0E101A"/>
          <w:kern w:val="0"/>
          <w:lang w:eastAsia="nl-NL"/>
          <w14:ligatures w14:val="none"/>
        </w:rPr>
        <w:t>generally,</w:t>
      </w:r>
      <w:r w:rsidRPr="00B64C8D">
        <w:rPr>
          <w:rFonts w:ascii="Times New Roman" w:eastAsia="Times New Roman" w:hAnsi="Times New Roman" w:cs="Times New Roman"/>
          <w:color w:val="0E101A"/>
          <w:kern w:val="0"/>
          <w:lang w:eastAsia="nl-NL"/>
          <w14:ligatures w14:val="none"/>
        </w:rPr>
        <w:t xml:space="preserve"> if the performance of a certain agency is perceived as positive there is more output legitimacy. This means the policy also needs to be in line with the values citizens hold. The last form of legitimacy is throughput legitimacy, this is more about the legitimacy of the policy process. It looks at the factors as transparency and accountability next to that it also zooms into further consultations that are being held with citizens during the policy-making process. It is important to note that these different types of legitimacy can partly spill over into each other. Meaning that if there is low input legitimacy but very high output legitimacy the entire institution could still be perceived as legitimate. For instance, if an institution does not have democratic input but the policies it makes and enforces are seen as just and legitimate the institution as a whole can still be perceived as a legitimate one (Schmidt, 2013).</w:t>
      </w:r>
    </w:p>
    <w:p w14:paraId="791A4FEE" w14:textId="649E0D08" w:rsidR="00703A89" w:rsidRPr="00B64C8D" w:rsidRDefault="00943576" w:rsidP="00B64C8D">
      <w:pPr>
        <w:tabs>
          <w:tab w:val="left" w:pos="8330"/>
        </w:tabs>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ab/>
      </w:r>
    </w:p>
    <w:p w14:paraId="017956D9" w14:textId="198DCD0B" w:rsidR="00703A89" w:rsidRPr="00B64C8D" w:rsidRDefault="00D17B37" w:rsidP="00B64C8D">
      <w:pPr>
        <w:pStyle w:val="Kop2"/>
        <w:spacing w:line="360" w:lineRule="auto"/>
        <w:rPr>
          <w:rFonts w:ascii="Times New Roman" w:hAnsi="Times New Roman" w:cs="Times New Roman"/>
          <w:sz w:val="22"/>
          <w:szCs w:val="22"/>
        </w:rPr>
      </w:pPr>
      <w:bookmarkStart w:id="46" w:name="_Toc152251994"/>
      <w:r w:rsidRPr="00B64C8D">
        <w:rPr>
          <w:rFonts w:ascii="Times New Roman" w:hAnsi="Times New Roman" w:cs="Times New Roman"/>
          <w:sz w:val="22"/>
          <w:szCs w:val="22"/>
        </w:rPr>
        <w:t>3.</w:t>
      </w:r>
      <w:r w:rsidR="008861ED" w:rsidRPr="00B64C8D">
        <w:rPr>
          <w:rFonts w:ascii="Times New Roman" w:hAnsi="Times New Roman" w:cs="Times New Roman"/>
          <w:sz w:val="22"/>
          <w:szCs w:val="22"/>
        </w:rPr>
        <w:t>4</w:t>
      </w:r>
      <w:r w:rsidRPr="00B64C8D">
        <w:rPr>
          <w:rFonts w:ascii="Times New Roman" w:hAnsi="Times New Roman" w:cs="Times New Roman"/>
          <w:sz w:val="22"/>
          <w:szCs w:val="22"/>
        </w:rPr>
        <w:t xml:space="preserve">. </w:t>
      </w:r>
      <w:r w:rsidR="00703A89" w:rsidRPr="00B64C8D">
        <w:rPr>
          <w:rFonts w:ascii="Times New Roman" w:hAnsi="Times New Roman" w:cs="Times New Roman"/>
          <w:sz w:val="22"/>
          <w:szCs w:val="22"/>
        </w:rPr>
        <w:t>Interest groups</w:t>
      </w:r>
      <w:bookmarkEnd w:id="46"/>
    </w:p>
    <w:p w14:paraId="11EB391F" w14:textId="3C696DB2" w:rsidR="00703A89" w:rsidRPr="00B64C8D" w:rsidRDefault="00703A89"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 xml:space="preserve">To start </w:t>
      </w:r>
      <w:r w:rsidR="00C4269A" w:rsidRPr="00B64C8D">
        <w:rPr>
          <w:rFonts w:ascii="Times New Roman" w:eastAsia="Times New Roman" w:hAnsi="Times New Roman" w:cs="Times New Roman"/>
          <w:color w:val="0E101A"/>
          <w:kern w:val="0"/>
          <w:lang w:eastAsia="nl-NL"/>
          <w14:ligatures w14:val="none"/>
        </w:rPr>
        <w:t>off</w:t>
      </w:r>
      <w:r w:rsidRPr="00B64C8D">
        <w:rPr>
          <w:rFonts w:ascii="Times New Roman" w:eastAsia="Times New Roman" w:hAnsi="Times New Roman" w:cs="Times New Roman"/>
          <w:color w:val="0E101A"/>
          <w:kern w:val="0"/>
          <w:lang w:eastAsia="nl-NL"/>
          <w14:ligatures w14:val="none"/>
        </w:rPr>
        <w:t xml:space="preserve"> with the non-public actors that are active in </w:t>
      </w:r>
      <w:r w:rsidR="00C4269A" w:rsidRPr="00B64C8D">
        <w:rPr>
          <w:rFonts w:ascii="Times New Roman" w:eastAsia="Times New Roman" w:hAnsi="Times New Roman" w:cs="Times New Roman"/>
          <w:color w:val="0E101A"/>
          <w:kern w:val="0"/>
          <w:lang w:eastAsia="nl-NL"/>
          <w14:ligatures w14:val="none"/>
        </w:rPr>
        <w:t>multi-level</w:t>
      </w:r>
      <w:r w:rsidRPr="00B64C8D">
        <w:rPr>
          <w:rFonts w:ascii="Times New Roman" w:eastAsia="Times New Roman" w:hAnsi="Times New Roman" w:cs="Times New Roman"/>
          <w:color w:val="0E101A"/>
          <w:kern w:val="0"/>
          <w:lang w:eastAsia="nl-NL"/>
          <w14:ligatures w14:val="none"/>
        </w:rPr>
        <w:t xml:space="preserve"> policy making, there are interest groups. </w:t>
      </w:r>
      <w:r w:rsidR="00D17B37" w:rsidRPr="00B64C8D">
        <w:rPr>
          <w:rFonts w:ascii="Times New Roman" w:eastAsia="Times New Roman" w:hAnsi="Times New Roman" w:cs="Times New Roman"/>
          <w:color w:val="0E101A"/>
          <w:kern w:val="0"/>
          <w:lang w:eastAsia="nl-NL"/>
          <w14:ligatures w14:val="none"/>
        </w:rPr>
        <w:t xml:space="preserve">These actors are no public actors and for that reason do not exercise formal power in the MLG-system. However, they are tasked to influence those who do have formal power. </w:t>
      </w:r>
      <w:r w:rsidRPr="00B64C8D">
        <w:rPr>
          <w:rFonts w:ascii="Times New Roman" w:eastAsia="Times New Roman" w:hAnsi="Times New Roman" w:cs="Times New Roman"/>
          <w:color w:val="0E101A"/>
          <w:kern w:val="0"/>
          <w:lang w:eastAsia="nl-NL"/>
          <w14:ligatures w14:val="none"/>
        </w:rPr>
        <w:t xml:space="preserve">An interest group or lobby organization is an actor that tries to influence policy making both directly and indirectly. Both the study of these research groups and the effect they seem to have on politics and society seems to be rising (Berkhout et al., 2015). Often these interest groups are deemed pivotal in both the creation of policy as the implementation of it (Pakull et al., 2020). </w:t>
      </w:r>
    </w:p>
    <w:p w14:paraId="07FB16F5" w14:textId="77777777" w:rsidR="00703A89" w:rsidRPr="00B64C8D" w:rsidRDefault="00703A89"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 xml:space="preserve"> A big trend in lobbying within the EU context is that interest groups have started to </w:t>
      </w:r>
      <w:proofErr w:type="gramStart"/>
      <w:r w:rsidRPr="00B64C8D">
        <w:rPr>
          <w:rFonts w:ascii="Times New Roman" w:eastAsia="Times New Roman" w:hAnsi="Times New Roman" w:cs="Times New Roman"/>
          <w:color w:val="0E101A"/>
          <w:kern w:val="0"/>
          <w:lang w:eastAsia="nl-NL"/>
          <w14:ligatures w14:val="none"/>
        </w:rPr>
        <w:t>more actively lobby later</w:t>
      </w:r>
      <w:proofErr w:type="gramEnd"/>
      <w:r w:rsidRPr="00B64C8D">
        <w:rPr>
          <w:rFonts w:ascii="Times New Roman" w:eastAsia="Times New Roman" w:hAnsi="Times New Roman" w:cs="Times New Roman"/>
          <w:color w:val="0E101A"/>
          <w:kern w:val="0"/>
          <w:lang w:eastAsia="nl-NL"/>
          <w14:ligatures w14:val="none"/>
        </w:rPr>
        <w:t xml:space="preserve"> in the implementation cycle, for instance directly lobby EU agencies (Giannetto, 2019). Especially these agencies are targeted by corporate interest groups (Pakull et al., 2020). </w:t>
      </w:r>
    </w:p>
    <w:p w14:paraId="6541B13B" w14:textId="01999753" w:rsidR="00703A89" w:rsidRPr="00B64C8D" w:rsidRDefault="00703A89"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 xml:space="preserve">The interest groups also have an opportunity to choose between different lobby strategies. These can roughly be divided into two groups. The first is outside lobbying, here the interest group tries to influence policymakers indirectly. This is done by rallying the general public to their side, often this is done by contacting the media. The other way of trying to influence policy is by directly trying to </w:t>
      </w:r>
      <w:r w:rsidRPr="00B64C8D">
        <w:rPr>
          <w:rFonts w:ascii="Times New Roman" w:eastAsia="Times New Roman" w:hAnsi="Times New Roman" w:cs="Times New Roman"/>
          <w:color w:val="0E101A"/>
          <w:kern w:val="0"/>
          <w:lang w:eastAsia="nl-NL"/>
          <w14:ligatures w14:val="none"/>
        </w:rPr>
        <w:lastRenderedPageBreak/>
        <w:t>influence elites. The main way of influencing policymakers is by giving them information about the situation that is in line with the policy outcome these interest groups want (Junk, 2016). </w:t>
      </w:r>
    </w:p>
    <w:p w14:paraId="6B5DA387" w14:textId="77777777" w:rsidR="00C4269A" w:rsidRPr="00B64C8D" w:rsidRDefault="00C4269A" w:rsidP="00B64C8D">
      <w:pPr>
        <w:spacing w:after="0" w:line="360" w:lineRule="auto"/>
        <w:rPr>
          <w:rFonts w:ascii="Times New Roman" w:eastAsia="Times New Roman" w:hAnsi="Times New Roman" w:cs="Times New Roman"/>
          <w:color w:val="0E101A"/>
          <w:kern w:val="0"/>
          <w:lang w:eastAsia="nl-NL"/>
          <w14:ligatures w14:val="none"/>
        </w:rPr>
      </w:pPr>
    </w:p>
    <w:p w14:paraId="79D18374" w14:textId="77777777" w:rsidR="00D67D0D" w:rsidRDefault="009120F0" w:rsidP="00D67D0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The expectation is that an agency that tries to ensure its institutional survival</w:t>
      </w:r>
      <w:r w:rsidR="00D67D0D">
        <w:rPr>
          <w:rFonts w:ascii="Times New Roman" w:eastAsia="Times New Roman" w:hAnsi="Times New Roman" w:cs="Times New Roman"/>
          <w:color w:val="0E101A"/>
          <w:kern w:val="0"/>
          <w:lang w:eastAsia="nl-NL"/>
          <w14:ligatures w14:val="none"/>
        </w:rPr>
        <w:t>, which it can do by making itself essential for the functioning of the EU.</w:t>
      </w:r>
      <w:r w:rsidR="00966EC2" w:rsidRPr="00B64C8D">
        <w:rPr>
          <w:rFonts w:ascii="Times New Roman" w:eastAsia="Times New Roman" w:hAnsi="Times New Roman" w:cs="Times New Roman"/>
          <w:color w:val="0E101A"/>
          <w:kern w:val="0"/>
          <w:lang w:eastAsia="nl-NL"/>
          <w14:ligatures w14:val="none"/>
        </w:rPr>
        <w:t xml:space="preserve"> In the MLG II marketplace we see that an agency can become essential by being the only one to be able to be able to do a certain set of tasks. </w:t>
      </w:r>
    </w:p>
    <w:p w14:paraId="7F30A694" w14:textId="783B5C24" w:rsidR="00703993" w:rsidRDefault="00DA663F" w:rsidP="00A06CF0">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Interest groups can play into this in a way that benefits them and the agency</w:t>
      </w:r>
      <w:r w:rsidR="00D67D0D">
        <w:rPr>
          <w:rFonts w:ascii="Times New Roman" w:eastAsia="Times New Roman" w:hAnsi="Times New Roman" w:cs="Times New Roman"/>
          <w:color w:val="0E101A"/>
          <w:kern w:val="0"/>
          <w:lang w:eastAsia="nl-NL"/>
          <w14:ligatures w14:val="none"/>
        </w:rPr>
        <w:t>. What we see now is that interest groups have more possibilities to lobby directly to agencies</w:t>
      </w:r>
      <w:r w:rsidR="00A06CF0">
        <w:rPr>
          <w:rFonts w:ascii="Times New Roman" w:eastAsia="Times New Roman" w:hAnsi="Times New Roman" w:cs="Times New Roman"/>
          <w:color w:val="0E101A"/>
          <w:kern w:val="0"/>
          <w:lang w:eastAsia="nl-NL"/>
          <w14:ligatures w14:val="none"/>
        </w:rPr>
        <w:t xml:space="preserve"> with direct contact with the policy makers</w:t>
      </w:r>
      <w:r w:rsidRPr="00B64C8D">
        <w:rPr>
          <w:rFonts w:ascii="Times New Roman" w:eastAsia="Times New Roman" w:hAnsi="Times New Roman" w:cs="Times New Roman"/>
          <w:color w:val="0E101A"/>
          <w:kern w:val="0"/>
          <w:lang w:eastAsia="nl-NL"/>
          <w14:ligatures w14:val="none"/>
        </w:rPr>
        <w:t xml:space="preserve"> and relatively less towards political elected officials. </w:t>
      </w:r>
      <w:r w:rsidR="00CB6C9F">
        <w:rPr>
          <w:rFonts w:ascii="Times New Roman" w:eastAsia="Times New Roman" w:hAnsi="Times New Roman" w:cs="Times New Roman"/>
          <w:color w:val="0E101A"/>
          <w:kern w:val="0"/>
          <w:lang w:eastAsia="nl-NL"/>
          <w14:ligatures w14:val="none"/>
        </w:rPr>
        <w:t xml:space="preserve">This makes agencies an interesting group to lobby for these interest groups, which is why it seems logical that the interest groups would want to see them getting more autonomy so the meetings they have can even have more effect. For this </w:t>
      </w:r>
      <w:r w:rsidR="003B1A6D">
        <w:rPr>
          <w:rFonts w:ascii="Times New Roman" w:eastAsia="Times New Roman" w:hAnsi="Times New Roman" w:cs="Times New Roman"/>
          <w:color w:val="0E101A"/>
          <w:kern w:val="0"/>
          <w:lang w:eastAsia="nl-NL"/>
          <w14:ligatures w14:val="none"/>
        </w:rPr>
        <w:t>reason,</w:t>
      </w:r>
      <w:r w:rsidR="00CB6C9F">
        <w:rPr>
          <w:rFonts w:ascii="Times New Roman" w:eastAsia="Times New Roman" w:hAnsi="Times New Roman" w:cs="Times New Roman"/>
          <w:color w:val="0E101A"/>
          <w:kern w:val="0"/>
          <w:lang w:eastAsia="nl-NL"/>
          <w14:ligatures w14:val="none"/>
        </w:rPr>
        <w:t xml:space="preserve"> it can be expected that interest groups would help agencies gain more autonomy.</w:t>
      </w:r>
    </w:p>
    <w:p w14:paraId="498FB12F" w14:textId="77777777" w:rsidR="00CB6C9F" w:rsidRPr="00B64C8D" w:rsidRDefault="00CB6C9F" w:rsidP="00A06CF0">
      <w:pPr>
        <w:spacing w:after="0" w:line="360" w:lineRule="auto"/>
        <w:rPr>
          <w:rFonts w:ascii="Times New Roman" w:eastAsia="Times New Roman" w:hAnsi="Times New Roman" w:cs="Times New Roman"/>
          <w:lang w:eastAsia="nl-NL"/>
        </w:rPr>
      </w:pPr>
    </w:p>
    <w:p w14:paraId="6FAED40D" w14:textId="436B46F1" w:rsidR="00703A89" w:rsidRPr="00B64C8D" w:rsidRDefault="00D17B37" w:rsidP="00B64C8D">
      <w:pPr>
        <w:pStyle w:val="Kop2"/>
        <w:spacing w:line="360" w:lineRule="auto"/>
        <w:rPr>
          <w:rFonts w:ascii="Times New Roman" w:eastAsia="Times New Roman" w:hAnsi="Times New Roman" w:cs="Times New Roman"/>
          <w:sz w:val="22"/>
          <w:szCs w:val="22"/>
          <w:lang w:eastAsia="nl-NL"/>
        </w:rPr>
      </w:pPr>
      <w:bookmarkStart w:id="47" w:name="_Toc152251995"/>
      <w:r w:rsidRPr="00B64C8D">
        <w:rPr>
          <w:rFonts w:ascii="Times New Roman" w:eastAsia="Times New Roman" w:hAnsi="Times New Roman" w:cs="Times New Roman"/>
          <w:sz w:val="22"/>
          <w:szCs w:val="22"/>
          <w:lang w:eastAsia="nl-NL"/>
        </w:rPr>
        <w:t>3.</w:t>
      </w:r>
      <w:r w:rsidR="008861ED" w:rsidRPr="00B64C8D">
        <w:rPr>
          <w:rFonts w:ascii="Times New Roman" w:eastAsia="Times New Roman" w:hAnsi="Times New Roman" w:cs="Times New Roman"/>
          <w:sz w:val="22"/>
          <w:szCs w:val="22"/>
          <w:lang w:eastAsia="nl-NL"/>
        </w:rPr>
        <w:t>5</w:t>
      </w:r>
      <w:r w:rsidRPr="00B64C8D">
        <w:rPr>
          <w:rFonts w:ascii="Times New Roman" w:eastAsia="Times New Roman" w:hAnsi="Times New Roman" w:cs="Times New Roman"/>
          <w:sz w:val="22"/>
          <w:szCs w:val="22"/>
          <w:lang w:eastAsia="nl-NL"/>
        </w:rPr>
        <w:t xml:space="preserve">. </w:t>
      </w:r>
      <w:r w:rsidR="00703A89" w:rsidRPr="00B64C8D">
        <w:rPr>
          <w:rFonts w:ascii="Times New Roman" w:eastAsia="Times New Roman" w:hAnsi="Times New Roman" w:cs="Times New Roman"/>
          <w:sz w:val="22"/>
          <w:szCs w:val="22"/>
          <w:lang w:eastAsia="nl-NL"/>
        </w:rPr>
        <w:t>Depoliticization</w:t>
      </w:r>
      <w:bookmarkEnd w:id="47"/>
      <w:r w:rsidR="00703A89" w:rsidRPr="00B64C8D">
        <w:rPr>
          <w:rFonts w:ascii="Times New Roman" w:eastAsia="Times New Roman" w:hAnsi="Times New Roman" w:cs="Times New Roman"/>
          <w:sz w:val="22"/>
          <w:szCs w:val="22"/>
          <w:lang w:eastAsia="nl-NL"/>
        </w:rPr>
        <w:t> </w:t>
      </w:r>
    </w:p>
    <w:p w14:paraId="2109DFA0" w14:textId="08265619" w:rsidR="00703A89" w:rsidRPr="00B64C8D" w:rsidRDefault="000E02AC" w:rsidP="00B64C8D">
      <w:pPr>
        <w:spacing w:after="0" w:line="360" w:lineRule="auto"/>
        <w:rPr>
          <w:rFonts w:ascii="Times New Roman" w:eastAsia="Times New Roman" w:hAnsi="Times New Roman" w:cs="Times New Roman"/>
          <w:color w:val="0E101A"/>
          <w:kern w:val="0"/>
          <w:lang w:eastAsia="nl-NL"/>
          <w14:ligatures w14:val="none"/>
        </w:rPr>
      </w:pPr>
      <w:bookmarkStart w:id="48" w:name="_Hlk141879371"/>
      <w:r w:rsidRPr="00B64C8D">
        <w:rPr>
          <w:rFonts w:ascii="Times New Roman" w:eastAsia="Times New Roman" w:hAnsi="Times New Roman" w:cs="Times New Roman"/>
          <w:color w:val="0E101A"/>
          <w:kern w:val="0"/>
          <w:lang w:eastAsia="nl-NL"/>
          <w14:ligatures w14:val="none"/>
        </w:rPr>
        <w:t>The structure of MLG, especially type II MLG is slightly opaque</w:t>
      </w:r>
      <w:r w:rsidR="00703993" w:rsidRPr="00B64C8D">
        <w:rPr>
          <w:rFonts w:ascii="Times New Roman" w:eastAsia="Times New Roman" w:hAnsi="Times New Roman" w:cs="Times New Roman"/>
          <w:color w:val="0E101A"/>
          <w:kern w:val="0"/>
          <w:lang w:eastAsia="nl-NL"/>
          <w14:ligatures w14:val="none"/>
        </w:rPr>
        <w:t>, m</w:t>
      </w:r>
      <w:r w:rsidRPr="00B64C8D">
        <w:rPr>
          <w:rFonts w:ascii="Times New Roman" w:eastAsia="Times New Roman" w:hAnsi="Times New Roman" w:cs="Times New Roman"/>
          <w:color w:val="0E101A"/>
          <w:kern w:val="0"/>
          <w:lang w:eastAsia="nl-NL"/>
          <w14:ligatures w14:val="none"/>
        </w:rPr>
        <w:t xml:space="preserve">eaning that it is often, for an outsider, difficult to establish who is responsible for what policy field or geographical area. This is why this process lends itself </w:t>
      </w:r>
      <w:r w:rsidR="00BF0BE1" w:rsidRPr="00B64C8D">
        <w:rPr>
          <w:rFonts w:ascii="Times New Roman" w:eastAsia="Times New Roman" w:hAnsi="Times New Roman" w:cs="Times New Roman"/>
          <w:color w:val="0E101A"/>
          <w:kern w:val="0"/>
          <w:lang w:eastAsia="nl-NL"/>
          <w14:ligatures w14:val="none"/>
        </w:rPr>
        <w:t>extremely</w:t>
      </w:r>
      <w:r w:rsidRPr="00B64C8D">
        <w:rPr>
          <w:rFonts w:ascii="Times New Roman" w:eastAsia="Times New Roman" w:hAnsi="Times New Roman" w:cs="Times New Roman"/>
          <w:color w:val="0E101A"/>
          <w:kern w:val="0"/>
          <w:lang w:eastAsia="nl-NL"/>
          <w14:ligatures w14:val="none"/>
        </w:rPr>
        <w:t xml:space="preserve"> well for </w:t>
      </w:r>
      <w:r w:rsidR="00BF0BE1" w:rsidRPr="00B64C8D">
        <w:rPr>
          <w:rFonts w:ascii="Times New Roman" w:eastAsia="Times New Roman" w:hAnsi="Times New Roman" w:cs="Times New Roman"/>
          <w:lang w:eastAsia="nl-NL"/>
        </w:rPr>
        <w:t>depoliticization</w:t>
      </w:r>
      <w:r w:rsidRPr="00B64C8D">
        <w:rPr>
          <w:rFonts w:ascii="Times New Roman" w:eastAsia="Times New Roman" w:hAnsi="Times New Roman" w:cs="Times New Roman"/>
          <w:color w:val="0E101A"/>
          <w:kern w:val="0"/>
          <w:lang w:eastAsia="nl-NL"/>
          <w14:ligatures w14:val="none"/>
        </w:rPr>
        <w:t>.</w:t>
      </w:r>
      <w:r w:rsidR="00BF0BE1" w:rsidRPr="00B64C8D">
        <w:rPr>
          <w:rFonts w:ascii="Times New Roman" w:eastAsia="Times New Roman" w:hAnsi="Times New Roman" w:cs="Times New Roman"/>
          <w:color w:val="0E101A"/>
          <w:kern w:val="0"/>
          <w:lang w:eastAsia="nl-NL"/>
          <w14:ligatures w14:val="none"/>
        </w:rPr>
        <w:t xml:space="preserve"> As will be explained in the next subchapter the </w:t>
      </w:r>
      <w:r w:rsidR="003B1A6D" w:rsidRPr="00B64C8D">
        <w:rPr>
          <w:rFonts w:ascii="Times New Roman" w:eastAsia="Times New Roman" w:hAnsi="Times New Roman" w:cs="Times New Roman"/>
          <w:color w:val="0E101A"/>
          <w:kern w:val="0"/>
          <w:lang w:eastAsia="nl-NL"/>
          <w14:ligatures w14:val="none"/>
        </w:rPr>
        <w:t>often-vague</w:t>
      </w:r>
      <w:r w:rsidR="00BF0BE1" w:rsidRPr="00B64C8D">
        <w:rPr>
          <w:rFonts w:ascii="Times New Roman" w:eastAsia="Times New Roman" w:hAnsi="Times New Roman" w:cs="Times New Roman"/>
          <w:color w:val="0E101A"/>
          <w:kern w:val="0"/>
          <w:lang w:eastAsia="nl-NL"/>
          <w14:ligatures w14:val="none"/>
        </w:rPr>
        <w:t xml:space="preserve"> setup of a MLG system allows the different aspects that make depoliticization possible</w:t>
      </w:r>
      <w:r w:rsidR="00445C75" w:rsidRPr="00B64C8D">
        <w:rPr>
          <w:rFonts w:ascii="Times New Roman" w:eastAsia="Times New Roman" w:hAnsi="Times New Roman" w:cs="Times New Roman"/>
          <w:color w:val="0E101A"/>
          <w:kern w:val="0"/>
          <w:lang w:eastAsia="nl-NL"/>
          <w14:ligatures w14:val="none"/>
        </w:rPr>
        <w:t>, which will be further explained in this chapter.</w:t>
      </w:r>
      <w:bookmarkEnd w:id="48"/>
      <w:r w:rsidR="00703A89" w:rsidRPr="00B64C8D">
        <w:rPr>
          <w:rFonts w:ascii="Times New Roman" w:eastAsia="Times New Roman" w:hAnsi="Times New Roman" w:cs="Times New Roman"/>
          <w:color w:val="0E101A"/>
          <w:kern w:val="0"/>
          <w:lang w:eastAsia="nl-NL"/>
          <w14:ligatures w14:val="none"/>
        </w:rPr>
        <w:t xml:space="preserve"> Depoliticization is a concept that can most easily be understood as the process of moving things from the public and political debate (Radaelli, 2017). To put it in very simple terms, removing the politics and the debate around a topic or policy field. This however does not mean that there are no longer winners or losers in the outcome of policy decisions. The depoliticizing is historically tight to the European project. The EU and its predecessors always relied on presenting themselves as strictly experts and bureaucrats. This led to the term Permissive consensus (Hooghe &amp; Marks, 2009). Permissive consensus was the basic idea that the ruling EU elites knew what was best for “The People”, so they were best fitted to make the decisions for everyone. This view changed around 1991, from around this time the EU citizens were not just sitting back and letting the elites decide for them. They wanted an active voice in the process of policymaking, this was called constraining dissensus (Hooghe &amp; Marks, 2009). Especially in the European context, this led to some problems. Because there are a lot of different peoples, identities, and preferences divided over the 27 member states of the EU it is difficult to reach a consensus between all these people (Majone, 2001). Next to that is EU policymaking often about very niche and technical subjects in a wide range of policy fields, this makes it difficult for the general population to have an opinion about them all (Caramani, 2017). Not only the citizens but also the elected officials would need expertise on all these subjects to have an effective campaign and after that produce valuable policies (Majone, 2001). </w:t>
      </w:r>
    </w:p>
    <w:p w14:paraId="3F42BA34" w14:textId="449C9F89" w:rsidR="00094048" w:rsidRPr="00B64C8D" w:rsidRDefault="00094048"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lastRenderedPageBreak/>
        <w:t xml:space="preserve">Depoliticization is a strategy that political actors can use when a topic is too difficult to touch and having an opinion about it could cause a split in its supporters. </w:t>
      </w:r>
      <w:r w:rsidR="005F0B7F" w:rsidRPr="00B64C8D">
        <w:rPr>
          <w:rFonts w:ascii="Times New Roman" w:eastAsia="Times New Roman" w:hAnsi="Times New Roman" w:cs="Times New Roman"/>
          <w:color w:val="0E101A"/>
          <w:kern w:val="0"/>
          <w:lang w:eastAsia="nl-NL"/>
          <w14:ligatures w14:val="none"/>
        </w:rPr>
        <w:t xml:space="preserve">The strategy of depoliticization is used often in </w:t>
      </w:r>
      <w:r w:rsidR="001035D7" w:rsidRPr="00B64C8D">
        <w:rPr>
          <w:rFonts w:ascii="Times New Roman" w:eastAsia="Times New Roman" w:hAnsi="Times New Roman" w:cs="Times New Roman"/>
          <w:color w:val="0E101A"/>
          <w:kern w:val="0"/>
          <w:lang w:eastAsia="nl-NL"/>
          <w14:ligatures w14:val="none"/>
        </w:rPr>
        <w:t>the</w:t>
      </w:r>
      <w:r w:rsidR="005F0B7F" w:rsidRPr="00B64C8D">
        <w:rPr>
          <w:rFonts w:ascii="Times New Roman" w:eastAsia="Times New Roman" w:hAnsi="Times New Roman" w:cs="Times New Roman"/>
          <w:color w:val="0E101A"/>
          <w:kern w:val="0"/>
          <w:lang w:eastAsia="nl-NL"/>
          <w14:ligatures w14:val="none"/>
        </w:rPr>
        <w:t xml:space="preserve"> topic of migration (Lauwers, 2022) as it is by EU actors (Remling, 2018)</w:t>
      </w:r>
      <w:r w:rsidR="00676618" w:rsidRPr="00B64C8D">
        <w:rPr>
          <w:rFonts w:ascii="Times New Roman" w:eastAsia="Times New Roman" w:hAnsi="Times New Roman" w:cs="Times New Roman"/>
          <w:color w:val="0E101A"/>
          <w:kern w:val="0"/>
          <w:lang w:eastAsia="nl-NL"/>
          <w14:ligatures w14:val="none"/>
        </w:rPr>
        <w:t xml:space="preserve">. </w:t>
      </w:r>
    </w:p>
    <w:p w14:paraId="12D4BBFE" w14:textId="77777777" w:rsidR="00703A89" w:rsidRPr="00B64C8D" w:rsidRDefault="00703A89"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Depoliticizing can be done in a few ways, for instance by changing communication. When using more technical or legal language people are more likely to assume they need to let the experts handle it (Schimmelfenning, 2020). Another way to do it is by what Schimmelfenning (2020) calls agency strategies. These are circling the wagon and passing the buck. Circling the wagon is about spreading responsibility over as many actors as possible. This makes it opaque who is responsible, and blame will be diffused as well. The second strategy is passing the buck, this means policy areas, decisions, or topics are delegated, often to non-majoritarian institutions. This doesn’t mean that delegating to an agency is always a strategy just to depoliticize a problem. </w:t>
      </w:r>
    </w:p>
    <w:p w14:paraId="1030DC5B" w14:textId="7BD3A30A" w:rsidR="00703A89" w:rsidRPr="00B64C8D" w:rsidRDefault="00703A89"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As mentioned before the EU citizens no longer see it as fair if the EU elites just make policy without consulting the people. This lack of legitimacy is just one of the problems that comes with the process of depoliticization however it is probably the most important one.</w:t>
      </w:r>
      <w:r w:rsidR="00CB6C9F">
        <w:rPr>
          <w:rFonts w:ascii="Times New Roman" w:eastAsia="Times New Roman" w:hAnsi="Times New Roman" w:cs="Times New Roman"/>
          <w:color w:val="0E101A"/>
          <w:kern w:val="0"/>
          <w:lang w:eastAsia="nl-NL"/>
          <w14:ligatures w14:val="none"/>
        </w:rPr>
        <w:t xml:space="preserve"> For this </w:t>
      </w:r>
      <w:r w:rsidR="003B1A6D">
        <w:rPr>
          <w:rFonts w:ascii="Times New Roman" w:eastAsia="Times New Roman" w:hAnsi="Times New Roman" w:cs="Times New Roman"/>
          <w:color w:val="0E101A"/>
          <w:kern w:val="0"/>
          <w:lang w:eastAsia="nl-NL"/>
          <w14:ligatures w14:val="none"/>
        </w:rPr>
        <w:t>reason,</w:t>
      </w:r>
      <w:r w:rsidR="00CB6C9F">
        <w:rPr>
          <w:rFonts w:ascii="Times New Roman" w:eastAsia="Times New Roman" w:hAnsi="Times New Roman" w:cs="Times New Roman"/>
          <w:color w:val="0E101A"/>
          <w:kern w:val="0"/>
          <w:lang w:eastAsia="nl-NL"/>
          <w14:ligatures w14:val="none"/>
        </w:rPr>
        <w:t xml:space="preserve"> political actors can start outsourcing their depoliticization, meaning that they are not themselves making the choices for the public. The political elite gives that responsibility to the “experts” which are often less seen by the citizens and have a certain mandate because of their perceived expertise on the subject.</w:t>
      </w:r>
    </w:p>
    <w:p w14:paraId="3D82368C" w14:textId="77777777" w:rsidR="00703A89" w:rsidRPr="00B64C8D" w:rsidRDefault="00703A89"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                                                                                                                 </w:t>
      </w:r>
    </w:p>
    <w:p w14:paraId="560E073D" w14:textId="44A41FD1" w:rsidR="00703A89" w:rsidRPr="00D7137D" w:rsidRDefault="00D17B37" w:rsidP="00D7137D">
      <w:pPr>
        <w:pStyle w:val="Kop2"/>
        <w:rPr>
          <w:rFonts w:ascii="Times New Roman" w:eastAsia="Times New Roman" w:hAnsi="Times New Roman" w:cs="Times New Roman"/>
          <w:sz w:val="22"/>
          <w:szCs w:val="22"/>
          <w:lang w:eastAsia="nl-NL"/>
        </w:rPr>
      </w:pPr>
      <w:bookmarkStart w:id="49" w:name="_Toc152251996"/>
      <w:r w:rsidRPr="00D7137D">
        <w:rPr>
          <w:rFonts w:ascii="Times New Roman" w:eastAsia="Times New Roman" w:hAnsi="Times New Roman" w:cs="Times New Roman"/>
          <w:sz w:val="22"/>
          <w:szCs w:val="22"/>
          <w:lang w:eastAsia="nl-NL"/>
        </w:rPr>
        <w:t xml:space="preserve">3.6. </w:t>
      </w:r>
      <w:r w:rsidR="00703A89" w:rsidRPr="00D7137D">
        <w:rPr>
          <w:rFonts w:ascii="Times New Roman" w:eastAsia="Times New Roman" w:hAnsi="Times New Roman" w:cs="Times New Roman"/>
          <w:sz w:val="22"/>
          <w:szCs w:val="22"/>
          <w:lang w:eastAsia="nl-NL"/>
        </w:rPr>
        <w:t>Chapter conclusion</w:t>
      </w:r>
      <w:bookmarkEnd w:id="49"/>
    </w:p>
    <w:p w14:paraId="457B70AF" w14:textId="4640DB20" w:rsidR="00316A77" w:rsidRPr="00B64C8D" w:rsidRDefault="00703A89"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 xml:space="preserve">In short, this chapter has explored the theoretical foundations of multi-level governance (MLG). It went into the origin and explored its context within the wider academic literature. From this it also gives an insight into what </w:t>
      </w:r>
      <w:r w:rsidR="001035D7" w:rsidRPr="00B64C8D">
        <w:rPr>
          <w:rFonts w:ascii="Times New Roman" w:eastAsia="Times New Roman" w:hAnsi="Times New Roman" w:cs="Times New Roman"/>
          <w:color w:val="0E101A"/>
          <w:kern w:val="0"/>
          <w:lang w:eastAsia="nl-NL"/>
          <w14:ligatures w14:val="none"/>
        </w:rPr>
        <w:t>its</w:t>
      </w:r>
      <w:r w:rsidRPr="00B64C8D">
        <w:rPr>
          <w:rFonts w:ascii="Times New Roman" w:eastAsia="Times New Roman" w:hAnsi="Times New Roman" w:cs="Times New Roman"/>
          <w:color w:val="0E101A"/>
          <w:kern w:val="0"/>
          <w:lang w:eastAsia="nl-NL"/>
          <w14:ligatures w14:val="none"/>
        </w:rPr>
        <w:t xml:space="preserve"> strengths and weaknesses are. And what types of MLG are well suited for which form of governance is researched. Mainly Type II MLG will be used in this research because it has the best fitting for explaining behaviors of agencies and the actors that (try to) influence them.</w:t>
      </w:r>
      <w:r w:rsidRPr="00B64C8D">
        <w:rPr>
          <w:rFonts w:ascii="Times New Roman" w:eastAsia="Times New Roman" w:hAnsi="Times New Roman" w:cs="Times New Roman"/>
          <w:color w:val="0E101A"/>
          <w:kern w:val="0"/>
          <w:lang w:eastAsia="nl-NL"/>
          <w14:ligatures w14:val="none"/>
        </w:rPr>
        <w:br/>
      </w:r>
      <w:r w:rsidR="00A15FC5" w:rsidRPr="00B64C8D">
        <w:rPr>
          <w:rFonts w:ascii="Times New Roman" w:eastAsia="Times New Roman" w:hAnsi="Times New Roman" w:cs="Times New Roman"/>
          <w:color w:val="0E101A"/>
          <w:kern w:val="0"/>
          <w:lang w:eastAsia="nl-NL"/>
          <w14:ligatures w14:val="none"/>
        </w:rPr>
        <w:t xml:space="preserve">Next to exploring the major theories and concepts used for this research like </w:t>
      </w:r>
      <w:r w:rsidR="001035D7" w:rsidRPr="00B64C8D">
        <w:rPr>
          <w:rFonts w:ascii="Times New Roman" w:eastAsia="Times New Roman" w:hAnsi="Times New Roman" w:cs="Times New Roman"/>
          <w:color w:val="0E101A"/>
          <w:kern w:val="0"/>
          <w:lang w:eastAsia="nl-NL"/>
          <w14:ligatures w14:val="none"/>
        </w:rPr>
        <w:t>autonomy and</w:t>
      </w:r>
      <w:r w:rsidR="00A15FC5" w:rsidRPr="00B64C8D">
        <w:rPr>
          <w:rFonts w:ascii="Times New Roman" w:eastAsia="Times New Roman" w:hAnsi="Times New Roman" w:cs="Times New Roman"/>
          <w:color w:val="0E101A"/>
          <w:kern w:val="0"/>
          <w:lang w:eastAsia="nl-NL"/>
          <w14:ligatures w14:val="none"/>
        </w:rPr>
        <w:t xml:space="preserve"> MLG there was also </w:t>
      </w:r>
      <w:r w:rsidR="001B2B84" w:rsidRPr="00B64C8D">
        <w:rPr>
          <w:rFonts w:ascii="Times New Roman" w:eastAsia="Times New Roman" w:hAnsi="Times New Roman" w:cs="Times New Roman"/>
          <w:color w:val="0E101A"/>
          <w:kern w:val="0"/>
          <w:lang w:eastAsia="nl-NL"/>
          <w14:ligatures w14:val="none"/>
        </w:rPr>
        <w:t>needed</w:t>
      </w:r>
      <w:r w:rsidR="00A15FC5" w:rsidRPr="00B64C8D">
        <w:rPr>
          <w:rFonts w:ascii="Times New Roman" w:eastAsia="Times New Roman" w:hAnsi="Times New Roman" w:cs="Times New Roman"/>
          <w:color w:val="0E101A"/>
          <w:kern w:val="0"/>
          <w:lang w:eastAsia="nl-NL"/>
          <w14:ligatures w14:val="none"/>
        </w:rPr>
        <w:t xml:space="preserve"> to discuss some related but slightly deviating concepts. These included interest groups and institutional survival. These two concepts will be important to answer the first </w:t>
      </w:r>
      <w:r w:rsidR="00316A77" w:rsidRPr="00B64C8D">
        <w:rPr>
          <w:rFonts w:ascii="Times New Roman" w:eastAsia="Times New Roman" w:hAnsi="Times New Roman" w:cs="Times New Roman"/>
          <w:color w:val="0E101A"/>
          <w:kern w:val="0"/>
          <w:lang w:eastAsia="nl-NL"/>
          <w14:ligatures w14:val="none"/>
        </w:rPr>
        <w:t>sub</w:t>
      </w:r>
      <w:r w:rsidR="00A15FC5" w:rsidRPr="00B64C8D">
        <w:rPr>
          <w:rFonts w:ascii="Times New Roman" w:eastAsia="Times New Roman" w:hAnsi="Times New Roman" w:cs="Times New Roman"/>
          <w:color w:val="0E101A"/>
          <w:kern w:val="0"/>
          <w:lang w:eastAsia="nl-NL"/>
          <w14:ligatures w14:val="none"/>
        </w:rPr>
        <w:t xml:space="preserve"> question</w:t>
      </w:r>
      <w:r w:rsidR="00316A77" w:rsidRPr="00B64C8D">
        <w:rPr>
          <w:rFonts w:ascii="Times New Roman" w:eastAsia="Times New Roman" w:hAnsi="Times New Roman" w:cs="Times New Roman"/>
          <w:color w:val="0E101A"/>
          <w:kern w:val="0"/>
          <w:lang w:eastAsia="nl-NL"/>
          <w14:ligatures w14:val="none"/>
        </w:rPr>
        <w:t xml:space="preserve"> of this research</w:t>
      </w:r>
      <w:r w:rsidR="00A15FC5" w:rsidRPr="00B64C8D">
        <w:rPr>
          <w:rFonts w:ascii="Times New Roman" w:eastAsia="Times New Roman" w:hAnsi="Times New Roman" w:cs="Times New Roman"/>
          <w:color w:val="0E101A"/>
          <w:kern w:val="0"/>
          <w:lang w:eastAsia="nl-NL"/>
          <w14:ligatures w14:val="none"/>
        </w:rPr>
        <w:t xml:space="preserve">. This is because these two concepts are likely to shape Frontex’ preferences as an agency. </w:t>
      </w:r>
    </w:p>
    <w:p w14:paraId="7338A159" w14:textId="6F83C01D" w:rsidR="00703A89" w:rsidRPr="00B64C8D" w:rsidRDefault="00316A77"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 xml:space="preserve">To answer the second sub question (de)politization is </w:t>
      </w:r>
      <w:r w:rsidR="00D93C28" w:rsidRPr="00B64C8D">
        <w:rPr>
          <w:rFonts w:ascii="Times New Roman" w:eastAsia="Times New Roman" w:hAnsi="Times New Roman" w:cs="Times New Roman"/>
          <w:color w:val="0E101A"/>
          <w:kern w:val="0"/>
          <w:lang w:eastAsia="nl-NL"/>
          <w14:ligatures w14:val="none"/>
        </w:rPr>
        <w:t xml:space="preserve">vital. The expectation is that Frontex controlling actors have motivations that are politically guided. </w:t>
      </w:r>
      <w:r w:rsidR="00703A89" w:rsidRPr="00B64C8D">
        <w:rPr>
          <w:rFonts w:ascii="Times New Roman" w:eastAsia="Times New Roman" w:hAnsi="Times New Roman" w:cs="Times New Roman"/>
          <w:color w:val="0E101A"/>
          <w:kern w:val="0"/>
          <w:lang w:eastAsia="nl-NL"/>
          <w14:ligatures w14:val="none"/>
        </w:rPr>
        <w:t xml:space="preserve"> This allows the research to further dive into the causal mechanisms that it tries to explore. </w:t>
      </w:r>
      <w:r w:rsidR="00703A89" w:rsidRPr="00B64C8D">
        <w:rPr>
          <w:rFonts w:ascii="Times New Roman" w:eastAsia="Times New Roman" w:hAnsi="Times New Roman" w:cs="Times New Roman"/>
          <w:color w:val="0E101A"/>
          <w:kern w:val="0"/>
          <w:lang w:eastAsia="nl-NL"/>
          <w14:ligatures w14:val="none"/>
        </w:rPr>
        <w:br/>
      </w:r>
      <w:r w:rsidR="002E5C94" w:rsidRPr="00B64C8D">
        <w:rPr>
          <w:rFonts w:ascii="Times New Roman" w:eastAsia="Times New Roman" w:hAnsi="Times New Roman" w:cs="Times New Roman"/>
          <w:color w:val="0E101A"/>
          <w:kern w:val="0"/>
          <w:lang w:eastAsia="nl-NL"/>
          <w14:ligatures w14:val="none"/>
        </w:rPr>
        <w:t xml:space="preserve">The last concept that was explained in this chapter was autonomy and is what this research will try to explain within Frontex. </w:t>
      </w:r>
      <w:r w:rsidR="00703A89" w:rsidRPr="00B64C8D">
        <w:rPr>
          <w:rFonts w:ascii="Times New Roman" w:eastAsia="Times New Roman" w:hAnsi="Times New Roman" w:cs="Times New Roman"/>
          <w:color w:val="0E101A"/>
          <w:kern w:val="0"/>
          <w:lang w:eastAsia="nl-NL"/>
          <w14:ligatures w14:val="none"/>
        </w:rPr>
        <w:t xml:space="preserve"> </w:t>
      </w:r>
    </w:p>
    <w:p w14:paraId="79C8B66C" w14:textId="7FD99A21" w:rsidR="00AF2140" w:rsidRPr="00B64C8D" w:rsidRDefault="00AF2140"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lastRenderedPageBreak/>
        <w:t xml:space="preserve">These concepts will help this research locate and explain the causal mechanism behind the shift in Frontex. </w:t>
      </w:r>
      <w:r w:rsidR="00676F69" w:rsidRPr="00B64C8D">
        <w:rPr>
          <w:rFonts w:ascii="Times New Roman" w:eastAsia="Times New Roman" w:hAnsi="Times New Roman" w:cs="Times New Roman"/>
          <w:color w:val="0E101A"/>
          <w:kern w:val="0"/>
          <w:lang w:eastAsia="nl-NL"/>
          <w14:ligatures w14:val="none"/>
        </w:rPr>
        <w:t xml:space="preserve">Which </w:t>
      </w:r>
      <w:r w:rsidR="00393AF8" w:rsidRPr="00B64C8D">
        <w:rPr>
          <w:rFonts w:ascii="Times New Roman" w:eastAsia="Times New Roman" w:hAnsi="Times New Roman" w:cs="Times New Roman"/>
          <w:color w:val="0E101A"/>
          <w:kern w:val="0"/>
          <w:lang w:eastAsia="nl-NL"/>
          <w14:ligatures w14:val="none"/>
        </w:rPr>
        <w:t>is codified in the 2019 regulation resulting in more available instruments for the agency to use and more autonomy in the way Frontex chooses to use them.</w:t>
      </w:r>
    </w:p>
    <w:p w14:paraId="78D00E67" w14:textId="77777777" w:rsidR="00DA31F1" w:rsidRPr="00B64C8D" w:rsidRDefault="00DA31F1" w:rsidP="00B64C8D">
      <w:pPr>
        <w:pStyle w:val="Stijl1"/>
        <w:rPr>
          <w:rFonts w:ascii="Times New Roman" w:hAnsi="Times New Roman"/>
          <w:sz w:val="22"/>
          <w:szCs w:val="22"/>
        </w:rPr>
      </w:pPr>
    </w:p>
    <w:p w14:paraId="727F3715" w14:textId="0F0B9BB8" w:rsidR="009A3958" w:rsidRPr="00B64C8D" w:rsidRDefault="009A3958" w:rsidP="00B64C8D">
      <w:pPr>
        <w:spacing w:line="360" w:lineRule="auto"/>
        <w:rPr>
          <w:rFonts w:ascii="Times New Roman" w:eastAsiaTheme="majorEastAsia" w:hAnsi="Times New Roman" w:cs="Times New Roman"/>
          <w:color w:val="2F5496" w:themeColor="accent1" w:themeShade="BF"/>
        </w:rPr>
      </w:pPr>
      <w:r w:rsidRPr="00B64C8D">
        <w:rPr>
          <w:rFonts w:ascii="Times New Roman" w:hAnsi="Times New Roman" w:cs="Times New Roman"/>
        </w:rPr>
        <w:br w:type="page"/>
      </w:r>
    </w:p>
    <w:p w14:paraId="68E97006" w14:textId="77777777" w:rsidR="00312B4B" w:rsidRPr="00B64C8D" w:rsidRDefault="00312B4B" w:rsidP="00B64C8D">
      <w:pPr>
        <w:pStyle w:val="Stijl1"/>
        <w:rPr>
          <w:rFonts w:ascii="Times New Roman" w:hAnsi="Times New Roman"/>
          <w:sz w:val="22"/>
          <w:szCs w:val="22"/>
        </w:rPr>
      </w:pPr>
      <w:bookmarkStart w:id="50" w:name="_Toc149046430"/>
      <w:bookmarkStart w:id="51" w:name="_Toc152251997"/>
      <w:r w:rsidRPr="00B64C8D">
        <w:rPr>
          <w:rFonts w:ascii="Times New Roman" w:hAnsi="Times New Roman"/>
          <w:sz w:val="22"/>
          <w:szCs w:val="22"/>
        </w:rPr>
        <w:lastRenderedPageBreak/>
        <w:t>Chapter 4: Methods</w:t>
      </w:r>
      <w:bookmarkEnd w:id="50"/>
      <w:bookmarkEnd w:id="51"/>
    </w:p>
    <w:p w14:paraId="5E7B7962" w14:textId="45C5B461" w:rsidR="00312B4B" w:rsidRPr="00B64C8D" w:rsidRDefault="00312B4B" w:rsidP="00B64C8D">
      <w:pPr>
        <w:pStyle w:val="Normaalweb"/>
        <w:spacing w:before="0" w:beforeAutospacing="0" w:after="0" w:afterAutospacing="0" w:line="360" w:lineRule="auto"/>
        <w:rPr>
          <w:color w:val="0E101A"/>
          <w:sz w:val="22"/>
          <w:szCs w:val="22"/>
          <w:lang w:val="en-US"/>
        </w:rPr>
      </w:pPr>
      <w:r w:rsidRPr="00B64C8D">
        <w:rPr>
          <w:color w:val="0E101A"/>
          <w:sz w:val="22"/>
          <w:szCs w:val="22"/>
          <w:lang w:val="en-US"/>
        </w:rPr>
        <w:t>The aim of this chapter is to explain the systematic process by which the study seeks to uncover the complex dynamics that shape Frontex’s behavior. The chapter is organized in a funnel shape: it starts with a broader methodology and slowly narrows down towards more specific methods. It will focus on the epistemology of both methods and methodology.</w:t>
      </w:r>
      <w:r w:rsidR="00F5784F" w:rsidRPr="00B64C8D">
        <w:rPr>
          <w:color w:val="0E101A"/>
          <w:sz w:val="22"/>
          <w:szCs w:val="22"/>
          <w:lang w:val="en-US"/>
        </w:rPr>
        <w:t xml:space="preserve"> </w:t>
      </w:r>
      <w:r w:rsidRPr="00B64C8D">
        <w:rPr>
          <w:color w:val="0E101A"/>
          <w:sz w:val="22"/>
          <w:szCs w:val="22"/>
          <w:lang w:val="en-US"/>
        </w:rPr>
        <w:t>This chapter will also explain the reasoning behind the choice in methods, with an overview of the pros and cons. </w:t>
      </w:r>
      <w:r w:rsidR="00F5784F" w:rsidRPr="00B64C8D">
        <w:rPr>
          <w:color w:val="0E101A"/>
          <w:sz w:val="22"/>
          <w:szCs w:val="22"/>
          <w:lang w:val="en-US"/>
        </w:rPr>
        <w:t>The chapter will conclude with an overview about the data collection.</w:t>
      </w:r>
    </w:p>
    <w:p w14:paraId="41EC9153" w14:textId="28F92042" w:rsidR="00312B4B" w:rsidRPr="00B64C8D" w:rsidRDefault="00312B4B" w:rsidP="00B64C8D">
      <w:pPr>
        <w:pStyle w:val="Kop2"/>
        <w:spacing w:line="360" w:lineRule="auto"/>
        <w:rPr>
          <w:rFonts w:ascii="Times New Roman" w:hAnsi="Times New Roman" w:cs="Times New Roman"/>
          <w:sz w:val="22"/>
          <w:szCs w:val="22"/>
        </w:rPr>
      </w:pPr>
      <w:bookmarkStart w:id="52" w:name="_Toc149046431"/>
      <w:bookmarkStart w:id="53" w:name="_Toc152251998"/>
      <w:r w:rsidRPr="00B64C8D">
        <w:rPr>
          <w:rFonts w:ascii="Times New Roman" w:hAnsi="Times New Roman" w:cs="Times New Roman"/>
          <w:sz w:val="22"/>
          <w:szCs w:val="22"/>
        </w:rPr>
        <w:t>4.1</w:t>
      </w:r>
      <w:r w:rsidR="008861ED" w:rsidRPr="00B64C8D">
        <w:rPr>
          <w:rFonts w:ascii="Times New Roman" w:hAnsi="Times New Roman" w:cs="Times New Roman"/>
          <w:sz w:val="22"/>
          <w:szCs w:val="22"/>
        </w:rPr>
        <w:t>.</w:t>
      </w:r>
      <w:r w:rsidRPr="00B64C8D">
        <w:rPr>
          <w:rFonts w:ascii="Times New Roman" w:hAnsi="Times New Roman" w:cs="Times New Roman"/>
          <w:sz w:val="22"/>
          <w:szCs w:val="22"/>
        </w:rPr>
        <w:t xml:space="preserve"> Qualitative research</w:t>
      </w:r>
      <w:bookmarkEnd w:id="52"/>
      <w:bookmarkEnd w:id="53"/>
    </w:p>
    <w:p w14:paraId="2B8FE622" w14:textId="2D814A2F" w:rsidR="00312B4B" w:rsidRPr="00B64C8D" w:rsidRDefault="00312B4B" w:rsidP="00B64C8D">
      <w:pPr>
        <w:pStyle w:val="Normaalweb"/>
        <w:spacing w:before="0" w:beforeAutospacing="0" w:after="0" w:afterAutospacing="0" w:line="360" w:lineRule="auto"/>
        <w:rPr>
          <w:color w:val="0E101A"/>
          <w:sz w:val="22"/>
          <w:szCs w:val="22"/>
          <w:lang w:val="en-US"/>
        </w:rPr>
      </w:pPr>
      <w:r w:rsidRPr="00B64C8D">
        <w:rPr>
          <w:color w:val="0E101A"/>
          <w:sz w:val="22"/>
          <w:szCs w:val="22"/>
          <w:lang w:val="en-US"/>
        </w:rPr>
        <w:t xml:space="preserve">The primary objective of this research is to understand the causal chain behind Frontex growing autonomy. This fits the epistemological ideas many qualitative scholars </w:t>
      </w:r>
      <w:r w:rsidR="003B1A6D" w:rsidRPr="00B64C8D">
        <w:rPr>
          <w:color w:val="0E101A"/>
          <w:sz w:val="22"/>
          <w:szCs w:val="22"/>
          <w:lang w:val="en-US"/>
        </w:rPr>
        <w:t>have;</w:t>
      </w:r>
      <w:r w:rsidR="00F5784F" w:rsidRPr="00B64C8D">
        <w:rPr>
          <w:color w:val="0E101A"/>
          <w:sz w:val="22"/>
          <w:szCs w:val="22"/>
          <w:lang w:val="en-US"/>
        </w:rPr>
        <w:t xml:space="preserve"> th</w:t>
      </w:r>
      <w:r w:rsidRPr="00B64C8D">
        <w:rPr>
          <w:color w:val="0E101A"/>
          <w:sz w:val="22"/>
          <w:szCs w:val="22"/>
          <w:lang w:val="en-US"/>
        </w:rPr>
        <w:t xml:space="preserve">ey see social reality as too complex to just focus on correlations. It is necessary to take many different factors into account that might influence the eventual outcome. </w:t>
      </w:r>
      <w:r w:rsidR="00F5784F" w:rsidRPr="00B64C8D">
        <w:rPr>
          <w:color w:val="0E101A"/>
          <w:sz w:val="22"/>
          <w:szCs w:val="22"/>
          <w:lang w:val="en-US"/>
        </w:rPr>
        <w:t>While q</w:t>
      </w:r>
      <w:r w:rsidRPr="00B64C8D">
        <w:rPr>
          <w:color w:val="0E101A"/>
          <w:sz w:val="22"/>
          <w:szCs w:val="22"/>
          <w:lang w:val="en-US"/>
        </w:rPr>
        <w:t xml:space="preserve">uantitative scholars </w:t>
      </w:r>
      <w:r w:rsidR="00F5784F" w:rsidRPr="00B64C8D">
        <w:rPr>
          <w:color w:val="0E101A"/>
          <w:sz w:val="22"/>
          <w:szCs w:val="22"/>
          <w:lang w:val="en-US"/>
        </w:rPr>
        <w:t>can</w:t>
      </w:r>
      <w:r w:rsidRPr="00B64C8D">
        <w:rPr>
          <w:color w:val="0E101A"/>
          <w:sz w:val="22"/>
          <w:szCs w:val="22"/>
          <w:lang w:val="en-US"/>
        </w:rPr>
        <w:t xml:space="preserve"> see this way as less scientific. They argue that the only way of doing ‘true science’ is by showing statistics-backed correlations between different trends (Bennett &amp; Elman, 2006). However, social reality is</w:t>
      </w:r>
      <w:r w:rsidR="00F5784F" w:rsidRPr="00B64C8D">
        <w:rPr>
          <w:color w:val="0E101A"/>
          <w:sz w:val="22"/>
          <w:szCs w:val="22"/>
          <w:lang w:val="en-US"/>
        </w:rPr>
        <w:t xml:space="preserve"> </w:t>
      </w:r>
      <w:r w:rsidRPr="00B64C8D">
        <w:rPr>
          <w:color w:val="0E101A"/>
          <w:sz w:val="22"/>
          <w:szCs w:val="22"/>
          <w:lang w:val="en-US"/>
        </w:rPr>
        <w:t>often too complex to show in</w:t>
      </w:r>
      <w:r w:rsidR="00F5784F" w:rsidRPr="00B64C8D">
        <w:rPr>
          <w:color w:val="0E101A"/>
          <w:sz w:val="22"/>
          <w:szCs w:val="22"/>
          <w:lang w:val="en-US"/>
        </w:rPr>
        <w:t xml:space="preserve"> just</w:t>
      </w:r>
      <w:r w:rsidRPr="00B64C8D">
        <w:rPr>
          <w:color w:val="0E101A"/>
          <w:sz w:val="22"/>
          <w:szCs w:val="22"/>
          <w:lang w:val="en-US"/>
        </w:rPr>
        <w:t xml:space="preserve"> correlations between different trends or variables. There are too many parts that influence each other, too many reasons why a certain outcome can lead to another. Quantitative research can show a </w:t>
      </w:r>
      <w:r w:rsidR="001035D7" w:rsidRPr="00B64C8D">
        <w:rPr>
          <w:color w:val="0E101A"/>
          <w:sz w:val="22"/>
          <w:szCs w:val="22"/>
          <w:lang w:val="en-US"/>
        </w:rPr>
        <w:t>correlation but</w:t>
      </w:r>
      <w:r w:rsidRPr="00B64C8D">
        <w:rPr>
          <w:color w:val="0E101A"/>
          <w:sz w:val="22"/>
          <w:szCs w:val="22"/>
          <w:lang w:val="en-US"/>
        </w:rPr>
        <w:t xml:space="preserve"> is not able to open the black box of causality (Hall, 2003). </w:t>
      </w:r>
    </w:p>
    <w:p w14:paraId="4A7C7D0B" w14:textId="77777777" w:rsidR="00312B4B" w:rsidRPr="00B64C8D" w:rsidRDefault="00312B4B" w:rsidP="00B64C8D">
      <w:pPr>
        <w:pStyle w:val="Normaalweb"/>
        <w:spacing w:before="0" w:beforeAutospacing="0" w:after="0" w:afterAutospacing="0" w:line="360" w:lineRule="auto"/>
        <w:rPr>
          <w:color w:val="0E101A"/>
          <w:sz w:val="22"/>
          <w:szCs w:val="22"/>
          <w:lang w:val="en-US"/>
        </w:rPr>
      </w:pPr>
    </w:p>
    <w:p w14:paraId="24D5EEE8" w14:textId="078455DB" w:rsidR="00312B4B" w:rsidRPr="00B64C8D" w:rsidRDefault="00312B4B" w:rsidP="00B64C8D">
      <w:pPr>
        <w:pStyle w:val="Normaalweb"/>
        <w:spacing w:before="0" w:beforeAutospacing="0" w:after="0" w:afterAutospacing="0" w:line="360" w:lineRule="auto"/>
        <w:rPr>
          <w:color w:val="0E101A"/>
          <w:sz w:val="22"/>
          <w:szCs w:val="22"/>
          <w:lang w:val="en-US"/>
        </w:rPr>
      </w:pPr>
      <w:r w:rsidRPr="00B64C8D">
        <w:rPr>
          <w:color w:val="0E101A"/>
          <w:sz w:val="22"/>
          <w:szCs w:val="22"/>
          <w:lang w:val="en-US"/>
        </w:rPr>
        <w:t>The steps within this black box, the causal chain, is exactly what this research focusses on: trying to fathom what actors, actions</w:t>
      </w:r>
      <w:r w:rsidR="00F5784F" w:rsidRPr="00B64C8D">
        <w:rPr>
          <w:color w:val="0E101A"/>
          <w:sz w:val="22"/>
          <w:szCs w:val="22"/>
          <w:lang w:val="en-US"/>
        </w:rPr>
        <w:t>,</w:t>
      </w:r>
      <w:r w:rsidRPr="00B64C8D">
        <w:rPr>
          <w:color w:val="0E101A"/>
          <w:sz w:val="22"/>
          <w:szCs w:val="22"/>
          <w:lang w:val="en-US"/>
        </w:rPr>
        <w:t xml:space="preserve"> and phenomena move and have moved Frontex into becoming what it is. To find a convincing causal mechanism for this type of research, it is important to have a clear and logical step</w:t>
      </w:r>
      <w:r w:rsidR="009735E6" w:rsidRPr="00B64C8D">
        <w:rPr>
          <w:color w:val="0E101A"/>
          <w:sz w:val="22"/>
          <w:szCs w:val="22"/>
          <w:lang w:val="en-US"/>
        </w:rPr>
        <w:t>-</w:t>
      </w:r>
      <w:r w:rsidRPr="00B64C8D">
        <w:rPr>
          <w:color w:val="0E101A"/>
          <w:sz w:val="22"/>
          <w:szCs w:val="22"/>
          <w:lang w:val="en-US"/>
        </w:rPr>
        <w:t>by</w:t>
      </w:r>
      <w:r w:rsidR="009735E6" w:rsidRPr="00B64C8D">
        <w:rPr>
          <w:color w:val="0E101A"/>
          <w:sz w:val="22"/>
          <w:szCs w:val="22"/>
          <w:lang w:val="en-US"/>
        </w:rPr>
        <w:t>-</w:t>
      </w:r>
      <w:r w:rsidRPr="00B64C8D">
        <w:rPr>
          <w:color w:val="0E101A"/>
          <w:sz w:val="22"/>
          <w:szCs w:val="22"/>
          <w:lang w:val="en-US"/>
        </w:rPr>
        <w:t>step explanation of the causal process (Bennett &amp; Elman, 2006). </w:t>
      </w:r>
    </w:p>
    <w:p w14:paraId="3E3B00F0" w14:textId="77777777" w:rsidR="00312B4B" w:rsidRPr="00B64C8D" w:rsidRDefault="00312B4B" w:rsidP="00B64C8D">
      <w:pPr>
        <w:pStyle w:val="Normaalweb"/>
        <w:spacing w:before="0" w:beforeAutospacing="0" w:after="0" w:afterAutospacing="0" w:line="360" w:lineRule="auto"/>
        <w:rPr>
          <w:color w:val="0E101A"/>
          <w:sz w:val="22"/>
          <w:szCs w:val="22"/>
          <w:lang w:val="en-US"/>
        </w:rPr>
      </w:pPr>
    </w:p>
    <w:p w14:paraId="668FC25C" w14:textId="51FAC363" w:rsidR="00407024" w:rsidRPr="00B64C8D" w:rsidRDefault="00407024" w:rsidP="00B64C8D">
      <w:pPr>
        <w:pStyle w:val="Kop2"/>
        <w:spacing w:line="360" w:lineRule="auto"/>
        <w:rPr>
          <w:rFonts w:ascii="Times New Roman" w:hAnsi="Times New Roman" w:cs="Times New Roman"/>
          <w:sz w:val="22"/>
          <w:szCs w:val="22"/>
        </w:rPr>
      </w:pPr>
      <w:bookmarkStart w:id="54" w:name="_Toc149046432"/>
      <w:bookmarkStart w:id="55" w:name="_Toc152251999"/>
      <w:r w:rsidRPr="00B64C8D">
        <w:rPr>
          <w:rFonts w:ascii="Times New Roman" w:hAnsi="Times New Roman" w:cs="Times New Roman"/>
          <w:sz w:val="22"/>
          <w:szCs w:val="22"/>
        </w:rPr>
        <w:t xml:space="preserve">4.2. </w:t>
      </w:r>
      <w:bookmarkEnd w:id="54"/>
      <w:r w:rsidRPr="00B64C8D">
        <w:rPr>
          <w:rFonts w:ascii="Times New Roman" w:hAnsi="Times New Roman" w:cs="Times New Roman"/>
          <w:sz w:val="22"/>
          <w:szCs w:val="22"/>
        </w:rPr>
        <w:t>Case study</w:t>
      </w:r>
      <w:bookmarkEnd w:id="55"/>
    </w:p>
    <w:p w14:paraId="0D649AA2" w14:textId="77777777" w:rsidR="00407024" w:rsidRPr="00B64C8D" w:rsidRDefault="00312B4B" w:rsidP="00B64C8D">
      <w:pPr>
        <w:pStyle w:val="Normaalweb"/>
        <w:spacing w:before="0" w:beforeAutospacing="0" w:after="0" w:afterAutospacing="0" w:line="360" w:lineRule="auto"/>
        <w:rPr>
          <w:color w:val="0E101A"/>
          <w:sz w:val="22"/>
          <w:szCs w:val="22"/>
          <w:lang w:val="en-US"/>
        </w:rPr>
      </w:pPr>
      <w:r w:rsidRPr="00B64C8D">
        <w:rPr>
          <w:color w:val="0E101A"/>
          <w:sz w:val="22"/>
          <w:szCs w:val="22"/>
          <w:lang w:val="en-US"/>
        </w:rPr>
        <w:t xml:space="preserve">The discovery of this causal process in itself is a challenge and most easily done by a within-case analysis (Bennett &amp; Elman, 2006). In this form of qualitative research, the researcher picks one highly specific case. By focusing on a very specific case, while including multiple interrelated causal mechanisms, the case study allows for a very in-depth analysis, which allows for a very high internal validity. This means that it can accurately measures the causal relationship between the variables researched. So, eventually, it will give a very accurate and specific image of how the causal chains around Frontex function. </w:t>
      </w:r>
    </w:p>
    <w:p w14:paraId="3D8911FF" w14:textId="17923C8E" w:rsidR="00407024" w:rsidRPr="00B64C8D" w:rsidRDefault="00407024" w:rsidP="00B64C8D">
      <w:pPr>
        <w:spacing w:line="360" w:lineRule="auto"/>
        <w:rPr>
          <w:rFonts w:ascii="Times New Roman" w:hAnsi="Times New Roman" w:cs="Times New Roman"/>
          <w:color w:val="0E101A"/>
        </w:rPr>
      </w:pPr>
      <w:r w:rsidRPr="00B64C8D">
        <w:rPr>
          <w:rFonts w:ascii="Times New Roman" w:hAnsi="Times New Roman" w:cs="Times New Roman"/>
          <w:color w:val="0E101A"/>
        </w:rPr>
        <w:t xml:space="preserve">The unit that is being researched needs to have clear boundaries in ways it operates. A case study gives a unique chance to really examine a specific real-life phenomenon in a more in-depth way. A case study on itself is more about what you research and less about how the research is being done. Therefore, some specifications need to be made in how the research is being done. For this research the choice is on a qualitative deductive case study. A deductive case study is built around existing theories and checking how well they fit the specific context of the case (Bitektine, 2008). After </w:t>
      </w:r>
      <w:r w:rsidRPr="00B64C8D">
        <w:rPr>
          <w:rFonts w:ascii="Times New Roman" w:hAnsi="Times New Roman" w:cs="Times New Roman"/>
          <w:color w:val="0E101A"/>
        </w:rPr>
        <w:lastRenderedPageBreak/>
        <w:t xml:space="preserve">creating certain expectations based on existing literature, this research will examine the case of Frontex thoroughly to check if fits these expectations. </w:t>
      </w:r>
    </w:p>
    <w:p w14:paraId="789FDC0A" w14:textId="6A5E01F2" w:rsidR="00312B4B" w:rsidRPr="00B64C8D" w:rsidRDefault="00312B4B" w:rsidP="00B64C8D">
      <w:pPr>
        <w:pStyle w:val="Normaalweb"/>
        <w:spacing w:before="0" w:beforeAutospacing="0" w:after="0" w:afterAutospacing="0" w:line="360" w:lineRule="auto"/>
        <w:rPr>
          <w:color w:val="0E101A"/>
          <w:sz w:val="22"/>
          <w:szCs w:val="22"/>
          <w:lang w:val="en-US"/>
        </w:rPr>
      </w:pPr>
      <w:r w:rsidRPr="00B64C8D">
        <w:rPr>
          <w:color w:val="0E101A"/>
          <w:sz w:val="22"/>
          <w:szCs w:val="22"/>
          <w:lang w:val="en-US"/>
        </w:rPr>
        <w:t xml:space="preserve">The focus on a single case does however not only yield positive results: the external validity is a lot lower, meaning that it is less generalizable and applicable on research beyond this specific research. These pros and cons are in line with the goal of the research, which does not try to find a generalizable theory for all EU institutions. The goal is to write about the very specific case of Frontex, and to uncover the reasons of its behavior. Because of this narrow way of researching and high internal validity it lends itself extremely well for case-specific research. </w:t>
      </w:r>
      <w:r w:rsidR="00407024" w:rsidRPr="00B64C8D">
        <w:rPr>
          <w:color w:val="0E101A"/>
          <w:sz w:val="22"/>
          <w:szCs w:val="22"/>
          <w:lang w:val="en-US"/>
        </w:rPr>
        <w:t>This however can give a new starting point for future research done on other EU agencies, to establish if the found mechanisms function the same in these agencies.</w:t>
      </w:r>
    </w:p>
    <w:p w14:paraId="27C95835" w14:textId="77777777" w:rsidR="00312B4B" w:rsidRPr="00B64C8D" w:rsidRDefault="00312B4B" w:rsidP="00B64C8D">
      <w:pPr>
        <w:pStyle w:val="Normaalweb"/>
        <w:spacing w:before="0" w:beforeAutospacing="0" w:after="0" w:afterAutospacing="0" w:line="360" w:lineRule="auto"/>
        <w:rPr>
          <w:color w:val="0E101A"/>
          <w:sz w:val="22"/>
          <w:szCs w:val="22"/>
          <w:lang w:val="en-US"/>
        </w:rPr>
      </w:pPr>
    </w:p>
    <w:p w14:paraId="569857EF" w14:textId="69A133D0" w:rsidR="00312B4B" w:rsidRPr="00B64C8D" w:rsidRDefault="00312B4B" w:rsidP="00B64C8D">
      <w:pPr>
        <w:pStyle w:val="Kop2"/>
        <w:spacing w:line="360" w:lineRule="auto"/>
        <w:rPr>
          <w:rFonts w:ascii="Times New Roman" w:hAnsi="Times New Roman" w:cs="Times New Roman"/>
          <w:sz w:val="22"/>
          <w:szCs w:val="22"/>
        </w:rPr>
      </w:pPr>
      <w:bookmarkStart w:id="56" w:name="_Toc149046433"/>
      <w:bookmarkStart w:id="57" w:name="_Toc152252000"/>
      <w:r w:rsidRPr="00B64C8D">
        <w:rPr>
          <w:rFonts w:ascii="Times New Roman" w:hAnsi="Times New Roman" w:cs="Times New Roman"/>
          <w:sz w:val="22"/>
          <w:szCs w:val="22"/>
        </w:rPr>
        <w:t>4.3. Process</w:t>
      </w:r>
      <w:r w:rsidR="007C3F9A">
        <w:rPr>
          <w:rFonts w:ascii="Times New Roman" w:hAnsi="Times New Roman" w:cs="Times New Roman"/>
          <w:sz w:val="22"/>
          <w:szCs w:val="22"/>
        </w:rPr>
        <w:t xml:space="preserve"> </w:t>
      </w:r>
      <w:r w:rsidRPr="00B64C8D">
        <w:rPr>
          <w:rFonts w:ascii="Times New Roman" w:hAnsi="Times New Roman" w:cs="Times New Roman"/>
          <w:sz w:val="22"/>
          <w:szCs w:val="22"/>
        </w:rPr>
        <w:t>tracing</w:t>
      </w:r>
      <w:bookmarkEnd w:id="56"/>
      <w:bookmarkEnd w:id="57"/>
    </w:p>
    <w:p w14:paraId="2D725028" w14:textId="62354E12" w:rsidR="00312B4B" w:rsidRPr="00B64C8D" w:rsidRDefault="00312B4B" w:rsidP="00B64C8D">
      <w:pPr>
        <w:pStyle w:val="Normaalweb"/>
        <w:spacing w:before="0" w:beforeAutospacing="0" w:after="0" w:afterAutospacing="0" w:line="360" w:lineRule="auto"/>
        <w:rPr>
          <w:color w:val="0E101A"/>
          <w:sz w:val="22"/>
          <w:szCs w:val="22"/>
          <w:lang w:val="en-US"/>
        </w:rPr>
      </w:pPr>
      <w:r w:rsidRPr="00B64C8D">
        <w:rPr>
          <w:color w:val="0E101A"/>
          <w:sz w:val="22"/>
          <w:szCs w:val="22"/>
          <w:lang w:val="en-US"/>
        </w:rPr>
        <w:t>This research is based on one specific qualitative method, which is called process</w:t>
      </w:r>
      <w:r w:rsidR="007C3F9A">
        <w:rPr>
          <w:color w:val="0E101A"/>
          <w:sz w:val="22"/>
          <w:szCs w:val="22"/>
          <w:lang w:val="en-US"/>
        </w:rPr>
        <w:t xml:space="preserve"> </w:t>
      </w:r>
      <w:r w:rsidRPr="00B64C8D">
        <w:rPr>
          <w:color w:val="0E101A"/>
          <w:sz w:val="22"/>
          <w:szCs w:val="22"/>
          <w:lang w:val="en-US"/>
        </w:rPr>
        <w:t>tracing. The method allows for an insight in the causal mechanism of a single case and helps to uncover the causal mechanisms without having to compare it to other cases (Fjørtoft, 2022; Beach &amp; Andersen, 2019). Process</w:t>
      </w:r>
      <w:r w:rsidR="007C3F9A">
        <w:rPr>
          <w:color w:val="0E101A"/>
          <w:sz w:val="22"/>
          <w:szCs w:val="22"/>
          <w:lang w:val="en-US"/>
        </w:rPr>
        <w:t xml:space="preserve"> </w:t>
      </w:r>
      <w:r w:rsidRPr="00B64C8D">
        <w:rPr>
          <w:color w:val="0E101A"/>
          <w:sz w:val="22"/>
          <w:szCs w:val="22"/>
          <w:lang w:val="en-US"/>
        </w:rPr>
        <w:t xml:space="preserve">tracing is a method which follows the causal steps that lead to a certain outcome. The goal of this methodology is to discover what the specific causal mechanism is, instead of solely finding correlations between two phenomena (Halperin &amp; Heath, 2020, p.237). </w:t>
      </w:r>
    </w:p>
    <w:p w14:paraId="1579CA54" w14:textId="77777777" w:rsidR="00312B4B" w:rsidRPr="00B64C8D" w:rsidRDefault="00312B4B" w:rsidP="00B64C8D">
      <w:pPr>
        <w:pStyle w:val="Normaalweb"/>
        <w:spacing w:before="0" w:beforeAutospacing="0" w:after="0" w:afterAutospacing="0" w:line="360" w:lineRule="auto"/>
        <w:rPr>
          <w:color w:val="0E101A"/>
          <w:sz w:val="22"/>
          <w:szCs w:val="22"/>
          <w:lang w:val="en-US"/>
        </w:rPr>
      </w:pPr>
    </w:p>
    <w:p w14:paraId="7C53AA0A" w14:textId="6B6BC1B2" w:rsidR="00312B4B" w:rsidRPr="00B64C8D" w:rsidRDefault="00312B4B" w:rsidP="00B64C8D">
      <w:pPr>
        <w:pStyle w:val="Normaalweb"/>
        <w:spacing w:before="0" w:beforeAutospacing="0" w:after="0" w:afterAutospacing="0" w:line="360" w:lineRule="auto"/>
        <w:rPr>
          <w:color w:val="0E101A"/>
          <w:sz w:val="22"/>
          <w:szCs w:val="22"/>
          <w:lang w:val="en-US"/>
        </w:rPr>
      </w:pPr>
      <w:r w:rsidRPr="00B64C8D">
        <w:rPr>
          <w:color w:val="0E101A"/>
          <w:sz w:val="22"/>
          <w:szCs w:val="22"/>
          <w:lang w:val="en-US"/>
        </w:rPr>
        <w:t>Process</w:t>
      </w:r>
      <w:r w:rsidR="007C3F9A">
        <w:rPr>
          <w:color w:val="0E101A"/>
          <w:sz w:val="22"/>
          <w:szCs w:val="22"/>
          <w:lang w:val="en-US"/>
        </w:rPr>
        <w:t xml:space="preserve"> </w:t>
      </w:r>
      <w:r w:rsidRPr="00B64C8D">
        <w:rPr>
          <w:color w:val="0E101A"/>
          <w:sz w:val="22"/>
          <w:szCs w:val="22"/>
          <w:lang w:val="en-US"/>
        </w:rPr>
        <w:t>tracing is a method that is well suited to research complex outcomes and phenomena. This makes it perfect for this paper on Frontex, for this agency is influenced by different actors</w:t>
      </w:r>
      <w:r w:rsidR="00C16E78" w:rsidRPr="00B64C8D">
        <w:rPr>
          <w:color w:val="0E101A"/>
          <w:sz w:val="22"/>
          <w:szCs w:val="22"/>
          <w:lang w:val="en-US"/>
        </w:rPr>
        <w:t xml:space="preserve"> and phenomena </w:t>
      </w:r>
      <w:r w:rsidRPr="00B64C8D">
        <w:rPr>
          <w:color w:val="0E101A"/>
          <w:sz w:val="22"/>
          <w:szCs w:val="22"/>
          <w:lang w:val="en-US"/>
        </w:rPr>
        <w:t>in its behavior. It would be reductionist to explain these complex outcomes by showing correlation between one of these possible influences. By using process tracing, it is possible to capture the causal mechanisms behind Frontex’s behavior: it traces every step of the causal chain that leads towards the growing autonomy of the agency. As such, it</w:t>
      </w:r>
      <w:r w:rsidR="001035D7" w:rsidRPr="00B64C8D">
        <w:rPr>
          <w:color w:val="0E101A"/>
          <w:sz w:val="22"/>
          <w:szCs w:val="22"/>
          <w:lang w:val="en-US"/>
        </w:rPr>
        <w:t xml:space="preserve"> </w:t>
      </w:r>
      <w:r w:rsidRPr="00B64C8D">
        <w:rPr>
          <w:color w:val="0E101A"/>
          <w:sz w:val="22"/>
          <w:szCs w:val="22"/>
          <w:lang w:val="en-US"/>
        </w:rPr>
        <w:t>leads to a deeper understanding of the context in which the agency operates</w:t>
      </w:r>
      <w:r w:rsidR="00C16E78" w:rsidRPr="00B64C8D">
        <w:rPr>
          <w:color w:val="0E101A"/>
          <w:sz w:val="22"/>
          <w:szCs w:val="22"/>
          <w:lang w:val="en-US"/>
        </w:rPr>
        <w:t>,</w:t>
      </w:r>
      <w:r w:rsidRPr="00B64C8D">
        <w:rPr>
          <w:color w:val="0E101A"/>
          <w:sz w:val="22"/>
          <w:szCs w:val="22"/>
          <w:lang w:val="en-US"/>
        </w:rPr>
        <w:t xml:space="preserve"> what actors are important in shaping its behavior, and through which interaction the influence happens. Even if this process is hidden or invisible, the method helps to uncover it.   </w:t>
      </w:r>
    </w:p>
    <w:p w14:paraId="30AF444F" w14:textId="77777777" w:rsidR="00312B4B" w:rsidRPr="00B64C8D" w:rsidRDefault="00312B4B" w:rsidP="00B64C8D">
      <w:pPr>
        <w:pStyle w:val="Normaalweb"/>
        <w:spacing w:before="0" w:beforeAutospacing="0" w:after="0" w:afterAutospacing="0" w:line="360" w:lineRule="auto"/>
        <w:rPr>
          <w:color w:val="0E101A"/>
          <w:sz w:val="22"/>
          <w:szCs w:val="22"/>
          <w:lang w:val="en-US"/>
        </w:rPr>
      </w:pPr>
    </w:p>
    <w:p w14:paraId="4EDC5C25" w14:textId="3D0C7FDE" w:rsidR="00312B4B" w:rsidRPr="00B64C8D" w:rsidRDefault="00312B4B" w:rsidP="00B64C8D">
      <w:pPr>
        <w:pStyle w:val="Normaalweb"/>
        <w:spacing w:before="0" w:beforeAutospacing="0" w:after="0" w:afterAutospacing="0" w:line="360" w:lineRule="auto"/>
        <w:rPr>
          <w:color w:val="0E101A"/>
          <w:sz w:val="22"/>
          <w:szCs w:val="22"/>
          <w:lang w:val="en-US"/>
        </w:rPr>
      </w:pPr>
      <w:r w:rsidRPr="00B64C8D">
        <w:rPr>
          <w:color w:val="0E101A"/>
          <w:sz w:val="22"/>
          <w:szCs w:val="22"/>
          <w:lang w:val="en-US"/>
        </w:rPr>
        <w:t xml:space="preserve">Especially when looking at Frontex through the theoretical framework of </w:t>
      </w:r>
      <w:r w:rsidR="00616B28" w:rsidRPr="00B64C8D">
        <w:rPr>
          <w:color w:val="0E101A"/>
          <w:sz w:val="22"/>
          <w:szCs w:val="22"/>
          <w:lang w:val="en-US"/>
        </w:rPr>
        <w:t>m</w:t>
      </w:r>
      <w:r w:rsidRPr="00B64C8D">
        <w:rPr>
          <w:color w:val="0E101A"/>
          <w:sz w:val="22"/>
          <w:szCs w:val="22"/>
          <w:lang w:val="en-US"/>
        </w:rPr>
        <w:t>ulti</w:t>
      </w:r>
      <w:r w:rsidR="00616B28" w:rsidRPr="00B64C8D">
        <w:rPr>
          <w:color w:val="0E101A"/>
          <w:sz w:val="22"/>
          <w:szCs w:val="22"/>
          <w:lang w:val="en-US"/>
        </w:rPr>
        <w:t>-l</w:t>
      </w:r>
      <w:r w:rsidRPr="00B64C8D">
        <w:rPr>
          <w:color w:val="0E101A"/>
          <w:sz w:val="22"/>
          <w:szCs w:val="22"/>
          <w:lang w:val="en-US"/>
        </w:rPr>
        <w:t xml:space="preserve">evel </w:t>
      </w:r>
      <w:r w:rsidR="00616B28" w:rsidRPr="00B64C8D">
        <w:rPr>
          <w:color w:val="0E101A"/>
          <w:sz w:val="22"/>
          <w:szCs w:val="22"/>
          <w:lang w:val="en-US"/>
        </w:rPr>
        <w:t>g</w:t>
      </w:r>
      <w:r w:rsidRPr="00B64C8D">
        <w:rPr>
          <w:color w:val="0E101A"/>
          <w:sz w:val="22"/>
          <w:szCs w:val="22"/>
          <w:lang w:val="en-US"/>
        </w:rPr>
        <w:t>overnance, process tracing is a logical method. Multi-</w:t>
      </w:r>
      <w:r w:rsidR="009735E6" w:rsidRPr="00B64C8D">
        <w:rPr>
          <w:color w:val="0E101A"/>
          <w:sz w:val="22"/>
          <w:szCs w:val="22"/>
          <w:lang w:val="en-US"/>
        </w:rPr>
        <w:t>l</w:t>
      </w:r>
      <w:r w:rsidRPr="00B64C8D">
        <w:rPr>
          <w:color w:val="0E101A"/>
          <w:sz w:val="22"/>
          <w:szCs w:val="22"/>
          <w:lang w:val="en-US"/>
        </w:rPr>
        <w:t xml:space="preserve">evel </w:t>
      </w:r>
      <w:r w:rsidR="009735E6" w:rsidRPr="00B64C8D">
        <w:rPr>
          <w:color w:val="0E101A"/>
          <w:sz w:val="22"/>
          <w:szCs w:val="22"/>
          <w:lang w:val="en-US"/>
        </w:rPr>
        <w:t>g</w:t>
      </w:r>
      <w:r w:rsidRPr="00B64C8D">
        <w:rPr>
          <w:color w:val="0E101A"/>
          <w:sz w:val="22"/>
          <w:szCs w:val="22"/>
          <w:lang w:val="en-US"/>
        </w:rPr>
        <w:t xml:space="preserve">overnance has a focus on interactions and coordination between the different levels of governance. This includes the level of the agent itself, and all the levels that are positioned around it and influence the agency and each other. In Frontex’s case, these are the European Commission and European Council, the EU member states, and different corporate actors. Within Type II MLG there is not always a clear hierarchy in the chain of command. This means that it is not one central actor who passes down policy through the different actors directly </w:t>
      </w:r>
      <w:r w:rsidRPr="00B64C8D">
        <w:rPr>
          <w:color w:val="0E101A"/>
          <w:sz w:val="22"/>
          <w:szCs w:val="22"/>
          <w:lang w:val="en-US"/>
        </w:rPr>
        <w:lastRenderedPageBreak/>
        <w:t>under them, the process is a little less clear cut: while the different actors have some form of jurisdiction over the agency, they can also influence each other. Process</w:t>
      </w:r>
      <w:r w:rsidR="007C3F9A">
        <w:rPr>
          <w:color w:val="0E101A"/>
          <w:sz w:val="22"/>
          <w:szCs w:val="22"/>
          <w:lang w:val="en-US"/>
        </w:rPr>
        <w:t xml:space="preserve"> </w:t>
      </w:r>
      <w:r w:rsidRPr="00B64C8D">
        <w:rPr>
          <w:color w:val="0E101A"/>
          <w:sz w:val="22"/>
          <w:szCs w:val="22"/>
          <w:lang w:val="en-US"/>
        </w:rPr>
        <w:t>tracing allows to examine these interactions</w:t>
      </w:r>
      <w:r w:rsidR="00C16E78" w:rsidRPr="00B64C8D">
        <w:rPr>
          <w:color w:val="0E101A"/>
          <w:sz w:val="22"/>
          <w:szCs w:val="22"/>
          <w:lang w:val="en-US"/>
        </w:rPr>
        <w:t>,</w:t>
      </w:r>
      <w:r w:rsidRPr="00B64C8D">
        <w:rPr>
          <w:color w:val="0E101A"/>
          <w:sz w:val="22"/>
          <w:szCs w:val="22"/>
          <w:lang w:val="en-US"/>
        </w:rPr>
        <w:t xml:space="preserve"> the entire causal chain is </w:t>
      </w:r>
      <w:r w:rsidR="001035D7" w:rsidRPr="00B64C8D">
        <w:rPr>
          <w:color w:val="0E101A"/>
          <w:sz w:val="22"/>
          <w:szCs w:val="22"/>
          <w:lang w:val="en-US"/>
        </w:rPr>
        <w:t>examined,</w:t>
      </w:r>
      <w:r w:rsidRPr="00B64C8D">
        <w:rPr>
          <w:color w:val="0E101A"/>
          <w:sz w:val="22"/>
          <w:szCs w:val="22"/>
          <w:lang w:val="en-US"/>
        </w:rPr>
        <w:t xml:space="preserve"> and it gives a concise explanation of how the different levels interact, collaborate, </w:t>
      </w:r>
      <w:r w:rsidR="001B2B84" w:rsidRPr="00B64C8D">
        <w:rPr>
          <w:color w:val="0E101A"/>
          <w:sz w:val="22"/>
          <w:szCs w:val="22"/>
          <w:lang w:val="en-US"/>
        </w:rPr>
        <w:t>negotiate,</w:t>
      </w:r>
      <w:r w:rsidRPr="00B64C8D">
        <w:rPr>
          <w:color w:val="0E101A"/>
          <w:sz w:val="22"/>
          <w:szCs w:val="22"/>
          <w:lang w:val="en-US"/>
        </w:rPr>
        <w:t xml:space="preserve"> or obstruct each other. </w:t>
      </w:r>
    </w:p>
    <w:p w14:paraId="76C7E249" w14:textId="77777777" w:rsidR="00312B4B" w:rsidRPr="00B64C8D" w:rsidRDefault="00312B4B" w:rsidP="00B64C8D">
      <w:pPr>
        <w:pStyle w:val="Normaalweb"/>
        <w:spacing w:before="0" w:beforeAutospacing="0" w:after="0" w:afterAutospacing="0" w:line="360" w:lineRule="auto"/>
        <w:rPr>
          <w:color w:val="0E101A"/>
          <w:sz w:val="22"/>
          <w:szCs w:val="22"/>
          <w:lang w:val="en-US"/>
        </w:rPr>
      </w:pPr>
    </w:p>
    <w:p w14:paraId="6D410B78" w14:textId="46D03E7D" w:rsidR="00312B4B" w:rsidRPr="00B64C8D" w:rsidRDefault="00312B4B" w:rsidP="00B64C8D">
      <w:pPr>
        <w:pStyle w:val="Normaalweb"/>
        <w:spacing w:before="0" w:beforeAutospacing="0" w:after="0" w:afterAutospacing="0" w:line="360" w:lineRule="auto"/>
        <w:rPr>
          <w:color w:val="0E101A"/>
          <w:sz w:val="22"/>
          <w:szCs w:val="22"/>
          <w:lang w:val="en-US"/>
        </w:rPr>
      </w:pPr>
      <w:r w:rsidRPr="00B64C8D">
        <w:rPr>
          <w:color w:val="0E101A"/>
          <w:sz w:val="22"/>
          <w:szCs w:val="22"/>
          <w:lang w:val="en-US"/>
        </w:rPr>
        <w:t xml:space="preserve">There are multiple ways to conduct a coherent process tracing research. Process tracing can roughly be divided into three categories with three distinct goals. </w:t>
      </w:r>
      <w:r w:rsidR="00C16E78" w:rsidRPr="00B64C8D">
        <w:rPr>
          <w:color w:val="0E101A"/>
          <w:sz w:val="22"/>
          <w:szCs w:val="22"/>
          <w:lang w:val="en-US"/>
        </w:rPr>
        <w:t xml:space="preserve">The first two that we will discuss are </w:t>
      </w:r>
      <w:r w:rsidR="003B1A6D" w:rsidRPr="00B64C8D">
        <w:rPr>
          <w:color w:val="0E101A"/>
          <w:sz w:val="22"/>
          <w:szCs w:val="22"/>
          <w:lang w:val="en-US"/>
        </w:rPr>
        <w:t>theory centered</w:t>
      </w:r>
      <w:r w:rsidR="00C16E78" w:rsidRPr="00B64C8D">
        <w:rPr>
          <w:color w:val="0E101A"/>
          <w:sz w:val="22"/>
          <w:szCs w:val="22"/>
          <w:lang w:val="en-US"/>
        </w:rPr>
        <w:t>. Beginning with</w:t>
      </w:r>
      <w:r w:rsidRPr="00B64C8D">
        <w:rPr>
          <w:color w:val="0E101A"/>
          <w:sz w:val="22"/>
          <w:szCs w:val="22"/>
          <w:lang w:val="en-US"/>
        </w:rPr>
        <w:t xml:space="preserve"> theory-testing process tracing. It tries to answer the question: Is the expected causal mechanism present and does it behave in the way that was previously theorized? The second of the theory-centric forms of process tracing is called theory-building process tracing. This tries to answer the question what the causal mechanism between X and Y is. This form of process tracing eventually tries to produce a generalizable theory. The third form of process tracing, and the one that will be used in this research, is case-centric. It is called </w:t>
      </w:r>
      <w:r w:rsidRPr="00B64C8D">
        <w:rPr>
          <w:i/>
          <w:iCs/>
          <w:color w:val="0E101A"/>
          <w:sz w:val="22"/>
          <w:szCs w:val="22"/>
          <w:lang w:val="en-US"/>
        </w:rPr>
        <w:t>explaining outcome process tracing</w:t>
      </w:r>
      <w:r w:rsidRPr="00B64C8D">
        <w:rPr>
          <w:color w:val="0E101A"/>
          <w:sz w:val="22"/>
          <w:szCs w:val="22"/>
          <w:lang w:val="en-US"/>
        </w:rPr>
        <w:t xml:space="preserve"> and tries to unveil the causal mechanism between X and Y (Beach &amp; Pedersen, 2019, p.12). This type of process tracing method is built on the ontology that the social world is complex and difficult to catch into big theories. Foremost, the goal of this method is to give a proper understanding of this specific case before looking at the creation of wider generalizable theories (Beach &amp; Pedersen, 2011). This fits with the goal of this research to find the logic behind Frontex’s changes. This research does not want to test existing theories and use Frontex to either prove or disprove them. The research is entirely directed towards explaining the shifts in behavior within Frontex. This, however, does not mean that this research is making up explanations as it goes. The theory is still leading and guides the </w:t>
      </w:r>
      <w:r w:rsidR="00D82B63" w:rsidRPr="00B64C8D">
        <w:rPr>
          <w:color w:val="0E101A"/>
          <w:sz w:val="22"/>
          <w:szCs w:val="22"/>
          <w:lang w:val="en-US"/>
        </w:rPr>
        <w:t>expectations</w:t>
      </w:r>
      <w:r w:rsidRPr="00B64C8D">
        <w:rPr>
          <w:color w:val="0E101A"/>
          <w:sz w:val="22"/>
          <w:szCs w:val="22"/>
          <w:lang w:val="en-US"/>
        </w:rPr>
        <w:t xml:space="preserve"> and conclusion. </w:t>
      </w:r>
      <w:r w:rsidR="00D82B63" w:rsidRPr="00B64C8D">
        <w:rPr>
          <w:color w:val="0E101A"/>
          <w:sz w:val="22"/>
          <w:szCs w:val="22"/>
          <w:lang w:val="en-US"/>
        </w:rPr>
        <w:t xml:space="preserve">It however allows for a more ad hoc use of theories that are deemed necessary to uncover the specific mechanism in this case study. </w:t>
      </w:r>
    </w:p>
    <w:p w14:paraId="7361EBA8" w14:textId="77777777" w:rsidR="00312B4B" w:rsidRPr="00B64C8D" w:rsidRDefault="00312B4B" w:rsidP="00B64C8D">
      <w:pPr>
        <w:pStyle w:val="Normaalweb"/>
        <w:spacing w:before="0" w:beforeAutospacing="0" w:after="0" w:afterAutospacing="0" w:line="360" w:lineRule="auto"/>
        <w:rPr>
          <w:color w:val="0E101A"/>
          <w:sz w:val="22"/>
          <w:szCs w:val="22"/>
          <w:lang w:val="en-US"/>
        </w:rPr>
      </w:pPr>
    </w:p>
    <w:p w14:paraId="0E9A8FFC" w14:textId="77777777" w:rsidR="00312B4B" w:rsidRPr="00B64C8D" w:rsidRDefault="00312B4B" w:rsidP="00B64C8D">
      <w:pPr>
        <w:pStyle w:val="Kop2"/>
        <w:spacing w:line="360" w:lineRule="auto"/>
        <w:rPr>
          <w:rFonts w:ascii="Times New Roman" w:hAnsi="Times New Roman" w:cs="Times New Roman"/>
          <w:sz w:val="22"/>
          <w:szCs w:val="22"/>
        </w:rPr>
      </w:pPr>
      <w:bookmarkStart w:id="58" w:name="_Toc149046434"/>
      <w:bookmarkStart w:id="59" w:name="_Toc152252001"/>
      <w:r w:rsidRPr="00B64C8D">
        <w:rPr>
          <w:rFonts w:ascii="Times New Roman" w:hAnsi="Times New Roman" w:cs="Times New Roman"/>
          <w:sz w:val="22"/>
          <w:szCs w:val="22"/>
        </w:rPr>
        <w:t>4.5. Content analysis</w:t>
      </w:r>
      <w:bookmarkEnd w:id="58"/>
      <w:bookmarkEnd w:id="59"/>
      <w:r w:rsidRPr="00B64C8D">
        <w:rPr>
          <w:rFonts w:ascii="Times New Roman" w:hAnsi="Times New Roman" w:cs="Times New Roman"/>
          <w:sz w:val="22"/>
          <w:szCs w:val="22"/>
        </w:rPr>
        <w:t xml:space="preserve"> </w:t>
      </w:r>
    </w:p>
    <w:p w14:paraId="5A926513" w14:textId="19403865" w:rsidR="00312B4B" w:rsidRPr="00B64C8D" w:rsidRDefault="00312B4B" w:rsidP="00B64C8D">
      <w:pPr>
        <w:pStyle w:val="Normaalweb"/>
        <w:spacing w:before="0" w:beforeAutospacing="0" w:after="0" w:afterAutospacing="0" w:line="360" w:lineRule="auto"/>
        <w:rPr>
          <w:color w:val="0E101A"/>
          <w:sz w:val="22"/>
          <w:szCs w:val="22"/>
          <w:lang w:val="en-US"/>
        </w:rPr>
      </w:pPr>
      <w:r w:rsidRPr="00B64C8D">
        <w:rPr>
          <w:color w:val="0E101A"/>
          <w:sz w:val="22"/>
          <w:szCs w:val="22"/>
          <w:lang w:val="en-US"/>
        </w:rPr>
        <w:t xml:space="preserve">There is a multitude of tools that can be used to do process tracing. In this research it will be based on content analysis as described in the article by Glaser and Laudel (2019). They extended on the work on </w:t>
      </w:r>
      <w:r w:rsidRPr="00B64C8D">
        <w:rPr>
          <w:i/>
          <w:iCs/>
          <w:color w:val="0E101A"/>
          <w:sz w:val="22"/>
          <w:szCs w:val="22"/>
          <w:lang w:val="en-US"/>
        </w:rPr>
        <w:t>explaining outcome process tracing</w:t>
      </w:r>
      <w:r w:rsidRPr="00B64C8D">
        <w:rPr>
          <w:color w:val="0E101A"/>
          <w:sz w:val="22"/>
          <w:szCs w:val="22"/>
          <w:lang w:val="en-US"/>
        </w:rPr>
        <w:t xml:space="preserve"> of Beach and Pedersen (2006; 2011). Content analysis is a different type of qualitative research, which can be used as a single method. In the case of Frontex, however, it is a powerful tool to give more insight in the causal chain. Content analysis, in opposition to other forms of qualitative data collection, allows for the collection of a wide variety of sources. By using this form of data collection, the research can give different perspectives on the same moments in the causal chain. This allows the research to be more objective, and more concise in showing every causal link. Which is an advantage on data gathering methods such as interviewing, which would give a more limited </w:t>
      </w:r>
      <w:r w:rsidR="001035D7" w:rsidRPr="00B64C8D">
        <w:rPr>
          <w:color w:val="0E101A"/>
          <w:sz w:val="22"/>
          <w:szCs w:val="22"/>
          <w:lang w:val="en-US"/>
        </w:rPr>
        <w:t>number</w:t>
      </w:r>
      <w:r w:rsidRPr="00B64C8D">
        <w:rPr>
          <w:color w:val="0E101A"/>
          <w:sz w:val="22"/>
          <w:szCs w:val="22"/>
          <w:lang w:val="en-US"/>
        </w:rPr>
        <w:t xml:space="preserve"> of viewpoints. The mixed method of process tracing and content analysis is called causal reconstruction (Glaser &amp; Laudel, 2019). </w:t>
      </w:r>
    </w:p>
    <w:p w14:paraId="3D3C8263" w14:textId="77777777" w:rsidR="00312B4B" w:rsidRPr="00B64C8D" w:rsidRDefault="00312B4B" w:rsidP="00B64C8D">
      <w:pPr>
        <w:pStyle w:val="Normaalweb"/>
        <w:spacing w:before="0" w:beforeAutospacing="0" w:after="0" w:afterAutospacing="0" w:line="360" w:lineRule="auto"/>
        <w:rPr>
          <w:color w:val="0E101A"/>
          <w:sz w:val="22"/>
          <w:szCs w:val="22"/>
          <w:lang w:val="en-US"/>
        </w:rPr>
      </w:pPr>
    </w:p>
    <w:p w14:paraId="5562ECCD" w14:textId="77777777" w:rsidR="00312B4B" w:rsidRPr="00B64C8D" w:rsidRDefault="00312B4B" w:rsidP="00B64C8D">
      <w:pPr>
        <w:pStyle w:val="Kop2"/>
        <w:spacing w:line="360" w:lineRule="auto"/>
        <w:rPr>
          <w:rFonts w:ascii="Times New Roman" w:hAnsi="Times New Roman" w:cs="Times New Roman"/>
          <w:sz w:val="22"/>
          <w:szCs w:val="22"/>
        </w:rPr>
      </w:pPr>
      <w:bookmarkStart w:id="60" w:name="_Toc149046435"/>
      <w:bookmarkStart w:id="61" w:name="_Toc152252002"/>
      <w:r w:rsidRPr="00B64C8D">
        <w:rPr>
          <w:rFonts w:ascii="Times New Roman" w:hAnsi="Times New Roman" w:cs="Times New Roman"/>
          <w:sz w:val="22"/>
          <w:szCs w:val="22"/>
        </w:rPr>
        <w:lastRenderedPageBreak/>
        <w:t>4.6. Data sources</w:t>
      </w:r>
      <w:bookmarkEnd w:id="60"/>
      <w:bookmarkEnd w:id="61"/>
    </w:p>
    <w:p w14:paraId="4F235056" w14:textId="4A28F91C" w:rsidR="00312B4B" w:rsidRPr="00B64C8D" w:rsidRDefault="00312B4B" w:rsidP="00B64C8D">
      <w:pPr>
        <w:pStyle w:val="Normaalweb"/>
        <w:spacing w:before="0" w:beforeAutospacing="0" w:after="0" w:afterAutospacing="0" w:line="360" w:lineRule="auto"/>
        <w:rPr>
          <w:color w:val="0E101A"/>
          <w:sz w:val="22"/>
          <w:szCs w:val="22"/>
          <w:lang w:val="en-US"/>
        </w:rPr>
      </w:pPr>
      <w:r w:rsidRPr="00B64C8D">
        <w:rPr>
          <w:color w:val="0E101A"/>
          <w:sz w:val="22"/>
          <w:szCs w:val="22"/>
          <w:lang w:val="en-US"/>
        </w:rPr>
        <w:t xml:space="preserve">To </w:t>
      </w:r>
      <w:r w:rsidR="001B2B84" w:rsidRPr="00B64C8D">
        <w:rPr>
          <w:color w:val="0E101A"/>
          <w:sz w:val="22"/>
          <w:szCs w:val="22"/>
          <w:lang w:val="en-US"/>
        </w:rPr>
        <w:t>reconstruct the steps most authentically</w:t>
      </w:r>
      <w:r w:rsidRPr="00B64C8D">
        <w:rPr>
          <w:color w:val="0E101A"/>
          <w:sz w:val="22"/>
          <w:szCs w:val="22"/>
          <w:lang w:val="en-US"/>
        </w:rPr>
        <w:t xml:space="preserve"> in the causal chain, this research will focus firstly on primary documents, which include the founding regulation of Frontex and the revisions thereof. This is mainly used to give an insight in the agency’s growing autonomy. Next to that, press releases and other outside communication from our main actors (Frontex, member state governments and the European Commission) will be used. These outside communications do have a flaw because they might give a biased image. Actors may benefit from changing the narrative on certain topics or leave some things out of their communications intentionally. To remedy the biases, the research will also use secondary sources, t</w:t>
      </w:r>
      <w:r w:rsidR="00D82B63" w:rsidRPr="00B64C8D">
        <w:rPr>
          <w:color w:val="0E101A"/>
          <w:sz w:val="22"/>
          <w:szCs w:val="22"/>
          <w:lang w:val="en-US"/>
        </w:rPr>
        <w:t>his</w:t>
      </w:r>
      <w:r w:rsidRPr="00B64C8D">
        <w:rPr>
          <w:color w:val="0E101A"/>
          <w:sz w:val="22"/>
          <w:szCs w:val="22"/>
          <w:lang w:val="en-US"/>
        </w:rPr>
        <w:t xml:space="preserve"> gives a more objective image</w:t>
      </w:r>
      <w:r w:rsidR="00656D0B" w:rsidRPr="00B64C8D">
        <w:rPr>
          <w:color w:val="0E101A"/>
          <w:sz w:val="22"/>
          <w:szCs w:val="22"/>
          <w:lang w:val="en-US"/>
        </w:rPr>
        <w:t xml:space="preserve">, </w:t>
      </w:r>
      <w:r w:rsidRPr="00B64C8D">
        <w:rPr>
          <w:color w:val="0E101A"/>
          <w:sz w:val="22"/>
          <w:szCs w:val="22"/>
          <w:lang w:val="en-US"/>
        </w:rPr>
        <w:t>mainly</w:t>
      </w:r>
      <w:r w:rsidR="00656D0B" w:rsidRPr="00B64C8D">
        <w:rPr>
          <w:color w:val="0E101A"/>
          <w:sz w:val="22"/>
          <w:szCs w:val="22"/>
          <w:lang w:val="en-US"/>
        </w:rPr>
        <w:t xml:space="preserve"> </w:t>
      </w:r>
      <w:r w:rsidRPr="00B64C8D">
        <w:rPr>
          <w:color w:val="0E101A"/>
          <w:sz w:val="22"/>
          <w:szCs w:val="22"/>
          <w:lang w:val="en-US"/>
        </w:rPr>
        <w:t>academic articles. For researching the corporate actors that influence the causal chain, there will mainly be looked at the actions of the three biggest lobby organizations. These are all organizations known to defend the interest of weapon and/or security corporations. For these specific actors, data from the transparency registers of the EU will be used, as will be sources from investigative journalists. Finally, also news sources will be added, as long as they are deemed to be from credible news outputs. </w:t>
      </w:r>
    </w:p>
    <w:p w14:paraId="18CDC13F" w14:textId="0AC69D0A" w:rsidR="00312B4B" w:rsidRPr="00B64C8D" w:rsidRDefault="00312B4B" w:rsidP="00B64C8D">
      <w:pPr>
        <w:pStyle w:val="Normaalweb"/>
        <w:spacing w:before="0" w:beforeAutospacing="0" w:after="0" w:afterAutospacing="0" w:line="360" w:lineRule="auto"/>
        <w:rPr>
          <w:color w:val="0E101A"/>
          <w:sz w:val="22"/>
          <w:szCs w:val="22"/>
          <w:lang w:val="en-US"/>
        </w:rPr>
      </w:pPr>
      <w:r w:rsidRPr="00B64C8D">
        <w:rPr>
          <w:color w:val="0E101A"/>
          <w:sz w:val="22"/>
          <w:szCs w:val="22"/>
          <w:lang w:val="en-US"/>
        </w:rPr>
        <w:t xml:space="preserve">Since most of this output that is used in this research is produced in English and due to language </w:t>
      </w:r>
      <w:r w:rsidR="001035D7" w:rsidRPr="00B64C8D">
        <w:rPr>
          <w:color w:val="0E101A"/>
          <w:sz w:val="22"/>
          <w:szCs w:val="22"/>
          <w:lang w:val="en-US"/>
        </w:rPr>
        <w:t>limitations,</w:t>
      </w:r>
      <w:r w:rsidRPr="00B64C8D">
        <w:rPr>
          <w:color w:val="0E101A"/>
          <w:sz w:val="22"/>
          <w:szCs w:val="22"/>
          <w:lang w:val="en-US"/>
        </w:rPr>
        <w:t xml:space="preserve"> the data will be collected in English.</w:t>
      </w:r>
    </w:p>
    <w:p w14:paraId="287B44BC" w14:textId="77777777" w:rsidR="00312B4B" w:rsidRPr="00B64C8D" w:rsidRDefault="00312B4B" w:rsidP="00B64C8D">
      <w:pPr>
        <w:pStyle w:val="Normaalweb"/>
        <w:spacing w:before="0" w:beforeAutospacing="0" w:after="0" w:afterAutospacing="0" w:line="360" w:lineRule="auto"/>
        <w:rPr>
          <w:color w:val="0E101A"/>
          <w:sz w:val="22"/>
          <w:szCs w:val="22"/>
          <w:lang w:val="en-US"/>
        </w:rPr>
      </w:pPr>
    </w:p>
    <w:p w14:paraId="1C08B8A4" w14:textId="1A98FD35" w:rsidR="00312B4B" w:rsidRPr="00B64C8D" w:rsidRDefault="00312B4B" w:rsidP="00B64C8D">
      <w:pPr>
        <w:pStyle w:val="Normaalweb"/>
        <w:spacing w:before="0" w:beforeAutospacing="0" w:after="0" w:afterAutospacing="0" w:line="360" w:lineRule="auto"/>
        <w:rPr>
          <w:color w:val="0E101A"/>
          <w:sz w:val="22"/>
          <w:szCs w:val="22"/>
          <w:lang w:val="en-US"/>
        </w:rPr>
      </w:pPr>
      <w:r w:rsidRPr="00B64C8D">
        <w:rPr>
          <w:color w:val="0E101A"/>
          <w:sz w:val="22"/>
          <w:szCs w:val="22"/>
          <w:lang w:val="en-US"/>
        </w:rPr>
        <w:t>The shift towards more autonomy is most evident since the signing of the revision of Frontex’s founding documents. Here a clear departure becomes visible from the original identity of the character of Frontex as an agency, in which it did not have the authority to undertake its own operations and acquire its own instruments but was merely a support for the existing national border agencies. These events, however, are minor in relation to the institutional basis of Frontex, which allows for its institutional freedoms, behavior and clarifies it tasks. The focus will be on the events that led up to the redraft of Frontex’s founding documents in 2019 (</w:t>
      </w:r>
      <w:r w:rsidRPr="00B64C8D">
        <w:rPr>
          <w:rStyle w:val="Nadruk"/>
          <w:color w:val="0E101A"/>
          <w:sz w:val="22"/>
          <w:szCs w:val="22"/>
          <w:lang w:val="en-US"/>
        </w:rPr>
        <w:t>(EU) 2019/1896)</w:t>
      </w:r>
      <w:r w:rsidRPr="00B64C8D">
        <w:rPr>
          <w:color w:val="0E101A"/>
          <w:sz w:val="22"/>
          <w:szCs w:val="22"/>
          <w:lang w:val="en-US"/>
        </w:rPr>
        <w:t>. The data this research will focus on are events that happened after the first redraft of the institutional framework of Frontex in 2016 </w:t>
      </w:r>
      <w:r w:rsidRPr="00B64C8D">
        <w:rPr>
          <w:rStyle w:val="Nadruk"/>
          <w:color w:val="0E101A"/>
          <w:sz w:val="22"/>
          <w:szCs w:val="22"/>
          <w:lang w:val="en-US"/>
        </w:rPr>
        <w:t>((EU) 2016/1624)</w:t>
      </w:r>
      <w:r w:rsidRPr="00B64C8D">
        <w:rPr>
          <w:color w:val="0E101A"/>
          <w:sz w:val="22"/>
          <w:szCs w:val="22"/>
          <w:lang w:val="en-US"/>
        </w:rPr>
        <w:t>, because the most important events that shaped the 2019 redraft would be incorporated in the 2016 one if they happened before this time. This leaves a time frame that ranges from the 14th of September 2016 until the 13th of November 2019. </w:t>
      </w:r>
      <w:r w:rsidR="00656D0B" w:rsidRPr="00B64C8D">
        <w:rPr>
          <w:color w:val="0E101A"/>
          <w:sz w:val="22"/>
          <w:szCs w:val="22"/>
          <w:lang w:val="en-US"/>
        </w:rPr>
        <w:t>In the next chapter there will be further explanation given on the importance of the 2019 regulation and why it is a logical choice to focus the research on.</w:t>
      </w:r>
    </w:p>
    <w:p w14:paraId="15A024FA" w14:textId="77777777" w:rsidR="00312B4B" w:rsidRPr="00B64C8D" w:rsidRDefault="00312B4B" w:rsidP="00B64C8D">
      <w:pPr>
        <w:pStyle w:val="Normaalweb"/>
        <w:spacing w:before="0" w:beforeAutospacing="0" w:after="0" w:afterAutospacing="0" w:line="360" w:lineRule="auto"/>
        <w:rPr>
          <w:color w:val="0E101A"/>
          <w:sz w:val="22"/>
          <w:szCs w:val="22"/>
          <w:lang w:val="en-US"/>
        </w:rPr>
      </w:pPr>
    </w:p>
    <w:p w14:paraId="3BB7438B" w14:textId="7A369BF6" w:rsidR="00312B4B" w:rsidRPr="00B64C8D" w:rsidRDefault="00312B4B" w:rsidP="00B64C8D">
      <w:pPr>
        <w:pStyle w:val="Normaalweb"/>
        <w:spacing w:before="0" w:beforeAutospacing="0" w:after="0" w:afterAutospacing="0" w:line="360" w:lineRule="auto"/>
        <w:rPr>
          <w:color w:val="0E101A"/>
          <w:sz w:val="22"/>
          <w:szCs w:val="22"/>
          <w:lang w:val="en-US"/>
        </w:rPr>
      </w:pPr>
      <w:r w:rsidRPr="00B64C8D">
        <w:rPr>
          <w:color w:val="0E101A"/>
          <w:sz w:val="22"/>
          <w:szCs w:val="22"/>
          <w:lang w:val="en-US"/>
        </w:rPr>
        <w:t xml:space="preserve">By using process tracing, this research will try to uncover and explain the complexities of the political, </w:t>
      </w:r>
      <w:r w:rsidR="001B2B84" w:rsidRPr="00B64C8D">
        <w:rPr>
          <w:color w:val="0E101A"/>
          <w:sz w:val="22"/>
          <w:szCs w:val="22"/>
          <w:lang w:val="en-US"/>
        </w:rPr>
        <w:t>institutional,</w:t>
      </w:r>
      <w:r w:rsidRPr="00B64C8D">
        <w:rPr>
          <w:color w:val="0E101A"/>
          <w:sz w:val="22"/>
          <w:szCs w:val="22"/>
          <w:lang w:val="en-US"/>
        </w:rPr>
        <w:t xml:space="preserve"> and social reality. The goal is to eventually access the entire causal chain that led up to the codified growth of Frontex’s autonomy that exists after the 2019 regulation. In the next two chapters, these methods will be put to work to answer the questions this research is centered around.</w:t>
      </w:r>
    </w:p>
    <w:p w14:paraId="202362D3" w14:textId="77777777" w:rsidR="00D7137D" w:rsidRDefault="00D7137D">
      <w:pPr>
        <w:rPr>
          <w:rFonts w:ascii="Times New Roman" w:eastAsiaTheme="majorEastAsia" w:hAnsi="Times New Roman" w:cs="Times New Roman"/>
          <w:color w:val="2F5496" w:themeColor="accent1" w:themeShade="BF"/>
          <w:shd w:val="clear" w:color="auto" w:fill="FFFFFF"/>
        </w:rPr>
      </w:pPr>
      <w:bookmarkStart w:id="62" w:name="_Toc149046436"/>
      <w:r>
        <w:rPr>
          <w:rFonts w:ascii="Times New Roman" w:hAnsi="Times New Roman"/>
        </w:rPr>
        <w:br w:type="page"/>
      </w:r>
    </w:p>
    <w:p w14:paraId="00A6F23C" w14:textId="19B06BC7" w:rsidR="00312B4B" w:rsidRPr="00B64C8D" w:rsidRDefault="00312B4B" w:rsidP="00B64C8D">
      <w:pPr>
        <w:pStyle w:val="Stijl1"/>
        <w:rPr>
          <w:rFonts w:ascii="Times New Roman" w:hAnsi="Times New Roman"/>
          <w:sz w:val="22"/>
          <w:szCs w:val="22"/>
        </w:rPr>
      </w:pPr>
      <w:bookmarkStart w:id="63" w:name="_Toc152252003"/>
      <w:r w:rsidRPr="00B64C8D">
        <w:rPr>
          <w:rFonts w:ascii="Times New Roman" w:hAnsi="Times New Roman"/>
          <w:sz w:val="22"/>
          <w:szCs w:val="22"/>
        </w:rPr>
        <w:lastRenderedPageBreak/>
        <w:t>Chapter 5: Analysis</w:t>
      </w:r>
      <w:bookmarkEnd w:id="62"/>
      <w:bookmarkEnd w:id="63"/>
      <w:r w:rsidRPr="00B64C8D">
        <w:rPr>
          <w:rFonts w:ascii="Times New Roman" w:hAnsi="Times New Roman"/>
          <w:sz w:val="22"/>
          <w:szCs w:val="22"/>
        </w:rPr>
        <w:t xml:space="preserve"> </w:t>
      </w:r>
    </w:p>
    <w:p w14:paraId="78EEC147" w14:textId="2BE6DEA7"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The analysis will be divided into three distinct chapters. Firstly, it will go into the 2019 redraft of Frontex’s legal basis, and further explain what examples of autonomy Frontex adopted at this point. After that, the research will go into a few institutional characteristics of Frontex. This will point out the role that the different levels of governance play in shaping Frontex’s behavior. After this clarification of the case, the chapter will be divided into </w:t>
      </w:r>
      <w:r w:rsidR="00842F6F" w:rsidRPr="00B64C8D">
        <w:rPr>
          <w:rFonts w:ascii="Times New Roman" w:hAnsi="Times New Roman" w:cs="Times New Roman"/>
        </w:rPr>
        <w:t>three</w:t>
      </w:r>
      <w:r w:rsidRPr="00B64C8D">
        <w:rPr>
          <w:rFonts w:ascii="Times New Roman" w:hAnsi="Times New Roman" w:cs="Times New Roman"/>
        </w:rPr>
        <w:t xml:space="preserve"> data gathering chapters trying to formulate an answer to what motivated and enabled Frontex into gaining more autonomy. The first of these data-gathering chapter will go </w:t>
      </w:r>
      <w:r w:rsidR="00842F6F" w:rsidRPr="00B64C8D">
        <w:rPr>
          <w:rFonts w:ascii="Times New Roman" w:hAnsi="Times New Roman" w:cs="Times New Roman"/>
        </w:rPr>
        <w:t>into the autonomy of Frontex and how it has grown over the years leading up to the 2019 regulation. The two chapters after that will give insight into two interconnected causal mechanisms that have been the driving forces behind these changes.</w:t>
      </w:r>
    </w:p>
    <w:p w14:paraId="7A79AE13" w14:textId="6F00BA3C" w:rsidR="00312B4B" w:rsidRPr="00B64C8D" w:rsidRDefault="00312B4B" w:rsidP="00B64C8D">
      <w:pPr>
        <w:pStyle w:val="Kop2"/>
        <w:spacing w:line="360" w:lineRule="auto"/>
        <w:rPr>
          <w:rFonts w:ascii="Times New Roman" w:hAnsi="Times New Roman" w:cs="Times New Roman"/>
          <w:sz w:val="22"/>
          <w:szCs w:val="22"/>
        </w:rPr>
      </w:pPr>
      <w:bookmarkStart w:id="64" w:name="_Toc149046437"/>
      <w:bookmarkStart w:id="65" w:name="_Toc152252004"/>
      <w:r w:rsidRPr="00B64C8D">
        <w:rPr>
          <w:rFonts w:ascii="Times New Roman" w:hAnsi="Times New Roman" w:cs="Times New Roman"/>
          <w:sz w:val="22"/>
          <w:szCs w:val="22"/>
        </w:rPr>
        <w:t xml:space="preserve">5.1. Autonomy gained in the 2019 </w:t>
      </w:r>
      <w:bookmarkEnd w:id="64"/>
      <w:r w:rsidR="003B1A6D" w:rsidRPr="00B64C8D">
        <w:rPr>
          <w:rFonts w:ascii="Times New Roman" w:hAnsi="Times New Roman" w:cs="Times New Roman"/>
          <w:sz w:val="22"/>
          <w:szCs w:val="22"/>
        </w:rPr>
        <w:t>regulation.</w:t>
      </w:r>
      <w:bookmarkEnd w:id="65"/>
      <w:r w:rsidRPr="00B64C8D">
        <w:rPr>
          <w:rFonts w:ascii="Times New Roman" w:hAnsi="Times New Roman" w:cs="Times New Roman"/>
          <w:sz w:val="22"/>
          <w:szCs w:val="22"/>
        </w:rPr>
        <w:t xml:space="preserve"> </w:t>
      </w:r>
    </w:p>
    <w:p w14:paraId="17BB3694" w14:textId="7969B443"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In process tracing, it is of critical importance to find the run-up to a certain outcome: what factors played a role and at what point did these changes show themselves most clearly? Within Frontex, there were multiple times when small steps were made towards a more autonomous agency. However, the </w:t>
      </w:r>
      <w:r w:rsidR="001035D7" w:rsidRPr="00B64C8D">
        <w:rPr>
          <w:rFonts w:ascii="Times New Roman" w:hAnsi="Times New Roman" w:cs="Times New Roman"/>
        </w:rPr>
        <w:t>clearest</w:t>
      </w:r>
      <w:r w:rsidRPr="00B64C8D">
        <w:rPr>
          <w:rFonts w:ascii="Times New Roman" w:hAnsi="Times New Roman" w:cs="Times New Roman"/>
        </w:rPr>
        <w:t xml:space="preserve"> example is the most recent redraft of legal bases of Frontex </w:t>
      </w:r>
      <w:r w:rsidRPr="00B64C8D">
        <w:rPr>
          <w:rFonts w:ascii="Times New Roman" w:hAnsi="Times New Roman" w:cs="Times New Roman"/>
          <w:i/>
          <w:iCs/>
        </w:rPr>
        <w:t xml:space="preserve">(EU) 2019/1896. </w:t>
      </w:r>
      <w:r w:rsidRPr="00B64C8D">
        <w:rPr>
          <w:rFonts w:ascii="Times New Roman" w:hAnsi="Times New Roman" w:cs="Times New Roman"/>
        </w:rPr>
        <w:t xml:space="preserve">In the next section of this chapter, a short overview is given into what elements were included from this point on in the institutional character of Frontex and how they are examples of autonomy. </w:t>
      </w:r>
    </w:p>
    <w:p w14:paraId="04299C18" w14:textId="77777777" w:rsidR="00312B4B" w:rsidRPr="00B64C8D" w:rsidRDefault="00312B4B" w:rsidP="00B64C8D">
      <w:pPr>
        <w:pStyle w:val="Kop2"/>
        <w:spacing w:line="360" w:lineRule="auto"/>
        <w:rPr>
          <w:rFonts w:ascii="Times New Roman" w:hAnsi="Times New Roman" w:cs="Times New Roman"/>
          <w:sz w:val="22"/>
          <w:szCs w:val="22"/>
        </w:rPr>
      </w:pPr>
      <w:bookmarkStart w:id="66" w:name="_Toc152252005"/>
      <w:r w:rsidRPr="00B64C8D">
        <w:rPr>
          <w:rFonts w:ascii="Times New Roman" w:hAnsi="Times New Roman" w:cs="Times New Roman"/>
          <w:sz w:val="22"/>
          <w:szCs w:val="22"/>
        </w:rPr>
        <w:t>5.2. Types of autonomy</w:t>
      </w:r>
      <w:bookmarkEnd w:id="66"/>
      <w:r w:rsidRPr="00B64C8D">
        <w:rPr>
          <w:rFonts w:ascii="Times New Roman" w:hAnsi="Times New Roman" w:cs="Times New Roman"/>
          <w:sz w:val="22"/>
          <w:szCs w:val="22"/>
        </w:rPr>
        <w:t xml:space="preserve"> </w:t>
      </w:r>
    </w:p>
    <w:p w14:paraId="3A817A76" w14:textId="50E84346"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In this research we try to use existing theories to explain the growing autonomy Frontex received. Autonomy is divided up into four types: </w:t>
      </w:r>
      <w:r w:rsidRPr="00B64C8D">
        <w:rPr>
          <w:rFonts w:ascii="Times New Roman" w:hAnsi="Times New Roman" w:cs="Times New Roman"/>
          <w:i/>
          <w:iCs/>
        </w:rPr>
        <w:t>Personnel, Financial, Policy</w:t>
      </w:r>
      <w:r w:rsidRPr="00B64C8D">
        <w:rPr>
          <w:rFonts w:ascii="Times New Roman" w:hAnsi="Times New Roman" w:cs="Times New Roman"/>
        </w:rPr>
        <w:t xml:space="preserve"> and </w:t>
      </w:r>
      <w:r w:rsidRPr="00B64C8D">
        <w:rPr>
          <w:rFonts w:ascii="Times New Roman" w:hAnsi="Times New Roman" w:cs="Times New Roman"/>
          <w:i/>
          <w:iCs/>
        </w:rPr>
        <w:t>Legal</w:t>
      </w:r>
      <w:r w:rsidRPr="00B64C8D">
        <w:rPr>
          <w:rFonts w:ascii="Times New Roman" w:hAnsi="Times New Roman" w:cs="Times New Roman"/>
        </w:rPr>
        <w:t>.</w:t>
      </w:r>
      <w:r w:rsidRPr="00B64C8D">
        <w:rPr>
          <w:rStyle w:val="Verwijzingopmerking"/>
          <w:rFonts w:ascii="Times New Roman" w:hAnsi="Times New Roman" w:cs="Times New Roman"/>
          <w:sz w:val="22"/>
          <w:szCs w:val="22"/>
        </w:rPr>
        <w:t xml:space="preserve"> In reality, these divisions are not always as clear cut as the theory shows them, but the additional freedoms can roughly be placed within these four types of autonomy. </w:t>
      </w:r>
      <w:r w:rsidRPr="00B64C8D">
        <w:rPr>
          <w:rFonts w:ascii="Times New Roman" w:hAnsi="Times New Roman" w:cs="Times New Roman"/>
        </w:rPr>
        <w:t>The changes that have the largest implication for the autonomy of Frontex will be flashed out.</w:t>
      </w:r>
    </w:p>
    <w:p w14:paraId="1443C5E1" w14:textId="761A68C6" w:rsidR="00312B4B" w:rsidRPr="00B64C8D" w:rsidRDefault="00312B4B" w:rsidP="00B64C8D">
      <w:pPr>
        <w:pStyle w:val="Kop3"/>
        <w:spacing w:line="360" w:lineRule="auto"/>
        <w:rPr>
          <w:rFonts w:ascii="Times New Roman" w:hAnsi="Times New Roman" w:cs="Times New Roman"/>
          <w:sz w:val="22"/>
          <w:szCs w:val="22"/>
        </w:rPr>
      </w:pPr>
      <w:bookmarkStart w:id="67" w:name="_Toc149046438"/>
      <w:bookmarkStart w:id="68" w:name="_Toc152252006"/>
      <w:r w:rsidRPr="00B64C8D">
        <w:rPr>
          <w:rFonts w:ascii="Times New Roman" w:hAnsi="Times New Roman" w:cs="Times New Roman"/>
          <w:sz w:val="22"/>
          <w:szCs w:val="22"/>
        </w:rPr>
        <w:t>5.</w:t>
      </w:r>
      <w:r w:rsidR="008861ED" w:rsidRPr="00B64C8D">
        <w:rPr>
          <w:rFonts w:ascii="Times New Roman" w:hAnsi="Times New Roman" w:cs="Times New Roman"/>
          <w:sz w:val="22"/>
          <w:szCs w:val="22"/>
        </w:rPr>
        <w:t>2</w:t>
      </w:r>
      <w:r w:rsidRPr="00B64C8D">
        <w:rPr>
          <w:rFonts w:ascii="Times New Roman" w:hAnsi="Times New Roman" w:cs="Times New Roman"/>
          <w:sz w:val="22"/>
          <w:szCs w:val="22"/>
        </w:rPr>
        <w:t>.</w:t>
      </w:r>
      <w:r w:rsidR="008861ED" w:rsidRPr="00B64C8D">
        <w:rPr>
          <w:rFonts w:ascii="Times New Roman" w:hAnsi="Times New Roman" w:cs="Times New Roman"/>
          <w:sz w:val="22"/>
          <w:szCs w:val="22"/>
        </w:rPr>
        <w:t>1.</w:t>
      </w:r>
      <w:r w:rsidRPr="00B64C8D">
        <w:rPr>
          <w:rFonts w:ascii="Times New Roman" w:hAnsi="Times New Roman" w:cs="Times New Roman"/>
          <w:sz w:val="22"/>
          <w:szCs w:val="22"/>
        </w:rPr>
        <w:t xml:space="preserve"> Personnel autonomy</w:t>
      </w:r>
      <w:bookmarkEnd w:id="67"/>
      <w:bookmarkEnd w:id="68"/>
    </w:p>
    <w:p w14:paraId="070B0762" w14:textId="716D60FC"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We will start the overview of with an analysis of the growth in personnel autonomy. The regulations 5</w:t>
      </w:r>
      <w:r w:rsidRPr="00B64C8D">
        <w:rPr>
          <w:rFonts w:ascii="Times New Roman" w:hAnsi="Times New Roman" w:cs="Times New Roman"/>
          <w:vertAlign w:val="superscript"/>
        </w:rPr>
        <w:t>th</w:t>
      </w:r>
      <w:r w:rsidRPr="00B64C8D">
        <w:rPr>
          <w:rFonts w:ascii="Times New Roman" w:hAnsi="Times New Roman" w:cs="Times New Roman"/>
        </w:rPr>
        <w:t xml:space="preserve"> article establishes the goal of a standing corps of 10.000 border guards (EU, 2019, p. 2). The standing forces that almost grows ten times in size can be seen as </w:t>
      </w:r>
      <w:r w:rsidR="001035D7" w:rsidRPr="00B64C8D">
        <w:rPr>
          <w:rFonts w:ascii="Times New Roman" w:hAnsi="Times New Roman" w:cs="Times New Roman"/>
        </w:rPr>
        <w:t>an</w:t>
      </w:r>
      <w:r w:rsidRPr="00B64C8D">
        <w:rPr>
          <w:rFonts w:ascii="Times New Roman" w:hAnsi="Times New Roman" w:cs="Times New Roman"/>
        </w:rPr>
        <w:t xml:space="preserve"> attribution to the instruments Frontex can use. Frontex has access to more people being physically at the border, controlling the border from a distance or directing operations. For a long time, the protection of borders and </w:t>
      </w:r>
      <w:r w:rsidR="001035D7" w:rsidRPr="00B64C8D">
        <w:rPr>
          <w:rFonts w:ascii="Times New Roman" w:hAnsi="Times New Roman" w:cs="Times New Roman"/>
        </w:rPr>
        <w:t>the controlling</w:t>
      </w:r>
      <w:r w:rsidRPr="00B64C8D">
        <w:rPr>
          <w:rFonts w:ascii="Times New Roman" w:hAnsi="Times New Roman" w:cs="Times New Roman"/>
        </w:rPr>
        <w:t xml:space="preserve"> of migration through your borders was considered to be a core state power (Andreas, 2003). However, instead of protecting their own borders, EU member states would now be dependent on Frontex and (largely) foreign agents. In this treaty, Frontex also receives more freedom at the border. The standing corps will have the authority to check identity and authorize foreign citizens to enter the EU member state they are located at. To illustrate how radical this shift was we </w:t>
      </w:r>
      <w:r w:rsidR="001B2B84" w:rsidRPr="00B64C8D">
        <w:rPr>
          <w:rFonts w:ascii="Times New Roman" w:hAnsi="Times New Roman" w:cs="Times New Roman"/>
        </w:rPr>
        <w:t>must</w:t>
      </w:r>
      <w:r w:rsidRPr="00B64C8D">
        <w:rPr>
          <w:rFonts w:ascii="Times New Roman" w:hAnsi="Times New Roman" w:cs="Times New Roman"/>
        </w:rPr>
        <w:t xml:space="preserve"> look at how border patrol was perceived in the past. To do this we can look at a citation from political scientist </w:t>
      </w:r>
      <w:r w:rsidRPr="00B64C8D">
        <w:rPr>
          <w:rFonts w:ascii="Times New Roman" w:hAnsi="Times New Roman" w:cs="Times New Roman"/>
        </w:rPr>
        <w:lastRenderedPageBreak/>
        <w:t>and writer Peter Andreas in his 2003 article on borders in the 21</w:t>
      </w:r>
      <w:r w:rsidRPr="00B64C8D">
        <w:rPr>
          <w:rFonts w:ascii="Times New Roman" w:hAnsi="Times New Roman" w:cs="Times New Roman"/>
          <w:vertAlign w:val="superscript"/>
        </w:rPr>
        <w:t>st</w:t>
      </w:r>
      <w:r w:rsidRPr="00B64C8D">
        <w:rPr>
          <w:rFonts w:ascii="Times New Roman" w:hAnsi="Times New Roman" w:cs="Times New Roman"/>
        </w:rPr>
        <w:t xml:space="preserve"> century: “All states monopolize the right to determine who and what is granted legitimate territorial access”. So, shifting the autonomy and authority to make these decisions to an actor that does not directly represent the nation state it is active in is a huge shift. Importantly, these people are not chosen by the different member states but recruited by Frontex directly</w:t>
      </w:r>
      <w:r w:rsidR="00361286" w:rsidRPr="00B64C8D">
        <w:rPr>
          <w:rFonts w:ascii="Times New Roman" w:hAnsi="Times New Roman" w:cs="Times New Roman"/>
        </w:rPr>
        <w:t>, giving</w:t>
      </w:r>
      <w:r w:rsidRPr="00B64C8D">
        <w:rPr>
          <w:rFonts w:ascii="Times New Roman" w:hAnsi="Times New Roman" w:cs="Times New Roman"/>
        </w:rPr>
        <w:t xml:space="preserve"> Frontex a large degree of personnel autonomy. </w:t>
      </w:r>
    </w:p>
    <w:p w14:paraId="4D26E862" w14:textId="13DBEEC3" w:rsidR="00312B4B" w:rsidRPr="00B64C8D" w:rsidRDefault="00312B4B" w:rsidP="00B64C8D">
      <w:pPr>
        <w:pStyle w:val="Kop3"/>
        <w:spacing w:line="360" w:lineRule="auto"/>
        <w:rPr>
          <w:rFonts w:ascii="Times New Roman" w:hAnsi="Times New Roman" w:cs="Times New Roman"/>
          <w:sz w:val="22"/>
          <w:szCs w:val="22"/>
        </w:rPr>
      </w:pPr>
      <w:bookmarkStart w:id="69" w:name="_Toc149046439"/>
      <w:bookmarkStart w:id="70" w:name="_Toc152252007"/>
      <w:r w:rsidRPr="00B64C8D">
        <w:rPr>
          <w:rFonts w:ascii="Times New Roman" w:hAnsi="Times New Roman" w:cs="Times New Roman"/>
          <w:sz w:val="22"/>
          <w:szCs w:val="22"/>
        </w:rPr>
        <w:t>5.</w:t>
      </w:r>
      <w:r w:rsidR="008861ED" w:rsidRPr="00B64C8D">
        <w:rPr>
          <w:rFonts w:ascii="Times New Roman" w:hAnsi="Times New Roman" w:cs="Times New Roman"/>
          <w:sz w:val="22"/>
          <w:szCs w:val="22"/>
        </w:rPr>
        <w:t>2.2.</w:t>
      </w:r>
      <w:r w:rsidRPr="00B64C8D">
        <w:rPr>
          <w:rFonts w:ascii="Times New Roman" w:hAnsi="Times New Roman" w:cs="Times New Roman"/>
          <w:sz w:val="22"/>
          <w:szCs w:val="22"/>
        </w:rPr>
        <w:t xml:space="preserve"> Financial autonomy</w:t>
      </w:r>
      <w:bookmarkEnd w:id="69"/>
      <w:bookmarkEnd w:id="70"/>
    </w:p>
    <w:p w14:paraId="68ADD0C4" w14:textId="65E2C1FF"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The next big shift that was adopted in the 2019 regulation was the freedom for Frontex to buy certain equipment and materials, such as vessels and drones. Up until this point, the hardware needed to be borrowed, leased or co-owned with a member state. As such, with the 2019 regulation, Frontex both received more financial autonomy and access to an array of new instruments to patrol the borders with less direct oversight by the member state (EU, 2016). </w:t>
      </w:r>
    </w:p>
    <w:p w14:paraId="6F2ECEE2" w14:textId="1B764300" w:rsidR="00312B4B" w:rsidRPr="00B64C8D" w:rsidRDefault="00312B4B" w:rsidP="00B64C8D">
      <w:pPr>
        <w:pStyle w:val="Kop3"/>
        <w:spacing w:line="360" w:lineRule="auto"/>
        <w:rPr>
          <w:rFonts w:ascii="Times New Roman" w:hAnsi="Times New Roman" w:cs="Times New Roman"/>
          <w:sz w:val="22"/>
          <w:szCs w:val="22"/>
        </w:rPr>
      </w:pPr>
      <w:bookmarkStart w:id="71" w:name="_Toc149046440"/>
      <w:bookmarkStart w:id="72" w:name="_Toc152252008"/>
      <w:r w:rsidRPr="00B64C8D">
        <w:rPr>
          <w:rFonts w:ascii="Times New Roman" w:hAnsi="Times New Roman" w:cs="Times New Roman"/>
          <w:sz w:val="22"/>
          <w:szCs w:val="22"/>
        </w:rPr>
        <w:t>5.</w:t>
      </w:r>
      <w:r w:rsidR="008861ED" w:rsidRPr="00B64C8D">
        <w:rPr>
          <w:rFonts w:ascii="Times New Roman" w:hAnsi="Times New Roman" w:cs="Times New Roman"/>
          <w:sz w:val="22"/>
          <w:szCs w:val="22"/>
        </w:rPr>
        <w:t>2.3</w:t>
      </w:r>
      <w:r w:rsidRPr="00B64C8D">
        <w:rPr>
          <w:rFonts w:ascii="Times New Roman" w:hAnsi="Times New Roman" w:cs="Times New Roman"/>
          <w:sz w:val="22"/>
          <w:szCs w:val="22"/>
        </w:rPr>
        <w:t xml:space="preserve"> Policy/financial autonomy</w:t>
      </w:r>
      <w:bookmarkEnd w:id="71"/>
      <w:bookmarkEnd w:id="72"/>
    </w:p>
    <w:p w14:paraId="71C3B294" w14:textId="6B78CD9E"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This part is a bit of a mix between different types of autonomy. Eurosur for short is the European network of drones, satellites and planes that map the situation at the European borders (EU, 2019, p. 4), Eurosur existed as a system, Frontex only had access to it, but it was a separate institution that was responsible for it. In the 2019 regulation Frontex absorbed Eurosur into the agency. By doing this, Eurosur is no longer a separate entity. It leads to Frontex getting more freedom in instructing Eurosur what to do with less oversight. Frontex also received more freedom in adding both hard- and software to the Eurosur network. This is another example of a rise in policy and financial autonomy and an increase in instruments available to Frontex. Other examples of autonomy in requiring instruments are also widely spread. For </w:t>
      </w:r>
      <w:r w:rsidR="001035D7" w:rsidRPr="00B64C8D">
        <w:rPr>
          <w:rFonts w:ascii="Times New Roman" w:hAnsi="Times New Roman" w:cs="Times New Roman"/>
        </w:rPr>
        <w:t>instance, the</w:t>
      </w:r>
      <w:r w:rsidRPr="00B64C8D">
        <w:rPr>
          <w:rFonts w:ascii="Times New Roman" w:hAnsi="Times New Roman" w:cs="Times New Roman"/>
        </w:rPr>
        <w:t xml:space="preserve"> agency got more freedom in acquiring weapons, vessels, </w:t>
      </w:r>
      <w:r w:rsidR="001B2B84" w:rsidRPr="00B64C8D">
        <w:rPr>
          <w:rFonts w:ascii="Times New Roman" w:hAnsi="Times New Roman" w:cs="Times New Roman"/>
        </w:rPr>
        <w:t>vehicles,</w:t>
      </w:r>
      <w:r w:rsidRPr="00B64C8D">
        <w:rPr>
          <w:rFonts w:ascii="Times New Roman" w:hAnsi="Times New Roman" w:cs="Times New Roman"/>
        </w:rPr>
        <w:t xml:space="preserve"> and access to new data. These instruments are usually reserved for member state use.  As such, this is a transfer of authority towards a supranational organization that is usually reserved for national organizations. After the 2019 regulation, the agency gets access to its own equipment, which includes vessels, </w:t>
      </w:r>
      <w:r w:rsidR="001B2B84" w:rsidRPr="00B64C8D">
        <w:rPr>
          <w:rFonts w:ascii="Times New Roman" w:hAnsi="Times New Roman" w:cs="Times New Roman"/>
        </w:rPr>
        <w:t>planes,</w:t>
      </w:r>
      <w:r w:rsidRPr="00B64C8D">
        <w:rPr>
          <w:rFonts w:ascii="Times New Roman" w:hAnsi="Times New Roman" w:cs="Times New Roman"/>
        </w:rPr>
        <w:t xml:space="preserve"> and vehicles (EU, 2019, p.62). There will be an expansion of the standing corps to 10.000 border patrol officers (EU, 2019, pp. 2), of which most will be allowed to carry weapons (EU, 2019, pp. 41). </w:t>
      </w:r>
    </w:p>
    <w:p w14:paraId="7BA6C8FB" w14:textId="3B0B4C87" w:rsidR="00312B4B" w:rsidRPr="00B64C8D" w:rsidRDefault="00312B4B" w:rsidP="00B64C8D">
      <w:pPr>
        <w:pStyle w:val="Kop3"/>
        <w:spacing w:line="360" w:lineRule="auto"/>
        <w:rPr>
          <w:rFonts w:ascii="Times New Roman" w:hAnsi="Times New Roman" w:cs="Times New Roman"/>
          <w:sz w:val="22"/>
          <w:szCs w:val="22"/>
        </w:rPr>
      </w:pPr>
      <w:bookmarkStart w:id="73" w:name="_Toc149046441"/>
      <w:bookmarkStart w:id="74" w:name="_Toc152252009"/>
      <w:r w:rsidRPr="00B64C8D">
        <w:rPr>
          <w:rFonts w:ascii="Times New Roman" w:hAnsi="Times New Roman" w:cs="Times New Roman"/>
          <w:sz w:val="22"/>
          <w:szCs w:val="22"/>
        </w:rPr>
        <w:t>5.</w:t>
      </w:r>
      <w:r w:rsidR="008861ED" w:rsidRPr="00B64C8D">
        <w:rPr>
          <w:rFonts w:ascii="Times New Roman" w:hAnsi="Times New Roman" w:cs="Times New Roman"/>
          <w:sz w:val="22"/>
          <w:szCs w:val="22"/>
        </w:rPr>
        <w:t>2.4.</w:t>
      </w:r>
      <w:r w:rsidRPr="00B64C8D">
        <w:rPr>
          <w:rFonts w:ascii="Times New Roman" w:hAnsi="Times New Roman" w:cs="Times New Roman"/>
          <w:sz w:val="22"/>
          <w:szCs w:val="22"/>
        </w:rPr>
        <w:t xml:space="preserve"> Legal autonomy</w:t>
      </w:r>
      <w:bookmarkEnd w:id="73"/>
      <w:bookmarkEnd w:id="74"/>
      <w:r w:rsidRPr="00B64C8D">
        <w:rPr>
          <w:rFonts w:ascii="Times New Roman" w:hAnsi="Times New Roman" w:cs="Times New Roman"/>
          <w:sz w:val="22"/>
          <w:szCs w:val="22"/>
        </w:rPr>
        <w:t xml:space="preserve"> </w:t>
      </w:r>
    </w:p>
    <w:p w14:paraId="487930B5" w14:textId="0C520A9A"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The final elements of the regulation show a rise in legal autonomy. Frontex </w:t>
      </w:r>
      <w:r w:rsidR="001B2B84" w:rsidRPr="00B64C8D">
        <w:rPr>
          <w:rFonts w:ascii="Times New Roman" w:hAnsi="Times New Roman" w:cs="Times New Roman"/>
        </w:rPr>
        <w:t>can</w:t>
      </w:r>
      <w:r w:rsidRPr="00B64C8D">
        <w:rPr>
          <w:rFonts w:ascii="Times New Roman" w:hAnsi="Times New Roman" w:cs="Times New Roman"/>
        </w:rPr>
        <w:t xml:space="preserve"> start joint operations with countries outside the EU, even countries that do not directly border the EU. These deals</w:t>
      </w:r>
      <w:r w:rsidR="00B64C8D" w:rsidRPr="00B64C8D">
        <w:rPr>
          <w:rFonts w:ascii="Times New Roman" w:hAnsi="Times New Roman" w:cs="Times New Roman"/>
        </w:rPr>
        <w:t>, however,</w:t>
      </w:r>
      <w:r w:rsidRPr="00B64C8D">
        <w:rPr>
          <w:rFonts w:ascii="Times New Roman" w:hAnsi="Times New Roman" w:cs="Times New Roman"/>
        </w:rPr>
        <w:t xml:space="preserve"> cannot be made with anyone, the EU community institutions (EP, Council and Commission) need to have a treaty with the third country. From that point on, the agency has the political autonomy to make their own treaties and deals. A clear example is the ability to establish antenna offices, which are offices that are instructed to find and report about the situation in these third countries (EU, 2019, </w:t>
      </w:r>
      <w:r w:rsidRPr="00B64C8D">
        <w:rPr>
          <w:rFonts w:ascii="Times New Roman" w:hAnsi="Times New Roman" w:cs="Times New Roman"/>
        </w:rPr>
        <w:lastRenderedPageBreak/>
        <w:t xml:space="preserve">p. 58). Frontex is also able to coordinate Joint Operations with non-EU countries and exchange information (EU, 2019, pp. 40-45). </w:t>
      </w:r>
    </w:p>
    <w:p w14:paraId="6C4E5C67" w14:textId="44D54EE8" w:rsidR="00312B4B" w:rsidRPr="00B64C8D" w:rsidRDefault="00312B4B" w:rsidP="00B64C8D">
      <w:pPr>
        <w:pStyle w:val="Kop2"/>
        <w:spacing w:line="360" w:lineRule="auto"/>
        <w:rPr>
          <w:rFonts w:ascii="Times New Roman" w:hAnsi="Times New Roman" w:cs="Times New Roman"/>
          <w:sz w:val="22"/>
          <w:szCs w:val="22"/>
        </w:rPr>
      </w:pPr>
      <w:bookmarkStart w:id="75" w:name="_Toc149046442"/>
      <w:bookmarkStart w:id="76" w:name="_Toc152252010"/>
      <w:r w:rsidRPr="00B64C8D">
        <w:rPr>
          <w:rFonts w:ascii="Times New Roman" w:hAnsi="Times New Roman" w:cs="Times New Roman"/>
          <w:sz w:val="22"/>
          <w:szCs w:val="22"/>
        </w:rPr>
        <w:t>5.</w:t>
      </w:r>
      <w:r w:rsidR="008861ED" w:rsidRPr="00B64C8D">
        <w:rPr>
          <w:rFonts w:ascii="Times New Roman" w:hAnsi="Times New Roman" w:cs="Times New Roman"/>
          <w:sz w:val="22"/>
          <w:szCs w:val="22"/>
        </w:rPr>
        <w:t>3</w:t>
      </w:r>
      <w:r w:rsidRPr="00B64C8D">
        <w:rPr>
          <w:rFonts w:ascii="Times New Roman" w:hAnsi="Times New Roman" w:cs="Times New Roman"/>
          <w:sz w:val="22"/>
          <w:szCs w:val="22"/>
        </w:rPr>
        <w:t>. Institutional characteristics Frontex</w:t>
      </w:r>
      <w:bookmarkEnd w:id="75"/>
      <w:bookmarkEnd w:id="76"/>
    </w:p>
    <w:p w14:paraId="153BD4A8" w14:textId="455AA7DE"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To understand the way Frontex operates, especially in the MLG system of the EU, it is important to get familiar with the institutional setup of the agency. In this part of the chapter, attention will be given to the tools the different levels of governance possess to shape Frontex’s behavior. In the analysis chapters, these sticks and carrots will be used to better understand Frontex’s behavior, and the action or lack thereof by the other actors in the MLG system. </w:t>
      </w:r>
    </w:p>
    <w:p w14:paraId="3359E09D" w14:textId="002D4828"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Frontex’s board of directors </w:t>
      </w:r>
      <w:r w:rsidR="001B2B84" w:rsidRPr="00B64C8D">
        <w:rPr>
          <w:rFonts w:ascii="Times New Roman" w:hAnsi="Times New Roman" w:cs="Times New Roman"/>
        </w:rPr>
        <w:t>oversees</w:t>
      </w:r>
      <w:r w:rsidRPr="00B64C8D">
        <w:rPr>
          <w:rFonts w:ascii="Times New Roman" w:hAnsi="Times New Roman" w:cs="Times New Roman"/>
        </w:rPr>
        <w:t xml:space="preserve"> the day-to-day actions of Frontex, and it is a clear example of MLG in practice. The board is made up of a representative of every EU member state and two representatives of the European Commission. All these directors are instructed to be impartial and to not take instructions from other governments or actors. The chair of this board is chosen by a two third majority of board members from a shortlist proposed by the Commission (EU, 2019, pp. 85-87). </w:t>
      </w:r>
    </w:p>
    <w:p w14:paraId="1A0AA7A0" w14:textId="7CA348E6"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Frontex operates in a legal framework that is formed by the normal legislative procedure. This means that the European Commission has a proposal, then both the Parliament and the Council get a chance to read it. After that, they can choose to adopt it or not, or to adopt it with amendments. The Parliament reads and possibly amends it first, then the Council does. Then, if there are amendments, the legislation goes through this pipeline another time. The same thing happens at the moment the legal framework of Frontex changes. (European Parliament, n.d.)</w:t>
      </w:r>
    </w:p>
    <w:p w14:paraId="25CD6EA2" w14:textId="00A0346A"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Another instrument the EU community actors can use to shape Frontex’s behavior is budgeting. One of these tools is the discharge procedure. In this procedure the European Parliament goes over Frontex’s accounts from the previous year. (Frontex, n.d.). The EP can possibly sanction Frontex if it does not agree with its acts by cutting the budgets of the following years. The Council and EP both </w:t>
      </w:r>
      <w:r w:rsidR="001B2B84" w:rsidRPr="00B64C8D">
        <w:rPr>
          <w:rFonts w:ascii="Times New Roman" w:hAnsi="Times New Roman" w:cs="Times New Roman"/>
        </w:rPr>
        <w:t>must</w:t>
      </w:r>
      <w:r w:rsidRPr="00B64C8D">
        <w:rPr>
          <w:rFonts w:ascii="Times New Roman" w:hAnsi="Times New Roman" w:cs="Times New Roman"/>
        </w:rPr>
        <w:t xml:space="preserve"> agree with Frontex’s budget, with approval of the Internal Audit Service (IAS) the internal auditor of the Commission (Frontex, n.d.). All the community actors have the possibility to address Frontex in written letters through the Commission (Frontex, n.d.). </w:t>
      </w:r>
    </w:p>
    <w:p w14:paraId="7264B4BF" w14:textId="4255984A" w:rsidR="00084763" w:rsidRPr="00B64C8D" w:rsidRDefault="00084763" w:rsidP="00B64C8D">
      <w:pPr>
        <w:pStyle w:val="Kop2"/>
        <w:spacing w:line="360" w:lineRule="auto"/>
        <w:rPr>
          <w:rFonts w:ascii="Times New Roman" w:hAnsi="Times New Roman" w:cs="Times New Roman"/>
          <w:sz w:val="22"/>
          <w:szCs w:val="22"/>
        </w:rPr>
      </w:pPr>
      <w:bookmarkStart w:id="77" w:name="_Toc152252011"/>
      <w:r w:rsidRPr="00B64C8D">
        <w:rPr>
          <w:rFonts w:ascii="Times New Roman" w:hAnsi="Times New Roman" w:cs="Times New Roman"/>
          <w:sz w:val="22"/>
          <w:szCs w:val="22"/>
        </w:rPr>
        <w:t>5.</w:t>
      </w:r>
      <w:r w:rsidR="008861ED" w:rsidRPr="00B64C8D">
        <w:rPr>
          <w:rFonts w:ascii="Times New Roman" w:hAnsi="Times New Roman" w:cs="Times New Roman"/>
          <w:sz w:val="22"/>
          <w:szCs w:val="22"/>
        </w:rPr>
        <w:t>4</w:t>
      </w:r>
      <w:r w:rsidRPr="00B64C8D">
        <w:rPr>
          <w:rFonts w:ascii="Times New Roman" w:hAnsi="Times New Roman" w:cs="Times New Roman"/>
          <w:sz w:val="22"/>
          <w:szCs w:val="22"/>
        </w:rPr>
        <w:t>. Chapter conclusion</w:t>
      </w:r>
      <w:bookmarkEnd w:id="77"/>
    </w:p>
    <w:p w14:paraId="0573BEB3" w14:textId="0BA2CDB1" w:rsidR="00084763" w:rsidRPr="00B64C8D" w:rsidRDefault="00084763" w:rsidP="00B64C8D">
      <w:pPr>
        <w:spacing w:line="360" w:lineRule="auto"/>
        <w:rPr>
          <w:rFonts w:ascii="Times New Roman" w:hAnsi="Times New Roman" w:cs="Times New Roman"/>
        </w:rPr>
      </w:pPr>
      <w:r w:rsidRPr="00B64C8D">
        <w:rPr>
          <w:rFonts w:ascii="Times New Roman" w:hAnsi="Times New Roman" w:cs="Times New Roman"/>
        </w:rPr>
        <w:t>In this chapter we go</w:t>
      </w:r>
      <w:r w:rsidR="00B64C8D">
        <w:rPr>
          <w:rFonts w:ascii="Times New Roman" w:hAnsi="Times New Roman" w:cs="Times New Roman"/>
        </w:rPr>
        <w:t>t</w:t>
      </w:r>
      <w:r w:rsidRPr="00B64C8D">
        <w:rPr>
          <w:rFonts w:ascii="Times New Roman" w:hAnsi="Times New Roman" w:cs="Times New Roman"/>
        </w:rPr>
        <w:t xml:space="preserve"> into the 4 different types of autonomy (</w:t>
      </w:r>
      <w:r w:rsidRPr="00B64C8D">
        <w:rPr>
          <w:rFonts w:ascii="Times New Roman" w:hAnsi="Times New Roman" w:cs="Times New Roman"/>
          <w:i/>
          <w:iCs/>
        </w:rPr>
        <w:t>Personnel, Financial, Policy</w:t>
      </w:r>
      <w:r w:rsidRPr="00B64C8D">
        <w:rPr>
          <w:rFonts w:ascii="Times New Roman" w:hAnsi="Times New Roman" w:cs="Times New Roman"/>
        </w:rPr>
        <w:t xml:space="preserve"> and </w:t>
      </w:r>
      <w:r w:rsidRPr="00B64C8D">
        <w:rPr>
          <w:rFonts w:ascii="Times New Roman" w:hAnsi="Times New Roman" w:cs="Times New Roman"/>
          <w:i/>
          <w:iCs/>
        </w:rPr>
        <w:t>legal</w:t>
      </w:r>
      <w:r w:rsidRPr="00B64C8D">
        <w:rPr>
          <w:rFonts w:ascii="Times New Roman" w:hAnsi="Times New Roman" w:cs="Times New Roman"/>
        </w:rPr>
        <w:t xml:space="preserve">). The goal of this chapter was to find out in what areas and how much Frontex had gained in autonomy over the years leading up to the 2019 regulation. </w:t>
      </w:r>
      <w:r w:rsidR="00B64C8D">
        <w:rPr>
          <w:rFonts w:ascii="Times New Roman" w:hAnsi="Times New Roman" w:cs="Times New Roman"/>
        </w:rPr>
        <w:t xml:space="preserve">In the end we can state that in all the four types there was a growth in autonomy. The chapter also gives some insight in how the agency operates and what official powers the European Commission, EP and the member states have over it. This opens the way for the next two chapters which will examine how and why the agency got its autonomy and how the institutional setup contributed to that. </w:t>
      </w:r>
    </w:p>
    <w:p w14:paraId="5519F798" w14:textId="77777777" w:rsidR="00312B4B" w:rsidRPr="00B64C8D" w:rsidRDefault="00312B4B" w:rsidP="00B64C8D">
      <w:pPr>
        <w:pStyle w:val="Stijl1"/>
        <w:rPr>
          <w:rFonts w:ascii="Times New Roman" w:hAnsi="Times New Roman"/>
          <w:sz w:val="22"/>
          <w:szCs w:val="22"/>
        </w:rPr>
      </w:pPr>
      <w:bookmarkStart w:id="78" w:name="_Toc149046443"/>
      <w:bookmarkStart w:id="79" w:name="_Toc152252012"/>
      <w:r w:rsidRPr="00B64C8D">
        <w:rPr>
          <w:rFonts w:ascii="Times New Roman" w:hAnsi="Times New Roman"/>
          <w:sz w:val="22"/>
          <w:szCs w:val="22"/>
        </w:rPr>
        <w:lastRenderedPageBreak/>
        <w:t>Chapter 6: Institutional survival &amp; Lobbyists</w:t>
      </w:r>
      <w:bookmarkEnd w:id="78"/>
      <w:bookmarkEnd w:id="79"/>
    </w:p>
    <w:p w14:paraId="08FA623A" w14:textId="31A92783"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This chapter will formulate a timeline that mainly goes into Frontex’s own influence on the shift towards an agency that can operate more autonomously, and how this is fueled by its own institutional survival and the influence of lobbyists. The chapter gives an insight into every distinct step that has been made by both the lobby groups and Frontex. This will be formulated as a causal chain leading up to the 2019 redrafted regulation. The second chapter will go into how the different layers of governance have allowed the agency to do so, mainly diving into the reason behind the behavior of both Commission, </w:t>
      </w:r>
      <w:r w:rsidR="001B2B84" w:rsidRPr="00B64C8D">
        <w:rPr>
          <w:rFonts w:ascii="Times New Roman" w:hAnsi="Times New Roman" w:cs="Times New Roman"/>
        </w:rPr>
        <w:t>Parliament,</w:t>
      </w:r>
      <w:r w:rsidRPr="00B64C8D">
        <w:rPr>
          <w:rFonts w:ascii="Times New Roman" w:hAnsi="Times New Roman" w:cs="Times New Roman"/>
        </w:rPr>
        <w:t xml:space="preserve"> and member states.</w:t>
      </w:r>
    </w:p>
    <w:p w14:paraId="0896F0EA" w14:textId="77777777" w:rsidR="00312B4B" w:rsidRPr="00B64C8D" w:rsidRDefault="00312B4B" w:rsidP="00B64C8D">
      <w:pPr>
        <w:pStyle w:val="Kop2"/>
        <w:spacing w:line="360" w:lineRule="auto"/>
        <w:rPr>
          <w:rFonts w:ascii="Times New Roman" w:hAnsi="Times New Roman" w:cs="Times New Roman"/>
          <w:sz w:val="22"/>
          <w:szCs w:val="22"/>
        </w:rPr>
      </w:pPr>
      <w:bookmarkStart w:id="80" w:name="_Toc149046444"/>
      <w:bookmarkStart w:id="81" w:name="_Toc152252013"/>
      <w:r w:rsidRPr="00B64C8D">
        <w:rPr>
          <w:rFonts w:ascii="Times New Roman" w:hAnsi="Times New Roman" w:cs="Times New Roman"/>
          <w:sz w:val="22"/>
          <w:szCs w:val="22"/>
        </w:rPr>
        <w:t>6.1. Frontex pre-2011</w:t>
      </w:r>
      <w:bookmarkEnd w:id="80"/>
      <w:bookmarkEnd w:id="81"/>
    </w:p>
    <w:p w14:paraId="21A4EA12" w14:textId="17F53C29"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Frontex was established in 2004, and mainly tasked with risk assessment on the EU Borders (EU, 2004). Frontex did not yet have a role in which it was allowed to analyze and assess risks in specific EU member states, the agency did not own its own material (EU, 2004; </w:t>
      </w:r>
      <w:r w:rsidRPr="00B64C8D">
        <w:rPr>
          <w:rFonts w:ascii="Times New Roman" w:hAnsi="Times New Roman" w:cs="Times New Roman"/>
          <w:color w:val="222222"/>
          <w:shd w:val="clear" w:color="auto" w:fill="FFFFFF"/>
        </w:rPr>
        <w:t>Fjørtoft, 2022)</w:t>
      </w:r>
      <w:r w:rsidRPr="00B64C8D">
        <w:rPr>
          <w:rFonts w:ascii="Times New Roman" w:hAnsi="Times New Roman" w:cs="Times New Roman"/>
        </w:rPr>
        <w:t xml:space="preserve">. Its main tasks were to register technical equipment that the member states had and to make it possible for other member states to have access to it (EU, 2004), to exchange information between the member states and the EU institutions, to work on training of national border agencies, and to make risk assessments (EU, 2004). </w:t>
      </w:r>
    </w:p>
    <w:p w14:paraId="4EB47CB2" w14:textId="2D6BAF62"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While Frontex used the influx to frame migration as a crisis. This might seem as a logical frame to us now, but</w:t>
      </w:r>
      <w:r w:rsidRPr="00B64C8D">
        <w:rPr>
          <w:rFonts w:ascii="Times New Roman" w:hAnsi="Times New Roman" w:cs="Times New Roman"/>
          <w:color w:val="222222"/>
          <w:shd w:val="clear" w:color="auto" w:fill="FFFFFF"/>
        </w:rPr>
        <w:t xml:space="preserve"> an influx in migration could also be framed as a human rights issue or migrants could be seen as assets for local communities in an aging European population (McCann et al., 2023). The later narratives would provide a sentiment that focusses more on accommodation of the migrants instead of repelling them, which would diminish Frontex’s importance. The narrative of migration as a crisis stuck and</w:t>
      </w:r>
      <w:r w:rsidRPr="00B64C8D">
        <w:rPr>
          <w:rFonts w:ascii="Times New Roman" w:hAnsi="Times New Roman" w:cs="Times New Roman"/>
        </w:rPr>
        <w:t xml:space="preserve"> arrival countries, such as Italy and France, requested the EU to take a more active role in controlling migrants as a result of the influx in migrants (Dumitrescu, 2011).</w:t>
      </w:r>
      <w:r w:rsidRPr="00B64C8D">
        <w:rPr>
          <w:rFonts w:ascii="Times New Roman" w:hAnsi="Times New Roman" w:cs="Times New Roman"/>
          <w:color w:val="222222"/>
          <w:shd w:val="clear" w:color="auto" w:fill="FFFFFF"/>
        </w:rPr>
        <w:t xml:space="preserve">The feeling of a crisis allows radical instruments to be used and allows for a lack of institutionalized oversight in search of fast solutions (Jeandesboz &amp; Pallister-Wilkins, 2016; </w:t>
      </w:r>
      <w:bookmarkStart w:id="82" w:name="_Hlk137469856"/>
      <w:r w:rsidRPr="00B64C8D">
        <w:rPr>
          <w:rFonts w:ascii="Times New Roman" w:hAnsi="Times New Roman" w:cs="Times New Roman"/>
          <w:color w:val="222222"/>
          <w:shd w:val="clear" w:color="auto" w:fill="FFFFFF"/>
        </w:rPr>
        <w:t>Gkliati &amp; Kilpatrick, 2022</w:t>
      </w:r>
      <w:bookmarkEnd w:id="82"/>
      <w:r w:rsidRPr="00B64C8D">
        <w:rPr>
          <w:rFonts w:ascii="Times New Roman" w:hAnsi="Times New Roman" w:cs="Times New Roman"/>
          <w:color w:val="222222"/>
          <w:shd w:val="clear" w:color="auto" w:fill="FFFFFF"/>
        </w:rPr>
        <w:t xml:space="preserve">; Frontex, 2011). This narrative is supported by industry interest groups (Sleiman, 2022) and in 2011 the narrative paid off in a 2011 change in Frontex’s autonomy to obtain hardware. Before, Frontex was dependent on EU member states to lease or borrow equipment to them, but in 2011 Frontex received the financial autonomy to co-own vessels and vehicles </w:t>
      </w:r>
      <w:r w:rsidRPr="00B64C8D">
        <w:rPr>
          <w:rFonts w:ascii="Times New Roman" w:hAnsi="Times New Roman" w:cs="Times New Roman"/>
        </w:rPr>
        <w:t xml:space="preserve">(European Parliament &amp; Council of the EU, 2011). </w:t>
      </w:r>
    </w:p>
    <w:p w14:paraId="7D208F6D" w14:textId="77777777" w:rsidR="00312B4B" w:rsidRPr="00B64C8D" w:rsidRDefault="00312B4B" w:rsidP="00B64C8D">
      <w:pPr>
        <w:pStyle w:val="Kop2"/>
        <w:spacing w:line="360" w:lineRule="auto"/>
        <w:rPr>
          <w:rFonts w:ascii="Times New Roman" w:hAnsi="Times New Roman" w:cs="Times New Roman"/>
          <w:sz w:val="22"/>
          <w:szCs w:val="22"/>
          <w:shd w:val="clear" w:color="auto" w:fill="FFFFFF"/>
        </w:rPr>
      </w:pPr>
      <w:bookmarkStart w:id="83" w:name="_Toc149046445"/>
      <w:bookmarkStart w:id="84" w:name="_Toc152252014"/>
      <w:r w:rsidRPr="00B64C8D">
        <w:rPr>
          <w:rFonts w:ascii="Times New Roman" w:hAnsi="Times New Roman" w:cs="Times New Roman"/>
          <w:sz w:val="22"/>
          <w:szCs w:val="22"/>
          <w:shd w:val="clear" w:color="auto" w:fill="FFFFFF"/>
        </w:rPr>
        <w:t>6.2. Frontex 2011-2016</w:t>
      </w:r>
      <w:bookmarkEnd w:id="83"/>
      <w:bookmarkEnd w:id="84"/>
    </w:p>
    <w:p w14:paraId="4A88DBB7" w14:textId="63EEC3F9" w:rsidR="00312B4B" w:rsidRPr="00B64C8D" w:rsidRDefault="00312B4B"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rPr>
        <w:t>The fact that Frontex could only be co-owner of equipment together with a member state was still a reach from Frontex owning its own drones and vessels. However, it was a step towards more financial autonomy. With this rise in financial autonomy there was also a rise in the budget Frontex could use for their operations: this went from 19 million euros in 2006 to 118 million in 2011 (Statista, 2023).</w:t>
      </w:r>
      <w:r w:rsidRPr="00B64C8D">
        <w:rPr>
          <w:rFonts w:ascii="Times New Roman" w:hAnsi="Times New Roman" w:cs="Times New Roman"/>
        </w:rPr>
        <w:br/>
      </w:r>
      <w:r w:rsidRPr="00B64C8D">
        <w:rPr>
          <w:rFonts w:ascii="Times New Roman" w:hAnsi="Times New Roman" w:cs="Times New Roman"/>
          <w:color w:val="222222"/>
          <w:shd w:val="clear" w:color="auto" w:fill="FFFFFF"/>
        </w:rPr>
        <w:t xml:space="preserve">After Frontex got more freedom in (partly) acquiring materials, lobbyists got even more interested. In </w:t>
      </w:r>
      <w:r w:rsidRPr="00B64C8D">
        <w:rPr>
          <w:rFonts w:ascii="Times New Roman" w:hAnsi="Times New Roman" w:cs="Times New Roman"/>
          <w:color w:val="222222"/>
          <w:shd w:val="clear" w:color="auto" w:fill="FFFFFF"/>
        </w:rPr>
        <w:lastRenderedPageBreak/>
        <w:t xml:space="preserve">2015, Frontex no longer even had enough people to meet every request for a bilateral meeting with representors of the weapon and security industry. This came to light after requesting emails that were sent between representatives of Frontex and the defense and security industry by Mark Akkerman (AsktheEU, 2015). The agency was interesting because it now had a bigger role to play in the acquirement of the hardware the security companies sold. However, the member states were still a decisive factor in this process. </w:t>
      </w:r>
    </w:p>
    <w:p w14:paraId="4F940616" w14:textId="7CBA6297" w:rsidR="00D31081"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Because Frontex, at this time, had a role that was mainly centered around providing information, functioning as a go-between for the different national border security agencies and as a risk assessor for the EU institutions, it had a privileged position when it </w:t>
      </w:r>
      <w:r w:rsidR="001035D7" w:rsidRPr="00B64C8D">
        <w:rPr>
          <w:rFonts w:ascii="Times New Roman" w:hAnsi="Times New Roman" w:cs="Times New Roman"/>
        </w:rPr>
        <w:t>presented issues</w:t>
      </w:r>
      <w:r w:rsidRPr="00B64C8D">
        <w:rPr>
          <w:rFonts w:ascii="Times New Roman" w:hAnsi="Times New Roman" w:cs="Times New Roman"/>
        </w:rPr>
        <w:t xml:space="preserve"> to the EU institutions and member states. The actors within the MLG system did not have ways of verifying information that was provided by </w:t>
      </w:r>
      <w:r w:rsidR="001035D7" w:rsidRPr="00B64C8D">
        <w:rPr>
          <w:rFonts w:ascii="Times New Roman" w:hAnsi="Times New Roman" w:cs="Times New Roman"/>
        </w:rPr>
        <w:t>Frontex or</w:t>
      </w:r>
      <w:r w:rsidRPr="00B64C8D">
        <w:rPr>
          <w:rFonts w:ascii="Times New Roman" w:hAnsi="Times New Roman" w:cs="Times New Roman"/>
        </w:rPr>
        <w:t xml:space="preserve"> finding their own. Frontex used this role as information provider to claim that there was a lack of instruments, </w:t>
      </w:r>
      <w:r w:rsidR="001B2B84" w:rsidRPr="00B64C8D">
        <w:rPr>
          <w:rFonts w:ascii="Times New Roman" w:hAnsi="Times New Roman" w:cs="Times New Roman"/>
        </w:rPr>
        <w:t>data,</w:t>
      </w:r>
      <w:r w:rsidRPr="00B64C8D">
        <w:rPr>
          <w:rFonts w:ascii="Times New Roman" w:hAnsi="Times New Roman" w:cs="Times New Roman"/>
        </w:rPr>
        <w:t xml:space="preserve"> and manpower within the agency. By mainly focusing on the lack of resources, and the different levels of governance being dependent on Frontex as a source of information, the agency successfully sold the narrative that they needed more instruments to control the migrants coming to the EU borders. At the same time, the member state border patrol agencies were less prominent in Frontex’s rapports on lacking instruments. For this reason, it was mainly Frontex who saw its budget expanding (Statista, 2023). As discussed in the theory section of this research, Type II MLG seeks an agent who offers “the best” solution to a</w:t>
      </w:r>
      <w:r w:rsidR="00D31081">
        <w:rPr>
          <w:rFonts w:ascii="Times New Roman" w:hAnsi="Times New Roman" w:cs="Times New Roman"/>
        </w:rPr>
        <w:t xml:space="preserve"> certain</w:t>
      </w:r>
      <w:r w:rsidRPr="00B64C8D">
        <w:rPr>
          <w:rFonts w:ascii="Times New Roman" w:hAnsi="Times New Roman" w:cs="Times New Roman"/>
        </w:rPr>
        <w:t xml:space="preserve"> problem.</w:t>
      </w:r>
      <w:r w:rsidR="00D31081">
        <w:rPr>
          <w:rFonts w:ascii="Times New Roman" w:hAnsi="Times New Roman" w:cs="Times New Roman"/>
        </w:rPr>
        <w:t xml:space="preserve"> </w:t>
      </w:r>
    </w:p>
    <w:p w14:paraId="6A01BCC6" w14:textId="651F1CA5"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Frontex used its role as information provider to ensure its resources while, at the same time, not doing the same for the border patrol agencies of the EU member states. By using its role as information provider Frontex creates a context in which it will be usually better equipped than the national border agencies. This results in a scenario where the Commission, Parliament and even the member states will first call on Frontex before calling on the national border agencies to deal with any issues border related. </w:t>
      </w:r>
    </w:p>
    <w:p w14:paraId="457BFBF0" w14:textId="1F8055FD"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The next function shift came in 2015 during the war in Syria, when</w:t>
      </w:r>
      <w:r w:rsidR="00AD72C7" w:rsidRPr="00B64C8D">
        <w:rPr>
          <w:rFonts w:ascii="Times New Roman" w:hAnsi="Times New Roman" w:cs="Times New Roman"/>
        </w:rPr>
        <w:t xml:space="preserve"> </w:t>
      </w:r>
      <w:r w:rsidRPr="00B64C8D">
        <w:rPr>
          <w:rFonts w:ascii="Times New Roman" w:hAnsi="Times New Roman" w:cs="Times New Roman"/>
        </w:rPr>
        <w:t xml:space="preserve">the following European migration “crisis” started (Frontex, 2015). </w:t>
      </w:r>
      <w:r w:rsidRPr="00B64C8D">
        <w:rPr>
          <w:rFonts w:ascii="Times New Roman" w:hAnsi="Times New Roman" w:cs="Times New Roman"/>
          <w:color w:val="222222"/>
          <w:shd w:val="clear" w:color="auto" w:fill="FFFFFF"/>
        </w:rPr>
        <w:t xml:space="preserve">The same narrative of migration as a security threat that was used during the Arab spring was used in 2015 </w:t>
      </w:r>
      <w:r w:rsidRPr="00B64C8D">
        <w:rPr>
          <w:rFonts w:ascii="Times New Roman" w:hAnsi="Times New Roman" w:cs="Times New Roman"/>
        </w:rPr>
        <w:t>(Perkowski et al., 2023; Frontex, 2015)</w:t>
      </w:r>
      <w:r w:rsidRPr="00B64C8D">
        <w:rPr>
          <w:rFonts w:ascii="Times New Roman" w:hAnsi="Times New Roman" w:cs="Times New Roman"/>
          <w:color w:val="222222"/>
          <w:shd w:val="clear" w:color="auto" w:fill="FFFFFF"/>
        </w:rPr>
        <w:t xml:space="preserve">. In the annual risk analysis that Frontex does, it states “the unprecedented number of migrants crossing illegally </w:t>
      </w:r>
      <w:r w:rsidR="00D31081">
        <w:rPr>
          <w:rFonts w:ascii="Times New Roman" w:hAnsi="Times New Roman" w:cs="Times New Roman"/>
          <w:color w:val="222222"/>
          <w:shd w:val="clear" w:color="auto" w:fill="FFFFFF"/>
        </w:rPr>
        <w:t>[</w:t>
      </w:r>
      <w:r w:rsidRPr="00B64C8D">
        <w:rPr>
          <w:rFonts w:ascii="Times New Roman" w:hAnsi="Times New Roman" w:cs="Times New Roman"/>
          <w:color w:val="222222"/>
          <w:shd w:val="clear" w:color="auto" w:fill="FFFFFF"/>
        </w:rPr>
        <w:t>…</w:t>
      </w:r>
      <w:r w:rsidR="00D31081">
        <w:rPr>
          <w:rFonts w:ascii="Times New Roman" w:hAnsi="Times New Roman" w:cs="Times New Roman"/>
          <w:color w:val="222222"/>
          <w:shd w:val="clear" w:color="auto" w:fill="FFFFFF"/>
        </w:rPr>
        <w:t xml:space="preserve">] </w:t>
      </w:r>
      <w:r w:rsidRPr="00B64C8D">
        <w:rPr>
          <w:rFonts w:ascii="Times New Roman" w:hAnsi="Times New Roman" w:cs="Times New Roman"/>
          <w:color w:val="222222"/>
          <w:shd w:val="clear" w:color="auto" w:fill="FFFFFF"/>
        </w:rPr>
        <w:t xml:space="preserve">has resulted in the worst refugee crisis since the second world war” (Frontex, 2015, p.5). According </w:t>
      </w:r>
      <w:r w:rsidR="001035D7" w:rsidRPr="00B64C8D">
        <w:rPr>
          <w:rFonts w:ascii="Times New Roman" w:hAnsi="Times New Roman" w:cs="Times New Roman"/>
          <w:color w:val="222222"/>
          <w:shd w:val="clear" w:color="auto" w:fill="FFFFFF"/>
        </w:rPr>
        <w:t>to Frontex</w:t>
      </w:r>
      <w:r w:rsidRPr="00B64C8D">
        <w:rPr>
          <w:rFonts w:ascii="Times New Roman" w:hAnsi="Times New Roman" w:cs="Times New Roman"/>
          <w:color w:val="222222"/>
          <w:shd w:val="clear" w:color="auto" w:fill="FFFFFF"/>
        </w:rPr>
        <w:t xml:space="preserve"> they have too little resources to properly register these migrants and that this can lead to “vulnerability for EU internal security” (Frontex, 2015, p.5). Frontex also states that member states cannot form a strong intergovernmental cooperative network without central oversight, even if the national agencies have access to </w:t>
      </w:r>
      <w:r w:rsidR="001035D7" w:rsidRPr="00B64C8D">
        <w:rPr>
          <w:rFonts w:ascii="Times New Roman" w:hAnsi="Times New Roman" w:cs="Times New Roman"/>
          <w:color w:val="222222"/>
          <w:shd w:val="clear" w:color="auto" w:fill="FFFFFF"/>
        </w:rPr>
        <w:t>i.e.,</w:t>
      </w:r>
      <w:r w:rsidRPr="00B64C8D">
        <w:rPr>
          <w:rFonts w:ascii="Times New Roman" w:hAnsi="Times New Roman" w:cs="Times New Roman"/>
          <w:color w:val="222222"/>
          <w:shd w:val="clear" w:color="auto" w:fill="FFFFFF"/>
        </w:rPr>
        <w:t xml:space="preserve"> weapons and vessels.  Frontex claims that it needs to have more capabilities and autonomy in keeping oversight and controlling the different border patrol agencies (Frontex, 2015, pp. 10-11). Frontex uses their role as information provider to the EU institutions to </w:t>
      </w:r>
      <w:r w:rsidRPr="00B64C8D">
        <w:rPr>
          <w:rFonts w:ascii="Times New Roman" w:hAnsi="Times New Roman" w:cs="Times New Roman"/>
          <w:color w:val="222222"/>
          <w:shd w:val="clear" w:color="auto" w:fill="FFFFFF"/>
        </w:rPr>
        <w:lastRenderedPageBreak/>
        <w:t>establish themselves as essential for a coherent border policy while discrediting national border agencies.</w:t>
      </w:r>
    </w:p>
    <w:p w14:paraId="407D0233" w14:textId="5EC1A541" w:rsidR="00312B4B" w:rsidRPr="00B64C8D" w:rsidRDefault="00312B4B"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rPr>
        <w:t xml:space="preserve">The agency noted lack in capacity on many fronts. For instance, the agency claimed to be short of vessels, reliable </w:t>
      </w:r>
      <w:r w:rsidR="001B2B84" w:rsidRPr="00B64C8D">
        <w:rPr>
          <w:rFonts w:ascii="Times New Roman" w:hAnsi="Times New Roman" w:cs="Times New Roman"/>
        </w:rPr>
        <w:t>data,</w:t>
      </w:r>
      <w:r w:rsidRPr="00B64C8D">
        <w:rPr>
          <w:rFonts w:ascii="Times New Roman" w:hAnsi="Times New Roman" w:cs="Times New Roman"/>
        </w:rPr>
        <w:t xml:space="preserve"> and cooperation by 3</w:t>
      </w:r>
      <w:r w:rsidRPr="00B64C8D">
        <w:rPr>
          <w:rFonts w:ascii="Times New Roman" w:hAnsi="Times New Roman" w:cs="Times New Roman"/>
          <w:vertAlign w:val="superscript"/>
        </w:rPr>
        <w:t>rd</w:t>
      </w:r>
      <w:r w:rsidRPr="00B64C8D">
        <w:rPr>
          <w:rFonts w:ascii="Times New Roman" w:hAnsi="Times New Roman" w:cs="Times New Roman"/>
        </w:rPr>
        <w:t xml:space="preserve"> countries (Frontex, 2015). Frontex concluded that the capacity issues were prominent in the agency, but rarely mentioned capacity in national agencies (Frontex, 2015). This information provision led to a focus on enlargement of the agency instead of the capabilities of the EU member states. It also gives a precedent to enlarge Frontex as an agency while the national border agencies often receive less instruments, </w:t>
      </w:r>
      <w:r w:rsidR="001B2B84" w:rsidRPr="00B64C8D">
        <w:rPr>
          <w:rFonts w:ascii="Times New Roman" w:hAnsi="Times New Roman" w:cs="Times New Roman"/>
        </w:rPr>
        <w:t>personnel,</w:t>
      </w:r>
      <w:r w:rsidRPr="00B64C8D">
        <w:rPr>
          <w:rFonts w:ascii="Times New Roman" w:hAnsi="Times New Roman" w:cs="Times New Roman"/>
        </w:rPr>
        <w:t xml:space="preserve"> and monetary backing. It could lead to Frontex becoming more essential when it receives more instruments to deal with migration while member states lag behind in capacity. This is the start of a cyclical movement in which Frontex has the most resources, and so it becomes the agent called upon for dealing with border related issues, for it is believed to be most capable. Because it has this role, it has a need for more weapons, vessels, data gathering methods and other instruments.</w:t>
      </w:r>
      <w:r w:rsidRPr="00B64C8D">
        <w:rPr>
          <w:rFonts w:ascii="Times New Roman" w:hAnsi="Times New Roman" w:cs="Times New Roman"/>
          <w:color w:val="222222"/>
          <w:shd w:val="clear" w:color="auto" w:fill="FFFFFF"/>
        </w:rPr>
        <w:br/>
        <w:t xml:space="preserve">It would seem logical that a crisis would only result in temporary extreme measures to quell </w:t>
      </w:r>
      <w:r w:rsidR="00D31081">
        <w:rPr>
          <w:rFonts w:ascii="Times New Roman" w:hAnsi="Times New Roman" w:cs="Times New Roman"/>
          <w:color w:val="222222"/>
          <w:shd w:val="clear" w:color="auto" w:fill="FFFFFF"/>
        </w:rPr>
        <w:t>it</w:t>
      </w:r>
      <w:r w:rsidRPr="00B64C8D">
        <w:rPr>
          <w:rFonts w:ascii="Times New Roman" w:hAnsi="Times New Roman" w:cs="Times New Roman"/>
          <w:color w:val="222222"/>
          <w:shd w:val="clear" w:color="auto" w:fill="FFFFFF"/>
        </w:rPr>
        <w:t xml:space="preserve">. The </w:t>
      </w:r>
      <w:r w:rsidR="001035D7" w:rsidRPr="00B64C8D">
        <w:rPr>
          <w:rFonts w:ascii="Times New Roman" w:hAnsi="Times New Roman" w:cs="Times New Roman"/>
          <w:color w:val="222222"/>
          <w:shd w:val="clear" w:color="auto" w:fill="FFFFFF"/>
        </w:rPr>
        <w:t>crisis narrative</w:t>
      </w:r>
      <w:r w:rsidRPr="00B64C8D">
        <w:rPr>
          <w:rFonts w:ascii="Times New Roman" w:hAnsi="Times New Roman" w:cs="Times New Roman"/>
          <w:color w:val="222222"/>
          <w:shd w:val="clear" w:color="auto" w:fill="FFFFFF"/>
        </w:rPr>
        <w:t xml:space="preserve"> once again resulted in a systematic change voted into place by both the Council of the EU and the European Parliament. The solution of the institutions was an amending regulation of the founding treaty of Frontex. Within this treaty it was established that Frontex could start making deals autonomously with third countries, mainly when it comes to returning illegally staying third country nationals (European Union, 2016). It also gives a further expansion of personnel autonomy. This treaty allows a number of 1500 border guards who are committed by the EU member states. These border guards give Frontex more autonomy when it comes to policy autonomy, because they can act themselves instead of only instructing national border patrols. </w:t>
      </w:r>
    </w:p>
    <w:p w14:paraId="6C1B57DC" w14:textId="45ED8F0C" w:rsidR="00DC17AD" w:rsidRPr="00B64C8D" w:rsidRDefault="00312B4B" w:rsidP="00B64C8D">
      <w:pPr>
        <w:spacing w:line="360" w:lineRule="auto"/>
        <w:rPr>
          <w:rFonts w:ascii="Times New Roman" w:hAnsi="Times New Roman" w:cs="Times New Roman"/>
        </w:rPr>
      </w:pPr>
      <w:r w:rsidRPr="00B64C8D">
        <w:rPr>
          <w:rFonts w:ascii="Times New Roman" w:hAnsi="Times New Roman" w:cs="Times New Roman"/>
          <w:color w:val="222222"/>
          <w:shd w:val="clear" w:color="auto" w:fill="FFFFFF"/>
        </w:rPr>
        <w:t>If the crisis narrative rings true, a systematic change in the ways of operating would not be necessary or this at least would not have to happen again. To support this, the executive director of Frontex at the time Fabrice Leggeri said: “</w:t>
      </w:r>
      <w:r w:rsidRPr="00B64C8D">
        <w:rPr>
          <w:rFonts w:ascii="Times New Roman" w:hAnsi="Times New Roman" w:cs="Times New Roman"/>
          <w:color w:val="282828"/>
          <w:shd w:val="clear" w:color="auto" w:fill="FFFFFF"/>
        </w:rPr>
        <w:t>We continue to move forward with the development of a truly European Border and Coast Guard Agency that will no longer face shortages of staff or equipment in its operations” after the amending regulation was signed</w:t>
      </w:r>
      <w:r w:rsidRPr="00B64C8D">
        <w:rPr>
          <w:rFonts w:ascii="Times New Roman" w:hAnsi="Times New Roman" w:cs="Times New Roman"/>
          <w:color w:val="222222"/>
          <w:shd w:val="clear" w:color="auto" w:fill="FFFFFF"/>
        </w:rPr>
        <w:t xml:space="preserve"> (Frontex, 2016). </w:t>
      </w:r>
    </w:p>
    <w:p w14:paraId="432533F7" w14:textId="4956C933" w:rsidR="00DC17AD" w:rsidRPr="00B64C8D" w:rsidRDefault="00DC17AD" w:rsidP="00B64C8D">
      <w:pPr>
        <w:spacing w:line="360" w:lineRule="auto"/>
        <w:rPr>
          <w:rFonts w:ascii="Times New Roman" w:hAnsi="Times New Roman" w:cs="Times New Roman"/>
        </w:rPr>
      </w:pPr>
      <w:r w:rsidRPr="00B64C8D">
        <w:rPr>
          <w:rFonts w:ascii="Times New Roman" w:hAnsi="Times New Roman" w:cs="Times New Roman"/>
        </w:rPr>
        <w:t xml:space="preserve">By solely looking at the agency’s actions trough a lens of institutional survival there is a risk of overlooking important outside factors. For </w:t>
      </w:r>
      <w:r w:rsidR="001035D7" w:rsidRPr="00B64C8D">
        <w:rPr>
          <w:rFonts w:ascii="Times New Roman" w:hAnsi="Times New Roman" w:cs="Times New Roman"/>
        </w:rPr>
        <w:t>these reasons</w:t>
      </w:r>
      <w:r w:rsidRPr="00B64C8D">
        <w:rPr>
          <w:rFonts w:ascii="Times New Roman" w:hAnsi="Times New Roman" w:cs="Times New Roman"/>
        </w:rPr>
        <w:t xml:space="preserve"> we will also dive into the influence by interest or corporate lobby groups. </w:t>
      </w:r>
    </w:p>
    <w:p w14:paraId="7DFC8B1C" w14:textId="7C5B507B" w:rsidR="00312B4B" w:rsidRPr="00B64C8D" w:rsidRDefault="00312B4B"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rPr>
        <w:t xml:space="preserve">The corporate lobby groups have access to multiple levels of EU bodies. For instance, they are members of multiple boards advising the European Commission. Among one of these was the FP7, a program where the European institutions come together with industrial representatives to talk about the future of the EU. These meetings took place until 2013. There were representatives of big defense and security corporations that had a role in designing research and technological development </w:t>
      </w:r>
      <w:r w:rsidRPr="00B64C8D">
        <w:rPr>
          <w:rFonts w:ascii="Times New Roman" w:hAnsi="Times New Roman" w:cs="Times New Roman"/>
        </w:rPr>
        <w:lastRenderedPageBreak/>
        <w:t xml:space="preserve">framework (Cordis, 2013) and the European Security Research Program. The Commission states that these high-level industrialists are vital for the discussion on border control. At the same time, there were no representatives for civil groups present at these meetings (European Commission, 2007). By excluding other stakeholders, such as civil rights groups or migrant organizations, the discourse is mainly influenced by the groups that directly benefit from selling more technology and hardware. At the PF7, representatives of Boeing and EADs (European Aeronautic Defence and Space Company), currently known as a subsidiary of Airbus group, were present and sold defense and surveillance contracts for border security for a little less than 50 million euros. FP7 concluded in a budget of around 200 million euros that could be used for acquiring defense and security equipment in the period between 2007 and 2013. Among other things, these contracts laid the foundation for the border surveillance program Eurosur </w:t>
      </w:r>
      <w:r w:rsidRPr="00B64C8D">
        <w:rPr>
          <w:rFonts w:ascii="Times New Roman" w:hAnsi="Times New Roman" w:cs="Times New Roman"/>
          <w:color w:val="222222"/>
          <w:shd w:val="clear" w:color="auto" w:fill="FFFFFF"/>
        </w:rPr>
        <w:t xml:space="preserve">(Fotiadis &amp; Ciobanu, 2013). The interesting part about Eurosur is that it was not a solution to a direct problem Frontex or any of the EU member states had with their border patrol. Eurosur was an idea that was proposed by the border patrol industrials (Akkerman, 2019). The defense contractors do not only have an influence through the research they do. </w:t>
      </w:r>
      <w:r w:rsidRPr="00B64C8D">
        <w:rPr>
          <w:rFonts w:ascii="Times New Roman" w:hAnsi="Times New Roman" w:cs="Times New Roman"/>
        </w:rPr>
        <w:t xml:space="preserve">The director of Research &amp; Development of Frontex, Edgar Beugels has stated that “We </w:t>
      </w:r>
      <w:r w:rsidR="001035D7" w:rsidRPr="00B64C8D">
        <w:rPr>
          <w:rFonts w:ascii="Times New Roman" w:hAnsi="Times New Roman" w:cs="Times New Roman"/>
        </w:rPr>
        <w:t>ourselves</w:t>
      </w:r>
      <w:r w:rsidRPr="00B64C8D">
        <w:rPr>
          <w:rFonts w:ascii="Times New Roman" w:hAnsi="Times New Roman" w:cs="Times New Roman"/>
        </w:rPr>
        <w:t xml:space="preserve"> do not do any research. We trust on research done by others”.</w:t>
      </w:r>
      <w:r w:rsidRPr="00B64C8D">
        <w:rPr>
          <w:rFonts w:ascii="Times New Roman" w:hAnsi="Times New Roman" w:cs="Times New Roman"/>
          <w:i/>
          <w:iCs/>
        </w:rPr>
        <w:t xml:space="preserve"> </w:t>
      </w:r>
      <w:r w:rsidRPr="00B64C8D">
        <w:rPr>
          <w:rFonts w:ascii="Times New Roman" w:hAnsi="Times New Roman" w:cs="Times New Roman"/>
        </w:rPr>
        <w:t>Among other actors, they heavily rely on research done by the industry. Officially, the requests for this research are done by Frontex itself, but a spokesperson of the agency has stated that these ideas often develop during the congresses with the input of industrial representatives (Fotiadis &amp; Ciobanu, 2013).</w:t>
      </w:r>
      <w:r w:rsidRPr="00B64C8D">
        <w:rPr>
          <w:rFonts w:ascii="Times New Roman" w:hAnsi="Times New Roman" w:cs="Times New Roman"/>
          <w:color w:val="222222"/>
          <w:shd w:val="clear" w:color="auto" w:fill="FFFFFF"/>
        </w:rPr>
        <w:t xml:space="preserve"> So, not only do the lobby groups have direct contact with people within the agency, </w:t>
      </w:r>
      <w:r w:rsidR="001035D7" w:rsidRPr="00B64C8D">
        <w:rPr>
          <w:rFonts w:ascii="Times New Roman" w:hAnsi="Times New Roman" w:cs="Times New Roman"/>
          <w:color w:val="222222"/>
          <w:shd w:val="clear" w:color="auto" w:fill="FFFFFF"/>
        </w:rPr>
        <w:t>but they</w:t>
      </w:r>
      <w:r w:rsidRPr="00B64C8D">
        <w:rPr>
          <w:rFonts w:ascii="Times New Roman" w:hAnsi="Times New Roman" w:cs="Times New Roman"/>
          <w:color w:val="222222"/>
          <w:shd w:val="clear" w:color="auto" w:fill="FFFFFF"/>
        </w:rPr>
        <w:t xml:space="preserve"> also provide them with a large part of their information and even ideas for big security projects, in which these corporate actors have a direct financial interest. With these actions shaping the preferences of the agency. Because of the MLG system and the lack of a transparency register for Frontex, it becomes fairly difficult for the general public to decipher how much these lobbyists lobby on Frontex directly or lobby at the other levels to shape Frontex’s eventual mandate and autonomy. </w:t>
      </w:r>
    </w:p>
    <w:p w14:paraId="5C71B3C5" w14:textId="020546F8" w:rsidR="00312B4B" w:rsidRPr="00B64C8D" w:rsidRDefault="00312B4B"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 xml:space="preserve">In response to the news agency IPS’s questions about the FP7 congress, the Commission stated that the support of the European defense industry is part of the goals of the congress. The representative of the European Commission stated that </w:t>
      </w:r>
      <w:r w:rsidRPr="00B64C8D">
        <w:rPr>
          <w:rFonts w:ascii="Times New Roman" w:hAnsi="Times New Roman" w:cs="Times New Roman"/>
        </w:rPr>
        <w:t xml:space="preserve">“Through this </w:t>
      </w:r>
      <w:r w:rsidR="00D31081">
        <w:rPr>
          <w:rFonts w:ascii="Times New Roman" w:hAnsi="Times New Roman" w:cs="Times New Roman"/>
        </w:rPr>
        <w:t>[</w:t>
      </w:r>
      <w:r w:rsidRPr="00B64C8D">
        <w:rPr>
          <w:rFonts w:ascii="Times New Roman" w:hAnsi="Times New Roman" w:cs="Times New Roman"/>
        </w:rPr>
        <w:t>Congress</w:t>
      </w:r>
      <w:r w:rsidR="00D31081">
        <w:rPr>
          <w:rFonts w:ascii="Times New Roman" w:hAnsi="Times New Roman" w:cs="Times New Roman"/>
        </w:rPr>
        <w:t>]</w:t>
      </w:r>
      <w:r w:rsidRPr="00B64C8D">
        <w:rPr>
          <w:rFonts w:ascii="Times New Roman" w:hAnsi="Times New Roman" w:cs="Times New Roman"/>
        </w:rPr>
        <w:t>, the theme will contribute to growth and employment and the competitiveness of the European security industry.”</w:t>
      </w:r>
      <w:r w:rsidRPr="00B64C8D">
        <w:rPr>
          <w:rFonts w:ascii="Times New Roman" w:hAnsi="Times New Roman" w:cs="Times New Roman"/>
          <w:color w:val="222222"/>
          <w:shd w:val="clear" w:color="auto" w:fill="FFFFFF"/>
        </w:rPr>
        <w:t xml:space="preserve"> (European Commission, 2013). By this statement, it is made visible that the C</w:t>
      </w:r>
      <w:r w:rsidR="001035D7" w:rsidRPr="00B64C8D">
        <w:rPr>
          <w:rFonts w:ascii="Times New Roman" w:hAnsi="Times New Roman" w:cs="Times New Roman"/>
          <w:color w:val="222222"/>
          <w:shd w:val="clear" w:color="auto" w:fill="FFFFFF"/>
        </w:rPr>
        <w:t>o</w:t>
      </w:r>
      <w:r w:rsidRPr="00B64C8D">
        <w:rPr>
          <w:rFonts w:ascii="Times New Roman" w:hAnsi="Times New Roman" w:cs="Times New Roman"/>
          <w:color w:val="222222"/>
          <w:shd w:val="clear" w:color="auto" w:fill="FFFFFF"/>
        </w:rPr>
        <w:t xml:space="preserve">mmission seems to be willing to “help” the defense industry, even when the practical reality does not necessarily ask for a military or security solution. The Commission itself published a communication in 2013 in which they state that the European weapon industry is of great economic importance, essential for technological advancement of the EU and, because of that, essential to protect this sector. The Commission does, however, take meetings and gives contracts to non-EU actors, such as the Israeli producer of Heron drones Israel Aerospace industries (IAI) (Akkerman, 2019; Jones, 2017).  </w:t>
      </w:r>
    </w:p>
    <w:p w14:paraId="5A7CCD9F" w14:textId="2C4625E3" w:rsidR="00312B4B" w:rsidRPr="00D7137D" w:rsidRDefault="00312B4B"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rPr>
        <w:lastRenderedPageBreak/>
        <w:t xml:space="preserve">At this point, Frontex was still dependent on member states or the Commission to acquire material (EU, 2004). To ensure the materials, Frontex played a mitigating role in which it connected representatives of corporations with representatives of member states and the Commission. This was done by hosting fora or bringing the two sides in touch in a more informal manner </w:t>
      </w:r>
      <w:r w:rsidRPr="00B64C8D">
        <w:rPr>
          <w:rFonts w:ascii="Times New Roman" w:hAnsi="Times New Roman" w:cs="Times New Roman"/>
          <w:color w:val="222222"/>
          <w:shd w:val="clear" w:color="auto" w:fill="FFFFFF"/>
        </w:rPr>
        <w:t xml:space="preserve">(Fotiadis &amp; Ciobanu, 2013; Frontex, 2013; Frontex, 2014; Frontex, 2015). Next to the willingness of Frontex to provide a channel between the corporate actors with the EU institutions, it proves to be susceptible for the attention it receives from lobbyists in other ways. The independent lobby watchdog Corporate Europe Observatory (CEO) published </w:t>
      </w:r>
      <w:r w:rsidR="001035D7" w:rsidRPr="00B64C8D">
        <w:rPr>
          <w:rFonts w:ascii="Times New Roman" w:hAnsi="Times New Roman" w:cs="Times New Roman"/>
          <w:color w:val="222222"/>
          <w:shd w:val="clear" w:color="auto" w:fill="FFFFFF"/>
        </w:rPr>
        <w:t>research</w:t>
      </w:r>
      <w:r w:rsidRPr="00B64C8D">
        <w:rPr>
          <w:rFonts w:ascii="Times New Roman" w:hAnsi="Times New Roman" w:cs="Times New Roman"/>
          <w:color w:val="222222"/>
          <w:shd w:val="clear" w:color="auto" w:fill="FFFFFF"/>
        </w:rPr>
        <w:t xml:space="preserve"> in which a direct correlation was found between the </w:t>
      </w:r>
      <w:r w:rsidR="003B1A6D" w:rsidRPr="00B64C8D">
        <w:rPr>
          <w:rFonts w:ascii="Times New Roman" w:hAnsi="Times New Roman" w:cs="Times New Roman"/>
          <w:color w:val="222222"/>
          <w:shd w:val="clear" w:color="auto" w:fill="FFFFFF"/>
        </w:rPr>
        <w:t>number</w:t>
      </w:r>
      <w:r w:rsidRPr="00B64C8D">
        <w:rPr>
          <w:rFonts w:ascii="Times New Roman" w:hAnsi="Times New Roman" w:cs="Times New Roman"/>
          <w:color w:val="222222"/>
          <w:shd w:val="clear" w:color="auto" w:fill="FFFFFF"/>
        </w:rPr>
        <w:t xml:space="preserve"> of meetings were held between Frontex and corporate groups and which corporate groups received contracts (Douo et al., 2021). For the lobby organizations, this shows that Frontex is a useful partner. At the same time, the European member states are less reliable in the long run: there can be changes in political climates, which can shift the way they want to handle migration (Panebianco, 2016), while Frontex has a reason to keep acquiring instruments to ensure its institutional survival. Next to that, Frontex is </w:t>
      </w:r>
      <w:r w:rsidR="001035D7" w:rsidRPr="00B64C8D">
        <w:rPr>
          <w:rFonts w:ascii="Times New Roman" w:hAnsi="Times New Roman" w:cs="Times New Roman"/>
          <w:color w:val="222222"/>
          <w:shd w:val="clear" w:color="auto" w:fill="FFFFFF"/>
        </w:rPr>
        <w:t>an easier</w:t>
      </w:r>
      <w:r w:rsidRPr="00B64C8D">
        <w:rPr>
          <w:rFonts w:ascii="Times New Roman" w:hAnsi="Times New Roman" w:cs="Times New Roman"/>
          <w:color w:val="222222"/>
          <w:shd w:val="clear" w:color="auto" w:fill="FFFFFF"/>
        </w:rPr>
        <w:t xml:space="preserve"> to navigate actor: instead of knowing people at all 27 EU member state levels, lobby groups can just access at one place. </w:t>
      </w:r>
    </w:p>
    <w:p w14:paraId="00E922DC" w14:textId="77777777" w:rsidR="00312B4B" w:rsidRPr="00B64C8D" w:rsidRDefault="00312B4B" w:rsidP="00B64C8D">
      <w:pPr>
        <w:pStyle w:val="Kop2"/>
        <w:spacing w:line="360" w:lineRule="auto"/>
        <w:rPr>
          <w:rFonts w:ascii="Times New Roman" w:hAnsi="Times New Roman" w:cs="Times New Roman"/>
          <w:sz w:val="22"/>
          <w:szCs w:val="22"/>
        </w:rPr>
      </w:pPr>
      <w:bookmarkStart w:id="85" w:name="_Toc149046446"/>
      <w:bookmarkStart w:id="86" w:name="_Toc152252015"/>
      <w:r w:rsidRPr="00B64C8D">
        <w:rPr>
          <w:rFonts w:ascii="Times New Roman" w:hAnsi="Times New Roman" w:cs="Times New Roman"/>
          <w:sz w:val="22"/>
          <w:szCs w:val="22"/>
        </w:rPr>
        <w:t>6.3. Frontex 2016-2019</w:t>
      </w:r>
      <w:bookmarkEnd w:id="85"/>
      <w:bookmarkEnd w:id="86"/>
    </w:p>
    <w:p w14:paraId="0AEAFA16" w14:textId="77777777"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This culminated in the biggest redesign of Frontex since the agency was founded in 2004. In the 2016 regulation, Frontex received its current name, more mandate, and now it can carry out risk assessments on member states and helping member states in need of technical assistance on the border of the EU (EU, 2015). </w:t>
      </w:r>
    </w:p>
    <w:p w14:paraId="7388DF41" w14:textId="525357A5"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However, after this redraft, it seemed that lobby organizations only saw Frontex as a more useful partner. The agency had gained autonomy and became even more interesting to directly lobby to. Before the redraft the lobby groups needed to find out in all the different levels of the MLG system who was responsible for purchasing their hardware. They also had to be more aware of political climates at the different levels</w:t>
      </w:r>
      <w:r w:rsidR="00CF0018">
        <w:rPr>
          <w:rFonts w:ascii="Times New Roman" w:hAnsi="Times New Roman" w:cs="Times New Roman"/>
        </w:rPr>
        <w:t>, t</w:t>
      </w:r>
      <w:r w:rsidRPr="00B64C8D">
        <w:rPr>
          <w:rFonts w:ascii="Times New Roman" w:hAnsi="Times New Roman" w:cs="Times New Roman"/>
        </w:rPr>
        <w:t xml:space="preserve">hese things were more labor and resource intensive. </w:t>
      </w:r>
    </w:p>
    <w:p w14:paraId="64E9ADF8" w14:textId="728149E3" w:rsidR="00312B4B" w:rsidRPr="00B64C8D" w:rsidRDefault="00312B4B"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rPr>
        <w:t xml:space="preserve">During the review of the budget of 2016, the EU Parliament had questions about the relation Frontex had with lobby organizations. Frontex assured the Parliament that it only took meetings with actors represented in the EU transparency register and would publish all meetings on their website (Frontex, 2019). In their annual activity report, in which the agency explains what it has </w:t>
      </w:r>
      <w:r w:rsidR="001B2B84" w:rsidRPr="00B64C8D">
        <w:rPr>
          <w:rFonts w:ascii="Times New Roman" w:hAnsi="Times New Roman" w:cs="Times New Roman"/>
        </w:rPr>
        <w:t>achieved,</w:t>
      </w:r>
      <w:r w:rsidRPr="00B64C8D">
        <w:rPr>
          <w:rFonts w:ascii="Times New Roman" w:hAnsi="Times New Roman" w:cs="Times New Roman"/>
        </w:rPr>
        <w:t xml:space="preserve"> and which is used by the EU parliament, Commission and Council to hold agencies responsible, Frontex announced that no meetings with lobby groups were held in </w:t>
      </w:r>
      <w:r w:rsidR="001035D7" w:rsidRPr="00B64C8D">
        <w:rPr>
          <w:rFonts w:ascii="Times New Roman" w:hAnsi="Times New Roman" w:cs="Times New Roman"/>
        </w:rPr>
        <w:t>2017 (</w:t>
      </w:r>
      <w:r w:rsidRPr="00B64C8D">
        <w:rPr>
          <w:rFonts w:ascii="Times New Roman" w:hAnsi="Times New Roman" w:cs="Times New Roman"/>
        </w:rPr>
        <w:t>Frontex, 2019). Investigative journalists of the German ZDF did however publish files on Frontex. In these files, the different meetings Frontex had with lobby groups were published (Deleja-Hotko et al., 2019). In 2017 alone, these files established that Frontex representatives over the course of multiple days have met with at least 24 private bodies of which 14 were not represented in the EU transparency register. In the following two years (2018-</w:t>
      </w:r>
      <w:r w:rsidRPr="00B64C8D">
        <w:rPr>
          <w:rFonts w:ascii="Times New Roman" w:hAnsi="Times New Roman" w:cs="Times New Roman"/>
        </w:rPr>
        <w:lastRenderedPageBreak/>
        <w:t xml:space="preserve">2019) Frontex met with at least 125 bodies of which 91 were not in the EU transparency register </w:t>
      </w:r>
      <w:r w:rsidRPr="00B64C8D">
        <w:rPr>
          <w:rFonts w:ascii="Times New Roman" w:hAnsi="Times New Roman" w:cs="Times New Roman"/>
          <w:color w:val="222222"/>
          <w:shd w:val="clear" w:color="auto" w:fill="FFFFFF"/>
        </w:rPr>
        <w:t xml:space="preserve">(Douo et al., 2021). </w:t>
      </w:r>
    </w:p>
    <w:p w14:paraId="73C3F428" w14:textId="69D125D0" w:rsidR="00312B4B" w:rsidRPr="00B64C8D" w:rsidRDefault="00312B4B"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 xml:space="preserve">Most importantly we see here that the defense industry has ins with different levels of the MLG system. The lobbying on multiple levels is what makes difficult to measure exact effects on each level and how the effects transfer trough the levels. What we do know is that Frontex at least welcoming meetings with these lobbyists </w:t>
      </w:r>
      <w:r w:rsidR="003B1A6D" w:rsidRPr="00B64C8D">
        <w:rPr>
          <w:rFonts w:ascii="Times New Roman" w:hAnsi="Times New Roman" w:cs="Times New Roman"/>
          <w:color w:val="222222"/>
          <w:shd w:val="clear" w:color="auto" w:fill="FFFFFF"/>
        </w:rPr>
        <w:t>and</w:t>
      </w:r>
      <w:r w:rsidRPr="00B64C8D">
        <w:rPr>
          <w:rFonts w:ascii="Times New Roman" w:hAnsi="Times New Roman" w:cs="Times New Roman"/>
          <w:color w:val="222222"/>
          <w:shd w:val="clear" w:color="auto" w:fill="FFFFFF"/>
        </w:rPr>
        <w:t xml:space="preserve"> taking information and ideas from them. </w:t>
      </w:r>
    </w:p>
    <w:p w14:paraId="3F7AA668" w14:textId="060463B2" w:rsidR="00312B4B" w:rsidRPr="00B64C8D" w:rsidRDefault="00312B4B"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 xml:space="preserve">As mentioned in the theory section, Type II MLG creates a marketplace of governance, in which the actor that is most capable to perform the service. In the case of Frontex, this means that if they have the tools that the defense industry offers, along with the ‘migration-as-crisis’ narrative and research they add to it, they become more valued. They would have more tools than their national border patrol counter parts, making them the most interesting candidate for any future ventures. At the same time, the research of the defense industry often puts emphasis on the security crisis migration is or can cause. This narrative is beneficial for the defense industry for they can sell more of their products, but also for Frontex as their role is perceived as mor crucial. By appearing more crucial Frontex ensures its own institutional survival. </w:t>
      </w:r>
    </w:p>
    <w:p w14:paraId="69016320" w14:textId="4F9A35A0" w:rsidR="00312B4B" w:rsidRPr="00D7137D" w:rsidRDefault="00312B4B"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 xml:space="preserve">The Commission and EP were at this point already very dependent on Frontex for information on the topic of migration. The meetings with the defense industry would only have enforced this view. In the next chapter there will also be given more space to further understand the motivation behind the Commissions backing for a more autonomous Frontex. </w:t>
      </w:r>
    </w:p>
    <w:p w14:paraId="7544A334" w14:textId="1F9351DA" w:rsidR="00312B4B" w:rsidRPr="00B64C8D" w:rsidRDefault="00312B4B" w:rsidP="00B64C8D">
      <w:pPr>
        <w:pStyle w:val="Kop2"/>
        <w:spacing w:line="360" w:lineRule="auto"/>
        <w:rPr>
          <w:rFonts w:ascii="Times New Roman" w:hAnsi="Times New Roman" w:cs="Times New Roman"/>
          <w:sz w:val="22"/>
          <w:szCs w:val="22"/>
        </w:rPr>
      </w:pPr>
      <w:bookmarkStart w:id="87" w:name="_Toc149046447"/>
      <w:bookmarkStart w:id="88" w:name="_Toc152252016"/>
      <w:r w:rsidRPr="00B64C8D">
        <w:rPr>
          <w:rFonts w:ascii="Times New Roman" w:hAnsi="Times New Roman" w:cs="Times New Roman"/>
          <w:sz w:val="22"/>
          <w:szCs w:val="22"/>
        </w:rPr>
        <w:t>6.4. Proposal by the Commission</w:t>
      </w:r>
      <w:bookmarkEnd w:id="87"/>
      <w:r w:rsidR="00AF71DD">
        <w:rPr>
          <w:rFonts w:ascii="Times New Roman" w:hAnsi="Times New Roman" w:cs="Times New Roman"/>
          <w:sz w:val="22"/>
          <w:szCs w:val="22"/>
        </w:rPr>
        <w:t xml:space="preserve"> (</w:t>
      </w:r>
      <w:r w:rsidR="00AF71DD" w:rsidRPr="00B64C8D">
        <w:rPr>
          <w:rFonts w:ascii="Times New Roman" w:hAnsi="Times New Roman" w:cs="Times New Roman"/>
          <w:sz w:val="22"/>
          <w:szCs w:val="22"/>
        </w:rPr>
        <w:t>12-09-2018</w:t>
      </w:r>
      <w:r w:rsidR="00AF71DD">
        <w:rPr>
          <w:rFonts w:ascii="Times New Roman" w:hAnsi="Times New Roman" w:cs="Times New Roman"/>
          <w:sz w:val="22"/>
          <w:szCs w:val="22"/>
        </w:rPr>
        <w:t>)</w:t>
      </w:r>
      <w:bookmarkEnd w:id="88"/>
    </w:p>
    <w:p w14:paraId="65360743" w14:textId="4414B71F"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Leggeri stated that Frontex was no longer facing shortages with its expansion in 2016. In the new proposal for redesigning Frontex, the Commission once again states that an expansion is needed for the safety of the EU citizens (EU Commission, 2018), meaning that the narrative originally maintained by</w:t>
      </w:r>
      <w:r w:rsidR="00AF71DD">
        <w:rPr>
          <w:rFonts w:ascii="Times New Roman" w:hAnsi="Times New Roman" w:cs="Times New Roman"/>
        </w:rPr>
        <w:t>, among others,</w:t>
      </w:r>
      <w:r w:rsidRPr="00B64C8D">
        <w:rPr>
          <w:rFonts w:ascii="Times New Roman" w:hAnsi="Times New Roman" w:cs="Times New Roman"/>
        </w:rPr>
        <w:t xml:space="preserve"> </w:t>
      </w:r>
      <w:r w:rsidR="001035D7" w:rsidRPr="00B64C8D">
        <w:rPr>
          <w:rFonts w:ascii="Times New Roman" w:hAnsi="Times New Roman" w:cs="Times New Roman"/>
        </w:rPr>
        <w:t>Frontex</w:t>
      </w:r>
      <w:r w:rsidRPr="00B64C8D">
        <w:rPr>
          <w:rFonts w:ascii="Times New Roman" w:hAnsi="Times New Roman" w:cs="Times New Roman"/>
        </w:rPr>
        <w:t xml:space="preserve"> and the lobbyists of the defense industry</w:t>
      </w:r>
      <w:r w:rsidR="00AF71DD">
        <w:rPr>
          <w:rFonts w:ascii="Times New Roman" w:hAnsi="Times New Roman" w:cs="Times New Roman"/>
        </w:rPr>
        <w:t>,</w:t>
      </w:r>
      <w:r w:rsidRPr="00B64C8D">
        <w:rPr>
          <w:rFonts w:ascii="Times New Roman" w:hAnsi="Times New Roman" w:cs="Times New Roman"/>
        </w:rPr>
        <w:t xml:space="preserve"> was taken over by the European Commission. Important to note is that at this point in time, no significant migration crises were happening. In the proposal the Commission stated that the defense industry was consulted before they started working on the proposal (EU Commission, 2018). </w:t>
      </w:r>
    </w:p>
    <w:p w14:paraId="64C17B77" w14:textId="172702CA"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The June before this proposal was published, the European Council communicated conclusions on migration. In this report, they requested that Frontex should receive more autonomy in making deals with third countries and asked the Commission for a more effective return policy (European Council, 2018). The Commission used this request to explain why they did not do an impact assessment on their proposal. Their reasoning was that the European Council deserved an answer to their request </w:t>
      </w:r>
      <w:r w:rsidRPr="00B64C8D">
        <w:rPr>
          <w:rFonts w:ascii="Times New Roman" w:hAnsi="Times New Roman" w:cs="Times New Roman"/>
          <w:i/>
          <w:iCs/>
        </w:rPr>
        <w:t>“</w:t>
      </w:r>
      <w:r w:rsidRPr="00AF71DD">
        <w:rPr>
          <w:rFonts w:ascii="Times New Roman" w:hAnsi="Times New Roman" w:cs="Times New Roman"/>
        </w:rPr>
        <w:t>Within reasonable time</w:t>
      </w:r>
      <w:r w:rsidRPr="00B64C8D">
        <w:rPr>
          <w:rFonts w:ascii="Times New Roman" w:hAnsi="Times New Roman" w:cs="Times New Roman"/>
          <w:i/>
          <w:iCs/>
        </w:rPr>
        <w:t xml:space="preserve">” </w:t>
      </w:r>
      <w:r w:rsidRPr="00B64C8D">
        <w:rPr>
          <w:rFonts w:ascii="Times New Roman" w:hAnsi="Times New Roman" w:cs="Times New Roman"/>
        </w:rPr>
        <w:t xml:space="preserve">(EU Commission, 2018, p. 16). An impact assessment is usually done to assess whether EU action is necessary and what the potential outcomes of policy could be. An impact assessment is normally attached by the Commission to every significant legislative proposal </w:t>
      </w:r>
      <w:r w:rsidRPr="00B64C8D">
        <w:rPr>
          <w:rFonts w:ascii="Times New Roman" w:hAnsi="Times New Roman" w:cs="Times New Roman"/>
        </w:rPr>
        <w:lastRenderedPageBreak/>
        <w:t xml:space="preserve">(European Parliament, 2015). The Council’s request was not even geared towards expanding Frontex in the ways the Commission tries in the proposal, it just argues for some freedoms when it comes to third countries. The Commission, however, calls it the request for a broader mandate. Next to that, the Council does not express any form of time pressure. Here we see that the different levels of governance use each other to establish a narrative in which their actions seem to be essential.  </w:t>
      </w:r>
    </w:p>
    <w:p w14:paraId="6DAA742C" w14:textId="4A03ECF4"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So, the main points the Commission chooses to expand Frontex on – the standing force of Frontex to 10.000 people and the expansion of Eurosur – are directly derived from data from defense corporations (EU Commission, 2018, p.15). The three biggest defense and security contractors (Airbus, </w:t>
      </w:r>
      <w:r w:rsidR="001B2B84" w:rsidRPr="00B64C8D">
        <w:rPr>
          <w:rFonts w:ascii="Times New Roman" w:hAnsi="Times New Roman" w:cs="Times New Roman"/>
        </w:rPr>
        <w:t>Leonardo,</w:t>
      </w:r>
      <w:r w:rsidRPr="00B64C8D">
        <w:rPr>
          <w:rFonts w:ascii="Times New Roman" w:hAnsi="Times New Roman" w:cs="Times New Roman"/>
        </w:rPr>
        <w:t xml:space="preserve"> and Thales) met with the Commission 226 official times in the 5 years leading up to the proposal. In the year 2017 </w:t>
      </w:r>
      <w:r w:rsidR="001035D7" w:rsidRPr="00B64C8D">
        <w:rPr>
          <w:rFonts w:ascii="Times New Roman" w:hAnsi="Times New Roman" w:cs="Times New Roman"/>
        </w:rPr>
        <w:t>alone,</w:t>
      </w:r>
      <w:r w:rsidRPr="00B64C8D">
        <w:rPr>
          <w:rFonts w:ascii="Times New Roman" w:hAnsi="Times New Roman" w:cs="Times New Roman"/>
        </w:rPr>
        <w:t xml:space="preserve"> these groups spent 2.65 million euros on lobbying (Akkerman, 2019). By claiming that interest groups recommendations are built on expertise, the Commission is probably convinced that they had enough knowledge of the possible impacts of Frontex’s expansion, and, consequentially, did not need an official impact assessment. </w:t>
      </w:r>
    </w:p>
    <w:p w14:paraId="41C86DA4" w14:textId="091E176D" w:rsidR="00312B4B" w:rsidRPr="00AF71D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Both Frontex and the European Commission have had their interests to enlarge the agency. Both of them were influenced by the large lobbying machine from the weapon and security industry and Frontex was also motivated by its own institutional survival. This chapter explained the events that led up to the proposal by the Commission to give Frontex even more mandate in 2019.However, this does not paint a complete picture about how and why the other actors in this policy field allowed it to happen. The next chapter will paint a picture on what moved these other actors to allow and/or support Frontex in the gaining of a bigger mandate and more autonomy. </w:t>
      </w:r>
    </w:p>
    <w:p w14:paraId="6B042947" w14:textId="77777777" w:rsidR="00D7137D" w:rsidRDefault="00D7137D">
      <w:pPr>
        <w:rPr>
          <w:rFonts w:ascii="Times New Roman" w:eastAsiaTheme="majorEastAsia" w:hAnsi="Times New Roman" w:cs="Times New Roman"/>
          <w:color w:val="2F5496" w:themeColor="accent1" w:themeShade="BF"/>
          <w:shd w:val="clear" w:color="auto" w:fill="FFFFFF"/>
        </w:rPr>
      </w:pPr>
      <w:bookmarkStart w:id="89" w:name="_Toc149046448"/>
      <w:r>
        <w:rPr>
          <w:rFonts w:ascii="Times New Roman" w:hAnsi="Times New Roman"/>
        </w:rPr>
        <w:br w:type="page"/>
      </w:r>
    </w:p>
    <w:p w14:paraId="4122F123" w14:textId="638B1DD4" w:rsidR="00312B4B" w:rsidRPr="00B64C8D" w:rsidRDefault="00312B4B" w:rsidP="00B64C8D">
      <w:pPr>
        <w:pStyle w:val="Stijl1"/>
        <w:rPr>
          <w:rFonts w:ascii="Times New Roman" w:hAnsi="Times New Roman"/>
          <w:sz w:val="22"/>
          <w:szCs w:val="22"/>
          <w:shd w:val="clear" w:color="auto" w:fill="auto"/>
        </w:rPr>
      </w:pPr>
      <w:bookmarkStart w:id="90" w:name="_Toc152252017"/>
      <w:r w:rsidRPr="00B64C8D">
        <w:rPr>
          <w:rFonts w:ascii="Times New Roman" w:hAnsi="Times New Roman"/>
          <w:sz w:val="22"/>
          <w:szCs w:val="22"/>
        </w:rPr>
        <w:lastRenderedPageBreak/>
        <w:t xml:space="preserve">Chapter 7: Role of </w:t>
      </w:r>
      <w:bookmarkEnd w:id="89"/>
      <w:r w:rsidR="00AF71DD">
        <w:rPr>
          <w:rFonts w:ascii="Times New Roman" w:hAnsi="Times New Roman"/>
          <w:sz w:val="22"/>
          <w:szCs w:val="22"/>
        </w:rPr>
        <w:t xml:space="preserve">the Commission, </w:t>
      </w:r>
      <w:proofErr w:type="gramStart"/>
      <w:r w:rsidR="00AF71DD">
        <w:rPr>
          <w:rFonts w:ascii="Times New Roman" w:hAnsi="Times New Roman"/>
          <w:sz w:val="22"/>
          <w:szCs w:val="22"/>
        </w:rPr>
        <w:t>EP</w:t>
      </w:r>
      <w:proofErr w:type="gramEnd"/>
      <w:r w:rsidR="00AF71DD">
        <w:rPr>
          <w:rFonts w:ascii="Times New Roman" w:hAnsi="Times New Roman"/>
          <w:sz w:val="22"/>
          <w:szCs w:val="22"/>
        </w:rPr>
        <w:t xml:space="preserve"> and member states</w:t>
      </w:r>
      <w:bookmarkEnd w:id="90"/>
    </w:p>
    <w:p w14:paraId="60C91CEF" w14:textId="6A0816C3"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In the past chapter, it became clear that Frontex tries to grow as an agency in size, </w:t>
      </w:r>
      <w:r w:rsidR="001B2B84" w:rsidRPr="00B64C8D">
        <w:rPr>
          <w:rFonts w:ascii="Times New Roman" w:hAnsi="Times New Roman" w:cs="Times New Roman"/>
        </w:rPr>
        <w:t>mandate,</w:t>
      </w:r>
      <w:r w:rsidRPr="00B64C8D">
        <w:rPr>
          <w:rFonts w:ascii="Times New Roman" w:hAnsi="Times New Roman" w:cs="Times New Roman"/>
        </w:rPr>
        <w:t xml:space="preserve"> and modes of operation. This is caused both by the agency’s own wish for institutional survival and external motivation by lobbyists of the defense industry. In this chapter, the attention will be on the other levels of the MLG system, mainly to understand the role these actors played in shaping Frontex. This chapter will mainly focus on three actors that play an official role in the policy and institutional character of Frontex. These are: the EU member states, the European Parliament and the European Commission. </w:t>
      </w:r>
    </w:p>
    <w:p w14:paraId="1E67FA2E" w14:textId="10E21838" w:rsidR="00312B4B" w:rsidRPr="00B64C8D" w:rsidRDefault="00312B4B" w:rsidP="00B64C8D">
      <w:pPr>
        <w:pStyle w:val="Kop2"/>
        <w:spacing w:line="360" w:lineRule="auto"/>
        <w:rPr>
          <w:rFonts w:ascii="Times New Roman" w:hAnsi="Times New Roman" w:cs="Times New Roman"/>
          <w:sz w:val="22"/>
          <w:szCs w:val="22"/>
        </w:rPr>
      </w:pPr>
      <w:bookmarkStart w:id="91" w:name="_Toc149046449"/>
      <w:bookmarkStart w:id="92" w:name="_Toc152252018"/>
      <w:r w:rsidRPr="00B64C8D">
        <w:rPr>
          <w:rFonts w:ascii="Times New Roman" w:hAnsi="Times New Roman" w:cs="Times New Roman"/>
          <w:sz w:val="22"/>
          <w:szCs w:val="22"/>
        </w:rPr>
        <w:t>7.1. Frontex</w:t>
      </w:r>
      <w:bookmarkEnd w:id="91"/>
      <w:r w:rsidR="001035D7" w:rsidRPr="00B64C8D">
        <w:rPr>
          <w:rFonts w:ascii="Times New Roman" w:hAnsi="Times New Roman" w:cs="Times New Roman"/>
          <w:sz w:val="22"/>
          <w:szCs w:val="22"/>
        </w:rPr>
        <w:t xml:space="preserve"> pre-2016</w:t>
      </w:r>
      <w:bookmarkEnd w:id="92"/>
    </w:p>
    <w:p w14:paraId="0F53BD09" w14:textId="138272F6"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The migration “crisis” of 2015 has led to political response in all the EU member states, often mobilized by populist political actors (Garrett, 2019; Campani, 2018). The results of the migration ‘</w:t>
      </w:r>
      <w:r w:rsidR="001035D7" w:rsidRPr="00B64C8D">
        <w:rPr>
          <w:rFonts w:ascii="Times New Roman" w:hAnsi="Times New Roman" w:cs="Times New Roman"/>
        </w:rPr>
        <w:t>crises</w:t>
      </w:r>
      <w:r w:rsidR="00AF71DD">
        <w:rPr>
          <w:rFonts w:ascii="Times New Roman" w:hAnsi="Times New Roman" w:cs="Times New Roman"/>
        </w:rPr>
        <w:t>’</w:t>
      </w:r>
      <w:r w:rsidRPr="00B64C8D">
        <w:rPr>
          <w:rFonts w:ascii="Times New Roman" w:hAnsi="Times New Roman" w:cs="Times New Roman"/>
        </w:rPr>
        <w:t xml:space="preserve"> often led to political unrest, which was both bad for mainstream national parties (Garrett, 2019; Pirro et al., 2018) and the support of EU and European integration. This was evidently used in the leave campaign in the UK, which eventually led to Brexit (Garrett, 2019; Pirro et al., 2018). This gives both the European institutions who want to secure the process of EU integration and the national politicians, who are electorally dependent on the status quo, a reason to depoliticize the issue and giving responsibility to a non-political actor (Rijpma, 2010). Frontex was framed as an agency whose actions are based on intelligence and technical knowledge (Neal, 2009) with no direct political affiliations. By shifting the responsibility from the political actors such as the EP, </w:t>
      </w:r>
      <w:r w:rsidR="001B2B84" w:rsidRPr="00B64C8D">
        <w:rPr>
          <w:rFonts w:ascii="Times New Roman" w:hAnsi="Times New Roman" w:cs="Times New Roman"/>
        </w:rPr>
        <w:t>Commission,</w:t>
      </w:r>
      <w:r w:rsidRPr="00B64C8D">
        <w:rPr>
          <w:rFonts w:ascii="Times New Roman" w:hAnsi="Times New Roman" w:cs="Times New Roman"/>
        </w:rPr>
        <w:t xml:space="preserve"> and member states governments to this agency, they could reduce the political backlash. To effectively do this, Frontex needed to be equipped with enough tools and resources to handle the problem, but at the same time, the responsibility for Frontex’s actions need not to be located at the political actors. This would defeat the purpose and eventually leave the responsibility for Frontex’s actions back at the political actors. The political actors do, however, want a say in the general direction of Frontex actions. This cumulated into the 2016 regulation.</w:t>
      </w:r>
    </w:p>
    <w:p w14:paraId="1A87BA65" w14:textId="77777777" w:rsidR="00312B4B" w:rsidRPr="00B64C8D" w:rsidRDefault="00312B4B" w:rsidP="00B64C8D">
      <w:pPr>
        <w:pStyle w:val="Kop2"/>
        <w:spacing w:line="360" w:lineRule="auto"/>
        <w:rPr>
          <w:rFonts w:ascii="Times New Roman" w:hAnsi="Times New Roman" w:cs="Times New Roman"/>
          <w:sz w:val="22"/>
          <w:szCs w:val="22"/>
        </w:rPr>
      </w:pPr>
      <w:bookmarkStart w:id="93" w:name="_Toc149046450"/>
      <w:bookmarkStart w:id="94" w:name="_Toc152252019"/>
      <w:r w:rsidRPr="00B64C8D">
        <w:rPr>
          <w:rFonts w:ascii="Times New Roman" w:hAnsi="Times New Roman" w:cs="Times New Roman"/>
          <w:sz w:val="22"/>
          <w:szCs w:val="22"/>
        </w:rPr>
        <w:t>7.2. 2016 regulation</w:t>
      </w:r>
      <w:bookmarkEnd w:id="93"/>
      <w:bookmarkEnd w:id="94"/>
    </w:p>
    <w:p w14:paraId="64066A0A" w14:textId="32BDAF22"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In the 2016 regulation, the structure of the board of directors was decided: every member state could delegate one representative of their border patrol agency, and the Commission could delegate two commissioners. However, the member states and the Commission want a say in the actions Frontex carries out. They however do not want to be held responsible for the outcome of these actions. This is why in the 2016 treaty, Frontex gained more autonomy. The organizational structure of the agency seems to deliberately be held vague (Frontex, 2016). This way it is unclear to whom the agency </w:t>
      </w:r>
      <w:r w:rsidR="001B2B84" w:rsidRPr="00B64C8D">
        <w:rPr>
          <w:rFonts w:ascii="Times New Roman" w:hAnsi="Times New Roman" w:cs="Times New Roman"/>
        </w:rPr>
        <w:t>must</w:t>
      </w:r>
      <w:r w:rsidRPr="00B64C8D">
        <w:rPr>
          <w:rFonts w:ascii="Times New Roman" w:hAnsi="Times New Roman" w:cs="Times New Roman"/>
        </w:rPr>
        <w:t xml:space="preserve"> answer. The political responsibility over the agency can be at the Commission, member states the agency is operating in, the European Parliament or the member state a certain Frontex officer hails from (Frontex, 2016). Because the responsibility is opaque it is difficult for European citizens to hold the political actors accountable for the actions of the agency.</w:t>
      </w:r>
      <w:r w:rsidR="00985A20">
        <w:rPr>
          <w:rFonts w:ascii="Times New Roman" w:hAnsi="Times New Roman" w:cs="Times New Roman"/>
        </w:rPr>
        <w:t xml:space="preserve"> Exactly this is what can happen in a MLG system where diffuse responsibility results in vagueness in who needs to act in what setting.</w:t>
      </w:r>
    </w:p>
    <w:p w14:paraId="260DAF1B" w14:textId="0F5940BD"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lastRenderedPageBreak/>
        <w:t xml:space="preserve">This is also called to problem of many hands (Gkliati &amp; Kilpatrick, 2021): officially, Frontex needs approval of the EP, the member state it operates in and the Commission for most of its actions. At the same time, the board is made up by representatives from all member states. As such, all these actors can ask questions or order hearings (EU, 2016). Exactly because all these actors have some form of responsibility over Frontex, it becomes difficult for both outsiders and insiders to determine who is responsible for Frontex’s behavior (Gkliati &amp; Kilpatrick, 2021). Because the institutional set-up for Frontex is complex, and because it is hard to determine what information other actors that carry responsibility for Frontex’s actions have, it becomes difficult for citizens to determine what outcome is caused by what actor and even more difficult to prove this responsibility. It also makes It easier for the responsible actors to shift the blame around (Rijpma, 2010). By pointing fingers at each other, and because the citizens are not able to access enough information, the MLG system makes it possible for Frontex to act, grow and acquire more hardware without the citizens of the EU being able to determine where to direct their wish for change. </w:t>
      </w:r>
    </w:p>
    <w:p w14:paraId="7603616B" w14:textId="744909D4" w:rsidR="00312B4B" w:rsidRPr="00B64C8D" w:rsidRDefault="00312B4B"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rPr>
        <w:t xml:space="preserve">Next to the institutional vagueness, the overseeing actors allow Frontex a large amount of opaqueness. For instance, the operations Frontex carries out under the flag of the Common Security and Defense Policy (CSDP), have less strict guidelines when it comes to reporting than “regular” Frontex </w:t>
      </w:r>
      <w:r w:rsidR="001035D7" w:rsidRPr="00B64C8D">
        <w:rPr>
          <w:rFonts w:ascii="Times New Roman" w:hAnsi="Times New Roman" w:cs="Times New Roman"/>
        </w:rPr>
        <w:t>operations (</w:t>
      </w:r>
      <w:r w:rsidRPr="00B64C8D">
        <w:rPr>
          <w:rFonts w:ascii="Times New Roman" w:hAnsi="Times New Roman" w:cs="Times New Roman"/>
        </w:rPr>
        <w:t xml:space="preserve">Dura, 2018; Kalkman, 2021). The operations carried out under the CSDP are the ones that have most military nature and often outside of EU borders (EP, 2021). Next to that, Frontex leaves out details out of their annual reports (Kalkman, 2021), while these reports are the main source of information for the EP and the Commission. The possibility to change is in the hands of the EP and the Commission, for they can adjust the budget and freedoms of Frontex. They, however, choose not to do so because they would also have to take responsibility for the agency’s actions. For instance, only 13.9 percent of the freedom of information requests for Frontex in 2017 were all out accepted, with 60.2 percent receiving partial access and the rest of the requests were denied </w:t>
      </w:r>
      <w:r w:rsidRPr="00B64C8D">
        <w:rPr>
          <w:rFonts w:ascii="Times New Roman" w:hAnsi="Times New Roman" w:cs="Times New Roman"/>
          <w:color w:val="222222"/>
          <w:shd w:val="clear" w:color="auto" w:fill="FFFFFF"/>
        </w:rPr>
        <w:t>(Gkliati &amp; Kilpatrick, 2022)</w:t>
      </w:r>
      <w:r w:rsidRPr="00B64C8D">
        <w:rPr>
          <w:rFonts w:ascii="Times New Roman" w:hAnsi="Times New Roman" w:cs="Times New Roman"/>
        </w:rPr>
        <w:t>. It hinders human rights NGOs and journalists in acquiring proficient data on Frontex actions. This makes it difficult for journalists to check their facts before publishing articles about it. Human rights NGOs often use information to mobilize people and create political attention for the problems. The lack of information makes it difficult for the public to form an opinion on the topic and in due time hold the agency responsible for their actions. Because the agency receives this freedom to not disclose all data, which results in less (possible) scrutiny on their actions, the agency receives more policy autonomy.</w:t>
      </w:r>
      <w:r w:rsidRPr="00B64C8D">
        <w:rPr>
          <w:rFonts w:ascii="Times New Roman" w:hAnsi="Times New Roman" w:cs="Times New Roman"/>
          <w:color w:val="222222"/>
          <w:shd w:val="clear" w:color="auto" w:fill="FFFFFF"/>
        </w:rPr>
        <w:t xml:space="preserve"> However, the Parliament requested Frontex to start living up to the transparency rules and implement them immediately in the annual activity report of 2017 (signed in 2019) (European Parliament, 2019). The EP still chose to expand the budget and authorities of Frontex excessively, by doing this not using their instruments to make Frontex compliant to their own rules. As discussed in the chapter on institutional characteristics of Frontex, the Commission Council and EP have instruments for cutting the budget or restricting Frontex’s authority in some other way. They chose however to not do this, </w:t>
      </w:r>
      <w:r w:rsidRPr="00B64C8D">
        <w:rPr>
          <w:rFonts w:ascii="Times New Roman" w:hAnsi="Times New Roman" w:cs="Times New Roman"/>
          <w:color w:val="222222"/>
          <w:shd w:val="clear" w:color="auto" w:fill="FFFFFF"/>
        </w:rPr>
        <w:lastRenderedPageBreak/>
        <w:t xml:space="preserve">partly because they were not in possession of enough information and partly because their electorate was not in charge of the information needed to hold these actors (EP, </w:t>
      </w:r>
      <w:r w:rsidR="001B2B84" w:rsidRPr="00B64C8D">
        <w:rPr>
          <w:rFonts w:ascii="Times New Roman" w:hAnsi="Times New Roman" w:cs="Times New Roman"/>
          <w:color w:val="222222"/>
          <w:shd w:val="clear" w:color="auto" w:fill="FFFFFF"/>
        </w:rPr>
        <w:t>Commission,</w:t>
      </w:r>
      <w:r w:rsidRPr="00B64C8D">
        <w:rPr>
          <w:rFonts w:ascii="Times New Roman" w:hAnsi="Times New Roman" w:cs="Times New Roman"/>
          <w:color w:val="222222"/>
          <w:shd w:val="clear" w:color="auto" w:fill="FFFFFF"/>
        </w:rPr>
        <w:t xml:space="preserve"> and member states) responsible during elections. This hands-off approach leads to more autonomy Frontex. </w:t>
      </w:r>
      <w:r w:rsidRPr="00B64C8D">
        <w:rPr>
          <w:rFonts w:ascii="Times New Roman" w:hAnsi="Times New Roman" w:cs="Times New Roman"/>
        </w:rPr>
        <w:t xml:space="preserve">By effectively being allowed to underreport certain operations towards the actors that are responsible for Frontex, the agency gained more policy autonomy. For the responsible actors (member states, Commission, Parliament), this stays a viable structure, because due to the nature of the MLG Type II, they are less likely to be held responsible by their citizens. </w:t>
      </w:r>
    </w:p>
    <w:p w14:paraId="7ABD3210" w14:textId="77777777" w:rsidR="00312B4B" w:rsidRPr="00B64C8D" w:rsidRDefault="00312B4B" w:rsidP="00B64C8D">
      <w:pPr>
        <w:pStyle w:val="Kop2"/>
        <w:spacing w:line="360" w:lineRule="auto"/>
        <w:rPr>
          <w:rFonts w:ascii="Times New Roman" w:hAnsi="Times New Roman" w:cs="Times New Roman"/>
          <w:sz w:val="22"/>
          <w:szCs w:val="22"/>
          <w:shd w:val="clear" w:color="auto" w:fill="FFFFFF"/>
        </w:rPr>
      </w:pPr>
      <w:bookmarkStart w:id="95" w:name="_Toc149046451"/>
      <w:bookmarkStart w:id="96" w:name="_Toc152252020"/>
      <w:r w:rsidRPr="00B64C8D">
        <w:rPr>
          <w:rFonts w:ascii="Times New Roman" w:hAnsi="Times New Roman" w:cs="Times New Roman"/>
          <w:sz w:val="22"/>
          <w:szCs w:val="22"/>
          <w:shd w:val="clear" w:color="auto" w:fill="FFFFFF"/>
        </w:rPr>
        <w:t>7.3. 2019 Regulation</w:t>
      </w:r>
      <w:bookmarkEnd w:id="95"/>
      <w:bookmarkEnd w:id="96"/>
    </w:p>
    <w:p w14:paraId="4FB2ABB4" w14:textId="40252A6A" w:rsidR="00312B4B" w:rsidRPr="00985A20"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In the 2019 redraft of the legal basis of Frontex, the EU codified some of the freedoms that made Frontex more autonomous. The oversight roles were given to people within the ranks of the agency, giving a less outspoken oversight role to the Commission, </w:t>
      </w:r>
      <w:r w:rsidR="001B2B84" w:rsidRPr="00B64C8D">
        <w:rPr>
          <w:rFonts w:ascii="Times New Roman" w:hAnsi="Times New Roman" w:cs="Times New Roman"/>
        </w:rPr>
        <w:t>EP,</w:t>
      </w:r>
      <w:r w:rsidRPr="00B64C8D">
        <w:rPr>
          <w:rFonts w:ascii="Times New Roman" w:hAnsi="Times New Roman" w:cs="Times New Roman"/>
        </w:rPr>
        <w:t xml:space="preserve"> and member states. An example of this is the fundamental rights monitors. These are people who directly work for Frontex and mainly cooperate with the Frontex coordinating officers (Frontex, n.d.; EU, 2019). By doing this, the actors actively put the task of overseeing Frontex within the agency itself. This results in less accountability for Frontex’s actions laying at the EP, </w:t>
      </w:r>
      <w:r w:rsidR="001B2B84" w:rsidRPr="00B64C8D">
        <w:rPr>
          <w:rFonts w:ascii="Times New Roman" w:hAnsi="Times New Roman" w:cs="Times New Roman"/>
        </w:rPr>
        <w:t>Commission,</w:t>
      </w:r>
      <w:r w:rsidRPr="00B64C8D">
        <w:rPr>
          <w:rFonts w:ascii="Times New Roman" w:hAnsi="Times New Roman" w:cs="Times New Roman"/>
        </w:rPr>
        <w:t xml:space="preserve"> and member states, giving Frontex more autonomy, especially when it comes to policy. Next to that, all the autonomy and instruments mentioned in the earlier chapter were now officially Frontex responsibility. By doing this, the EP, the </w:t>
      </w:r>
      <w:r w:rsidR="001B2B84" w:rsidRPr="00B64C8D">
        <w:rPr>
          <w:rFonts w:ascii="Times New Roman" w:hAnsi="Times New Roman" w:cs="Times New Roman"/>
        </w:rPr>
        <w:t>Commission,</w:t>
      </w:r>
      <w:r w:rsidRPr="00B64C8D">
        <w:rPr>
          <w:rFonts w:ascii="Times New Roman" w:hAnsi="Times New Roman" w:cs="Times New Roman"/>
        </w:rPr>
        <w:t xml:space="preserve"> and the member states did not have to take responsibility on the hot topic of border control. </w:t>
      </w:r>
    </w:p>
    <w:p w14:paraId="3EDDF19E" w14:textId="77777777" w:rsidR="00D7137D" w:rsidRDefault="00D7137D">
      <w:pPr>
        <w:rPr>
          <w:rFonts w:ascii="Times New Roman" w:eastAsiaTheme="majorEastAsia" w:hAnsi="Times New Roman" w:cs="Times New Roman"/>
          <w:color w:val="2F5496" w:themeColor="accent1" w:themeShade="BF"/>
          <w:shd w:val="clear" w:color="auto" w:fill="FFFFFF"/>
        </w:rPr>
      </w:pPr>
      <w:bookmarkStart w:id="97" w:name="_Toc149046452"/>
      <w:r>
        <w:rPr>
          <w:rFonts w:ascii="Times New Roman" w:hAnsi="Times New Roman"/>
        </w:rPr>
        <w:br w:type="page"/>
      </w:r>
    </w:p>
    <w:p w14:paraId="1471F395" w14:textId="415D99B1" w:rsidR="00312B4B" w:rsidRPr="00B64C8D" w:rsidRDefault="00312B4B" w:rsidP="00B64C8D">
      <w:pPr>
        <w:pStyle w:val="Stijl1"/>
        <w:rPr>
          <w:rFonts w:ascii="Times New Roman" w:hAnsi="Times New Roman"/>
          <w:sz w:val="22"/>
          <w:szCs w:val="22"/>
        </w:rPr>
      </w:pPr>
      <w:bookmarkStart w:id="98" w:name="_Toc152252021"/>
      <w:r w:rsidRPr="00B64C8D">
        <w:rPr>
          <w:rFonts w:ascii="Times New Roman" w:hAnsi="Times New Roman"/>
          <w:sz w:val="22"/>
          <w:szCs w:val="22"/>
        </w:rPr>
        <w:lastRenderedPageBreak/>
        <w:t>Chapter 8: Conclusion</w:t>
      </w:r>
      <w:bookmarkEnd w:id="97"/>
      <w:bookmarkEnd w:id="98"/>
    </w:p>
    <w:p w14:paraId="729A50C6" w14:textId="7C7FF503" w:rsidR="00312B4B" w:rsidRPr="00B64C8D" w:rsidRDefault="00312B4B" w:rsidP="00B64C8D">
      <w:pPr>
        <w:spacing w:line="360" w:lineRule="auto"/>
        <w:rPr>
          <w:rFonts w:ascii="Times New Roman" w:hAnsi="Times New Roman" w:cs="Times New Roman"/>
          <w:color w:val="000000" w:themeColor="text1"/>
        </w:rPr>
      </w:pPr>
      <w:r w:rsidRPr="00B64C8D">
        <w:rPr>
          <w:rFonts w:ascii="Times New Roman" w:hAnsi="Times New Roman" w:cs="Times New Roman"/>
        </w:rPr>
        <w:t>The research tried to answer the following question</w:t>
      </w:r>
      <w:r w:rsidRPr="00B64C8D">
        <w:rPr>
          <w:rFonts w:ascii="Times New Roman" w:hAnsi="Times New Roman" w:cs="Times New Roman"/>
          <w:color w:val="000000" w:themeColor="text1"/>
        </w:rPr>
        <w:t>: “</w:t>
      </w:r>
      <w:r w:rsidRPr="00B64C8D">
        <w:rPr>
          <w:rFonts w:ascii="Times New Roman" w:hAnsi="Times New Roman" w:cs="Times New Roman"/>
          <w:i/>
          <w:iCs/>
          <w:color w:val="000000" w:themeColor="text1"/>
        </w:rPr>
        <w:t xml:space="preserve">In the Multi-Level arena of the EU, what causal mechanisms contributed to Frontex’s shift towards more autonomy?” </w:t>
      </w:r>
      <w:r w:rsidRPr="00B64C8D">
        <w:rPr>
          <w:rFonts w:ascii="Times New Roman" w:hAnsi="Times New Roman" w:cs="Times New Roman"/>
          <w:color w:val="000000" w:themeColor="text1"/>
        </w:rPr>
        <w:t>To be able to answer these questions, this thesis looked at two sub-questions, both responding to an interrelated causal mechanism. These were</w:t>
      </w:r>
      <w:r w:rsidR="001035D7" w:rsidRPr="00B64C8D">
        <w:rPr>
          <w:rFonts w:ascii="Times New Roman" w:hAnsi="Times New Roman" w:cs="Times New Roman"/>
          <w:color w:val="000000" w:themeColor="text1"/>
        </w:rPr>
        <w:t>: “</w:t>
      </w:r>
      <w:r w:rsidRPr="00B64C8D">
        <w:rPr>
          <w:rFonts w:ascii="Times New Roman" w:eastAsia="Times New Roman" w:hAnsi="Times New Roman" w:cs="Times New Roman"/>
          <w:i/>
          <w:iCs/>
          <w:color w:val="0E101A"/>
          <w:kern w:val="0"/>
          <w:lang w:eastAsia="nl-NL"/>
          <w14:ligatures w14:val="none"/>
        </w:rPr>
        <w:t xml:space="preserve">What role does Frontex itself play in gaining autonomy and what role does institutional survival play in shaping its preferences?” </w:t>
      </w:r>
      <w:r w:rsidRPr="00B64C8D">
        <w:rPr>
          <w:rFonts w:ascii="Times New Roman" w:hAnsi="Times New Roman" w:cs="Times New Roman"/>
        </w:rPr>
        <w:t>and “</w:t>
      </w:r>
      <w:r w:rsidRPr="00B64C8D">
        <w:rPr>
          <w:rFonts w:ascii="Times New Roman" w:hAnsi="Times New Roman" w:cs="Times New Roman"/>
          <w:i/>
          <w:iCs/>
        </w:rPr>
        <w:t xml:space="preserve">What role do the European Parliament, European Commission and EU member states play in shaping Frontex’s autonomy and what political processes shape their preferences?” </w:t>
      </w:r>
      <w:r w:rsidRPr="00B64C8D">
        <w:rPr>
          <w:rFonts w:ascii="Times New Roman" w:hAnsi="Times New Roman" w:cs="Times New Roman"/>
        </w:rPr>
        <w:t xml:space="preserve">The first question mainly investigated what shaped Frontex’s own behavior and preferences within the system of </w:t>
      </w:r>
      <w:r w:rsidR="00616B28" w:rsidRPr="00B64C8D">
        <w:rPr>
          <w:rFonts w:ascii="Times New Roman" w:hAnsi="Times New Roman" w:cs="Times New Roman"/>
        </w:rPr>
        <w:t>m</w:t>
      </w:r>
      <w:r w:rsidRPr="00B64C8D">
        <w:rPr>
          <w:rFonts w:ascii="Times New Roman" w:hAnsi="Times New Roman" w:cs="Times New Roman"/>
        </w:rPr>
        <w:t>ulti</w:t>
      </w:r>
      <w:r w:rsidR="00616B28" w:rsidRPr="00B64C8D">
        <w:rPr>
          <w:rFonts w:ascii="Times New Roman" w:hAnsi="Times New Roman" w:cs="Times New Roman"/>
        </w:rPr>
        <w:t>-l</w:t>
      </w:r>
      <w:r w:rsidRPr="00B64C8D">
        <w:rPr>
          <w:rFonts w:ascii="Times New Roman" w:hAnsi="Times New Roman" w:cs="Times New Roman"/>
        </w:rPr>
        <w:t xml:space="preserve">evel </w:t>
      </w:r>
      <w:r w:rsidR="00616B28" w:rsidRPr="00B64C8D">
        <w:rPr>
          <w:rFonts w:ascii="Times New Roman" w:hAnsi="Times New Roman" w:cs="Times New Roman"/>
        </w:rPr>
        <w:t>g</w:t>
      </w:r>
      <w:r w:rsidRPr="00B64C8D">
        <w:rPr>
          <w:rFonts w:ascii="Times New Roman" w:hAnsi="Times New Roman" w:cs="Times New Roman"/>
        </w:rPr>
        <w:t xml:space="preserve">overnance. The second one focused on the actors that formally have the power to shape Frontex’s behavior and its institutions, and sanction it the moment its behavior is deemed unsuitable. </w:t>
      </w:r>
    </w:p>
    <w:p w14:paraId="2519BE3B" w14:textId="77777777" w:rsidR="00312B4B" w:rsidRPr="00B64C8D" w:rsidRDefault="00312B4B" w:rsidP="00B64C8D">
      <w:pPr>
        <w:spacing w:line="360" w:lineRule="auto"/>
        <w:rPr>
          <w:rFonts w:ascii="Times New Roman" w:hAnsi="Times New Roman" w:cs="Times New Roman"/>
          <w:color w:val="000000" w:themeColor="text1"/>
        </w:rPr>
      </w:pPr>
      <w:r w:rsidRPr="00B64C8D">
        <w:rPr>
          <w:rFonts w:ascii="Times New Roman" w:hAnsi="Times New Roman" w:cs="Times New Roman"/>
          <w:color w:val="000000" w:themeColor="text1"/>
        </w:rPr>
        <w:t xml:space="preserve">To open up these causal mechanisms, the article uses process tracing, a method that focusses on a causal chain. It looks at different observations and explain how these, in a causal chain, led to a certain outcome.  </w:t>
      </w:r>
    </w:p>
    <w:p w14:paraId="0E02D262" w14:textId="57E63C61" w:rsidR="00312B4B" w:rsidRDefault="00312B4B"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hAnsi="Times New Roman" w:cs="Times New Roman"/>
          <w:color w:val="000000" w:themeColor="text1"/>
        </w:rPr>
        <w:t>The cutoff point of our causal link is the 2019/1896 regulation that formed Frontex’s legal basis. The article explained on what points this regulation shaped the autonomy of the agency. This was done by looking at examples of four specific types of autonomy (</w:t>
      </w:r>
      <w:r w:rsidRPr="00B64C8D">
        <w:rPr>
          <w:rFonts w:ascii="Times New Roman" w:eastAsia="Times New Roman" w:hAnsi="Times New Roman" w:cs="Times New Roman"/>
          <w:color w:val="0E101A"/>
          <w:kern w:val="0"/>
          <w:lang w:eastAsia="nl-NL"/>
          <w14:ligatures w14:val="none"/>
        </w:rPr>
        <w:t xml:space="preserve">Policy, Personnel, Financial and Legal) in the 2019 regulation. All these four indicators were shown to rise up until 2019. </w:t>
      </w:r>
    </w:p>
    <w:p w14:paraId="49720528" w14:textId="77777777" w:rsidR="00B9520D" w:rsidRPr="00B64C8D" w:rsidRDefault="00B9520D" w:rsidP="00B64C8D">
      <w:pPr>
        <w:spacing w:after="0" w:line="360" w:lineRule="auto"/>
        <w:rPr>
          <w:rFonts w:ascii="Times New Roman" w:eastAsia="Times New Roman" w:hAnsi="Times New Roman" w:cs="Times New Roman"/>
          <w:color w:val="0E101A"/>
          <w:kern w:val="0"/>
          <w:lang w:eastAsia="nl-NL"/>
          <w14:ligatures w14:val="none"/>
        </w:rPr>
      </w:pPr>
    </w:p>
    <w:p w14:paraId="1D4DA7D6" w14:textId="77777777" w:rsidR="00312B4B" w:rsidRPr="00B64C8D" w:rsidRDefault="00312B4B"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 xml:space="preserve">The causal mechanism behind this was further explained within the analysis chapter. It started by going into the process that shapes Frontex’s preferences. These reasons were twofold; The first being the institutional survival of the agency, meaning that Frontex wanted to keep existing as an agency. The second reason was the influence the weapon and security lobbyists had on the agency. </w:t>
      </w:r>
    </w:p>
    <w:p w14:paraId="472C72FD" w14:textId="1E27FF05" w:rsidR="00312B4B" w:rsidRPr="00B64C8D" w:rsidRDefault="00312B4B" w:rsidP="00B64C8D">
      <w:pPr>
        <w:spacing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 xml:space="preserve">The mechanism of how institutional survival leads to more autonomy is as follows: Within the MLG Type II system, there is a so-called market of governance, meaning that because there is not one specific agent that has complete jurisdiction over a policy field, all the actors </w:t>
      </w:r>
      <w:r w:rsidR="003B1A6D" w:rsidRPr="00B64C8D">
        <w:rPr>
          <w:rFonts w:ascii="Times New Roman" w:eastAsia="Times New Roman" w:hAnsi="Times New Roman" w:cs="Times New Roman"/>
          <w:color w:val="0E101A"/>
          <w:kern w:val="0"/>
          <w:lang w:eastAsia="nl-NL"/>
          <w14:ligatures w14:val="none"/>
        </w:rPr>
        <w:t>must</w:t>
      </w:r>
      <w:r w:rsidRPr="00B64C8D">
        <w:rPr>
          <w:rFonts w:ascii="Times New Roman" w:eastAsia="Times New Roman" w:hAnsi="Times New Roman" w:cs="Times New Roman"/>
          <w:color w:val="0E101A"/>
          <w:kern w:val="0"/>
          <w:lang w:eastAsia="nl-NL"/>
          <w14:ligatures w14:val="none"/>
        </w:rPr>
        <w:t xml:space="preserve"> compete. If Frontex has more tools, (satellites, drones, vessels, weapons) and autonomy to make deals with third countries, plan their own operations, recruit their own personnel, they will be most likely to be most suited. For this reason, the agency tries to gain as much autonomy on the acquisition of these instruments, as to become irreplaceable. </w:t>
      </w:r>
      <w:r w:rsidRPr="00B64C8D">
        <w:rPr>
          <w:rFonts w:ascii="Times New Roman" w:eastAsia="Times New Roman" w:hAnsi="Times New Roman" w:cs="Times New Roman"/>
          <w:color w:val="0E101A"/>
          <w:kern w:val="0"/>
          <w:lang w:eastAsia="nl-NL"/>
          <w14:ligatures w14:val="none"/>
        </w:rPr>
        <w:br/>
        <w:t xml:space="preserve">The lobbyist parties tie in at </w:t>
      </w:r>
      <w:r w:rsidR="001035D7" w:rsidRPr="00B64C8D">
        <w:rPr>
          <w:rFonts w:ascii="Times New Roman" w:eastAsia="Times New Roman" w:hAnsi="Times New Roman" w:cs="Times New Roman"/>
          <w:color w:val="0E101A"/>
          <w:kern w:val="0"/>
          <w:lang w:eastAsia="nl-NL"/>
          <w14:ligatures w14:val="none"/>
        </w:rPr>
        <w:t>the</w:t>
      </w:r>
      <w:r w:rsidRPr="00B64C8D">
        <w:rPr>
          <w:rFonts w:ascii="Times New Roman" w:eastAsia="Times New Roman" w:hAnsi="Times New Roman" w:cs="Times New Roman"/>
          <w:color w:val="0E101A"/>
          <w:kern w:val="0"/>
          <w:lang w:eastAsia="nl-NL"/>
          <w14:ligatures w14:val="none"/>
        </w:rPr>
        <w:t xml:space="preserve"> cause of the preference for Frontex as at the point of making it possible. The lobbyist </w:t>
      </w:r>
      <w:r w:rsidR="001035D7" w:rsidRPr="00B64C8D">
        <w:rPr>
          <w:rFonts w:ascii="Times New Roman" w:eastAsia="Times New Roman" w:hAnsi="Times New Roman" w:cs="Times New Roman"/>
          <w:color w:val="0E101A"/>
          <w:kern w:val="0"/>
          <w:lang w:eastAsia="nl-NL"/>
          <w14:ligatures w14:val="none"/>
        </w:rPr>
        <w:t>seems</w:t>
      </w:r>
      <w:r w:rsidRPr="00B64C8D">
        <w:rPr>
          <w:rFonts w:ascii="Times New Roman" w:eastAsia="Times New Roman" w:hAnsi="Times New Roman" w:cs="Times New Roman"/>
          <w:color w:val="0E101A"/>
          <w:kern w:val="0"/>
          <w:lang w:eastAsia="nl-NL"/>
          <w14:ligatures w14:val="none"/>
        </w:rPr>
        <w:t xml:space="preserve"> to personal meetings with representatives from Frontex, even pitching ideas for elaborate surveillance systems, shifting Frontex’s preference to more autonomy. At the same time, the lobbyists and Frontex both use their access to other actors to spread a narrative of migrants as a security risk, both making the agency more valued and giving it a reason to acquire more autonomy.  </w:t>
      </w:r>
    </w:p>
    <w:p w14:paraId="0F44413C" w14:textId="1AFA475D"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lastRenderedPageBreak/>
        <w:t>The second part of the analysis goes into the second sub question of the research. The question “</w:t>
      </w:r>
      <w:r w:rsidRPr="00B64C8D">
        <w:rPr>
          <w:rFonts w:ascii="Times New Roman" w:hAnsi="Times New Roman" w:cs="Times New Roman"/>
          <w:i/>
          <w:iCs/>
          <w:color w:val="000000" w:themeColor="text1"/>
        </w:rPr>
        <w:t>In the Multi-Level arena of the EU, what causal mechanisms contributed to Frontex’s shift towards more autonomy?</w:t>
      </w:r>
      <w:r w:rsidRPr="00B64C8D">
        <w:rPr>
          <w:rFonts w:ascii="Times New Roman" w:hAnsi="Times New Roman" w:cs="Times New Roman"/>
          <w:i/>
          <w:iCs/>
        </w:rPr>
        <w:t>”</w:t>
      </w:r>
      <w:r w:rsidRPr="00B64C8D">
        <w:rPr>
          <w:rFonts w:ascii="Times New Roman" w:hAnsi="Times New Roman" w:cs="Times New Roman"/>
        </w:rPr>
        <w:t xml:space="preserve">  It establishes that the MLG system is fairly complex; there are a few actors that have a role to play in controlling Frontex and shaping its institutions. The most important actors were the member states and their representation in the Council of the EU, the European </w:t>
      </w:r>
      <w:r w:rsidR="001B2B84" w:rsidRPr="00B64C8D">
        <w:rPr>
          <w:rFonts w:ascii="Times New Roman" w:hAnsi="Times New Roman" w:cs="Times New Roman"/>
        </w:rPr>
        <w:t>Commission,</w:t>
      </w:r>
      <w:r w:rsidRPr="00B64C8D">
        <w:rPr>
          <w:rFonts w:ascii="Times New Roman" w:hAnsi="Times New Roman" w:cs="Times New Roman"/>
        </w:rPr>
        <w:t xml:space="preserve"> and the European Parliament. </w:t>
      </w:r>
      <w:r w:rsidRPr="00B64C8D">
        <w:rPr>
          <w:rFonts w:ascii="Times New Roman" w:hAnsi="Times New Roman" w:cs="Times New Roman"/>
        </w:rPr>
        <w:br/>
        <w:t xml:space="preserve">The actors can all be held politically responsible, often directly or indirectly through votes. Because migration is a hot topic that can split an electorate, the parties were happy to not have to make decisions about this. First off, Frontex could gain a lot of autonomy, by doing this the political actors got away with taking less responsibility. They were helped by the existing MLG system. As mentioned before, the MLG system is fairly complex, making it difficult for citizens to recognize which of the actors needed to be held responsible for Frontex.  The political actors contribute to the lack of a clear division of responsibility over the agency. The political actors contribute by, for instance, not publicly taking responsibility for the actions of the agency, shifting blame to the other overseeing actors, not punishing Frontex when it does something undesirable and not asking for information on difficult topics.  </w:t>
      </w:r>
    </w:p>
    <w:p w14:paraId="48874ECC" w14:textId="315D063A"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In the end, the MLG system creates a climate in which Frontex has a preference to grow and gain autonomy. At the same time, MLG creates a lack of intervention by the actors who should control the agency. So, all these actors, by chasing their own preferences, create a shift in Frontex, where the agency used to have little autonomy and was mainly tasked with exchanging information and training national agencies, to an autonomous agency that could acquire its own weapons and personnel and set up its own operations and diplomatic relations.</w:t>
      </w:r>
      <w:r w:rsidR="00B9520D">
        <w:rPr>
          <w:rFonts w:ascii="Times New Roman" w:hAnsi="Times New Roman" w:cs="Times New Roman"/>
        </w:rPr>
        <w:t xml:space="preserve"> Important to note is that the growing autonomy in Frontex is not created by one previously established elaborate plan. All actors involved following their own preferred strategy results in the growing autonomy of the agency.</w:t>
      </w:r>
    </w:p>
    <w:p w14:paraId="367B11B0" w14:textId="77777777" w:rsidR="004010E0" w:rsidRDefault="004010E0">
      <w:pPr>
        <w:rPr>
          <w:rFonts w:ascii="Times New Roman" w:eastAsiaTheme="majorEastAsia" w:hAnsi="Times New Roman" w:cs="Times New Roman"/>
          <w:color w:val="2F5496" w:themeColor="accent1" w:themeShade="BF"/>
          <w:shd w:val="clear" w:color="auto" w:fill="FFFFFF"/>
        </w:rPr>
      </w:pPr>
      <w:bookmarkStart w:id="99" w:name="_Toc149046453"/>
      <w:r>
        <w:rPr>
          <w:rFonts w:ascii="Times New Roman" w:hAnsi="Times New Roman"/>
        </w:rPr>
        <w:br w:type="page"/>
      </w:r>
    </w:p>
    <w:p w14:paraId="09E6C433" w14:textId="070DC63F" w:rsidR="00312B4B" w:rsidRPr="00B64C8D" w:rsidRDefault="00312B4B" w:rsidP="00B64C8D">
      <w:pPr>
        <w:pStyle w:val="Stijl1"/>
        <w:rPr>
          <w:rFonts w:ascii="Times New Roman" w:eastAsiaTheme="minorHAnsi" w:hAnsi="Times New Roman"/>
          <w:color w:val="auto"/>
          <w:sz w:val="22"/>
          <w:szCs w:val="22"/>
        </w:rPr>
      </w:pPr>
      <w:bookmarkStart w:id="100" w:name="_Toc152252022"/>
      <w:r w:rsidRPr="00B64C8D">
        <w:rPr>
          <w:rFonts w:ascii="Times New Roman" w:hAnsi="Times New Roman"/>
          <w:sz w:val="22"/>
          <w:szCs w:val="22"/>
        </w:rPr>
        <w:lastRenderedPageBreak/>
        <w:t>Chapter 9: Discussion</w:t>
      </w:r>
      <w:bookmarkEnd w:id="99"/>
      <w:bookmarkEnd w:id="100"/>
    </w:p>
    <w:p w14:paraId="75019511" w14:textId="412C1365"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This research tried to give an as well-rounded image of the causal mechanisms that drive Frontex’s shift to more autonomy. However, the research did have some limitations and this chapter will dive further into those limitations.  </w:t>
      </w:r>
    </w:p>
    <w:p w14:paraId="58C0A463" w14:textId="7BFA053C"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As often is the problem with process tracing based on content analysis: it is impossible to know what you haven’t found. There could easily be policy documents that have not been found that could fill gaps within the research or give different perspectives.</w:t>
      </w:r>
    </w:p>
    <w:p w14:paraId="716F4380" w14:textId="23922CE2"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Next to that, the documents that Frontex chose to publish were often part of a narrative. So, documents published by Frontex, however useful, could not be expected to be objective. At the same time, the research done by investigative journalists or human rights NGOs had biases on a negative image of Frontex.</w:t>
      </w:r>
      <w:r w:rsidR="007C3F9A">
        <w:rPr>
          <w:rFonts w:ascii="Times New Roman" w:hAnsi="Times New Roman" w:cs="Times New Roman"/>
        </w:rPr>
        <w:t xml:space="preserve"> </w:t>
      </w:r>
    </w:p>
    <w:p w14:paraId="547D8806" w14:textId="7E21581D"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In research done by journalists, NGOs or academics, there are often references to articles published by Frontex in the past. But when following the sources of these </w:t>
      </w:r>
      <w:r w:rsidR="001035D7" w:rsidRPr="00B64C8D">
        <w:rPr>
          <w:rFonts w:ascii="Times New Roman" w:hAnsi="Times New Roman" w:cs="Times New Roman"/>
        </w:rPr>
        <w:t>research</w:t>
      </w:r>
      <w:r w:rsidRPr="00B64C8D">
        <w:rPr>
          <w:rFonts w:ascii="Times New Roman" w:hAnsi="Times New Roman" w:cs="Times New Roman"/>
        </w:rPr>
        <w:t xml:space="preserve"> to the website of Frontex, they then appeared to be missing. Because of this, the sources could not be verified and thus not be used in this research.</w:t>
      </w:r>
    </w:p>
    <w:p w14:paraId="6ED83833" w14:textId="153F89CD"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To get a more well-rounded picture, I also tried to </w:t>
      </w:r>
      <w:r w:rsidR="001B2B84" w:rsidRPr="00B64C8D">
        <w:rPr>
          <w:rFonts w:ascii="Times New Roman" w:hAnsi="Times New Roman" w:cs="Times New Roman"/>
        </w:rPr>
        <w:t>contact</w:t>
      </w:r>
      <w:r w:rsidRPr="00B64C8D">
        <w:rPr>
          <w:rFonts w:ascii="Times New Roman" w:hAnsi="Times New Roman" w:cs="Times New Roman"/>
        </w:rPr>
        <w:t xml:space="preserve"> people from Frontex, the EP and the Commission with the question about their view on the topic of this research. Unfortunately, they did not respond. By missing the insights of experts on Frontex, it became more difficult to create a well-rounded picture on an organization that is fairly secretive about their preferences and interior workings.</w:t>
      </w:r>
    </w:p>
    <w:p w14:paraId="7AB6BDC7" w14:textId="0F5E7801" w:rsidR="00A92221" w:rsidRPr="00B64C8D" w:rsidRDefault="00167629" w:rsidP="00B64C8D">
      <w:pPr>
        <w:spacing w:line="360" w:lineRule="auto"/>
        <w:rPr>
          <w:rFonts w:ascii="Times New Roman" w:hAnsi="Times New Roman" w:cs="Times New Roman"/>
        </w:rPr>
      </w:pPr>
      <w:r w:rsidRPr="00B64C8D">
        <w:rPr>
          <w:rFonts w:ascii="Times New Roman" w:hAnsi="Times New Roman" w:cs="Times New Roman"/>
        </w:rPr>
        <w:t xml:space="preserve">Before I go into future </w:t>
      </w:r>
      <w:r w:rsidR="001B2B84" w:rsidRPr="00B64C8D">
        <w:rPr>
          <w:rFonts w:ascii="Times New Roman" w:hAnsi="Times New Roman" w:cs="Times New Roman"/>
        </w:rPr>
        <w:t>research,</w:t>
      </w:r>
      <w:r w:rsidR="00A92221" w:rsidRPr="00B64C8D">
        <w:rPr>
          <w:rFonts w:ascii="Times New Roman" w:hAnsi="Times New Roman" w:cs="Times New Roman"/>
        </w:rPr>
        <w:t xml:space="preserve"> I want to go into the method that was used for this research, the case study. Case study have received a wide range of critiques, mainly from positivist academics. For instance, influence of the researcher and post hoc rationalization (Campbell, 1975). During this research I tried to find literature that would go against my claims to try to make </w:t>
      </w:r>
      <w:r w:rsidRPr="00B64C8D">
        <w:rPr>
          <w:rFonts w:ascii="Times New Roman" w:hAnsi="Times New Roman" w:cs="Times New Roman"/>
        </w:rPr>
        <w:t xml:space="preserve">the research as well-rounded as possible, it is however possible that I have missed articles that did. It is also possible that the data I found made sense in a certain way because of the theoretical lens I was using. I would urge future researchers to test my findings with a fresh and skeptical approach.  </w:t>
      </w:r>
    </w:p>
    <w:p w14:paraId="77F0FD8D" w14:textId="66ABF027" w:rsidR="00312B4B" w:rsidRPr="00B64C8D" w:rsidRDefault="00167629" w:rsidP="00B64C8D">
      <w:pPr>
        <w:spacing w:line="360" w:lineRule="auto"/>
        <w:rPr>
          <w:rFonts w:ascii="Times New Roman" w:hAnsi="Times New Roman" w:cs="Times New Roman"/>
        </w:rPr>
      </w:pPr>
      <w:r w:rsidRPr="00B64C8D">
        <w:rPr>
          <w:rFonts w:ascii="Times New Roman" w:hAnsi="Times New Roman" w:cs="Times New Roman"/>
        </w:rPr>
        <w:t>In future research, it</w:t>
      </w:r>
      <w:r w:rsidR="00312B4B" w:rsidRPr="00B64C8D">
        <w:rPr>
          <w:rFonts w:ascii="Times New Roman" w:hAnsi="Times New Roman" w:cs="Times New Roman"/>
        </w:rPr>
        <w:t xml:space="preserve"> would be good to have the insight of different policymakers and politicians who worked at Frontex and in the agencies who shaped its behavior. It would be of vital importance to interview people from different sides. The interviews would include elites from the actors mentioned in this research, but also, human rights actors, because there is a big chance that opinions would shape, to a large extend, the answers or explanations these people give.</w:t>
      </w:r>
    </w:p>
    <w:p w14:paraId="733C0254" w14:textId="52D2AD32" w:rsidR="00312B4B" w:rsidRPr="00B64C8D" w:rsidRDefault="00312B4B" w:rsidP="00B64C8D">
      <w:pPr>
        <w:spacing w:line="360" w:lineRule="auto"/>
        <w:rPr>
          <w:rFonts w:ascii="Times New Roman" w:hAnsi="Times New Roman" w:cs="Times New Roman"/>
        </w:rPr>
      </w:pPr>
      <w:r w:rsidRPr="00B64C8D">
        <w:rPr>
          <w:rFonts w:ascii="Times New Roman" w:hAnsi="Times New Roman" w:cs="Times New Roman"/>
        </w:rPr>
        <w:t xml:space="preserve">For larger EU wide follow-up research, it would be interesting to research if the process that shaped Frontex can also be found in other agencies. For </w:t>
      </w:r>
      <w:r w:rsidR="001B2B84" w:rsidRPr="00B64C8D">
        <w:rPr>
          <w:rFonts w:ascii="Times New Roman" w:hAnsi="Times New Roman" w:cs="Times New Roman"/>
        </w:rPr>
        <w:t>instance,</w:t>
      </w:r>
      <w:r w:rsidRPr="00B64C8D">
        <w:rPr>
          <w:rFonts w:ascii="Times New Roman" w:hAnsi="Times New Roman" w:cs="Times New Roman"/>
        </w:rPr>
        <w:t xml:space="preserve"> other agencies who have access to data and </w:t>
      </w:r>
      <w:r w:rsidRPr="00B64C8D">
        <w:rPr>
          <w:rFonts w:ascii="Times New Roman" w:hAnsi="Times New Roman" w:cs="Times New Roman"/>
        </w:rPr>
        <w:lastRenderedPageBreak/>
        <w:t>weapons systems, like Europol. This would be important to show the external validity of the processes found in this research.</w:t>
      </w:r>
    </w:p>
    <w:p w14:paraId="212BB6FF" w14:textId="4872FF74" w:rsidR="00A92221" w:rsidRPr="00B64C8D" w:rsidRDefault="00A92221" w:rsidP="00B64C8D">
      <w:pPr>
        <w:spacing w:line="360" w:lineRule="auto"/>
        <w:rPr>
          <w:rFonts w:ascii="Times New Roman" w:hAnsi="Times New Roman" w:cs="Times New Roman"/>
        </w:rPr>
      </w:pPr>
    </w:p>
    <w:p w14:paraId="6F80CB93" w14:textId="77777777" w:rsidR="00393AF8" w:rsidRPr="00B64C8D" w:rsidRDefault="00393AF8" w:rsidP="00B64C8D">
      <w:pPr>
        <w:spacing w:line="360" w:lineRule="auto"/>
        <w:rPr>
          <w:rFonts w:ascii="Times New Roman" w:hAnsi="Times New Roman" w:cs="Times New Roman"/>
        </w:rPr>
      </w:pPr>
    </w:p>
    <w:p w14:paraId="37BA727D" w14:textId="0EA6B321" w:rsidR="00A90FAF" w:rsidRPr="00597285" w:rsidRDefault="00320444" w:rsidP="00B64C8D">
      <w:pPr>
        <w:spacing w:line="360" w:lineRule="auto"/>
        <w:rPr>
          <w:rFonts w:ascii="Times New Roman" w:eastAsiaTheme="majorEastAsia" w:hAnsi="Times New Roman" w:cs="Times New Roman"/>
          <w:color w:val="2F5496" w:themeColor="accent1" w:themeShade="BF"/>
        </w:rPr>
      </w:pPr>
      <w:r w:rsidRPr="00B64C8D">
        <w:rPr>
          <w:rFonts w:ascii="Times New Roman" w:hAnsi="Times New Roman" w:cs="Times New Roman"/>
        </w:rPr>
        <w:br w:type="page"/>
      </w:r>
    </w:p>
    <w:p w14:paraId="7067D0C1" w14:textId="5CC8A64D" w:rsidR="00C60F05" w:rsidRPr="00B64C8D" w:rsidRDefault="00BC1C1B" w:rsidP="00B64C8D">
      <w:pPr>
        <w:pStyle w:val="Stijl1"/>
        <w:rPr>
          <w:rFonts w:ascii="Times New Roman" w:hAnsi="Times New Roman"/>
          <w:sz w:val="22"/>
          <w:szCs w:val="22"/>
        </w:rPr>
      </w:pPr>
      <w:bookmarkStart w:id="101" w:name="_Toc152252023"/>
      <w:r w:rsidRPr="00B64C8D">
        <w:rPr>
          <w:rFonts w:ascii="Times New Roman" w:hAnsi="Times New Roman"/>
          <w:sz w:val="22"/>
          <w:szCs w:val="22"/>
        </w:rPr>
        <w:lastRenderedPageBreak/>
        <w:t xml:space="preserve">Chapter 10: </w:t>
      </w:r>
      <w:r w:rsidR="00C60F05" w:rsidRPr="00B64C8D">
        <w:rPr>
          <w:rFonts w:ascii="Times New Roman" w:hAnsi="Times New Roman"/>
          <w:sz w:val="22"/>
          <w:szCs w:val="22"/>
        </w:rPr>
        <w:t>Bibliography</w:t>
      </w:r>
      <w:bookmarkEnd w:id="101"/>
    </w:p>
    <w:tbl>
      <w:tblPr>
        <w:tblW w:w="9072" w:type="dxa"/>
        <w:tblCellMar>
          <w:left w:w="0" w:type="dxa"/>
          <w:right w:w="0" w:type="dxa"/>
        </w:tblCellMar>
        <w:tblLook w:val="04A0" w:firstRow="1" w:lastRow="0" w:firstColumn="1" w:lastColumn="0" w:noHBand="0" w:noVBand="1"/>
      </w:tblPr>
      <w:tblGrid>
        <w:gridCol w:w="9072"/>
      </w:tblGrid>
      <w:tr w:rsidR="00C60F05" w:rsidRPr="00B64C8D" w14:paraId="545C5DBB" w14:textId="77777777" w:rsidTr="00BB44CE">
        <w:tc>
          <w:tcPr>
            <w:tcW w:w="0" w:type="auto"/>
            <w:tcMar>
              <w:top w:w="120" w:type="dxa"/>
              <w:left w:w="0" w:type="dxa"/>
              <w:bottom w:w="120" w:type="dxa"/>
              <w:right w:w="0" w:type="dxa"/>
            </w:tcMar>
            <w:hideMark/>
          </w:tcPr>
          <w:p w14:paraId="6F8E30CA"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Akkerman, M. (2019). The business of building walls. </w:t>
            </w:r>
            <w:r w:rsidRPr="00B64C8D">
              <w:rPr>
                <w:rFonts w:ascii="Times New Roman" w:hAnsi="Times New Roman" w:cs="Times New Roman"/>
                <w:i/>
                <w:iCs/>
                <w:color w:val="222222"/>
                <w:shd w:val="clear" w:color="auto" w:fill="FFFFFF"/>
              </w:rPr>
              <w:t>Transnational Institute</w:t>
            </w:r>
            <w:r w:rsidRPr="00B64C8D">
              <w:rPr>
                <w:rFonts w:ascii="Times New Roman" w:hAnsi="Times New Roman" w:cs="Times New Roman"/>
                <w:color w:val="222222"/>
                <w:shd w:val="clear" w:color="auto" w:fill="FFFFFF"/>
              </w:rPr>
              <w:t>.</w:t>
            </w:r>
          </w:p>
          <w:p w14:paraId="3CF29B23"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Andreas, P. (2003). Redrawing the line: Borders and security in the twenty-first century. </w:t>
            </w:r>
            <w:r w:rsidRPr="00B64C8D">
              <w:rPr>
                <w:rFonts w:ascii="Times New Roman" w:hAnsi="Times New Roman" w:cs="Times New Roman"/>
                <w:i/>
                <w:iCs/>
                <w:color w:val="222222"/>
                <w:shd w:val="clear" w:color="auto" w:fill="FFFFFF"/>
              </w:rPr>
              <w:t>International security</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28</w:t>
            </w:r>
            <w:r w:rsidRPr="00B64C8D">
              <w:rPr>
                <w:rFonts w:ascii="Times New Roman" w:hAnsi="Times New Roman" w:cs="Times New Roman"/>
                <w:color w:val="222222"/>
                <w:shd w:val="clear" w:color="auto" w:fill="FFFFFF"/>
              </w:rPr>
              <w:t>(2), 78-111.</w:t>
            </w:r>
          </w:p>
          <w:p w14:paraId="42365AF7" w14:textId="7E56802F" w:rsidR="00C60F05" w:rsidRPr="00B64C8D" w:rsidRDefault="00C60F05" w:rsidP="00B64C8D">
            <w:pPr>
              <w:spacing w:line="360" w:lineRule="auto"/>
              <w:rPr>
                <w:rFonts w:ascii="Times New Roman" w:hAnsi="Times New Roman" w:cs="Times New Roman"/>
                <w:i/>
                <w:iCs/>
              </w:rPr>
            </w:pPr>
            <w:r w:rsidRPr="00B64C8D">
              <w:rPr>
                <w:rFonts w:ascii="Times New Roman" w:hAnsi="Times New Roman" w:cs="Times New Roman"/>
              </w:rPr>
              <w:t xml:space="preserve">AsktheEU. (2015) </w:t>
            </w:r>
            <w:r w:rsidRPr="00B64C8D">
              <w:rPr>
                <w:rFonts w:ascii="Times New Roman" w:hAnsi="Times New Roman" w:cs="Times New Roman"/>
                <w:i/>
                <w:iCs/>
              </w:rPr>
              <w:t xml:space="preserve">Contacts with the defence and security industry. </w:t>
            </w:r>
            <w:hyperlink r:id="rId11" w:anchor="incoming-8354" w:history="1">
              <w:r w:rsidRPr="00B64C8D">
                <w:rPr>
                  <w:rStyle w:val="Hyperlink"/>
                  <w:rFonts w:ascii="Times New Roman" w:hAnsi="Times New Roman" w:cs="Times New Roman"/>
                  <w:i/>
                  <w:iCs/>
                </w:rPr>
                <w:t>https://www.asktheeu.org/en/request/contacts_with_the_defence_and_se_3#incoming-8354</w:t>
              </w:r>
            </w:hyperlink>
            <w:r w:rsidRPr="00B64C8D">
              <w:rPr>
                <w:rFonts w:ascii="Times New Roman" w:hAnsi="Times New Roman" w:cs="Times New Roman"/>
                <w:i/>
                <w:iCs/>
              </w:rPr>
              <w:t xml:space="preserve"> Accessed on </w:t>
            </w:r>
            <w:r w:rsidR="001B2B84" w:rsidRPr="00B64C8D">
              <w:rPr>
                <w:rFonts w:ascii="Times New Roman" w:hAnsi="Times New Roman" w:cs="Times New Roman"/>
                <w:i/>
                <w:iCs/>
              </w:rPr>
              <w:t>22-05-2022.</w:t>
            </w:r>
          </w:p>
          <w:p w14:paraId="4B5CECC8" w14:textId="1E004229" w:rsidR="00684C57" w:rsidRPr="00B64C8D" w:rsidRDefault="00684C57" w:rsidP="00B64C8D">
            <w:pPr>
              <w:spacing w:line="360" w:lineRule="auto"/>
              <w:rPr>
                <w:rFonts w:ascii="Times New Roman" w:hAnsi="Times New Roman" w:cs="Times New Roman"/>
                <w:i/>
                <w:iCs/>
              </w:rPr>
            </w:pPr>
            <w:r w:rsidRPr="00B64C8D">
              <w:rPr>
                <w:rFonts w:ascii="Times New Roman" w:hAnsi="Times New Roman" w:cs="Times New Roman"/>
                <w:color w:val="222222"/>
                <w:shd w:val="clear" w:color="auto" w:fill="FFFFFF"/>
              </w:rPr>
              <w:t>Abrutyn, S. (2009). Toward a general theory of institutional autonomy. </w:t>
            </w:r>
            <w:r w:rsidRPr="00B64C8D">
              <w:rPr>
                <w:rFonts w:ascii="Times New Roman" w:hAnsi="Times New Roman" w:cs="Times New Roman"/>
                <w:i/>
                <w:iCs/>
                <w:color w:val="222222"/>
                <w:shd w:val="clear" w:color="auto" w:fill="FFFFFF"/>
              </w:rPr>
              <w:t>Sociological Theory</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27</w:t>
            </w:r>
            <w:r w:rsidRPr="00B64C8D">
              <w:rPr>
                <w:rFonts w:ascii="Times New Roman" w:hAnsi="Times New Roman" w:cs="Times New Roman"/>
                <w:color w:val="222222"/>
                <w:shd w:val="clear" w:color="auto" w:fill="FFFFFF"/>
              </w:rPr>
              <w:t>(4), 449-465.</w:t>
            </w:r>
          </w:p>
          <w:p w14:paraId="3A4C99FC" w14:textId="77777777" w:rsidR="00C60F05" w:rsidRDefault="00C60F05"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Bache, I. (2012). Multi-level governance in the European Union.</w:t>
            </w:r>
          </w:p>
          <w:p w14:paraId="30345126" w14:textId="77777777" w:rsidR="00F45DDE" w:rsidRPr="00B64C8D" w:rsidRDefault="00F45DDE" w:rsidP="00B64C8D">
            <w:pPr>
              <w:spacing w:after="0" w:line="360" w:lineRule="auto"/>
              <w:rPr>
                <w:rFonts w:ascii="Times New Roman" w:eastAsia="Times New Roman" w:hAnsi="Times New Roman" w:cs="Times New Roman"/>
                <w:color w:val="0E101A"/>
                <w:kern w:val="0"/>
                <w:lang w:eastAsia="nl-NL"/>
                <w14:ligatures w14:val="none"/>
              </w:rPr>
            </w:pPr>
          </w:p>
          <w:p w14:paraId="157970C0" w14:textId="6EE73B95" w:rsidR="00F45DDE" w:rsidRDefault="00C60F05"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Bache, I., Bartle, I., &amp; Flinders, M. (2016). Multi-level governance. In </w:t>
            </w:r>
            <w:r w:rsidRPr="00B64C8D">
              <w:rPr>
                <w:rFonts w:ascii="Times New Roman" w:eastAsia="Times New Roman" w:hAnsi="Times New Roman" w:cs="Times New Roman"/>
                <w:i/>
                <w:iCs/>
                <w:color w:val="0E101A"/>
                <w:kern w:val="0"/>
                <w:lang w:eastAsia="nl-NL"/>
                <w14:ligatures w14:val="none"/>
              </w:rPr>
              <w:t>Handbook on theories of governance</w:t>
            </w:r>
            <w:r w:rsidRPr="00B64C8D">
              <w:rPr>
                <w:rFonts w:ascii="Times New Roman" w:eastAsia="Times New Roman" w:hAnsi="Times New Roman" w:cs="Times New Roman"/>
                <w:color w:val="0E101A"/>
                <w:kern w:val="0"/>
                <w:lang w:eastAsia="nl-NL"/>
                <w14:ligatures w14:val="none"/>
              </w:rPr>
              <w:t> (pp. 486-498). Edward Elgar Publishing.</w:t>
            </w:r>
          </w:p>
          <w:p w14:paraId="006D14B4" w14:textId="77777777" w:rsidR="00F45DDE" w:rsidRPr="00B64C8D" w:rsidRDefault="00F45DDE" w:rsidP="00B64C8D">
            <w:pPr>
              <w:spacing w:after="0" w:line="360" w:lineRule="auto"/>
              <w:rPr>
                <w:rFonts w:ascii="Times New Roman" w:eastAsia="Times New Roman" w:hAnsi="Times New Roman" w:cs="Times New Roman"/>
                <w:color w:val="0E101A"/>
                <w:kern w:val="0"/>
                <w:lang w:eastAsia="nl-NL"/>
                <w14:ligatures w14:val="none"/>
              </w:rPr>
            </w:pPr>
          </w:p>
          <w:p w14:paraId="419BA5A3"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Beach, D., &amp; Pedersen, R. B. (2011). What is Process-Tracing Actually Tracing? The Three Variants of Process Tracing Methods and Their Uses and Limitations. </w:t>
            </w:r>
            <w:r w:rsidRPr="00B64C8D">
              <w:rPr>
                <w:rFonts w:ascii="Times New Roman" w:hAnsi="Times New Roman" w:cs="Times New Roman"/>
                <w:i/>
                <w:iCs/>
                <w:color w:val="222222"/>
                <w:shd w:val="clear" w:color="auto" w:fill="FFFFFF"/>
              </w:rPr>
              <w:t>The three variants of process tracing methods and their uses and limitations</w:t>
            </w:r>
            <w:r w:rsidRPr="00B64C8D">
              <w:rPr>
                <w:rFonts w:ascii="Times New Roman" w:hAnsi="Times New Roman" w:cs="Times New Roman"/>
                <w:color w:val="222222"/>
                <w:shd w:val="clear" w:color="auto" w:fill="FFFFFF"/>
              </w:rPr>
              <w:t>.</w:t>
            </w:r>
          </w:p>
          <w:p w14:paraId="0B2E3343"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Beach, D., &amp; Pedersen, R. B. (2019). </w:t>
            </w:r>
            <w:r w:rsidRPr="00B64C8D">
              <w:rPr>
                <w:rFonts w:ascii="Times New Roman" w:hAnsi="Times New Roman" w:cs="Times New Roman"/>
                <w:i/>
                <w:iCs/>
                <w:color w:val="222222"/>
                <w:shd w:val="clear" w:color="auto" w:fill="FFFFFF"/>
              </w:rPr>
              <w:t>Process-tracing methods: Foundations and guidelines</w:t>
            </w:r>
            <w:r w:rsidRPr="00B64C8D">
              <w:rPr>
                <w:rFonts w:ascii="Times New Roman" w:hAnsi="Times New Roman" w:cs="Times New Roman"/>
                <w:color w:val="222222"/>
                <w:shd w:val="clear" w:color="auto" w:fill="FFFFFF"/>
              </w:rPr>
              <w:t>. University of Michigan Press.</w:t>
            </w:r>
          </w:p>
          <w:p w14:paraId="43586CDD"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Bennett, A., &amp; Elman, C. (2006). Qualitative research: Recent developments in case study methods. </w:t>
            </w:r>
            <w:r w:rsidRPr="00B64C8D">
              <w:rPr>
                <w:rFonts w:ascii="Times New Roman" w:hAnsi="Times New Roman" w:cs="Times New Roman"/>
                <w:i/>
                <w:iCs/>
                <w:color w:val="222222"/>
                <w:shd w:val="clear" w:color="auto" w:fill="FFFFFF"/>
              </w:rPr>
              <w:t>Annu. Rev. Polit. Sci.</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9</w:t>
            </w:r>
            <w:r w:rsidRPr="00B64C8D">
              <w:rPr>
                <w:rFonts w:ascii="Times New Roman" w:hAnsi="Times New Roman" w:cs="Times New Roman"/>
                <w:color w:val="222222"/>
                <w:shd w:val="clear" w:color="auto" w:fill="FFFFFF"/>
              </w:rPr>
              <w:t>, 455-476.</w:t>
            </w:r>
          </w:p>
          <w:p w14:paraId="43561346" w14:textId="2F1C27AD" w:rsidR="00684C57" w:rsidRPr="00B64C8D" w:rsidRDefault="00684C57"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Benson, P. (2007). Autonomy in language teaching and learning. </w:t>
            </w:r>
            <w:r w:rsidRPr="00B64C8D">
              <w:rPr>
                <w:rFonts w:ascii="Times New Roman" w:hAnsi="Times New Roman" w:cs="Times New Roman"/>
                <w:i/>
                <w:iCs/>
                <w:color w:val="222222"/>
                <w:shd w:val="clear" w:color="auto" w:fill="FFFFFF"/>
              </w:rPr>
              <w:t>Language teaching</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40</w:t>
            </w:r>
            <w:r w:rsidRPr="00B64C8D">
              <w:rPr>
                <w:rFonts w:ascii="Times New Roman" w:hAnsi="Times New Roman" w:cs="Times New Roman"/>
                <w:color w:val="222222"/>
                <w:shd w:val="clear" w:color="auto" w:fill="FFFFFF"/>
              </w:rPr>
              <w:t>(1), 21-40.</w:t>
            </w:r>
          </w:p>
          <w:p w14:paraId="325536E6" w14:textId="77777777" w:rsidR="00C60F05" w:rsidRPr="00B64C8D" w:rsidRDefault="00C60F05" w:rsidP="00B64C8D">
            <w:pPr>
              <w:spacing w:line="360" w:lineRule="auto"/>
              <w:rPr>
                <w:rFonts w:ascii="Times New Roman" w:hAnsi="Times New Roman" w:cs="Times New Roman"/>
                <w:shd w:val="clear" w:color="auto" w:fill="FFFFFF"/>
              </w:rPr>
            </w:pPr>
            <w:r w:rsidRPr="00B64C8D">
              <w:rPr>
                <w:rFonts w:ascii="Times New Roman" w:hAnsi="Times New Roman" w:cs="Times New Roman"/>
                <w:shd w:val="clear" w:color="auto" w:fill="FFFFFF"/>
              </w:rPr>
              <w:t>Berkhout, J., Carroll, B. J., Braun, C., Chalmers, A. W., Destrooper, T., Lowery, D., ... &amp; Rasmussen, A. (2015). Interest organizations across economic sectors: explaining interest group density in the European Union. </w:t>
            </w:r>
            <w:r w:rsidRPr="00B64C8D">
              <w:rPr>
                <w:rFonts w:ascii="Times New Roman" w:hAnsi="Times New Roman" w:cs="Times New Roman"/>
                <w:i/>
                <w:iCs/>
                <w:shd w:val="clear" w:color="auto" w:fill="FFFFFF"/>
              </w:rPr>
              <w:t>Journal of European Public Policy</w:t>
            </w:r>
            <w:r w:rsidRPr="00B64C8D">
              <w:rPr>
                <w:rFonts w:ascii="Times New Roman" w:hAnsi="Times New Roman" w:cs="Times New Roman"/>
                <w:shd w:val="clear" w:color="auto" w:fill="FFFFFF"/>
              </w:rPr>
              <w:t>, </w:t>
            </w:r>
            <w:r w:rsidRPr="00B64C8D">
              <w:rPr>
                <w:rFonts w:ascii="Times New Roman" w:hAnsi="Times New Roman" w:cs="Times New Roman"/>
                <w:i/>
                <w:iCs/>
                <w:shd w:val="clear" w:color="auto" w:fill="FFFFFF"/>
              </w:rPr>
              <w:t>22</w:t>
            </w:r>
            <w:r w:rsidRPr="00B64C8D">
              <w:rPr>
                <w:rFonts w:ascii="Times New Roman" w:hAnsi="Times New Roman" w:cs="Times New Roman"/>
                <w:shd w:val="clear" w:color="auto" w:fill="FFFFFF"/>
              </w:rPr>
              <w:t>(4), 462-480.</w:t>
            </w:r>
          </w:p>
          <w:p w14:paraId="0A27DC84" w14:textId="77777777" w:rsidR="00C60F05" w:rsidRDefault="00C60F05"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Blom-Hansen, J. (2005). Principals, agents, and the implementation of EU cohesion policy. </w:t>
            </w:r>
            <w:r w:rsidRPr="00B64C8D">
              <w:rPr>
                <w:rFonts w:ascii="Times New Roman" w:eastAsia="Times New Roman" w:hAnsi="Times New Roman" w:cs="Times New Roman"/>
                <w:i/>
                <w:iCs/>
                <w:color w:val="0E101A"/>
                <w:kern w:val="0"/>
                <w:lang w:eastAsia="nl-NL"/>
                <w14:ligatures w14:val="none"/>
              </w:rPr>
              <w:t>Journal of European Public Policy</w:t>
            </w:r>
            <w:r w:rsidRPr="00B64C8D">
              <w:rPr>
                <w:rFonts w:ascii="Times New Roman" w:eastAsia="Times New Roman" w:hAnsi="Times New Roman" w:cs="Times New Roman"/>
                <w:color w:val="0E101A"/>
                <w:kern w:val="0"/>
                <w:lang w:eastAsia="nl-NL"/>
                <w14:ligatures w14:val="none"/>
              </w:rPr>
              <w:t>, </w:t>
            </w:r>
            <w:r w:rsidRPr="00B64C8D">
              <w:rPr>
                <w:rFonts w:ascii="Times New Roman" w:eastAsia="Times New Roman" w:hAnsi="Times New Roman" w:cs="Times New Roman"/>
                <w:i/>
                <w:iCs/>
                <w:color w:val="0E101A"/>
                <w:kern w:val="0"/>
                <w:lang w:eastAsia="nl-NL"/>
                <w14:ligatures w14:val="none"/>
              </w:rPr>
              <w:t>12</w:t>
            </w:r>
            <w:r w:rsidRPr="00B64C8D">
              <w:rPr>
                <w:rFonts w:ascii="Times New Roman" w:eastAsia="Times New Roman" w:hAnsi="Times New Roman" w:cs="Times New Roman"/>
                <w:color w:val="0E101A"/>
                <w:kern w:val="0"/>
                <w:lang w:eastAsia="nl-NL"/>
                <w14:ligatures w14:val="none"/>
              </w:rPr>
              <w:t>(4), 624-648.</w:t>
            </w:r>
          </w:p>
          <w:p w14:paraId="2D239905" w14:textId="77777777" w:rsidR="00597285" w:rsidRPr="00B64C8D" w:rsidRDefault="00597285" w:rsidP="00B64C8D">
            <w:pPr>
              <w:spacing w:after="0" w:line="360" w:lineRule="auto"/>
              <w:rPr>
                <w:rFonts w:ascii="Times New Roman" w:eastAsia="Times New Roman" w:hAnsi="Times New Roman" w:cs="Times New Roman"/>
                <w:color w:val="0E101A"/>
                <w:kern w:val="0"/>
                <w:lang w:eastAsia="nl-NL"/>
                <w14:ligatures w14:val="none"/>
              </w:rPr>
            </w:pPr>
          </w:p>
          <w:p w14:paraId="364367F4" w14:textId="77777777" w:rsidR="00C60F05" w:rsidRDefault="00C60F05"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Busuioc, M., Curtin, D., &amp; Groenleer, M. (2011). Agency growth between autonomy and accountability: The European Police Office as a ‘living institution’. </w:t>
            </w:r>
            <w:r w:rsidRPr="00B64C8D">
              <w:rPr>
                <w:rFonts w:ascii="Times New Roman" w:eastAsia="Times New Roman" w:hAnsi="Times New Roman" w:cs="Times New Roman"/>
                <w:i/>
                <w:iCs/>
                <w:color w:val="0E101A"/>
                <w:kern w:val="0"/>
                <w:lang w:eastAsia="nl-NL"/>
                <w14:ligatures w14:val="none"/>
              </w:rPr>
              <w:t>Journal of European Public Policy</w:t>
            </w:r>
            <w:r w:rsidRPr="00B64C8D">
              <w:rPr>
                <w:rFonts w:ascii="Times New Roman" w:eastAsia="Times New Roman" w:hAnsi="Times New Roman" w:cs="Times New Roman"/>
                <w:color w:val="0E101A"/>
                <w:kern w:val="0"/>
                <w:lang w:eastAsia="nl-NL"/>
                <w14:ligatures w14:val="none"/>
              </w:rPr>
              <w:t>, </w:t>
            </w:r>
            <w:r w:rsidRPr="00B64C8D">
              <w:rPr>
                <w:rFonts w:ascii="Times New Roman" w:eastAsia="Times New Roman" w:hAnsi="Times New Roman" w:cs="Times New Roman"/>
                <w:i/>
                <w:iCs/>
                <w:color w:val="0E101A"/>
                <w:kern w:val="0"/>
                <w:lang w:eastAsia="nl-NL"/>
                <w14:ligatures w14:val="none"/>
              </w:rPr>
              <w:t>18</w:t>
            </w:r>
            <w:r w:rsidRPr="00B64C8D">
              <w:rPr>
                <w:rFonts w:ascii="Times New Roman" w:eastAsia="Times New Roman" w:hAnsi="Times New Roman" w:cs="Times New Roman"/>
                <w:color w:val="0E101A"/>
                <w:kern w:val="0"/>
                <w:lang w:eastAsia="nl-NL"/>
                <w14:ligatures w14:val="none"/>
              </w:rPr>
              <w:t>(6), 848-867.</w:t>
            </w:r>
          </w:p>
          <w:p w14:paraId="5002FF40" w14:textId="77777777" w:rsidR="00597285" w:rsidRPr="00B64C8D" w:rsidRDefault="00597285" w:rsidP="00B64C8D">
            <w:pPr>
              <w:spacing w:after="0" w:line="360" w:lineRule="auto"/>
              <w:rPr>
                <w:rFonts w:ascii="Times New Roman" w:eastAsia="Times New Roman" w:hAnsi="Times New Roman" w:cs="Times New Roman"/>
                <w:color w:val="0E101A"/>
                <w:kern w:val="0"/>
                <w:lang w:eastAsia="nl-NL"/>
                <w14:ligatures w14:val="none"/>
              </w:rPr>
            </w:pPr>
          </w:p>
          <w:p w14:paraId="12A85349" w14:textId="77777777" w:rsidR="00F45DDE" w:rsidRDefault="00EF16F1" w:rsidP="00F45DDE">
            <w:pPr>
              <w:spacing w:after="0"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lastRenderedPageBreak/>
              <w:t>Bitektine, A. (2008). Prospective case study design: Qualitative method for deductive theory testing. </w:t>
            </w:r>
            <w:r w:rsidRPr="00B64C8D">
              <w:rPr>
                <w:rFonts w:ascii="Times New Roman" w:hAnsi="Times New Roman" w:cs="Times New Roman"/>
                <w:i/>
                <w:iCs/>
                <w:color w:val="222222"/>
                <w:shd w:val="clear" w:color="auto" w:fill="FFFFFF"/>
              </w:rPr>
              <w:t>Organizational research methods</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11</w:t>
            </w:r>
            <w:r w:rsidRPr="00B64C8D">
              <w:rPr>
                <w:rFonts w:ascii="Times New Roman" w:hAnsi="Times New Roman" w:cs="Times New Roman"/>
                <w:color w:val="222222"/>
                <w:shd w:val="clear" w:color="auto" w:fill="FFFFFF"/>
              </w:rPr>
              <w:t>(1), 160-180.</w:t>
            </w:r>
          </w:p>
          <w:p w14:paraId="5042A997" w14:textId="77777777" w:rsidR="00F45DDE" w:rsidRDefault="00F45DDE" w:rsidP="00F45DDE">
            <w:pPr>
              <w:spacing w:after="0" w:line="360" w:lineRule="auto"/>
              <w:rPr>
                <w:rFonts w:ascii="Times New Roman" w:hAnsi="Times New Roman" w:cs="Times New Roman"/>
                <w:color w:val="222222"/>
                <w:shd w:val="clear" w:color="auto" w:fill="FFFFFF"/>
              </w:rPr>
            </w:pPr>
          </w:p>
          <w:p w14:paraId="52F7D7BA" w14:textId="5E8FDDF3" w:rsidR="00C60F05" w:rsidRPr="00F45DDE" w:rsidRDefault="00C60F05" w:rsidP="00F45DDE">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hAnsi="Times New Roman" w:cs="Times New Roman"/>
                <w:color w:val="222222"/>
                <w:shd w:val="clear" w:color="auto" w:fill="FFFFFF"/>
              </w:rPr>
              <w:t>Campani, G. (2018). The migration crisis between populism and post-democracy. In </w:t>
            </w:r>
            <w:r w:rsidRPr="00B64C8D">
              <w:rPr>
                <w:rFonts w:ascii="Times New Roman" w:hAnsi="Times New Roman" w:cs="Times New Roman"/>
                <w:i/>
                <w:iCs/>
                <w:color w:val="222222"/>
                <w:shd w:val="clear" w:color="auto" w:fill="FFFFFF"/>
              </w:rPr>
              <w:t>Populism and the Crisis of Democracy</w:t>
            </w:r>
            <w:r w:rsidRPr="00B64C8D">
              <w:rPr>
                <w:rFonts w:ascii="Times New Roman" w:hAnsi="Times New Roman" w:cs="Times New Roman"/>
                <w:color w:val="222222"/>
                <w:shd w:val="clear" w:color="auto" w:fill="FFFFFF"/>
              </w:rPr>
              <w:t> (pp. 29-47). Routledge.</w:t>
            </w:r>
          </w:p>
          <w:p w14:paraId="0C2BADE2" w14:textId="77777777" w:rsidR="00F45DDE" w:rsidRDefault="00F45DDE" w:rsidP="00B64C8D">
            <w:pPr>
              <w:spacing w:line="360" w:lineRule="auto"/>
              <w:rPr>
                <w:rFonts w:ascii="Times New Roman" w:hAnsi="Times New Roman" w:cs="Times New Roman"/>
                <w:color w:val="222222"/>
                <w:shd w:val="clear" w:color="auto" w:fill="FFFFFF"/>
              </w:rPr>
            </w:pPr>
          </w:p>
          <w:p w14:paraId="091BDD7B" w14:textId="2870D86E"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Campesi, G. (2014). Frontex, the Euro-Mediterranean border and the paradoxes of humanitarian rhetoric. </w:t>
            </w:r>
            <w:r w:rsidR="001B2B84" w:rsidRPr="00B64C8D">
              <w:rPr>
                <w:rFonts w:ascii="Times New Roman" w:hAnsi="Times New Roman" w:cs="Times New Roman"/>
                <w:i/>
                <w:iCs/>
                <w:color w:val="222222"/>
                <w:shd w:val="clear" w:color="auto" w:fill="FFFFFF"/>
              </w:rPr>
              <w:t>Southeast</w:t>
            </w:r>
            <w:r w:rsidRPr="00B64C8D">
              <w:rPr>
                <w:rFonts w:ascii="Times New Roman" w:hAnsi="Times New Roman" w:cs="Times New Roman"/>
                <w:i/>
                <w:iCs/>
                <w:color w:val="222222"/>
                <w:shd w:val="clear" w:color="auto" w:fill="FFFFFF"/>
              </w:rPr>
              <w:t xml:space="preserve"> European Journal of Political Science", II</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3</w:t>
            </w:r>
            <w:r w:rsidRPr="00B64C8D">
              <w:rPr>
                <w:rFonts w:ascii="Times New Roman" w:hAnsi="Times New Roman" w:cs="Times New Roman"/>
                <w:color w:val="222222"/>
                <w:shd w:val="clear" w:color="auto" w:fill="FFFFFF"/>
              </w:rPr>
              <w:t>(2014), 126-134.</w:t>
            </w:r>
          </w:p>
          <w:p w14:paraId="0E71F8AD" w14:textId="77777777" w:rsidR="00F45DDE" w:rsidRDefault="00C60F05" w:rsidP="00F45DDE">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Caramani, D. (2017). Will vs. reason: The populist and technocratic forms of political representation and their critique to party government. </w:t>
            </w:r>
            <w:r w:rsidRPr="00B64C8D">
              <w:rPr>
                <w:rFonts w:ascii="Times New Roman" w:eastAsia="Times New Roman" w:hAnsi="Times New Roman" w:cs="Times New Roman"/>
                <w:i/>
                <w:iCs/>
                <w:color w:val="0E101A"/>
                <w:kern w:val="0"/>
                <w:lang w:eastAsia="nl-NL"/>
                <w14:ligatures w14:val="none"/>
              </w:rPr>
              <w:t>American Political Science Review</w:t>
            </w:r>
            <w:r w:rsidRPr="00B64C8D">
              <w:rPr>
                <w:rFonts w:ascii="Times New Roman" w:eastAsia="Times New Roman" w:hAnsi="Times New Roman" w:cs="Times New Roman"/>
                <w:color w:val="0E101A"/>
                <w:kern w:val="0"/>
                <w:lang w:eastAsia="nl-NL"/>
                <w14:ligatures w14:val="none"/>
              </w:rPr>
              <w:t>, </w:t>
            </w:r>
            <w:r w:rsidRPr="00B64C8D">
              <w:rPr>
                <w:rFonts w:ascii="Times New Roman" w:eastAsia="Times New Roman" w:hAnsi="Times New Roman" w:cs="Times New Roman"/>
                <w:i/>
                <w:iCs/>
                <w:color w:val="0E101A"/>
                <w:kern w:val="0"/>
                <w:lang w:eastAsia="nl-NL"/>
                <w14:ligatures w14:val="none"/>
              </w:rPr>
              <w:t>111</w:t>
            </w:r>
            <w:r w:rsidRPr="00B64C8D">
              <w:rPr>
                <w:rFonts w:ascii="Times New Roman" w:eastAsia="Times New Roman" w:hAnsi="Times New Roman" w:cs="Times New Roman"/>
                <w:color w:val="0E101A"/>
                <w:kern w:val="0"/>
                <w:lang w:eastAsia="nl-NL"/>
                <w14:ligatures w14:val="none"/>
              </w:rPr>
              <w:t>(1), 54-67.</w:t>
            </w:r>
          </w:p>
          <w:p w14:paraId="3955243A" w14:textId="77777777" w:rsidR="00F45DDE" w:rsidRDefault="00F45DDE" w:rsidP="00F45DDE">
            <w:pPr>
              <w:spacing w:after="0" w:line="360" w:lineRule="auto"/>
              <w:rPr>
                <w:rFonts w:ascii="Times New Roman" w:hAnsi="Times New Roman" w:cs="Times New Roman"/>
              </w:rPr>
            </w:pPr>
          </w:p>
          <w:p w14:paraId="28BAEBE7" w14:textId="455DC4D6" w:rsidR="00F45DDE" w:rsidRPr="00F45DDE" w:rsidRDefault="00C60F05" w:rsidP="00F45DDE">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hAnsi="Times New Roman" w:cs="Times New Roman"/>
              </w:rPr>
              <w:t xml:space="preserve">Cordis. (2013). </w:t>
            </w:r>
            <w:r w:rsidRPr="00B64C8D">
              <w:rPr>
                <w:rFonts w:ascii="Times New Roman" w:hAnsi="Times New Roman" w:cs="Times New Roman"/>
                <w:i/>
                <w:iCs/>
              </w:rPr>
              <w:t xml:space="preserve">Seventh framework programme of the European Community for research and technological development including demonstration activities (FP7). </w:t>
            </w:r>
            <w:hyperlink r:id="rId12" w:history="1">
              <w:r w:rsidR="00F45DDE" w:rsidRPr="00F10358">
                <w:rPr>
                  <w:rStyle w:val="Hyperlink"/>
                  <w:rFonts w:ascii="Times New Roman" w:hAnsi="Times New Roman" w:cs="Times New Roman"/>
                  <w:i/>
                  <w:iCs/>
                </w:rPr>
                <w:t xml:space="preserve">https://cordis.europa.eu/programme/id/FP7 </w:t>
              </w:r>
              <w:r w:rsidR="00F45DDE" w:rsidRPr="00F10358">
                <w:rPr>
                  <w:rStyle w:val="Hyperlink"/>
                  <w:rFonts w:ascii="Times New Roman" w:hAnsi="Times New Roman" w:cs="Times New Roman"/>
                </w:rPr>
                <w:t>Accessed on 19-05-2023</w:t>
              </w:r>
            </w:hyperlink>
            <w:r w:rsidR="001B2B84" w:rsidRPr="00B64C8D">
              <w:rPr>
                <w:rFonts w:ascii="Times New Roman" w:hAnsi="Times New Roman" w:cs="Times New Roman"/>
              </w:rPr>
              <w:t>.</w:t>
            </w:r>
          </w:p>
          <w:p w14:paraId="7E28C311" w14:textId="44A929F1" w:rsidR="00C60F05" w:rsidRPr="00F45DDE" w:rsidRDefault="00C60F05" w:rsidP="00B64C8D">
            <w:pPr>
              <w:spacing w:line="360" w:lineRule="auto"/>
              <w:rPr>
                <w:rFonts w:ascii="Times New Roman" w:hAnsi="Times New Roman" w:cs="Times New Roman"/>
              </w:rPr>
            </w:pPr>
            <w:r w:rsidRPr="00B64C8D">
              <w:rPr>
                <w:rFonts w:ascii="Times New Roman" w:hAnsi="Times New Roman" w:cs="Times New Roman"/>
                <w:color w:val="000000" w:themeColor="text1"/>
                <w:shd w:val="clear" w:color="auto" w:fill="FFFFFF"/>
              </w:rPr>
              <w:t xml:space="preserve">Cortinovis, R. (2015). The evolution of Frontex governance: Shifting from soft to hard </w:t>
            </w:r>
            <w:proofErr w:type="gramStart"/>
            <w:r w:rsidRPr="00B64C8D">
              <w:rPr>
                <w:rFonts w:ascii="Times New Roman" w:hAnsi="Times New Roman" w:cs="Times New Roman"/>
                <w:color w:val="000000" w:themeColor="text1"/>
                <w:shd w:val="clear" w:color="auto" w:fill="FFFFFF"/>
              </w:rPr>
              <w:t>law?.</w:t>
            </w:r>
            <w:proofErr w:type="gramEnd"/>
            <w:r w:rsidRPr="00B64C8D">
              <w:rPr>
                <w:rFonts w:ascii="Times New Roman" w:hAnsi="Times New Roman" w:cs="Times New Roman"/>
                <w:color w:val="000000" w:themeColor="text1"/>
                <w:shd w:val="clear" w:color="auto" w:fill="FFFFFF"/>
              </w:rPr>
              <w:t> </w:t>
            </w:r>
            <w:r w:rsidRPr="00B64C8D">
              <w:rPr>
                <w:rFonts w:ascii="Times New Roman" w:hAnsi="Times New Roman" w:cs="Times New Roman"/>
                <w:i/>
                <w:iCs/>
                <w:color w:val="000000" w:themeColor="text1"/>
                <w:shd w:val="clear" w:color="auto" w:fill="FFFFFF"/>
              </w:rPr>
              <w:t>Journal of Contemporary European Research</w:t>
            </w:r>
            <w:r w:rsidRPr="00B64C8D">
              <w:rPr>
                <w:rFonts w:ascii="Times New Roman" w:hAnsi="Times New Roman" w:cs="Times New Roman"/>
                <w:color w:val="000000" w:themeColor="text1"/>
                <w:shd w:val="clear" w:color="auto" w:fill="FFFFFF"/>
              </w:rPr>
              <w:t>, </w:t>
            </w:r>
            <w:r w:rsidRPr="00B64C8D">
              <w:rPr>
                <w:rFonts w:ascii="Times New Roman" w:hAnsi="Times New Roman" w:cs="Times New Roman"/>
                <w:i/>
                <w:iCs/>
                <w:color w:val="000000" w:themeColor="text1"/>
                <w:shd w:val="clear" w:color="auto" w:fill="FFFFFF"/>
              </w:rPr>
              <w:t>11</w:t>
            </w:r>
            <w:r w:rsidRPr="00B64C8D">
              <w:rPr>
                <w:rFonts w:ascii="Times New Roman" w:hAnsi="Times New Roman" w:cs="Times New Roman"/>
                <w:color w:val="000000" w:themeColor="text1"/>
                <w:shd w:val="clear" w:color="auto" w:fill="FFFFFF"/>
              </w:rPr>
              <w:t>(3).</w:t>
            </w:r>
          </w:p>
          <w:p w14:paraId="5F7BE943" w14:textId="5225B34D" w:rsidR="00C60F05" w:rsidRPr="00B64C8D" w:rsidRDefault="00C60F05" w:rsidP="00B64C8D">
            <w:pPr>
              <w:spacing w:line="360" w:lineRule="auto"/>
              <w:rPr>
                <w:rFonts w:ascii="Times New Roman" w:hAnsi="Times New Roman" w:cs="Times New Roman"/>
                <w:i/>
                <w:iCs/>
                <w:color w:val="333333"/>
                <w:shd w:val="clear" w:color="auto" w:fill="FFFFFF"/>
              </w:rPr>
            </w:pPr>
            <w:r w:rsidRPr="00B64C8D">
              <w:rPr>
                <w:rFonts w:ascii="Times New Roman" w:hAnsi="Times New Roman" w:cs="Times New Roman"/>
              </w:rPr>
              <w:t xml:space="preserve">Council of the EU. (26 </w:t>
            </w:r>
            <w:r w:rsidR="001B2B84" w:rsidRPr="00B64C8D">
              <w:rPr>
                <w:rFonts w:ascii="Times New Roman" w:hAnsi="Times New Roman" w:cs="Times New Roman"/>
              </w:rPr>
              <w:t>October</w:t>
            </w:r>
            <w:r w:rsidRPr="00B64C8D">
              <w:rPr>
                <w:rFonts w:ascii="Times New Roman" w:hAnsi="Times New Roman" w:cs="Times New Roman"/>
              </w:rPr>
              <w:t xml:space="preserve"> 2004). </w:t>
            </w:r>
            <w:r w:rsidRPr="00B64C8D">
              <w:rPr>
                <w:rFonts w:ascii="Times New Roman" w:hAnsi="Times New Roman" w:cs="Times New Roman"/>
                <w:i/>
                <w:iCs/>
                <w:color w:val="333333"/>
                <w:shd w:val="clear" w:color="auto" w:fill="FFFFFF"/>
              </w:rPr>
              <w:t>establishing a European Agency for the Management of Operational Cooperation at the External Borders of the Member States of the European Union</w:t>
            </w:r>
            <w:r w:rsidRPr="00B64C8D">
              <w:rPr>
                <w:rFonts w:ascii="Times New Roman" w:hAnsi="Times New Roman" w:cs="Times New Roman"/>
                <w:color w:val="333333"/>
                <w:shd w:val="clear" w:color="auto" w:fill="FFFFFF"/>
              </w:rPr>
              <w:t xml:space="preserve">. Council Regulation </w:t>
            </w:r>
            <w:r w:rsidRPr="00B64C8D">
              <w:rPr>
                <w:rFonts w:ascii="Times New Roman" w:hAnsi="Times New Roman" w:cs="Times New Roman"/>
                <w:i/>
                <w:iCs/>
                <w:color w:val="333333"/>
                <w:shd w:val="clear" w:color="auto" w:fill="FFFFFF"/>
              </w:rPr>
              <w:t xml:space="preserve">2007/2004. </w:t>
            </w:r>
          </w:p>
          <w:p w14:paraId="2FB09CA9" w14:textId="77777777" w:rsidR="00C60F05" w:rsidRDefault="00C60F05" w:rsidP="00B64C8D">
            <w:pPr>
              <w:pStyle w:val="Normaalweb"/>
              <w:spacing w:before="0" w:beforeAutospacing="0" w:after="0" w:afterAutospacing="0" w:line="360" w:lineRule="auto"/>
              <w:ind w:left="720" w:hanging="720"/>
              <w:rPr>
                <w:i/>
                <w:iCs/>
                <w:sz w:val="22"/>
                <w:szCs w:val="22"/>
                <w:lang w:val="en-US"/>
              </w:rPr>
            </w:pPr>
            <w:r w:rsidRPr="00B64C8D">
              <w:rPr>
                <w:sz w:val="22"/>
                <w:szCs w:val="22"/>
                <w:lang w:val="en-US"/>
              </w:rPr>
              <w:t xml:space="preserve">Creta, S., Deeb, B., Van Dijken, K., Freudenthal, E., Lüdke, S., &amp; Popp, M. (2021, 29 april). How Frontex helps haul migrants back to Libyan torture camps. </w:t>
            </w:r>
            <w:r w:rsidRPr="00B64C8D">
              <w:rPr>
                <w:i/>
                <w:iCs/>
                <w:sz w:val="22"/>
                <w:szCs w:val="22"/>
                <w:lang w:val="en-US"/>
              </w:rPr>
              <w:t xml:space="preserve">Der Spiegel </w:t>
            </w:r>
          </w:p>
          <w:p w14:paraId="6033FF15" w14:textId="77777777" w:rsidR="00F45DDE" w:rsidRPr="00B64C8D" w:rsidRDefault="00F45DDE" w:rsidP="00B64C8D">
            <w:pPr>
              <w:pStyle w:val="Normaalweb"/>
              <w:spacing w:before="0" w:beforeAutospacing="0" w:after="0" w:afterAutospacing="0" w:line="360" w:lineRule="auto"/>
              <w:ind w:left="720" w:hanging="720"/>
              <w:rPr>
                <w:sz w:val="22"/>
                <w:szCs w:val="22"/>
                <w:lang w:val="en-US"/>
              </w:rPr>
            </w:pPr>
          </w:p>
          <w:p w14:paraId="5B8CC390" w14:textId="77777777" w:rsidR="00C60F05" w:rsidRDefault="00C60F05"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De Sousa, L. (2009). Does performance matter to institutional survival? The method and politics of performance measurement for Anti-Corruption Agencies.</w:t>
            </w:r>
          </w:p>
          <w:p w14:paraId="44588A51" w14:textId="77777777" w:rsidR="00597285" w:rsidRPr="00B64C8D" w:rsidRDefault="00597285" w:rsidP="00B64C8D">
            <w:pPr>
              <w:spacing w:after="0" w:line="360" w:lineRule="auto"/>
              <w:rPr>
                <w:rFonts w:ascii="Times New Roman" w:eastAsia="Times New Roman" w:hAnsi="Times New Roman" w:cs="Times New Roman"/>
                <w:color w:val="0E101A"/>
                <w:kern w:val="0"/>
                <w:lang w:eastAsia="nl-NL"/>
                <w14:ligatures w14:val="none"/>
              </w:rPr>
            </w:pPr>
          </w:p>
          <w:p w14:paraId="5EC08B31" w14:textId="77777777"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rPr>
              <w:t xml:space="preserve">Deleja-Hotko, V., Esswein, A., Izuzquiza, L., von Laffert, B., Sala, D., Simeonidis, P., (2019) </w:t>
            </w:r>
            <w:r w:rsidRPr="00B64C8D">
              <w:rPr>
                <w:rFonts w:ascii="Times New Roman" w:hAnsi="Times New Roman" w:cs="Times New Roman"/>
                <w:i/>
                <w:iCs/>
              </w:rPr>
              <w:t xml:space="preserve">Frontex Files. </w:t>
            </w:r>
            <w:r w:rsidRPr="00B64C8D">
              <w:rPr>
                <w:rFonts w:ascii="Times New Roman" w:hAnsi="Times New Roman" w:cs="Times New Roman"/>
              </w:rPr>
              <w:t xml:space="preserve">ZDF Magazin Royale. </w:t>
            </w:r>
            <w:hyperlink r:id="rId13" w:history="1">
              <w:r w:rsidRPr="00B64C8D">
                <w:rPr>
                  <w:rStyle w:val="Hyperlink"/>
                  <w:rFonts w:ascii="Times New Roman" w:hAnsi="Times New Roman" w:cs="Times New Roman"/>
                </w:rPr>
                <w:t>https://frontexfiles.eu/en.html Accessed on 24-05-2023</w:t>
              </w:r>
            </w:hyperlink>
          </w:p>
          <w:p w14:paraId="1BA8B045"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 xml:space="preserve">Delreux, T., &amp; Adriaensen, J. (2018). Twenty years of principal-agent research in EU politics: How to cope with </w:t>
            </w:r>
            <w:proofErr w:type="gramStart"/>
            <w:r w:rsidRPr="00B64C8D">
              <w:rPr>
                <w:rFonts w:ascii="Times New Roman" w:hAnsi="Times New Roman" w:cs="Times New Roman"/>
                <w:color w:val="222222"/>
                <w:shd w:val="clear" w:color="auto" w:fill="FFFFFF"/>
              </w:rPr>
              <w:t>complexity?.</w:t>
            </w:r>
            <w:proofErr w:type="gramEnd"/>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European Political Science</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17</w:t>
            </w:r>
            <w:r w:rsidRPr="00B64C8D">
              <w:rPr>
                <w:rFonts w:ascii="Times New Roman" w:hAnsi="Times New Roman" w:cs="Times New Roman"/>
                <w:color w:val="222222"/>
                <w:shd w:val="clear" w:color="auto" w:fill="FFFFFF"/>
              </w:rPr>
              <w:t>, 258-275.</w:t>
            </w:r>
          </w:p>
          <w:p w14:paraId="317EF5E6" w14:textId="77777777"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rPr>
              <w:t xml:space="preserve">Douo, </w:t>
            </w:r>
            <w:proofErr w:type="gramStart"/>
            <w:r w:rsidRPr="00B64C8D">
              <w:rPr>
                <w:rFonts w:ascii="Times New Roman" w:hAnsi="Times New Roman" w:cs="Times New Roman"/>
              </w:rPr>
              <w:t>M,.</w:t>
            </w:r>
            <w:proofErr w:type="gramEnd"/>
            <w:r w:rsidRPr="00B64C8D">
              <w:rPr>
                <w:rFonts w:ascii="Times New Roman" w:hAnsi="Times New Roman" w:cs="Times New Roman"/>
              </w:rPr>
              <w:t xml:space="preserve"> Izuzquiza, </w:t>
            </w:r>
            <w:proofErr w:type="gramStart"/>
            <w:r w:rsidRPr="00B64C8D">
              <w:rPr>
                <w:rFonts w:ascii="Times New Roman" w:hAnsi="Times New Roman" w:cs="Times New Roman"/>
              </w:rPr>
              <w:t>L,.</w:t>
            </w:r>
            <w:proofErr w:type="gramEnd"/>
            <w:r w:rsidRPr="00B64C8D">
              <w:rPr>
                <w:rFonts w:ascii="Times New Roman" w:hAnsi="Times New Roman" w:cs="Times New Roman"/>
              </w:rPr>
              <w:t xml:space="preserve"> Silva, </w:t>
            </w:r>
            <w:proofErr w:type="gramStart"/>
            <w:r w:rsidRPr="00B64C8D">
              <w:rPr>
                <w:rFonts w:ascii="Times New Roman" w:hAnsi="Times New Roman" w:cs="Times New Roman"/>
              </w:rPr>
              <w:t>M,.</w:t>
            </w:r>
            <w:proofErr w:type="gramEnd"/>
            <w:r w:rsidRPr="00B64C8D">
              <w:rPr>
                <w:rFonts w:ascii="Times New Roman" w:hAnsi="Times New Roman" w:cs="Times New Roman"/>
              </w:rPr>
              <w:t xml:space="preserve"> (2021) </w:t>
            </w:r>
            <w:r w:rsidRPr="00B64C8D">
              <w:rPr>
                <w:rFonts w:ascii="Times New Roman" w:hAnsi="Times New Roman" w:cs="Times New Roman"/>
                <w:i/>
                <w:iCs/>
              </w:rPr>
              <w:t xml:space="preserve">Lobbying Fortress Europe: The making of a border-industrial complex. </w:t>
            </w:r>
            <w:r w:rsidRPr="00B64C8D">
              <w:rPr>
                <w:rFonts w:ascii="Times New Roman" w:hAnsi="Times New Roman" w:cs="Times New Roman"/>
              </w:rPr>
              <w:t>Corporate Europe Observatory</w:t>
            </w:r>
          </w:p>
          <w:p w14:paraId="4F6BEB43" w14:textId="77777777" w:rsidR="00C1140D" w:rsidRPr="00B64C8D" w:rsidRDefault="00C1140D" w:rsidP="00B64C8D">
            <w:pPr>
              <w:spacing w:after="0" w:line="360" w:lineRule="auto"/>
              <w:rPr>
                <w:rFonts w:ascii="Times New Roman" w:eastAsia="Times New Roman" w:hAnsi="Times New Roman" w:cs="Times New Roman"/>
                <w:color w:val="0E101A"/>
                <w:kern w:val="0"/>
                <w:lang w:eastAsia="nl-NL"/>
                <w14:ligatures w14:val="none"/>
              </w:rPr>
            </w:pPr>
          </w:p>
          <w:p w14:paraId="61273DCA" w14:textId="77777777"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rPr>
              <w:lastRenderedPageBreak/>
              <w:t xml:space="preserve">Dumitrescu, S, (Frontex). (2011). </w:t>
            </w:r>
            <w:r w:rsidRPr="00B64C8D">
              <w:rPr>
                <w:rFonts w:ascii="Times New Roman" w:hAnsi="Times New Roman" w:cs="Times New Roman"/>
                <w:i/>
                <w:iCs/>
              </w:rPr>
              <w:t xml:space="preserve">Securing the EU’s borders. </w:t>
            </w:r>
            <w:r w:rsidRPr="00B64C8D">
              <w:rPr>
                <w:rFonts w:ascii="Times New Roman" w:hAnsi="Times New Roman" w:cs="Times New Roman"/>
              </w:rPr>
              <w:t xml:space="preserve">The Marshall Centre for security studies. </w:t>
            </w:r>
          </w:p>
          <w:p w14:paraId="397A4BD2"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Ekelund, H. (2014). The establishment of FRONTEX: A new institutionalist approach. Journal of European Integration, 36(2), 99-116.</w:t>
            </w:r>
          </w:p>
          <w:p w14:paraId="7A0095F1" w14:textId="77777777" w:rsidR="00C60F05" w:rsidRDefault="00C60F05"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Enderlein, H., Walti, S., &amp; Zurn, M. (Eds.). (2010). </w:t>
            </w:r>
            <w:r w:rsidRPr="00B64C8D">
              <w:rPr>
                <w:rFonts w:ascii="Times New Roman" w:eastAsia="Times New Roman" w:hAnsi="Times New Roman" w:cs="Times New Roman"/>
                <w:i/>
                <w:iCs/>
                <w:color w:val="0E101A"/>
                <w:kern w:val="0"/>
                <w:lang w:eastAsia="nl-NL"/>
                <w14:ligatures w14:val="none"/>
              </w:rPr>
              <w:t>Handbook on multi-level governance</w:t>
            </w:r>
            <w:r w:rsidRPr="00B64C8D">
              <w:rPr>
                <w:rFonts w:ascii="Times New Roman" w:eastAsia="Times New Roman" w:hAnsi="Times New Roman" w:cs="Times New Roman"/>
                <w:color w:val="0E101A"/>
                <w:kern w:val="0"/>
                <w:lang w:eastAsia="nl-NL"/>
                <w14:ligatures w14:val="none"/>
              </w:rPr>
              <w:t>. Edward Elgar Publishing.</w:t>
            </w:r>
          </w:p>
          <w:p w14:paraId="7E9C3337" w14:textId="77777777" w:rsidR="00F45DDE" w:rsidRPr="00B64C8D" w:rsidRDefault="00F45DDE" w:rsidP="00B64C8D">
            <w:pPr>
              <w:spacing w:after="0" w:line="360" w:lineRule="auto"/>
              <w:rPr>
                <w:rFonts w:ascii="Times New Roman" w:eastAsia="Times New Roman" w:hAnsi="Times New Roman" w:cs="Times New Roman"/>
                <w:color w:val="0E101A"/>
                <w:kern w:val="0"/>
                <w:lang w:eastAsia="nl-NL"/>
                <w14:ligatures w14:val="none"/>
              </w:rPr>
            </w:pPr>
          </w:p>
          <w:p w14:paraId="0385394A" w14:textId="77777777" w:rsidR="00C60F05" w:rsidRPr="00B64C8D" w:rsidRDefault="00C60F05" w:rsidP="00B64C8D">
            <w:pPr>
              <w:spacing w:line="360" w:lineRule="auto"/>
              <w:rPr>
                <w:rFonts w:ascii="Times New Roman" w:hAnsi="Times New Roman" w:cs="Times New Roman"/>
                <w:i/>
                <w:iCs/>
              </w:rPr>
            </w:pPr>
            <w:r w:rsidRPr="00B64C8D">
              <w:rPr>
                <w:rFonts w:ascii="Times New Roman" w:hAnsi="Times New Roman" w:cs="Times New Roman"/>
                <w:color w:val="222222"/>
                <w:shd w:val="clear" w:color="auto" w:fill="FFFFFF"/>
              </w:rPr>
              <w:t xml:space="preserve">European Commission. (2013). </w:t>
            </w:r>
            <w:r w:rsidRPr="00B64C8D">
              <w:rPr>
                <w:rFonts w:ascii="Times New Roman" w:hAnsi="Times New Roman" w:cs="Times New Roman"/>
                <w:i/>
                <w:iCs/>
                <w:color w:val="222222"/>
                <w:shd w:val="clear" w:color="auto" w:fill="FFFFFF"/>
              </w:rPr>
              <w:t>Opinion of the European Economic and Social Committee on the ‘Communication from the Commission to the European Parliament, the Council, the European Economic and Social Committee and the Committee of the Regions — Towards a more competitive and efficient defence and security sector’</w:t>
            </w:r>
            <w:r w:rsidRPr="00B64C8D">
              <w:rPr>
                <w:rFonts w:ascii="Times New Roman" w:hAnsi="Times New Roman" w:cs="Times New Roman"/>
                <w:color w:val="222222"/>
                <w:shd w:val="clear" w:color="auto" w:fill="FFFFFF"/>
              </w:rPr>
              <w:t xml:space="preserve">. Official Journal of the European Union. </w:t>
            </w:r>
            <w:r w:rsidRPr="00B64C8D">
              <w:rPr>
                <w:rFonts w:ascii="Times New Roman" w:hAnsi="Times New Roman" w:cs="Times New Roman"/>
                <w:i/>
                <w:iCs/>
                <w:color w:val="222222"/>
                <w:shd w:val="clear" w:color="auto" w:fill="FFFFFF"/>
              </w:rPr>
              <w:t>542 final</w:t>
            </w:r>
          </w:p>
          <w:p w14:paraId="28F36D61" w14:textId="77777777"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rPr>
              <w:t xml:space="preserve">European Commission. (2013). Response to Ms Ciobanu </w:t>
            </w:r>
            <w:r w:rsidRPr="00B64C8D">
              <w:rPr>
                <w:rFonts w:ascii="Times New Roman" w:hAnsi="Times New Roman" w:cs="Times New Roman"/>
                <w:i/>
                <w:iCs/>
              </w:rPr>
              <w:t xml:space="preserve">Inter Press Service (IPS). </w:t>
            </w:r>
            <w:hyperlink r:id="rId14" w:history="1">
              <w:r w:rsidRPr="00B64C8D">
                <w:rPr>
                  <w:rStyle w:val="Hyperlink"/>
                  <w:rFonts w:ascii="Times New Roman" w:hAnsi="Times New Roman" w:cs="Times New Roman"/>
                  <w:i/>
                  <w:iCs/>
                </w:rPr>
                <w:t>https://www.ipsnews.net/Library/2013/01/Response-to-Ms-Ciobanu.pdf</w:t>
              </w:r>
            </w:hyperlink>
            <w:r w:rsidRPr="00B64C8D">
              <w:rPr>
                <w:rFonts w:ascii="Times New Roman" w:hAnsi="Times New Roman" w:cs="Times New Roman"/>
                <w:i/>
                <w:iCs/>
              </w:rPr>
              <w:t xml:space="preserve"> Accessed on </w:t>
            </w:r>
            <w:proofErr w:type="gramStart"/>
            <w:r w:rsidRPr="00B64C8D">
              <w:rPr>
                <w:rFonts w:ascii="Times New Roman" w:hAnsi="Times New Roman" w:cs="Times New Roman"/>
                <w:i/>
                <w:iCs/>
              </w:rPr>
              <w:t>22-05-2023</w:t>
            </w:r>
            <w:proofErr w:type="gramEnd"/>
          </w:p>
          <w:p w14:paraId="1DB7DD22" w14:textId="77777777" w:rsidR="00C60F05" w:rsidRPr="00B64C8D" w:rsidRDefault="00C60F05" w:rsidP="00B64C8D">
            <w:pPr>
              <w:spacing w:line="360" w:lineRule="auto"/>
              <w:rPr>
                <w:rFonts w:ascii="Times New Roman" w:hAnsi="Times New Roman" w:cs="Times New Roman"/>
                <w:i/>
                <w:iCs/>
              </w:rPr>
            </w:pPr>
            <w:r w:rsidRPr="00B64C8D">
              <w:rPr>
                <w:rFonts w:ascii="Times New Roman" w:hAnsi="Times New Roman" w:cs="Times New Roman"/>
              </w:rPr>
              <w:t xml:space="preserve">European Commission. (2015). European Agenda on Migration: Securing Europe’s External Borders. </w:t>
            </w:r>
            <w:r w:rsidRPr="00B64C8D">
              <w:rPr>
                <w:rFonts w:ascii="Times New Roman" w:hAnsi="Times New Roman" w:cs="Times New Roman"/>
                <w:i/>
                <w:iCs/>
              </w:rPr>
              <w:t xml:space="preserve">Press Corner </w:t>
            </w:r>
            <w:hyperlink r:id="rId15" w:history="1">
              <w:r w:rsidRPr="00B64C8D">
                <w:rPr>
                  <w:rStyle w:val="Hyperlink"/>
                  <w:rFonts w:ascii="Times New Roman" w:hAnsi="Times New Roman" w:cs="Times New Roman"/>
                  <w:i/>
                  <w:iCs/>
                </w:rPr>
                <w:t>https://ec.europa.eu/commission/presscorner/detail/en/MEMO_15_6332</w:t>
              </w:r>
            </w:hyperlink>
          </w:p>
          <w:p w14:paraId="31AB325A" w14:textId="77777777"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rPr>
              <w:t xml:space="preserve">European Commission. (2018). </w:t>
            </w:r>
            <w:r w:rsidRPr="00B64C8D">
              <w:rPr>
                <w:rFonts w:ascii="Times New Roman" w:hAnsi="Times New Roman" w:cs="Times New Roman"/>
                <w:i/>
                <w:iCs/>
              </w:rPr>
              <w:t xml:space="preserve">Proposal for a regulation of the European Parliament and of the Council on the European Border and Coast Guard and repealing council joint action °98/700/JHA, Regulation (EU) n° 1052/2013 of the European Parliament and of the Council and Regulation (EU) n° 2016/1624 of the European Parliament and of the Council. </w:t>
            </w:r>
          </w:p>
          <w:p w14:paraId="0FB767BD" w14:textId="77777777" w:rsidR="00C60F05" w:rsidRPr="00B64C8D" w:rsidRDefault="00C60F05" w:rsidP="00B64C8D">
            <w:pPr>
              <w:spacing w:line="360" w:lineRule="auto"/>
              <w:rPr>
                <w:rFonts w:ascii="Times New Roman" w:hAnsi="Times New Roman" w:cs="Times New Roman"/>
                <w:i/>
                <w:iCs/>
              </w:rPr>
            </w:pPr>
            <w:r w:rsidRPr="00B64C8D">
              <w:rPr>
                <w:rFonts w:ascii="Times New Roman" w:hAnsi="Times New Roman" w:cs="Times New Roman"/>
              </w:rPr>
              <w:t xml:space="preserve">European Commission. (2022). EU budget 2023: Empowering Europe to continue shaping a changing world. </w:t>
            </w:r>
            <w:r w:rsidRPr="00B64C8D">
              <w:rPr>
                <w:rFonts w:ascii="Times New Roman" w:hAnsi="Times New Roman" w:cs="Times New Roman"/>
                <w:i/>
                <w:iCs/>
              </w:rPr>
              <w:t xml:space="preserve">Press corner. https://ec.europa.eu/commission/presscorner/detail/en/ip_22_3473 </w:t>
            </w:r>
          </w:p>
          <w:p w14:paraId="0A136440" w14:textId="77777777" w:rsidR="00C60F05" w:rsidRPr="00B64C8D" w:rsidRDefault="00C60F05" w:rsidP="00B64C8D">
            <w:pPr>
              <w:spacing w:line="360" w:lineRule="auto"/>
              <w:rPr>
                <w:rFonts w:ascii="Times New Roman" w:hAnsi="Times New Roman" w:cs="Times New Roman"/>
                <w:color w:val="333333"/>
                <w:shd w:val="clear" w:color="auto" w:fill="FFFFFF"/>
              </w:rPr>
            </w:pPr>
            <w:r w:rsidRPr="00B64C8D">
              <w:rPr>
                <w:rFonts w:ascii="Times New Roman" w:hAnsi="Times New Roman" w:cs="Times New Roman"/>
                <w:color w:val="333333"/>
                <w:shd w:val="clear" w:color="auto" w:fill="FFFFFF"/>
              </w:rPr>
              <w:t xml:space="preserve">European Commission. (2023). </w:t>
            </w:r>
            <w:r w:rsidRPr="00B64C8D">
              <w:rPr>
                <w:rFonts w:ascii="Times New Roman" w:hAnsi="Times New Roman" w:cs="Times New Roman"/>
                <w:i/>
                <w:iCs/>
                <w:color w:val="333333"/>
                <w:shd w:val="clear" w:color="auto" w:fill="FFFFFF"/>
              </w:rPr>
              <w:t xml:space="preserve">European Border and Coast Guard Agency (Frontex). </w:t>
            </w:r>
            <w:r w:rsidRPr="00B64C8D">
              <w:rPr>
                <w:rFonts w:ascii="Times New Roman" w:hAnsi="Times New Roman" w:cs="Times New Roman"/>
                <w:color w:val="333333"/>
                <w:shd w:val="clear" w:color="auto" w:fill="FFFFFF"/>
              </w:rPr>
              <w:t xml:space="preserve">Institutions and bodies profiles </w:t>
            </w:r>
            <w:hyperlink r:id="rId16" w:anchor=":~:text=Frontex%20assesses%20risks%20to%20EU,agency%20for%20planning%20its%20activities" w:history="1">
              <w:r w:rsidRPr="00B64C8D">
                <w:rPr>
                  <w:rStyle w:val="Hyperlink"/>
                  <w:rFonts w:ascii="Times New Roman" w:hAnsi="Times New Roman" w:cs="Times New Roman"/>
                  <w:shd w:val="clear" w:color="auto" w:fill="FFFFFF"/>
                </w:rPr>
                <w:t>https://european-union.europa.eu/institutions-law-budget/institutions-and-bodies/institutions-and-bodies-profiles/frontex_en#:~:text=Frontex%20assesses%20risks%20to%20EU,agency%20for%20planning%20its%20activities</w:t>
              </w:r>
            </w:hyperlink>
            <w:r w:rsidRPr="00B64C8D">
              <w:rPr>
                <w:rFonts w:ascii="Times New Roman" w:hAnsi="Times New Roman" w:cs="Times New Roman"/>
                <w:color w:val="333333"/>
                <w:shd w:val="clear" w:color="auto" w:fill="FFFFFF"/>
              </w:rPr>
              <w:t>. (consulted on 06-04-2023)</w:t>
            </w:r>
          </w:p>
          <w:p w14:paraId="24F9B3A2" w14:textId="77777777"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rPr>
              <w:t xml:space="preserve">European Council. (28 June 2018). </w:t>
            </w:r>
            <w:r w:rsidRPr="00B64C8D">
              <w:rPr>
                <w:rFonts w:ascii="Times New Roman" w:hAnsi="Times New Roman" w:cs="Times New Roman"/>
                <w:i/>
                <w:iCs/>
              </w:rPr>
              <w:t>European Council conclusions, 28 June 2018</w:t>
            </w:r>
            <w:r w:rsidRPr="00B64C8D">
              <w:rPr>
                <w:rFonts w:ascii="Times New Roman" w:hAnsi="Times New Roman" w:cs="Times New Roman"/>
              </w:rPr>
              <w:t>. European Council/ Council of the EU Press Releases</w:t>
            </w:r>
          </w:p>
          <w:p w14:paraId="1A6D132A" w14:textId="77777777"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rPr>
              <w:t xml:space="preserve">European Parliament (2015) </w:t>
            </w:r>
            <w:r w:rsidRPr="00B64C8D">
              <w:rPr>
                <w:rFonts w:ascii="Times New Roman" w:hAnsi="Times New Roman" w:cs="Times New Roman"/>
                <w:i/>
                <w:iCs/>
              </w:rPr>
              <w:t xml:space="preserve">How does ex-ante Impact Assessment work in the EU? </w:t>
            </w:r>
            <w:r w:rsidRPr="00B64C8D">
              <w:rPr>
                <w:rFonts w:ascii="Times New Roman" w:hAnsi="Times New Roman" w:cs="Times New Roman"/>
              </w:rPr>
              <w:t xml:space="preserve">Briefing: Better Law-making in action </w:t>
            </w:r>
          </w:p>
          <w:p w14:paraId="6584E668" w14:textId="77777777" w:rsidR="00C60F05" w:rsidRPr="00B64C8D" w:rsidRDefault="00C60F05" w:rsidP="00B64C8D">
            <w:pPr>
              <w:spacing w:line="360" w:lineRule="auto"/>
              <w:rPr>
                <w:rFonts w:ascii="Times New Roman" w:hAnsi="Times New Roman" w:cs="Times New Roman"/>
                <w:shd w:val="clear" w:color="auto" w:fill="F7F7F8"/>
              </w:rPr>
            </w:pPr>
            <w:r w:rsidRPr="00B64C8D">
              <w:rPr>
                <w:rFonts w:ascii="Times New Roman" w:hAnsi="Times New Roman" w:cs="Times New Roman"/>
                <w:shd w:val="clear" w:color="auto" w:fill="F7F7F8"/>
              </w:rPr>
              <w:lastRenderedPageBreak/>
              <w:t>European Parliament, &amp; Council of the European Union. (2013). Regulation (EU) No 1052/2013 of the European Parliament and of the Council of 22 October 2013 establishing the European Border Surveillance System (Eurosur). Official Journal of the European Union, L 295/11.</w:t>
            </w:r>
          </w:p>
          <w:p w14:paraId="36880DCE" w14:textId="77777777"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rPr>
              <w:t>European Parliament, &amp; Council of the European Union. (2016). Regulation (EU) 2016/1624 of the European Parliament and of the Council of 14 September 2016 on the European Border and Coast Guard and amending Regulation (EU) 2016/399 of the European Parliament and of the Council and repealing Regulation (EC) No 863/2007 of the European Parliament and of the Council, Council Regulation (EC) No 2007/2004 and Council Decision 2005/267/EC. Official Journal of the European Union, L 251, 1-42.</w:t>
            </w:r>
          </w:p>
          <w:p w14:paraId="1C867280" w14:textId="77777777"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rPr>
              <w:t>European Parliament, Council of the European Union. (2011). Regulation (EU) No 1168/2011 of the European Parliament and of the Council of 25 October 2011 amending Council Regulation (EC) No 2007/2004 establishing a European Agency for the Management of Operational Cooperation at the External Borders of the Member States of the European Union. Official Journal of the European Union, L 304/1.</w:t>
            </w:r>
          </w:p>
          <w:p w14:paraId="6CE36A18" w14:textId="77777777" w:rsidR="00C60F05" w:rsidRPr="00B64C8D" w:rsidRDefault="00C60F05" w:rsidP="00B64C8D">
            <w:pPr>
              <w:spacing w:line="360" w:lineRule="auto"/>
              <w:rPr>
                <w:rFonts w:ascii="Times New Roman" w:hAnsi="Times New Roman" w:cs="Times New Roman"/>
                <w:i/>
                <w:iCs/>
              </w:rPr>
            </w:pPr>
            <w:r w:rsidRPr="00B64C8D">
              <w:rPr>
                <w:rFonts w:ascii="Times New Roman" w:hAnsi="Times New Roman" w:cs="Times New Roman"/>
              </w:rPr>
              <w:t xml:space="preserve">European Parliament. (2021). Migration and border management – Heading 4 of the 2021-2027 MFF </w:t>
            </w:r>
            <w:r w:rsidRPr="00B64C8D">
              <w:rPr>
                <w:rFonts w:ascii="Times New Roman" w:hAnsi="Times New Roman" w:cs="Times New Roman"/>
                <w:i/>
                <w:iCs/>
              </w:rPr>
              <w:t xml:space="preserve">European Parliament Briefing 2021-2027 </w:t>
            </w:r>
            <w:hyperlink r:id="rId17" w:history="1">
              <w:r w:rsidRPr="00B64C8D">
                <w:rPr>
                  <w:rStyle w:val="Hyperlink"/>
                  <w:rFonts w:ascii="Times New Roman" w:hAnsi="Times New Roman" w:cs="Times New Roman"/>
                  <w:i/>
                  <w:iCs/>
                </w:rPr>
                <w:t>https://www.europarl.europa.eu/RegData/etudes/BRIE/2021/690544/EPRS_BRI(2021)690544_EN.pdf</w:t>
              </w:r>
            </w:hyperlink>
          </w:p>
          <w:p w14:paraId="6B6A1380" w14:textId="77777777" w:rsidR="00C60F05" w:rsidRPr="00B64C8D" w:rsidRDefault="00C60F05" w:rsidP="00B64C8D">
            <w:pPr>
              <w:spacing w:line="360" w:lineRule="auto"/>
              <w:rPr>
                <w:rFonts w:ascii="Times New Roman" w:hAnsi="Times New Roman" w:cs="Times New Roman"/>
                <w:i/>
                <w:iCs/>
              </w:rPr>
            </w:pPr>
            <w:r w:rsidRPr="00B64C8D">
              <w:rPr>
                <w:rFonts w:ascii="Times New Roman" w:hAnsi="Times New Roman" w:cs="Times New Roman"/>
              </w:rPr>
              <w:t xml:space="preserve">European Parliament. (N.D.) Ordinary Legislative Procedure </w:t>
            </w:r>
            <w:r w:rsidRPr="00B64C8D">
              <w:rPr>
                <w:rFonts w:ascii="Times New Roman" w:hAnsi="Times New Roman" w:cs="Times New Roman"/>
                <w:i/>
                <w:iCs/>
              </w:rPr>
              <w:t xml:space="preserve">Overview. </w:t>
            </w:r>
            <w:hyperlink r:id="rId18" w:anchor=":~:text=The%20Ordinary%20Legislative%20Procedure,-Under%20the%20Treaty&amp;text=It%20starts%20with%20a%20legislative,the%20procedure%20%2D%20at%20any%20reading" w:history="1">
              <w:r w:rsidRPr="00B64C8D">
                <w:rPr>
                  <w:rStyle w:val="Hyperlink"/>
                  <w:rFonts w:ascii="Times New Roman" w:hAnsi="Times New Roman" w:cs="Times New Roman"/>
                  <w:i/>
                  <w:iCs/>
                </w:rPr>
                <w:t>https://www.europarl.europa.eu/olp/en/ordinary-legislative-procedure/overview#:~:text=The%20Ordinary%20Legislative%20Procedure,-Under%20the%20Treaty&amp;text=It%20starts%20with%20a%20legislative,the%20procedure%20%2D%20at%20any%20reading</w:t>
              </w:r>
            </w:hyperlink>
            <w:r w:rsidRPr="00B64C8D">
              <w:rPr>
                <w:rFonts w:ascii="Times New Roman" w:hAnsi="Times New Roman" w:cs="Times New Roman"/>
                <w:i/>
                <w:iCs/>
              </w:rPr>
              <w:t xml:space="preserve">. Accessed on </w:t>
            </w:r>
            <w:proofErr w:type="gramStart"/>
            <w:r w:rsidRPr="00B64C8D">
              <w:rPr>
                <w:rFonts w:ascii="Times New Roman" w:hAnsi="Times New Roman" w:cs="Times New Roman"/>
                <w:i/>
                <w:iCs/>
              </w:rPr>
              <w:t>26-05-2023</w:t>
            </w:r>
            <w:proofErr w:type="gramEnd"/>
          </w:p>
          <w:p w14:paraId="5F7B0E35"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European Union. (2004). Council Regulation (EC) No 2007/2004 of 26 October 2004 establishing a European Agency for the Management of Operational Cooperation at the External Borders of the Member States of the European Union. Official Journal of the European Union, L 349/1.</w:t>
            </w:r>
          </w:p>
          <w:p w14:paraId="4E4BFE01" w14:textId="272B71A8" w:rsidR="00C60F05" w:rsidRPr="00BB44CE" w:rsidRDefault="00C60F05" w:rsidP="00BB44CE">
            <w:pPr>
              <w:tabs>
                <w:tab w:val="left" w:pos="6400"/>
              </w:tabs>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Fjørtoft, T. N. (2022). More power, more control: The legitimizing role of expertise in Frontex after the refugee crisis. </w:t>
            </w:r>
            <w:r w:rsidRPr="00B64C8D">
              <w:rPr>
                <w:rFonts w:ascii="Times New Roman" w:hAnsi="Times New Roman" w:cs="Times New Roman"/>
                <w:i/>
                <w:iCs/>
                <w:color w:val="222222"/>
                <w:shd w:val="clear" w:color="auto" w:fill="FFFFFF"/>
              </w:rPr>
              <w:t>Regulation &amp; Governance</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16</w:t>
            </w:r>
            <w:r w:rsidRPr="00B64C8D">
              <w:rPr>
                <w:rFonts w:ascii="Times New Roman" w:hAnsi="Times New Roman" w:cs="Times New Roman"/>
                <w:color w:val="222222"/>
                <w:shd w:val="clear" w:color="auto" w:fill="FFFFFF"/>
              </w:rPr>
              <w:t>(2), 557-571.</w:t>
            </w:r>
          </w:p>
        </w:tc>
      </w:tr>
    </w:tbl>
    <w:p w14:paraId="6B499A5B" w14:textId="77777777"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rPr>
        <w:lastRenderedPageBreak/>
        <w:t xml:space="preserve">Fotiadis, A., &amp; Ciobanu, C. (2013, January 11). People pay for research against migrants. IPS. Retrieved from </w:t>
      </w:r>
      <w:hyperlink r:id="rId19" w:history="1">
        <w:r w:rsidRPr="00B64C8D">
          <w:rPr>
            <w:rStyle w:val="Hyperlink"/>
            <w:rFonts w:ascii="Times New Roman" w:hAnsi="Times New Roman" w:cs="Times New Roman"/>
          </w:rPr>
          <w:t>https://www.ipsnews.net/2013/01/people-pay-for-research-against-migrants/</w:t>
        </w:r>
      </w:hyperlink>
      <w:r w:rsidRPr="00B64C8D">
        <w:rPr>
          <w:rFonts w:ascii="Times New Roman" w:hAnsi="Times New Roman" w:cs="Times New Roman"/>
        </w:rPr>
        <w:t xml:space="preserve"> on May 8, 2023</w:t>
      </w:r>
    </w:p>
    <w:p w14:paraId="01B394E4"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Freudlsperger, C., Maricut-Akbik, A., &amp; Migliorati, M. (2022). Opening Pandora’s Box? Joint Sovereignty and the Rise of EU Agencies with Operational Tasks. </w:t>
      </w:r>
      <w:r w:rsidRPr="00B64C8D">
        <w:rPr>
          <w:rFonts w:ascii="Times New Roman" w:hAnsi="Times New Roman" w:cs="Times New Roman"/>
          <w:i/>
          <w:iCs/>
          <w:color w:val="222222"/>
          <w:shd w:val="clear" w:color="auto" w:fill="FFFFFF"/>
        </w:rPr>
        <w:t>Comparative Political Studies</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55</w:t>
      </w:r>
      <w:r w:rsidRPr="00B64C8D">
        <w:rPr>
          <w:rFonts w:ascii="Times New Roman" w:hAnsi="Times New Roman" w:cs="Times New Roman"/>
          <w:color w:val="222222"/>
          <w:shd w:val="clear" w:color="auto" w:fill="FFFFFF"/>
        </w:rPr>
        <w:t>(12), 1983-2014.</w:t>
      </w:r>
    </w:p>
    <w:p w14:paraId="61639DCE" w14:textId="77777777"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rPr>
        <w:lastRenderedPageBreak/>
        <w:t xml:space="preserve">Frontex (2016) European Border and Coast Guard Agency launches today </w:t>
      </w:r>
      <w:r w:rsidRPr="00B64C8D">
        <w:rPr>
          <w:rFonts w:ascii="Times New Roman" w:hAnsi="Times New Roman" w:cs="Times New Roman"/>
          <w:i/>
          <w:iCs/>
        </w:rPr>
        <w:t xml:space="preserve">Frontex: News. </w:t>
      </w:r>
      <w:r w:rsidRPr="00B64C8D">
        <w:rPr>
          <w:rFonts w:ascii="Times New Roman" w:hAnsi="Times New Roman" w:cs="Times New Roman"/>
        </w:rPr>
        <w:t xml:space="preserve"> Retrieved May 8, 2023</w:t>
      </w:r>
    </w:p>
    <w:p w14:paraId="45A9E3C5"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 xml:space="preserve">Frontex (n.d.) Accountability </w:t>
      </w:r>
      <w:hyperlink r:id="rId20" w:history="1">
        <w:r w:rsidRPr="00B64C8D">
          <w:rPr>
            <w:rStyle w:val="Hyperlink"/>
            <w:rFonts w:ascii="Times New Roman" w:hAnsi="Times New Roman" w:cs="Times New Roman"/>
            <w:shd w:val="clear" w:color="auto" w:fill="FFFFFF"/>
          </w:rPr>
          <w:t>https://frontex.europa.eu/transparency/accountability/</w:t>
        </w:r>
      </w:hyperlink>
      <w:r w:rsidRPr="00B64C8D">
        <w:rPr>
          <w:rFonts w:ascii="Times New Roman" w:hAnsi="Times New Roman" w:cs="Times New Roman"/>
          <w:color w:val="222222"/>
          <w:shd w:val="clear" w:color="auto" w:fill="FFFFFF"/>
        </w:rPr>
        <w:t xml:space="preserve"> accessed on </w:t>
      </w:r>
      <w:proofErr w:type="gramStart"/>
      <w:r w:rsidRPr="00B64C8D">
        <w:rPr>
          <w:rFonts w:ascii="Times New Roman" w:hAnsi="Times New Roman" w:cs="Times New Roman"/>
          <w:color w:val="222222"/>
          <w:shd w:val="clear" w:color="auto" w:fill="FFFFFF"/>
        </w:rPr>
        <w:t>31-05-2023</w:t>
      </w:r>
      <w:proofErr w:type="gramEnd"/>
    </w:p>
    <w:p w14:paraId="2193D7AE"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 xml:space="preserve">Frontex (n.d.) Fundamental Rights at Frontex </w:t>
      </w:r>
    </w:p>
    <w:p w14:paraId="3FC60341" w14:textId="77777777"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color w:val="222222"/>
          <w:shd w:val="clear" w:color="auto" w:fill="FFFFFF"/>
        </w:rPr>
        <w:t xml:space="preserve">Frontex. (2011) </w:t>
      </w:r>
      <w:r w:rsidRPr="00B64C8D">
        <w:rPr>
          <w:rFonts w:ascii="Times New Roman" w:hAnsi="Times New Roman" w:cs="Times New Roman"/>
          <w:i/>
          <w:iCs/>
          <w:color w:val="222222"/>
          <w:shd w:val="clear" w:color="auto" w:fill="FFFFFF"/>
        </w:rPr>
        <w:t>General Report 2011</w:t>
      </w:r>
      <w:r w:rsidRPr="00B64C8D">
        <w:rPr>
          <w:rFonts w:ascii="Times New Roman" w:hAnsi="Times New Roman" w:cs="Times New Roman"/>
        </w:rPr>
        <w:t xml:space="preserve">. FRONTEX: Publications </w:t>
      </w:r>
      <w:hyperlink r:id="rId21" w:history="1">
        <w:r w:rsidRPr="00B64C8D">
          <w:rPr>
            <w:rStyle w:val="Hyperlink"/>
            <w:rFonts w:ascii="Times New Roman" w:hAnsi="Times New Roman" w:cs="Times New Roman"/>
          </w:rPr>
          <w:t>https://frontex.europa.eu/assets/Key_Documents/Annual_report/2011/General_Report_2011.pdf Accessed on 22-05-2023</w:t>
        </w:r>
      </w:hyperlink>
    </w:p>
    <w:p w14:paraId="2A77B4AC"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Frontex. (2015). Annual Risk Analysis 2015</w:t>
      </w:r>
    </w:p>
    <w:p w14:paraId="4D5AFF14" w14:textId="7EECFC22"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rPr>
        <w:t xml:space="preserve">Frontex. (2016). </w:t>
      </w:r>
      <w:r w:rsidRPr="00B64C8D">
        <w:rPr>
          <w:rFonts w:ascii="Times New Roman" w:hAnsi="Times New Roman" w:cs="Times New Roman"/>
          <w:i/>
          <w:iCs/>
        </w:rPr>
        <w:t>European Border and Coast Guard Agency launches rapid intervention pool</w:t>
      </w:r>
      <w:r w:rsidRPr="00B64C8D">
        <w:rPr>
          <w:rFonts w:ascii="Times New Roman" w:hAnsi="Times New Roman" w:cs="Times New Roman"/>
        </w:rPr>
        <w:t xml:space="preserve">. </w:t>
      </w:r>
      <w:r w:rsidR="00042C40" w:rsidRPr="00B64C8D">
        <w:rPr>
          <w:rFonts w:ascii="Times New Roman" w:hAnsi="Times New Roman" w:cs="Times New Roman"/>
        </w:rPr>
        <w:t xml:space="preserve">Frontex: </w:t>
      </w:r>
      <w:r w:rsidRPr="00B64C8D">
        <w:rPr>
          <w:rFonts w:ascii="Times New Roman" w:hAnsi="Times New Roman" w:cs="Times New Roman"/>
        </w:rPr>
        <w:t xml:space="preserve">News  </w:t>
      </w:r>
      <w:hyperlink r:id="rId22" w:history="1">
        <w:r w:rsidRPr="00B64C8D">
          <w:rPr>
            <w:rStyle w:val="Hyperlink"/>
            <w:rFonts w:ascii="Times New Roman" w:hAnsi="Times New Roman" w:cs="Times New Roman"/>
          </w:rPr>
          <w:t>https://frontex.europa.eu/media-centre/news/news-release/european-border-and-coast-guard-agency-launches-rapid-intervention-pool-P93Lhp</w:t>
        </w:r>
      </w:hyperlink>
      <w:r w:rsidRPr="00B64C8D">
        <w:rPr>
          <w:rFonts w:ascii="Times New Roman" w:hAnsi="Times New Roman" w:cs="Times New Roman"/>
        </w:rPr>
        <w:t xml:space="preserve"> accessed on 23-05-2023</w:t>
      </w:r>
    </w:p>
    <w:p w14:paraId="36F87EE1" w14:textId="77777777"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rPr>
        <w:t xml:space="preserve">Frontex. (2019). Commissioner Avramopoulos visits Frontex, meets with agency’s staff. </w:t>
      </w:r>
      <w:r w:rsidRPr="00B64C8D">
        <w:rPr>
          <w:rFonts w:ascii="Times New Roman" w:hAnsi="Times New Roman" w:cs="Times New Roman"/>
          <w:i/>
          <w:iCs/>
        </w:rPr>
        <w:t xml:space="preserve">Frontex: News </w:t>
      </w:r>
      <w:r w:rsidRPr="00B64C8D">
        <w:rPr>
          <w:rFonts w:ascii="Times New Roman" w:hAnsi="Times New Roman" w:cs="Times New Roman"/>
        </w:rPr>
        <w:t>Retrieved May 8, 2023</w:t>
      </w:r>
    </w:p>
    <w:p w14:paraId="762844B1" w14:textId="77777777" w:rsidR="00C60F05" w:rsidRPr="00B64C8D" w:rsidRDefault="00C60F05" w:rsidP="00B64C8D">
      <w:pPr>
        <w:spacing w:line="360" w:lineRule="auto"/>
        <w:rPr>
          <w:rFonts w:ascii="Times New Roman" w:hAnsi="Times New Roman" w:cs="Times New Roman"/>
          <w:i/>
          <w:iCs/>
        </w:rPr>
      </w:pPr>
      <w:r w:rsidRPr="00B64C8D">
        <w:rPr>
          <w:rFonts w:ascii="Times New Roman" w:hAnsi="Times New Roman" w:cs="Times New Roman"/>
        </w:rPr>
        <w:t xml:space="preserve">Frontex. (2019). </w:t>
      </w:r>
      <w:r w:rsidRPr="00B64C8D">
        <w:rPr>
          <w:rFonts w:ascii="Times New Roman" w:hAnsi="Times New Roman" w:cs="Times New Roman"/>
          <w:i/>
          <w:iCs/>
        </w:rPr>
        <w:t xml:space="preserve">Consolidated annual activity report </w:t>
      </w:r>
      <w:proofErr w:type="gramStart"/>
      <w:r w:rsidRPr="00B64C8D">
        <w:rPr>
          <w:rFonts w:ascii="Times New Roman" w:hAnsi="Times New Roman" w:cs="Times New Roman"/>
          <w:i/>
          <w:iCs/>
        </w:rPr>
        <w:t>2018</w:t>
      </w:r>
      <w:proofErr w:type="gramEnd"/>
    </w:p>
    <w:p w14:paraId="01E03B08" w14:textId="77777777"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rPr>
        <w:t xml:space="preserve">Frontex. (2021). </w:t>
      </w:r>
      <w:r w:rsidRPr="00B64C8D">
        <w:rPr>
          <w:rFonts w:ascii="Times New Roman" w:hAnsi="Times New Roman" w:cs="Times New Roman"/>
          <w:i/>
          <w:iCs/>
        </w:rPr>
        <w:t xml:space="preserve">Transparancy register </w:t>
      </w:r>
      <w:hyperlink r:id="rId23" w:history="1">
        <w:r w:rsidRPr="00B64C8D">
          <w:rPr>
            <w:rStyle w:val="Hyperlink"/>
            <w:rFonts w:ascii="Times New Roman" w:hAnsi="Times New Roman" w:cs="Times New Roman"/>
            <w:i/>
            <w:iCs/>
          </w:rPr>
          <w:t>https://frontex.europa.eu/transparency/transparency-register/</w:t>
        </w:r>
      </w:hyperlink>
      <w:r w:rsidRPr="00B64C8D">
        <w:rPr>
          <w:rFonts w:ascii="Times New Roman" w:hAnsi="Times New Roman" w:cs="Times New Roman"/>
          <w:i/>
          <w:iCs/>
        </w:rPr>
        <w:t xml:space="preserve"> accessed on </w:t>
      </w:r>
      <w:proofErr w:type="gramStart"/>
      <w:r w:rsidRPr="00B64C8D">
        <w:rPr>
          <w:rFonts w:ascii="Times New Roman" w:hAnsi="Times New Roman" w:cs="Times New Roman"/>
          <w:i/>
          <w:iCs/>
        </w:rPr>
        <w:t>13-06-2023</w:t>
      </w:r>
      <w:proofErr w:type="gramEnd"/>
    </w:p>
    <w:p w14:paraId="124557C8" w14:textId="77777777"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rPr>
        <w:t xml:space="preserve">Frontex. (21-12-2015) Invitation to attend an industry day workshop. </w:t>
      </w:r>
      <w:r w:rsidRPr="00B64C8D">
        <w:rPr>
          <w:rFonts w:ascii="Times New Roman" w:hAnsi="Times New Roman" w:cs="Times New Roman"/>
          <w:i/>
          <w:iCs/>
        </w:rPr>
        <w:t xml:space="preserve">Announcements. </w:t>
      </w:r>
      <w:hyperlink r:id="rId24" w:history="1">
        <w:r w:rsidRPr="00B64C8D">
          <w:rPr>
            <w:rStyle w:val="Hyperlink"/>
            <w:rFonts w:ascii="Times New Roman" w:hAnsi="Times New Roman" w:cs="Times New Roman"/>
          </w:rPr>
          <w:t>https://frontex.europa.eu/innovation/announcements/invitation-to-attend-an-industry-day-workshop-U4pjcn Accessed on 22-05-2023</w:t>
        </w:r>
      </w:hyperlink>
    </w:p>
    <w:p w14:paraId="09455E24" w14:textId="77777777"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color w:val="222222"/>
          <w:shd w:val="clear" w:color="auto" w:fill="FFFFFF"/>
        </w:rPr>
        <w:t xml:space="preserve">Frontex. (23-08-2013) Document challenge II: Invitation to industry – Phase II. </w:t>
      </w:r>
      <w:r w:rsidRPr="00B64C8D">
        <w:rPr>
          <w:rFonts w:ascii="Times New Roman" w:hAnsi="Times New Roman" w:cs="Times New Roman"/>
          <w:i/>
          <w:iCs/>
          <w:color w:val="222222"/>
          <w:shd w:val="clear" w:color="auto" w:fill="FFFFFF"/>
        </w:rPr>
        <w:t>Announcements</w:t>
      </w:r>
      <w:r w:rsidRPr="00B64C8D">
        <w:rPr>
          <w:rFonts w:ascii="Times New Roman" w:hAnsi="Times New Roman" w:cs="Times New Roman"/>
          <w:color w:val="222222"/>
          <w:shd w:val="clear" w:color="auto" w:fill="FFFFFF"/>
        </w:rPr>
        <w:t xml:space="preserve"> </w:t>
      </w:r>
      <w:hyperlink r:id="rId25" w:history="1">
        <w:r w:rsidRPr="00B64C8D">
          <w:rPr>
            <w:rStyle w:val="Hyperlink"/>
            <w:rFonts w:ascii="Times New Roman" w:hAnsi="Times New Roman" w:cs="Times New Roman"/>
            <w:shd w:val="clear" w:color="auto" w:fill="FFFFFF"/>
          </w:rPr>
          <w:t>https://frontex.europa.eu/innovation/announcements/document-challenge-ii-invitation-to-industry-phase-ii-TFKgWg</w:t>
        </w:r>
      </w:hyperlink>
      <w:r w:rsidRPr="00B64C8D">
        <w:rPr>
          <w:rFonts w:ascii="Times New Roman" w:hAnsi="Times New Roman" w:cs="Times New Roman"/>
          <w:color w:val="222222"/>
          <w:shd w:val="clear" w:color="auto" w:fill="FFFFFF"/>
        </w:rPr>
        <w:t xml:space="preserve"> Accessed on 22-05-2023</w:t>
      </w:r>
    </w:p>
    <w:p w14:paraId="45394453"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 xml:space="preserve">Frontex. (25-03-2014). Announcement to industry. </w:t>
      </w:r>
      <w:r w:rsidRPr="00B64C8D">
        <w:rPr>
          <w:rFonts w:ascii="Times New Roman" w:hAnsi="Times New Roman" w:cs="Times New Roman"/>
          <w:i/>
          <w:iCs/>
          <w:color w:val="222222"/>
          <w:shd w:val="clear" w:color="auto" w:fill="FFFFFF"/>
        </w:rPr>
        <w:t xml:space="preserve">Announcements </w:t>
      </w:r>
      <w:hyperlink r:id="rId26" w:history="1">
        <w:r w:rsidRPr="00B64C8D">
          <w:rPr>
            <w:rStyle w:val="Hyperlink"/>
            <w:rFonts w:ascii="Times New Roman" w:hAnsi="Times New Roman" w:cs="Times New Roman"/>
            <w:i/>
            <w:iCs/>
            <w:shd w:val="clear" w:color="auto" w:fill="FFFFFF"/>
          </w:rPr>
          <w:t xml:space="preserve">https://frontex.europa.eu/innovation/announcements/announcement-to-industry-gyZ1cF  Accessed </w:t>
        </w:r>
        <w:r w:rsidRPr="00B64C8D">
          <w:rPr>
            <w:rStyle w:val="Hyperlink"/>
            <w:rFonts w:ascii="Times New Roman" w:hAnsi="Times New Roman" w:cs="Times New Roman"/>
            <w:shd w:val="clear" w:color="auto" w:fill="FFFFFF"/>
          </w:rPr>
          <w:t>on 22-05-2023</w:t>
        </w:r>
      </w:hyperlink>
    </w:p>
    <w:p w14:paraId="40FEF54D" w14:textId="77777777"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rPr>
        <w:t xml:space="preserve">Frontex. (n.d.). Crisis. </w:t>
      </w:r>
      <w:r w:rsidRPr="00B64C8D">
        <w:rPr>
          <w:rFonts w:ascii="Times New Roman" w:hAnsi="Times New Roman" w:cs="Times New Roman"/>
          <w:i/>
          <w:iCs/>
        </w:rPr>
        <w:t>Search results.</w:t>
      </w:r>
      <w:r w:rsidRPr="00B64C8D">
        <w:rPr>
          <w:rFonts w:ascii="Times New Roman" w:hAnsi="Times New Roman" w:cs="Times New Roman"/>
        </w:rPr>
        <w:t xml:space="preserve"> Retrieved May 8, 2023, from </w:t>
      </w:r>
      <w:hyperlink r:id="rId27" w:history="1">
        <w:r w:rsidRPr="00B64C8D">
          <w:rPr>
            <w:rStyle w:val="Hyperlink"/>
            <w:rFonts w:ascii="Times New Roman" w:hAnsi="Times New Roman" w:cs="Times New Roman"/>
          </w:rPr>
          <w:t>https://frontex.europa.eu/search-results/?q=crisis&amp;p=1</w:t>
        </w:r>
      </w:hyperlink>
    </w:p>
    <w:p w14:paraId="101559F3" w14:textId="2CC657A3"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 xml:space="preserve">Garijo, F. V. (2020). Drones, Border </w:t>
      </w:r>
      <w:r w:rsidR="001B2B84" w:rsidRPr="00B64C8D">
        <w:rPr>
          <w:rFonts w:ascii="Times New Roman" w:hAnsi="Times New Roman" w:cs="Times New Roman"/>
          <w:color w:val="222222"/>
          <w:shd w:val="clear" w:color="auto" w:fill="FFFFFF"/>
        </w:rPr>
        <w:t>Surveillance,</w:t>
      </w:r>
      <w:r w:rsidRPr="00B64C8D">
        <w:rPr>
          <w:rFonts w:ascii="Times New Roman" w:hAnsi="Times New Roman" w:cs="Times New Roman"/>
          <w:color w:val="222222"/>
          <w:shd w:val="clear" w:color="auto" w:fill="FFFFFF"/>
        </w:rPr>
        <w:t xml:space="preserve"> and the Protection of Human Rights in the European Union. </w:t>
      </w:r>
      <w:r w:rsidRPr="00B64C8D">
        <w:rPr>
          <w:rFonts w:ascii="Times New Roman" w:hAnsi="Times New Roman" w:cs="Times New Roman"/>
          <w:i/>
          <w:iCs/>
          <w:color w:val="222222"/>
          <w:shd w:val="clear" w:color="auto" w:fill="FFFFFF"/>
        </w:rPr>
        <w:t>Public Security and Public Order</w:t>
      </w:r>
      <w:r w:rsidRPr="00B64C8D">
        <w:rPr>
          <w:rFonts w:ascii="Times New Roman" w:hAnsi="Times New Roman" w:cs="Times New Roman"/>
          <w:color w:val="222222"/>
          <w:shd w:val="clear" w:color="auto" w:fill="FFFFFF"/>
        </w:rPr>
        <w:t>, (25).</w:t>
      </w:r>
    </w:p>
    <w:p w14:paraId="1E2883FD" w14:textId="38F8089A"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rPr>
        <w:lastRenderedPageBreak/>
        <w:t xml:space="preserve">Garrett, A. (2019) </w:t>
      </w:r>
      <w:r w:rsidRPr="00B64C8D">
        <w:rPr>
          <w:rFonts w:ascii="Times New Roman" w:hAnsi="Times New Roman" w:cs="Times New Roman"/>
          <w:i/>
          <w:iCs/>
        </w:rPr>
        <w:t xml:space="preserve">The Refugee Crisis, </w:t>
      </w:r>
      <w:r w:rsidR="001B2B84" w:rsidRPr="00B64C8D">
        <w:rPr>
          <w:rFonts w:ascii="Times New Roman" w:hAnsi="Times New Roman" w:cs="Times New Roman"/>
          <w:i/>
          <w:iCs/>
        </w:rPr>
        <w:t>Brexit,</w:t>
      </w:r>
      <w:r w:rsidRPr="00B64C8D">
        <w:rPr>
          <w:rFonts w:ascii="Times New Roman" w:hAnsi="Times New Roman" w:cs="Times New Roman"/>
          <w:i/>
          <w:iCs/>
        </w:rPr>
        <w:t xml:space="preserve"> and the Reframing of Immigration in Britain.</w:t>
      </w:r>
      <w:r w:rsidRPr="00B64C8D">
        <w:rPr>
          <w:rFonts w:ascii="Times New Roman" w:hAnsi="Times New Roman" w:cs="Times New Roman"/>
        </w:rPr>
        <w:t xml:space="preserve"> EuropeNow</w:t>
      </w:r>
    </w:p>
    <w:p w14:paraId="135C4A0B" w14:textId="5FA2FB4E" w:rsidR="00C60F05" w:rsidRDefault="00C60F05"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Giannetto, L. (2019). Lobbying EU Agencies from Within: Advocacy Groups in Frontex Consultative Forum on Fundamental Rights. </w:t>
      </w:r>
      <w:r w:rsidRPr="00B64C8D">
        <w:rPr>
          <w:rFonts w:ascii="Times New Roman" w:eastAsia="Times New Roman" w:hAnsi="Times New Roman" w:cs="Times New Roman"/>
          <w:i/>
          <w:iCs/>
          <w:color w:val="0E101A"/>
          <w:kern w:val="0"/>
          <w:lang w:eastAsia="nl-NL"/>
          <w14:ligatures w14:val="none"/>
        </w:rPr>
        <w:t xml:space="preserve">Lobbying in the European Union: Strategies, </w:t>
      </w:r>
      <w:r w:rsidR="001B2B84" w:rsidRPr="00B64C8D">
        <w:rPr>
          <w:rFonts w:ascii="Times New Roman" w:eastAsia="Times New Roman" w:hAnsi="Times New Roman" w:cs="Times New Roman"/>
          <w:i/>
          <w:iCs/>
          <w:color w:val="0E101A"/>
          <w:kern w:val="0"/>
          <w:lang w:eastAsia="nl-NL"/>
          <w14:ligatures w14:val="none"/>
        </w:rPr>
        <w:t>Dynamics,</w:t>
      </w:r>
      <w:r w:rsidRPr="00B64C8D">
        <w:rPr>
          <w:rFonts w:ascii="Times New Roman" w:eastAsia="Times New Roman" w:hAnsi="Times New Roman" w:cs="Times New Roman"/>
          <w:i/>
          <w:iCs/>
          <w:color w:val="0E101A"/>
          <w:kern w:val="0"/>
          <w:lang w:eastAsia="nl-NL"/>
          <w14:ligatures w14:val="none"/>
        </w:rPr>
        <w:t xml:space="preserve"> and Trends</w:t>
      </w:r>
      <w:r w:rsidRPr="00B64C8D">
        <w:rPr>
          <w:rFonts w:ascii="Times New Roman" w:eastAsia="Times New Roman" w:hAnsi="Times New Roman" w:cs="Times New Roman"/>
          <w:color w:val="0E101A"/>
          <w:kern w:val="0"/>
          <w:lang w:eastAsia="nl-NL"/>
          <w14:ligatures w14:val="none"/>
        </w:rPr>
        <w:t>, 165-184.</w:t>
      </w:r>
    </w:p>
    <w:p w14:paraId="623BB75F" w14:textId="77777777" w:rsidR="00F45DDE" w:rsidRPr="00B64C8D" w:rsidRDefault="00F45DDE" w:rsidP="00B64C8D">
      <w:pPr>
        <w:spacing w:after="0" w:line="360" w:lineRule="auto"/>
        <w:rPr>
          <w:rFonts w:ascii="Times New Roman" w:eastAsia="Times New Roman" w:hAnsi="Times New Roman" w:cs="Times New Roman"/>
          <w:color w:val="0E101A"/>
          <w:kern w:val="0"/>
          <w:lang w:eastAsia="nl-NL"/>
          <w14:ligatures w14:val="none"/>
        </w:rPr>
      </w:pPr>
    </w:p>
    <w:p w14:paraId="56914643"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Gkliati, M., &amp; Kilpatrick, J. (2022). Crying Wolf Too Many Times: The Impact of the Emergency Narrative on Transparency in FRONTEX Joint Operations. </w:t>
      </w:r>
      <w:r w:rsidRPr="00B64C8D">
        <w:rPr>
          <w:rFonts w:ascii="Times New Roman" w:hAnsi="Times New Roman" w:cs="Times New Roman"/>
          <w:i/>
          <w:iCs/>
          <w:color w:val="222222"/>
          <w:shd w:val="clear" w:color="auto" w:fill="FFFFFF"/>
        </w:rPr>
        <w:t>Utrecht Law Review</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17</w:t>
      </w:r>
      <w:r w:rsidRPr="00B64C8D">
        <w:rPr>
          <w:rFonts w:ascii="Times New Roman" w:hAnsi="Times New Roman" w:cs="Times New Roman"/>
          <w:color w:val="222222"/>
          <w:shd w:val="clear" w:color="auto" w:fill="FFFFFF"/>
        </w:rPr>
        <w:t>(4).</w:t>
      </w:r>
    </w:p>
    <w:p w14:paraId="1E415002"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Glaser, J., &amp; Laudel, G. (2019, September). The discovery of causal mechanisms: Extractive qualitative content analysis as a tool for process tracing. In </w:t>
      </w:r>
      <w:r w:rsidRPr="00B64C8D">
        <w:rPr>
          <w:rFonts w:ascii="Times New Roman" w:hAnsi="Times New Roman" w:cs="Times New Roman"/>
          <w:i/>
          <w:iCs/>
          <w:color w:val="222222"/>
          <w:shd w:val="clear" w:color="auto" w:fill="FFFFFF"/>
        </w:rPr>
        <w:t>Forum Qualitative Sozialforschung/Forum: Qualitative Social Research</w:t>
      </w:r>
      <w:r w:rsidRPr="00B64C8D">
        <w:rPr>
          <w:rFonts w:ascii="Times New Roman" w:hAnsi="Times New Roman" w:cs="Times New Roman"/>
          <w:color w:val="222222"/>
          <w:shd w:val="clear" w:color="auto" w:fill="FFFFFF"/>
        </w:rPr>
        <w:t> (Vol. 20, No. 3).</w:t>
      </w:r>
    </w:p>
    <w:p w14:paraId="4AA72422"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Groenleer, M. (2009). </w:t>
      </w:r>
      <w:r w:rsidRPr="00B64C8D">
        <w:rPr>
          <w:rFonts w:ascii="Times New Roman" w:hAnsi="Times New Roman" w:cs="Times New Roman"/>
          <w:i/>
          <w:iCs/>
          <w:color w:val="222222"/>
          <w:shd w:val="clear" w:color="auto" w:fill="FFFFFF"/>
        </w:rPr>
        <w:t>The autonomy of European Union agencies: A comparative study of institutional development</w:t>
      </w:r>
      <w:r w:rsidRPr="00B64C8D">
        <w:rPr>
          <w:rFonts w:ascii="Times New Roman" w:hAnsi="Times New Roman" w:cs="Times New Roman"/>
          <w:color w:val="222222"/>
          <w:shd w:val="clear" w:color="auto" w:fill="FFFFFF"/>
        </w:rPr>
        <w:t>. Eburon Uitgeverij BV.</w:t>
      </w:r>
    </w:p>
    <w:p w14:paraId="09220A2A"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Hall, P. (2003). Aligning ontology and methodology in comparative politics.</w:t>
      </w:r>
    </w:p>
    <w:p w14:paraId="79ECB09D"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Halperin, S., &amp; Heath, O. (2020).</w:t>
      </w:r>
      <w:r w:rsidRPr="00B64C8D">
        <w:rPr>
          <w:rStyle w:val="apple-converted-space"/>
          <w:rFonts w:ascii="Times New Roman" w:hAnsi="Times New Roman" w:cs="Times New Roman"/>
          <w:color w:val="222222"/>
          <w:shd w:val="clear" w:color="auto" w:fill="FFFFFF"/>
        </w:rPr>
        <w:t> </w:t>
      </w:r>
      <w:r w:rsidRPr="00B64C8D">
        <w:rPr>
          <w:rFonts w:ascii="Times New Roman" w:hAnsi="Times New Roman" w:cs="Times New Roman"/>
          <w:i/>
          <w:iCs/>
          <w:color w:val="222222"/>
        </w:rPr>
        <w:t>Political research: methods and practical skills</w:t>
      </w:r>
      <w:r w:rsidRPr="00B64C8D">
        <w:rPr>
          <w:rFonts w:ascii="Times New Roman" w:hAnsi="Times New Roman" w:cs="Times New Roman"/>
          <w:color w:val="222222"/>
          <w:shd w:val="clear" w:color="auto" w:fill="FFFFFF"/>
        </w:rPr>
        <w:t>. Oxford University Press, USA.</w:t>
      </w:r>
    </w:p>
    <w:p w14:paraId="0840828E" w14:textId="77777777" w:rsidR="00C60F05" w:rsidRPr="00B64C8D" w:rsidRDefault="00C60F05"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Hassel, A. (2010). Multi-level governance and organized interests. In </w:t>
      </w:r>
      <w:r w:rsidRPr="00B64C8D">
        <w:rPr>
          <w:rFonts w:ascii="Times New Roman" w:eastAsia="Times New Roman" w:hAnsi="Times New Roman" w:cs="Times New Roman"/>
          <w:i/>
          <w:iCs/>
          <w:color w:val="0E101A"/>
          <w:kern w:val="0"/>
          <w:lang w:eastAsia="nl-NL"/>
          <w14:ligatures w14:val="none"/>
        </w:rPr>
        <w:t>Handbook on multi-level governance</w:t>
      </w:r>
      <w:r w:rsidRPr="00B64C8D">
        <w:rPr>
          <w:rFonts w:ascii="Times New Roman" w:eastAsia="Times New Roman" w:hAnsi="Times New Roman" w:cs="Times New Roman"/>
          <w:color w:val="0E101A"/>
          <w:kern w:val="0"/>
          <w:lang w:eastAsia="nl-NL"/>
          <w14:ligatures w14:val="none"/>
        </w:rPr>
        <w:t>. Edward Elgar Publishing.</w:t>
      </w:r>
    </w:p>
    <w:p w14:paraId="612BBCAC" w14:textId="77777777" w:rsidR="00C1140D" w:rsidRPr="00B64C8D" w:rsidRDefault="00C1140D" w:rsidP="00B64C8D">
      <w:pPr>
        <w:spacing w:after="0" w:line="360" w:lineRule="auto"/>
        <w:rPr>
          <w:rFonts w:ascii="Times New Roman" w:eastAsia="Times New Roman" w:hAnsi="Times New Roman" w:cs="Times New Roman"/>
          <w:color w:val="0E101A"/>
          <w:kern w:val="0"/>
          <w:lang w:eastAsia="nl-NL"/>
          <w14:ligatures w14:val="none"/>
        </w:rPr>
      </w:pPr>
    </w:p>
    <w:p w14:paraId="2DDD3D75" w14:textId="77777777" w:rsidR="00C60F05" w:rsidRPr="00B64C8D" w:rsidRDefault="00C60F05"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Hooghe, L., &amp; Marks, G. (2009). A post-functionalist theory of European integration: From permissive consensus to constraining dissensus. </w:t>
      </w:r>
      <w:r w:rsidRPr="00B64C8D">
        <w:rPr>
          <w:rFonts w:ascii="Times New Roman" w:eastAsia="Times New Roman" w:hAnsi="Times New Roman" w:cs="Times New Roman"/>
          <w:i/>
          <w:iCs/>
          <w:color w:val="0E101A"/>
          <w:kern w:val="0"/>
          <w:lang w:eastAsia="nl-NL"/>
          <w14:ligatures w14:val="none"/>
        </w:rPr>
        <w:t>British Journal of political science</w:t>
      </w:r>
      <w:r w:rsidRPr="00B64C8D">
        <w:rPr>
          <w:rFonts w:ascii="Times New Roman" w:eastAsia="Times New Roman" w:hAnsi="Times New Roman" w:cs="Times New Roman"/>
          <w:color w:val="0E101A"/>
          <w:kern w:val="0"/>
          <w:lang w:eastAsia="nl-NL"/>
          <w14:ligatures w14:val="none"/>
        </w:rPr>
        <w:t>, </w:t>
      </w:r>
      <w:r w:rsidRPr="00B64C8D">
        <w:rPr>
          <w:rFonts w:ascii="Times New Roman" w:eastAsia="Times New Roman" w:hAnsi="Times New Roman" w:cs="Times New Roman"/>
          <w:i/>
          <w:iCs/>
          <w:color w:val="0E101A"/>
          <w:kern w:val="0"/>
          <w:lang w:eastAsia="nl-NL"/>
          <w14:ligatures w14:val="none"/>
        </w:rPr>
        <w:t>39</w:t>
      </w:r>
      <w:r w:rsidRPr="00B64C8D">
        <w:rPr>
          <w:rFonts w:ascii="Times New Roman" w:eastAsia="Times New Roman" w:hAnsi="Times New Roman" w:cs="Times New Roman"/>
          <w:color w:val="0E101A"/>
          <w:kern w:val="0"/>
          <w:lang w:eastAsia="nl-NL"/>
          <w14:ligatures w14:val="none"/>
        </w:rPr>
        <w:t>(1), 1-23.</w:t>
      </w:r>
    </w:p>
    <w:p w14:paraId="41D14911" w14:textId="77777777" w:rsidR="00C1140D" w:rsidRPr="00B64C8D" w:rsidRDefault="00C1140D" w:rsidP="00B64C8D">
      <w:pPr>
        <w:spacing w:after="0" w:line="360" w:lineRule="auto"/>
        <w:rPr>
          <w:rFonts w:ascii="Times New Roman" w:eastAsia="Times New Roman" w:hAnsi="Times New Roman" w:cs="Times New Roman"/>
          <w:color w:val="0E101A"/>
          <w:kern w:val="0"/>
          <w:lang w:eastAsia="nl-NL"/>
          <w14:ligatures w14:val="none"/>
        </w:rPr>
      </w:pPr>
    </w:p>
    <w:p w14:paraId="1B8B6A01" w14:textId="77777777" w:rsidR="00C60F05" w:rsidRPr="00B64C8D" w:rsidRDefault="00C60F05"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Hooghe, L., &amp; Marks, G. (2010). Types of multi-level governance. In </w:t>
      </w:r>
      <w:r w:rsidRPr="00B64C8D">
        <w:rPr>
          <w:rFonts w:ascii="Times New Roman" w:eastAsia="Times New Roman" w:hAnsi="Times New Roman" w:cs="Times New Roman"/>
          <w:i/>
          <w:iCs/>
          <w:color w:val="0E101A"/>
          <w:kern w:val="0"/>
          <w:lang w:eastAsia="nl-NL"/>
          <w14:ligatures w14:val="none"/>
        </w:rPr>
        <w:t>Handbook on multi-level governance</w:t>
      </w:r>
      <w:r w:rsidRPr="00B64C8D">
        <w:rPr>
          <w:rFonts w:ascii="Times New Roman" w:eastAsia="Times New Roman" w:hAnsi="Times New Roman" w:cs="Times New Roman"/>
          <w:color w:val="0E101A"/>
          <w:kern w:val="0"/>
          <w:lang w:eastAsia="nl-NL"/>
          <w14:ligatures w14:val="none"/>
        </w:rPr>
        <w:t>. Edward Elgar Publishing.</w:t>
      </w:r>
    </w:p>
    <w:p w14:paraId="4E6E5A31" w14:textId="3E500952" w:rsidR="00C60F05" w:rsidRPr="00B64C8D" w:rsidRDefault="00C60F05"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Hooghe, L., Marks, G., &amp; Marks, G. W. (2001). </w:t>
      </w:r>
      <w:r w:rsidRPr="00B64C8D">
        <w:rPr>
          <w:rFonts w:ascii="Times New Roman" w:eastAsia="Times New Roman" w:hAnsi="Times New Roman" w:cs="Times New Roman"/>
          <w:i/>
          <w:iCs/>
          <w:color w:val="0E101A"/>
          <w:kern w:val="0"/>
          <w:lang w:eastAsia="nl-NL"/>
          <w14:ligatures w14:val="none"/>
        </w:rPr>
        <w:t>Multi-level governance and European integration</w:t>
      </w:r>
      <w:r w:rsidRPr="00B64C8D">
        <w:rPr>
          <w:rFonts w:ascii="Times New Roman" w:eastAsia="Times New Roman" w:hAnsi="Times New Roman" w:cs="Times New Roman"/>
          <w:color w:val="0E101A"/>
          <w:kern w:val="0"/>
          <w:lang w:eastAsia="nl-NL"/>
          <w14:ligatures w14:val="none"/>
        </w:rPr>
        <w:t>. Rowman &amp; Littlefield</w:t>
      </w:r>
      <w:r w:rsidR="00C1140D" w:rsidRPr="00B64C8D">
        <w:rPr>
          <w:rFonts w:ascii="Times New Roman" w:eastAsia="Times New Roman" w:hAnsi="Times New Roman" w:cs="Times New Roman"/>
          <w:color w:val="0E101A"/>
          <w:kern w:val="0"/>
          <w:lang w:eastAsia="nl-NL"/>
          <w14:ligatures w14:val="none"/>
        </w:rPr>
        <w:t>.</w:t>
      </w:r>
    </w:p>
    <w:p w14:paraId="68A43DC7" w14:textId="77777777" w:rsidR="00C1140D" w:rsidRPr="00B64C8D" w:rsidRDefault="00C1140D" w:rsidP="00B64C8D">
      <w:pPr>
        <w:spacing w:after="0" w:line="360" w:lineRule="auto"/>
        <w:rPr>
          <w:rFonts w:ascii="Times New Roman" w:eastAsia="Times New Roman" w:hAnsi="Times New Roman" w:cs="Times New Roman"/>
          <w:color w:val="0E101A"/>
          <w:kern w:val="0"/>
          <w:lang w:eastAsia="nl-NL"/>
          <w14:ligatures w14:val="none"/>
        </w:rPr>
      </w:pPr>
    </w:p>
    <w:p w14:paraId="6F6F3C54" w14:textId="196A548F" w:rsidR="00F45DDE" w:rsidRPr="00B64C8D" w:rsidRDefault="00C60F05" w:rsidP="00B64C8D">
      <w:pPr>
        <w:spacing w:line="360" w:lineRule="auto"/>
        <w:rPr>
          <w:rFonts w:ascii="Times New Roman" w:hAnsi="Times New Roman" w:cs="Times New Roman"/>
        </w:rPr>
      </w:pPr>
      <w:r w:rsidRPr="00B64C8D">
        <w:rPr>
          <w:rFonts w:ascii="Times New Roman" w:hAnsi="Times New Roman" w:cs="Times New Roman"/>
        </w:rPr>
        <w:t xml:space="preserve">Human Rights Watch. (2022). </w:t>
      </w:r>
      <w:r w:rsidRPr="00B64C8D">
        <w:rPr>
          <w:rFonts w:ascii="Times New Roman" w:hAnsi="Times New Roman" w:cs="Times New Roman"/>
          <w:i/>
          <w:iCs/>
        </w:rPr>
        <w:t xml:space="preserve">EU: Frontex Complicit in Abuse in Libya. </w:t>
      </w:r>
      <w:r w:rsidRPr="00B64C8D">
        <w:rPr>
          <w:rFonts w:ascii="Times New Roman" w:hAnsi="Times New Roman" w:cs="Times New Roman"/>
        </w:rPr>
        <w:t>Human Rights Watch</w:t>
      </w:r>
    </w:p>
    <w:p w14:paraId="3B860099" w14:textId="1F3AB71C" w:rsidR="00F45DDE" w:rsidRPr="00F45DDE"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lang w:val="de-DE"/>
        </w:rPr>
        <w:t xml:space="preserve">Jeandesboz, J., &amp; Pallister-Wilkins, P. (2016). </w:t>
      </w:r>
      <w:r w:rsidRPr="00B64C8D">
        <w:rPr>
          <w:rFonts w:ascii="Times New Roman" w:hAnsi="Times New Roman" w:cs="Times New Roman"/>
          <w:color w:val="222222"/>
          <w:shd w:val="clear" w:color="auto" w:fill="FFFFFF"/>
        </w:rPr>
        <w:t>Crisis, routine, consolidation: The politics of the Mediterranean migration crisis. </w:t>
      </w:r>
      <w:r w:rsidRPr="00B64C8D">
        <w:rPr>
          <w:rFonts w:ascii="Times New Roman" w:hAnsi="Times New Roman" w:cs="Times New Roman"/>
          <w:i/>
          <w:iCs/>
          <w:color w:val="222222"/>
          <w:shd w:val="clear" w:color="auto" w:fill="FFFFFF"/>
        </w:rPr>
        <w:t>Mediterranean politics</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21</w:t>
      </w:r>
      <w:r w:rsidRPr="00B64C8D">
        <w:rPr>
          <w:rFonts w:ascii="Times New Roman" w:hAnsi="Times New Roman" w:cs="Times New Roman"/>
          <w:color w:val="222222"/>
          <w:shd w:val="clear" w:color="auto" w:fill="FFFFFF"/>
        </w:rPr>
        <w:t>(2), 316-320.</w:t>
      </w:r>
    </w:p>
    <w:p w14:paraId="0BF127FB" w14:textId="77777777"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rPr>
        <w:t xml:space="preserve">Jones, </w:t>
      </w:r>
      <w:proofErr w:type="gramStart"/>
      <w:r w:rsidRPr="00B64C8D">
        <w:rPr>
          <w:rFonts w:ascii="Times New Roman" w:hAnsi="Times New Roman" w:cs="Times New Roman"/>
        </w:rPr>
        <w:t>C,.</w:t>
      </w:r>
      <w:proofErr w:type="gramEnd"/>
      <w:r w:rsidRPr="00B64C8D">
        <w:rPr>
          <w:rFonts w:ascii="Times New Roman" w:hAnsi="Times New Roman" w:cs="Times New Roman"/>
        </w:rPr>
        <w:t xml:space="preserve"> (2017) Market Forces: </w:t>
      </w:r>
      <w:r w:rsidRPr="00B64C8D">
        <w:rPr>
          <w:rFonts w:ascii="Times New Roman" w:hAnsi="Times New Roman" w:cs="Times New Roman"/>
          <w:i/>
          <w:iCs/>
        </w:rPr>
        <w:t xml:space="preserve">The development of the EU Security-Industrial Complex. </w:t>
      </w:r>
      <w:r w:rsidRPr="00B64C8D">
        <w:rPr>
          <w:rFonts w:ascii="Times New Roman" w:hAnsi="Times New Roman" w:cs="Times New Roman"/>
        </w:rPr>
        <w:t xml:space="preserve">TNI Europe. </w:t>
      </w:r>
      <w:r w:rsidRPr="00B64C8D">
        <w:rPr>
          <w:rFonts w:ascii="Times New Roman" w:hAnsi="Times New Roman" w:cs="Times New Roman"/>
          <w:i/>
          <w:iCs/>
        </w:rPr>
        <w:t xml:space="preserve"> </w:t>
      </w:r>
    </w:p>
    <w:p w14:paraId="3D9788FF" w14:textId="77777777" w:rsidR="00C60F05" w:rsidRPr="00B64C8D" w:rsidRDefault="00C60F05"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Kalkman, J. P. (2021). Frontex: A literature review. </w:t>
      </w:r>
      <w:r w:rsidRPr="00B64C8D">
        <w:rPr>
          <w:rFonts w:ascii="Times New Roman" w:eastAsia="Times New Roman" w:hAnsi="Times New Roman" w:cs="Times New Roman"/>
          <w:i/>
          <w:iCs/>
          <w:color w:val="0E101A"/>
          <w:kern w:val="0"/>
          <w:lang w:eastAsia="nl-NL"/>
          <w14:ligatures w14:val="none"/>
        </w:rPr>
        <w:t>International Migration</w:t>
      </w:r>
      <w:r w:rsidRPr="00B64C8D">
        <w:rPr>
          <w:rFonts w:ascii="Times New Roman" w:eastAsia="Times New Roman" w:hAnsi="Times New Roman" w:cs="Times New Roman"/>
          <w:color w:val="0E101A"/>
          <w:kern w:val="0"/>
          <w:lang w:eastAsia="nl-NL"/>
          <w14:ligatures w14:val="none"/>
        </w:rPr>
        <w:t>, </w:t>
      </w:r>
      <w:r w:rsidRPr="00B64C8D">
        <w:rPr>
          <w:rFonts w:ascii="Times New Roman" w:eastAsia="Times New Roman" w:hAnsi="Times New Roman" w:cs="Times New Roman"/>
          <w:i/>
          <w:iCs/>
          <w:color w:val="0E101A"/>
          <w:kern w:val="0"/>
          <w:lang w:eastAsia="nl-NL"/>
          <w14:ligatures w14:val="none"/>
        </w:rPr>
        <w:t>59</w:t>
      </w:r>
      <w:r w:rsidRPr="00B64C8D">
        <w:rPr>
          <w:rFonts w:ascii="Times New Roman" w:eastAsia="Times New Roman" w:hAnsi="Times New Roman" w:cs="Times New Roman"/>
          <w:color w:val="0E101A"/>
          <w:kern w:val="0"/>
          <w:lang w:eastAsia="nl-NL"/>
          <w14:ligatures w14:val="none"/>
        </w:rPr>
        <w:t>(1), 165-181.</w:t>
      </w:r>
    </w:p>
    <w:p w14:paraId="5D8B74B6" w14:textId="77777777" w:rsidR="005F0B7F" w:rsidRPr="00B64C8D" w:rsidRDefault="005F0B7F" w:rsidP="00B64C8D">
      <w:pPr>
        <w:spacing w:after="0" w:line="360" w:lineRule="auto"/>
        <w:rPr>
          <w:rFonts w:ascii="Times New Roman" w:hAnsi="Times New Roman" w:cs="Times New Roman"/>
          <w:color w:val="222222"/>
          <w:shd w:val="clear" w:color="auto" w:fill="FFFFFF"/>
        </w:rPr>
      </w:pPr>
    </w:p>
    <w:p w14:paraId="622B4A9B" w14:textId="3A3A0F19" w:rsidR="005F0B7F" w:rsidRDefault="005F0B7F" w:rsidP="00B64C8D">
      <w:pPr>
        <w:spacing w:after="0"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Lauwers, N. (2022). The Global Compact for Migration: A Case of De-</w:t>
      </w:r>
      <w:proofErr w:type="gramStart"/>
      <w:r w:rsidRPr="00B64C8D">
        <w:rPr>
          <w:rFonts w:ascii="Times New Roman" w:hAnsi="Times New Roman" w:cs="Times New Roman"/>
          <w:color w:val="222222"/>
          <w:shd w:val="clear" w:color="auto" w:fill="FFFFFF"/>
        </w:rPr>
        <w:t>Politicization?.</w:t>
      </w:r>
      <w:proofErr w:type="gramEnd"/>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European Foreign Affairs Review</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27</w:t>
      </w:r>
      <w:r w:rsidRPr="00B64C8D">
        <w:rPr>
          <w:rFonts w:ascii="Times New Roman" w:hAnsi="Times New Roman" w:cs="Times New Roman"/>
          <w:color w:val="222222"/>
          <w:shd w:val="clear" w:color="auto" w:fill="FFFFFF"/>
        </w:rPr>
        <w:t>(1).</w:t>
      </w:r>
    </w:p>
    <w:p w14:paraId="3E48D0BF" w14:textId="77777777" w:rsidR="00BB44CE" w:rsidRPr="00B64C8D" w:rsidRDefault="00BB44CE" w:rsidP="00F45DDE">
      <w:pPr>
        <w:spacing w:after="0" w:line="360" w:lineRule="auto"/>
        <w:ind w:firstLine="708"/>
        <w:rPr>
          <w:rFonts w:ascii="Times New Roman" w:hAnsi="Times New Roman" w:cs="Times New Roman"/>
          <w:color w:val="222222"/>
          <w:shd w:val="clear" w:color="auto" w:fill="FFFFFF"/>
        </w:rPr>
      </w:pPr>
    </w:p>
    <w:p w14:paraId="41023E98" w14:textId="48B53A65" w:rsidR="00C60F05" w:rsidRPr="00B64C8D" w:rsidRDefault="005A31CF" w:rsidP="00B64C8D">
      <w:pPr>
        <w:spacing w:after="0"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L</w:t>
      </w:r>
      <w:r w:rsidR="00BB44CE" w:rsidRPr="00B64C8D">
        <w:rPr>
          <w:rFonts w:ascii="Times New Roman" w:hAnsi="Times New Roman" w:cs="Times New Roman"/>
          <w:color w:val="222222"/>
          <w:shd w:val="clear" w:color="auto" w:fill="FFFFFF"/>
        </w:rPr>
        <w:t>é</w:t>
      </w:r>
      <w:r w:rsidRPr="00B64C8D">
        <w:rPr>
          <w:rFonts w:ascii="Times New Roman" w:hAnsi="Times New Roman" w:cs="Times New Roman"/>
          <w:color w:val="222222"/>
          <w:shd w:val="clear" w:color="auto" w:fill="FFFFFF"/>
        </w:rPr>
        <w:t>onard, S. (2009). The creation of FRONTEX and the politics of institutionalisation in the EU external borders policy. </w:t>
      </w:r>
      <w:r w:rsidRPr="00B64C8D">
        <w:rPr>
          <w:rFonts w:ascii="Times New Roman" w:hAnsi="Times New Roman" w:cs="Times New Roman"/>
          <w:i/>
          <w:iCs/>
          <w:color w:val="222222"/>
          <w:shd w:val="clear" w:color="auto" w:fill="FFFFFF"/>
        </w:rPr>
        <w:t>Journal of contemporary European research</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5</w:t>
      </w:r>
      <w:r w:rsidRPr="00B64C8D">
        <w:rPr>
          <w:rFonts w:ascii="Times New Roman" w:hAnsi="Times New Roman" w:cs="Times New Roman"/>
          <w:color w:val="222222"/>
          <w:shd w:val="clear" w:color="auto" w:fill="FFFFFF"/>
        </w:rPr>
        <w:t>(3), 371-388.</w:t>
      </w:r>
    </w:p>
    <w:p w14:paraId="21817232" w14:textId="77777777" w:rsidR="005F0B7F" w:rsidRPr="00B64C8D" w:rsidRDefault="005F0B7F" w:rsidP="00B64C8D">
      <w:pPr>
        <w:spacing w:after="0" w:line="360" w:lineRule="auto"/>
        <w:rPr>
          <w:rFonts w:ascii="Times New Roman" w:eastAsia="Times New Roman" w:hAnsi="Times New Roman" w:cs="Times New Roman"/>
          <w:color w:val="0E101A"/>
          <w:kern w:val="0"/>
          <w:lang w:eastAsia="nl-NL"/>
          <w14:ligatures w14:val="none"/>
        </w:rPr>
      </w:pPr>
    </w:p>
    <w:p w14:paraId="5D3E86A7" w14:textId="42C08E95" w:rsidR="00F45DDE"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L</w:t>
      </w:r>
      <w:r w:rsidR="00BB44CE" w:rsidRPr="00B64C8D">
        <w:rPr>
          <w:rFonts w:ascii="Times New Roman" w:hAnsi="Times New Roman" w:cs="Times New Roman"/>
          <w:color w:val="222222"/>
          <w:shd w:val="clear" w:color="auto" w:fill="FFFFFF"/>
        </w:rPr>
        <w:t>é</w:t>
      </w:r>
      <w:r w:rsidRPr="00B64C8D">
        <w:rPr>
          <w:rFonts w:ascii="Times New Roman" w:hAnsi="Times New Roman" w:cs="Times New Roman"/>
          <w:color w:val="222222"/>
          <w:shd w:val="clear" w:color="auto" w:fill="FFFFFF"/>
        </w:rPr>
        <w:t>onard, S. (2010). EU border security and migration into the European Union: FRONTEX and securitisation through practices. </w:t>
      </w:r>
      <w:r w:rsidRPr="00B64C8D">
        <w:rPr>
          <w:rFonts w:ascii="Times New Roman" w:hAnsi="Times New Roman" w:cs="Times New Roman"/>
          <w:i/>
          <w:iCs/>
          <w:color w:val="222222"/>
          <w:shd w:val="clear" w:color="auto" w:fill="FFFFFF"/>
        </w:rPr>
        <w:t>European security</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19</w:t>
      </w:r>
      <w:r w:rsidRPr="00B64C8D">
        <w:rPr>
          <w:rFonts w:ascii="Times New Roman" w:hAnsi="Times New Roman" w:cs="Times New Roman"/>
          <w:color w:val="222222"/>
          <w:shd w:val="clear" w:color="auto" w:fill="FFFFFF"/>
        </w:rPr>
        <w:t>(2), 231-254.</w:t>
      </w:r>
    </w:p>
    <w:p w14:paraId="177FB3DB" w14:textId="13877A69" w:rsidR="005C5842" w:rsidRPr="00B64C8D" w:rsidRDefault="00C60F05" w:rsidP="00130035">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Léonard, S., &amp; Kaunert, C. (2022). The securitisation of migration in the European Union: Frontex and its evolving security practices. </w:t>
      </w:r>
      <w:r w:rsidRPr="00B64C8D">
        <w:rPr>
          <w:rFonts w:ascii="Times New Roman" w:hAnsi="Times New Roman" w:cs="Times New Roman"/>
          <w:i/>
          <w:iCs/>
          <w:color w:val="222222"/>
          <w:shd w:val="clear" w:color="auto" w:fill="FFFFFF"/>
        </w:rPr>
        <w:t>Journal of Ethnic and Migration Studies</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48</w:t>
      </w:r>
      <w:r w:rsidRPr="00B64C8D">
        <w:rPr>
          <w:rFonts w:ascii="Times New Roman" w:hAnsi="Times New Roman" w:cs="Times New Roman"/>
          <w:color w:val="222222"/>
          <w:shd w:val="clear" w:color="auto" w:fill="FFFFFF"/>
        </w:rPr>
        <w:t>(6), 1417-1429.</w:t>
      </w:r>
    </w:p>
    <w:p w14:paraId="469E5772" w14:textId="17EFB1E5" w:rsidR="00C60F05" w:rsidRDefault="00C60F05"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Majone, G. (2001). Two logics of delegation: agency and fiduciary relations in EU governance. </w:t>
      </w:r>
      <w:r w:rsidRPr="00B64C8D">
        <w:rPr>
          <w:rFonts w:ascii="Times New Roman" w:eastAsia="Times New Roman" w:hAnsi="Times New Roman" w:cs="Times New Roman"/>
          <w:i/>
          <w:iCs/>
          <w:color w:val="0E101A"/>
          <w:kern w:val="0"/>
          <w:lang w:eastAsia="nl-NL"/>
          <w14:ligatures w14:val="none"/>
        </w:rPr>
        <w:t>European Union Politics</w:t>
      </w:r>
      <w:r w:rsidRPr="00B64C8D">
        <w:rPr>
          <w:rFonts w:ascii="Times New Roman" w:eastAsia="Times New Roman" w:hAnsi="Times New Roman" w:cs="Times New Roman"/>
          <w:color w:val="0E101A"/>
          <w:kern w:val="0"/>
          <w:lang w:eastAsia="nl-NL"/>
          <w14:ligatures w14:val="none"/>
        </w:rPr>
        <w:t>, </w:t>
      </w:r>
      <w:r w:rsidRPr="00B64C8D">
        <w:rPr>
          <w:rFonts w:ascii="Times New Roman" w:eastAsia="Times New Roman" w:hAnsi="Times New Roman" w:cs="Times New Roman"/>
          <w:i/>
          <w:iCs/>
          <w:color w:val="0E101A"/>
          <w:kern w:val="0"/>
          <w:lang w:eastAsia="nl-NL"/>
          <w14:ligatures w14:val="none"/>
        </w:rPr>
        <w:t>2</w:t>
      </w:r>
      <w:r w:rsidRPr="00B64C8D">
        <w:rPr>
          <w:rFonts w:ascii="Times New Roman" w:eastAsia="Times New Roman" w:hAnsi="Times New Roman" w:cs="Times New Roman"/>
          <w:color w:val="0E101A"/>
          <w:kern w:val="0"/>
          <w:lang w:eastAsia="nl-NL"/>
          <w14:ligatures w14:val="none"/>
        </w:rPr>
        <w:t>(1), 103-122.</w:t>
      </w:r>
    </w:p>
    <w:p w14:paraId="0EF63EB3" w14:textId="77777777" w:rsidR="00130035" w:rsidRPr="00B64C8D" w:rsidRDefault="00130035" w:rsidP="00B64C8D">
      <w:pPr>
        <w:spacing w:after="0" w:line="360" w:lineRule="auto"/>
        <w:rPr>
          <w:rFonts w:ascii="Times New Roman" w:eastAsia="Times New Roman" w:hAnsi="Times New Roman" w:cs="Times New Roman"/>
          <w:color w:val="0E101A"/>
          <w:kern w:val="0"/>
          <w:lang w:eastAsia="nl-NL"/>
          <w14:ligatures w14:val="none"/>
        </w:rPr>
      </w:pPr>
    </w:p>
    <w:p w14:paraId="438D8CF3" w14:textId="77777777" w:rsidR="00C60F05" w:rsidRPr="00B64C8D" w:rsidRDefault="00C60F05"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Marks, G. (1993). Structural Policy and Multilevel Governance in the EC. In A. Cafruny, &amp; G. Rosenthal (Eds.), The State of the European Community (Volume 2). Harlow: Longman.</w:t>
      </w:r>
    </w:p>
    <w:p w14:paraId="28652CA2" w14:textId="77777777" w:rsidR="00C60F05" w:rsidRDefault="00C60F05"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Marks, G., &amp; Hooghe, L. (2004). Contrasting visions of multi-level governance. </w:t>
      </w:r>
      <w:r w:rsidRPr="00B64C8D">
        <w:rPr>
          <w:rFonts w:ascii="Times New Roman" w:eastAsia="Times New Roman" w:hAnsi="Times New Roman" w:cs="Times New Roman"/>
          <w:i/>
          <w:iCs/>
          <w:color w:val="0E101A"/>
          <w:kern w:val="0"/>
          <w:lang w:eastAsia="nl-NL"/>
          <w14:ligatures w14:val="none"/>
        </w:rPr>
        <w:t>Multi-level governance</w:t>
      </w:r>
      <w:r w:rsidRPr="00B64C8D">
        <w:rPr>
          <w:rFonts w:ascii="Times New Roman" w:eastAsia="Times New Roman" w:hAnsi="Times New Roman" w:cs="Times New Roman"/>
          <w:color w:val="0E101A"/>
          <w:kern w:val="0"/>
          <w:lang w:eastAsia="nl-NL"/>
          <w14:ligatures w14:val="none"/>
        </w:rPr>
        <w:t>, 15-30.</w:t>
      </w:r>
    </w:p>
    <w:p w14:paraId="337ED4D6" w14:textId="77777777" w:rsidR="00F45DDE" w:rsidRPr="00B64C8D" w:rsidRDefault="00F45DDE" w:rsidP="00B64C8D">
      <w:pPr>
        <w:spacing w:after="0" w:line="360" w:lineRule="auto"/>
        <w:rPr>
          <w:rFonts w:ascii="Times New Roman" w:eastAsia="Times New Roman" w:hAnsi="Times New Roman" w:cs="Times New Roman"/>
          <w:color w:val="0E101A"/>
          <w:kern w:val="0"/>
          <w:lang w:eastAsia="nl-NL"/>
          <w14:ligatures w14:val="none"/>
        </w:rPr>
      </w:pPr>
    </w:p>
    <w:p w14:paraId="4C6DFAF9" w14:textId="77777777"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lang w:val="de-DE"/>
        </w:rPr>
        <w:t xml:space="preserve">McCann, </w:t>
      </w:r>
      <w:proofErr w:type="gramStart"/>
      <w:r w:rsidRPr="00B64C8D">
        <w:rPr>
          <w:rFonts w:ascii="Times New Roman" w:hAnsi="Times New Roman" w:cs="Times New Roman"/>
          <w:lang w:val="de-DE"/>
        </w:rPr>
        <w:t>K,.</w:t>
      </w:r>
      <w:proofErr w:type="gramEnd"/>
      <w:r w:rsidRPr="00B64C8D">
        <w:rPr>
          <w:rFonts w:ascii="Times New Roman" w:hAnsi="Times New Roman" w:cs="Times New Roman"/>
          <w:lang w:val="de-DE"/>
        </w:rPr>
        <w:t xml:space="preserve"> Sienkiewicz, </w:t>
      </w:r>
      <w:proofErr w:type="gramStart"/>
      <w:r w:rsidRPr="00B64C8D">
        <w:rPr>
          <w:rFonts w:ascii="Times New Roman" w:hAnsi="Times New Roman" w:cs="Times New Roman"/>
          <w:lang w:val="de-DE"/>
        </w:rPr>
        <w:t>M,.</w:t>
      </w:r>
      <w:proofErr w:type="gramEnd"/>
      <w:r w:rsidRPr="00B64C8D">
        <w:rPr>
          <w:rFonts w:ascii="Times New Roman" w:hAnsi="Times New Roman" w:cs="Times New Roman"/>
          <w:lang w:val="de-DE"/>
        </w:rPr>
        <w:t xml:space="preserve"> Zard, </w:t>
      </w:r>
      <w:proofErr w:type="gramStart"/>
      <w:r w:rsidRPr="00B64C8D">
        <w:rPr>
          <w:rFonts w:ascii="Times New Roman" w:hAnsi="Times New Roman" w:cs="Times New Roman"/>
          <w:lang w:val="de-DE"/>
        </w:rPr>
        <w:t>M,.</w:t>
      </w:r>
      <w:proofErr w:type="gramEnd"/>
      <w:r w:rsidRPr="00B64C8D">
        <w:rPr>
          <w:rFonts w:ascii="Times New Roman" w:hAnsi="Times New Roman" w:cs="Times New Roman"/>
          <w:lang w:val="de-DE"/>
        </w:rPr>
        <w:t xml:space="preserve"> </w:t>
      </w:r>
      <w:r w:rsidRPr="00B64C8D">
        <w:rPr>
          <w:rFonts w:ascii="Times New Roman" w:hAnsi="Times New Roman" w:cs="Times New Roman"/>
        </w:rPr>
        <w:t xml:space="preserve">(2023). </w:t>
      </w:r>
      <w:r w:rsidRPr="00B64C8D">
        <w:rPr>
          <w:rFonts w:ascii="Times New Roman" w:hAnsi="Times New Roman" w:cs="Times New Roman"/>
          <w:i/>
          <w:iCs/>
        </w:rPr>
        <w:t xml:space="preserve">The role of media narratives in shaping public opinion towards refugees: A comparative analysis. </w:t>
      </w:r>
      <w:r w:rsidRPr="00B64C8D">
        <w:rPr>
          <w:rFonts w:ascii="Times New Roman" w:hAnsi="Times New Roman" w:cs="Times New Roman"/>
        </w:rPr>
        <w:t>Migration Research Series</w:t>
      </w:r>
      <w:r w:rsidRPr="00B64C8D">
        <w:rPr>
          <w:rFonts w:ascii="Times New Roman" w:hAnsi="Times New Roman" w:cs="Times New Roman"/>
          <w:i/>
          <w:iCs/>
        </w:rPr>
        <w:t xml:space="preserve"> </w:t>
      </w:r>
    </w:p>
    <w:p w14:paraId="28C09E0D"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Neal, A. W. (2009). Securitization and risk at the EU border: The origins of FRONTEX. </w:t>
      </w:r>
      <w:r w:rsidRPr="00B64C8D">
        <w:rPr>
          <w:rFonts w:ascii="Times New Roman" w:hAnsi="Times New Roman" w:cs="Times New Roman"/>
          <w:i/>
          <w:iCs/>
          <w:color w:val="222222"/>
          <w:shd w:val="clear" w:color="auto" w:fill="FFFFFF"/>
        </w:rPr>
        <w:t>JCMS: Journal of common market studies</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47</w:t>
      </w:r>
      <w:r w:rsidRPr="00B64C8D">
        <w:rPr>
          <w:rFonts w:ascii="Times New Roman" w:hAnsi="Times New Roman" w:cs="Times New Roman"/>
          <w:color w:val="222222"/>
          <w:shd w:val="clear" w:color="auto" w:fill="FFFFFF"/>
        </w:rPr>
        <w:t>(2), 333-356.</w:t>
      </w:r>
    </w:p>
    <w:p w14:paraId="6B0A2001" w14:textId="65EA62DF" w:rsidR="003754BE" w:rsidRPr="00B64C8D" w:rsidRDefault="003754BE" w:rsidP="00B64C8D">
      <w:pPr>
        <w:tabs>
          <w:tab w:val="left" w:pos="6400"/>
        </w:tabs>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 xml:space="preserve">Nielsen, N., (2023) </w:t>
      </w:r>
      <w:r w:rsidRPr="00B64C8D">
        <w:rPr>
          <w:rFonts w:ascii="Times New Roman" w:hAnsi="Times New Roman" w:cs="Times New Roman"/>
          <w:i/>
          <w:iCs/>
          <w:color w:val="222222"/>
          <w:shd w:val="clear" w:color="auto" w:fill="FFFFFF"/>
        </w:rPr>
        <w:t>EU creating new incentive for illegal pushbacks.</w:t>
      </w:r>
      <w:r w:rsidRPr="00B64C8D">
        <w:rPr>
          <w:rFonts w:ascii="Times New Roman" w:hAnsi="Times New Roman" w:cs="Times New Roman"/>
          <w:color w:val="222222"/>
          <w:shd w:val="clear" w:color="auto" w:fill="FFFFFF"/>
        </w:rPr>
        <w:t xml:space="preserve"> EUobserver </w:t>
      </w:r>
    </w:p>
    <w:p w14:paraId="007C17D1" w14:textId="179FDDBB" w:rsidR="00C60F05" w:rsidRPr="00B64C8D" w:rsidRDefault="00C60F05" w:rsidP="00B64C8D">
      <w:pPr>
        <w:tabs>
          <w:tab w:val="left" w:pos="6400"/>
        </w:tabs>
        <w:spacing w:line="360" w:lineRule="auto"/>
        <w:rPr>
          <w:rFonts w:ascii="Times New Roman" w:hAnsi="Times New Roman" w:cs="Times New Roman"/>
          <w:i/>
          <w:iCs/>
          <w:color w:val="222222"/>
          <w:shd w:val="clear" w:color="auto" w:fill="FFFFFF"/>
        </w:rPr>
      </w:pPr>
      <w:r w:rsidRPr="00B64C8D">
        <w:rPr>
          <w:rFonts w:ascii="Times New Roman" w:hAnsi="Times New Roman" w:cs="Times New Roman"/>
          <w:color w:val="222222"/>
          <w:shd w:val="clear" w:color="auto" w:fill="FFFFFF"/>
        </w:rPr>
        <w:t xml:space="preserve">OLAF, (2022) Final report on the European Border and Coast Guard Afency (FRONTEX) </w:t>
      </w:r>
      <w:r w:rsidRPr="00B64C8D">
        <w:rPr>
          <w:rFonts w:ascii="Times New Roman" w:hAnsi="Times New Roman" w:cs="Times New Roman"/>
          <w:i/>
          <w:iCs/>
        </w:rPr>
        <w:t>OC/2021/0451/A1</w:t>
      </w:r>
      <w:r w:rsidRPr="00B64C8D">
        <w:rPr>
          <w:rFonts w:ascii="Times New Roman" w:hAnsi="Times New Roman" w:cs="Times New Roman"/>
        </w:rPr>
        <w:t xml:space="preserve"> </w:t>
      </w:r>
      <w:r w:rsidRPr="00B64C8D">
        <w:rPr>
          <w:rFonts w:ascii="Times New Roman" w:hAnsi="Times New Roman" w:cs="Times New Roman"/>
          <w:color w:val="222222"/>
          <w:shd w:val="clear" w:color="auto" w:fill="FFFFFF"/>
        </w:rPr>
        <w:t xml:space="preserve">version of </w:t>
      </w:r>
      <w:r w:rsidRPr="00B64C8D">
        <w:rPr>
          <w:rFonts w:ascii="Times New Roman" w:hAnsi="Times New Roman" w:cs="Times New Roman"/>
          <w:i/>
          <w:iCs/>
          <w:color w:val="222222"/>
          <w:shd w:val="clear" w:color="auto" w:fill="FFFFFF"/>
        </w:rPr>
        <w:t xml:space="preserve">Tineke Strik </w:t>
      </w:r>
      <w:hyperlink r:id="rId28" w:history="1">
        <w:r w:rsidRPr="00B64C8D">
          <w:rPr>
            <w:rStyle w:val="Hyperlink"/>
            <w:rFonts w:ascii="Times New Roman" w:hAnsi="Times New Roman" w:cs="Times New Roman"/>
            <w:i/>
            <w:iCs/>
            <w:shd w:val="clear" w:color="auto" w:fill="FFFFFF"/>
          </w:rPr>
          <w:t>https://groenlinks.nl/sites/groenlinks/files/2022-11/T.%20Strik%20-%20Final%20Report.pdf</w:t>
        </w:r>
      </w:hyperlink>
    </w:p>
    <w:p w14:paraId="33AA5E28" w14:textId="77777777"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color w:val="222222"/>
          <w:shd w:val="clear" w:color="auto" w:fill="FFFFFF"/>
        </w:rPr>
        <w:t>Ostrom, E. (2010). Beyond markets and states: polycentric governance of complex economic systems. </w:t>
      </w:r>
      <w:r w:rsidRPr="00B64C8D">
        <w:rPr>
          <w:rFonts w:ascii="Times New Roman" w:hAnsi="Times New Roman" w:cs="Times New Roman"/>
          <w:i/>
          <w:iCs/>
          <w:color w:val="222222"/>
          <w:shd w:val="clear" w:color="auto" w:fill="FFFFFF"/>
        </w:rPr>
        <w:t>American economic review</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100</w:t>
      </w:r>
      <w:r w:rsidRPr="00B64C8D">
        <w:rPr>
          <w:rFonts w:ascii="Times New Roman" w:hAnsi="Times New Roman" w:cs="Times New Roman"/>
          <w:color w:val="222222"/>
          <w:shd w:val="clear" w:color="auto" w:fill="FFFFFF"/>
        </w:rPr>
        <w:t>(3), 641-672.</w:t>
      </w:r>
    </w:p>
    <w:p w14:paraId="29EAE4F9" w14:textId="77777777" w:rsidR="00C60F05" w:rsidRDefault="00C60F05"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Ostrom, E., &amp; Walker, J. (1997). Neither markets nor states: Linking transformation processes in collective action arenas. In D. C. Mueller (Ed.), Perspectives on public choice: A handbook (pp. 35-72). Cambridge University Press.</w:t>
      </w:r>
    </w:p>
    <w:p w14:paraId="23A7A099" w14:textId="77777777" w:rsidR="00130035" w:rsidRPr="00B64C8D" w:rsidRDefault="00130035" w:rsidP="00B64C8D">
      <w:pPr>
        <w:spacing w:after="0" w:line="360" w:lineRule="auto"/>
        <w:rPr>
          <w:rFonts w:ascii="Times New Roman" w:eastAsia="Times New Roman" w:hAnsi="Times New Roman" w:cs="Times New Roman"/>
          <w:color w:val="0E101A"/>
          <w:kern w:val="0"/>
          <w:lang w:eastAsia="nl-NL"/>
          <w14:ligatures w14:val="none"/>
        </w:rPr>
      </w:pPr>
    </w:p>
    <w:p w14:paraId="335EEB87"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lastRenderedPageBreak/>
        <w:t>Panebianco, S. (2016). The Mediterranean migration crisis: border control versus humanitarian approaches. </w:t>
      </w:r>
      <w:r w:rsidRPr="00B64C8D">
        <w:rPr>
          <w:rFonts w:ascii="Times New Roman" w:hAnsi="Times New Roman" w:cs="Times New Roman"/>
          <w:i/>
          <w:iCs/>
          <w:color w:val="222222"/>
          <w:shd w:val="clear" w:color="auto" w:fill="FFFFFF"/>
        </w:rPr>
        <w:t>Global Affairs</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2</w:t>
      </w:r>
      <w:r w:rsidRPr="00B64C8D">
        <w:rPr>
          <w:rFonts w:ascii="Times New Roman" w:hAnsi="Times New Roman" w:cs="Times New Roman"/>
          <w:color w:val="222222"/>
          <w:shd w:val="clear" w:color="auto" w:fill="FFFFFF"/>
        </w:rPr>
        <w:t>(4), 441-445.</w:t>
      </w:r>
    </w:p>
    <w:p w14:paraId="5B7E6BAD"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Papada, E., Papoutsi, A., Painter, J., &amp; Vradis, A. (2020). Pop-up governance: Transforming the management of migrant populations through humanitarian and security practices in Lesbos, Greece, 2015–2017. </w:t>
      </w:r>
      <w:r w:rsidRPr="00B64C8D">
        <w:rPr>
          <w:rFonts w:ascii="Times New Roman" w:hAnsi="Times New Roman" w:cs="Times New Roman"/>
          <w:i/>
          <w:iCs/>
          <w:color w:val="222222"/>
          <w:shd w:val="clear" w:color="auto" w:fill="FFFFFF"/>
        </w:rPr>
        <w:t>Environment and Planning D: Society and Space</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38</w:t>
      </w:r>
      <w:r w:rsidRPr="00B64C8D">
        <w:rPr>
          <w:rFonts w:ascii="Times New Roman" w:hAnsi="Times New Roman" w:cs="Times New Roman"/>
          <w:color w:val="222222"/>
          <w:shd w:val="clear" w:color="auto" w:fill="FFFFFF"/>
        </w:rPr>
        <w:t>(6), 1028-1045.</w:t>
      </w:r>
    </w:p>
    <w:p w14:paraId="3C2B1854" w14:textId="77777777"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color w:val="222222"/>
          <w:shd w:val="clear" w:color="auto" w:fill="FFFFFF"/>
        </w:rPr>
        <w:t>Perkowski, N., Stierl, M., &amp; Burridge, A. (2023). The evolution of EUropean border governance through crisis: Frontex and the interplay of protracted and acute crisis narratives. </w:t>
      </w:r>
      <w:r w:rsidRPr="00B64C8D">
        <w:rPr>
          <w:rFonts w:ascii="Times New Roman" w:hAnsi="Times New Roman" w:cs="Times New Roman"/>
          <w:i/>
          <w:iCs/>
          <w:color w:val="222222"/>
          <w:shd w:val="clear" w:color="auto" w:fill="FFFFFF"/>
        </w:rPr>
        <w:t>Environment and Planning D: Society and Space</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41</w:t>
      </w:r>
      <w:r w:rsidRPr="00B64C8D">
        <w:rPr>
          <w:rFonts w:ascii="Times New Roman" w:hAnsi="Times New Roman" w:cs="Times New Roman"/>
          <w:color w:val="222222"/>
          <w:shd w:val="clear" w:color="auto" w:fill="FFFFFF"/>
        </w:rPr>
        <w:t>(1), 110-129.</w:t>
      </w:r>
    </w:p>
    <w:p w14:paraId="5C5130BF" w14:textId="77777777"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rPr>
        <w:t xml:space="preserve">Pineda, M, &amp; Rego, </w:t>
      </w:r>
      <w:proofErr w:type="gramStart"/>
      <w:r w:rsidRPr="00B64C8D">
        <w:rPr>
          <w:rFonts w:ascii="Times New Roman" w:hAnsi="Times New Roman" w:cs="Times New Roman"/>
        </w:rPr>
        <w:t>S,.</w:t>
      </w:r>
      <w:proofErr w:type="gramEnd"/>
      <w:r w:rsidRPr="00B64C8D">
        <w:rPr>
          <w:rFonts w:ascii="Times New Roman" w:hAnsi="Times New Roman" w:cs="Times New Roman"/>
        </w:rPr>
        <w:t xml:space="preserve"> (2020) </w:t>
      </w:r>
      <w:r w:rsidRPr="00B64C8D">
        <w:rPr>
          <w:rFonts w:ascii="Times New Roman" w:hAnsi="Times New Roman" w:cs="Times New Roman"/>
          <w:i/>
          <w:iCs/>
        </w:rPr>
        <w:t xml:space="preserve">Purchasing Heron drones from Israeli military companies to enable Frontex and the European Maritime Safety Agency to control borders. </w:t>
      </w:r>
      <w:r w:rsidRPr="00B64C8D">
        <w:rPr>
          <w:rFonts w:ascii="Times New Roman" w:hAnsi="Times New Roman" w:cs="Times New Roman"/>
        </w:rPr>
        <w:t xml:space="preserve">Parliamentary questions. </w:t>
      </w:r>
      <w:r w:rsidRPr="00B64C8D">
        <w:rPr>
          <w:rFonts w:ascii="Times New Roman" w:hAnsi="Times New Roman" w:cs="Times New Roman"/>
          <w:color w:val="1E1E1F"/>
          <w:shd w:val="clear" w:color="auto" w:fill="FAFAFA"/>
        </w:rPr>
        <w:t xml:space="preserve">E-002861/2020 </w:t>
      </w:r>
      <w:hyperlink r:id="rId29" w:history="1">
        <w:r w:rsidRPr="00B64C8D">
          <w:rPr>
            <w:rStyle w:val="Hyperlink"/>
            <w:rFonts w:ascii="Times New Roman" w:hAnsi="Times New Roman" w:cs="Times New Roman"/>
            <w:shd w:val="clear" w:color="auto" w:fill="FAFAFA"/>
          </w:rPr>
          <w:t>https://www.europarl.europa.eu/doceo/document/E-9-2020-002861_EN.html</w:t>
        </w:r>
      </w:hyperlink>
      <w:r w:rsidRPr="00B64C8D">
        <w:rPr>
          <w:rFonts w:ascii="Times New Roman" w:hAnsi="Times New Roman" w:cs="Times New Roman"/>
        </w:rPr>
        <w:t xml:space="preserve"> </w:t>
      </w:r>
    </w:p>
    <w:p w14:paraId="31C7EE3F"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lang w:val="nl-NL"/>
        </w:rPr>
        <w:t xml:space="preserve">Pirro, A. L., Taggart, P., &amp; Van Kessel, S. (2018). </w:t>
      </w:r>
      <w:r w:rsidRPr="00B64C8D">
        <w:rPr>
          <w:rFonts w:ascii="Times New Roman" w:hAnsi="Times New Roman" w:cs="Times New Roman"/>
          <w:color w:val="222222"/>
          <w:shd w:val="clear" w:color="auto" w:fill="FFFFFF"/>
        </w:rPr>
        <w:t>The populist politics of Euroscepticism in times of crisis: Comparative conclusions. </w:t>
      </w:r>
      <w:r w:rsidRPr="00B64C8D">
        <w:rPr>
          <w:rFonts w:ascii="Times New Roman" w:hAnsi="Times New Roman" w:cs="Times New Roman"/>
          <w:i/>
          <w:iCs/>
          <w:color w:val="222222"/>
          <w:shd w:val="clear" w:color="auto" w:fill="FFFFFF"/>
        </w:rPr>
        <w:t>Politics</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38</w:t>
      </w:r>
      <w:r w:rsidRPr="00B64C8D">
        <w:rPr>
          <w:rFonts w:ascii="Times New Roman" w:hAnsi="Times New Roman" w:cs="Times New Roman"/>
          <w:color w:val="222222"/>
          <w:shd w:val="clear" w:color="auto" w:fill="FFFFFF"/>
        </w:rPr>
        <w:t>(3), 378-390.</w:t>
      </w:r>
    </w:p>
    <w:p w14:paraId="5E0BBF13" w14:textId="77777777" w:rsidR="00C60F05" w:rsidRPr="00B64C8D" w:rsidRDefault="00C60F05"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Radaelli, C. M. (2017). Technocracy and European Union public policy making. In </w:t>
      </w:r>
      <w:r w:rsidRPr="00B64C8D">
        <w:rPr>
          <w:rFonts w:ascii="Times New Roman" w:eastAsia="Times New Roman" w:hAnsi="Times New Roman" w:cs="Times New Roman"/>
          <w:i/>
          <w:iCs/>
          <w:color w:val="0E101A"/>
          <w:kern w:val="0"/>
          <w:lang w:eastAsia="nl-NL"/>
          <w14:ligatures w14:val="none"/>
        </w:rPr>
        <w:t>Technocracy in the European Union</w:t>
      </w:r>
      <w:r w:rsidRPr="00B64C8D">
        <w:rPr>
          <w:rFonts w:ascii="Times New Roman" w:eastAsia="Times New Roman" w:hAnsi="Times New Roman" w:cs="Times New Roman"/>
          <w:color w:val="0E101A"/>
          <w:kern w:val="0"/>
          <w:lang w:eastAsia="nl-NL"/>
          <w14:ligatures w14:val="none"/>
        </w:rPr>
        <w:t> (pp. 30-52). Routledge.</w:t>
      </w:r>
    </w:p>
    <w:p w14:paraId="76798D6B" w14:textId="77777777" w:rsidR="005F0B7F" w:rsidRPr="00B64C8D" w:rsidRDefault="005F0B7F" w:rsidP="00B64C8D">
      <w:pPr>
        <w:spacing w:after="0" w:line="360" w:lineRule="auto"/>
        <w:rPr>
          <w:rFonts w:ascii="Times New Roman" w:eastAsia="Times New Roman" w:hAnsi="Times New Roman" w:cs="Times New Roman"/>
          <w:color w:val="0E101A"/>
          <w:kern w:val="0"/>
          <w:lang w:eastAsia="nl-NL"/>
          <w14:ligatures w14:val="none"/>
        </w:rPr>
      </w:pPr>
    </w:p>
    <w:p w14:paraId="2633C53B" w14:textId="322CB6C3" w:rsidR="005F0B7F" w:rsidRPr="00B64C8D" w:rsidRDefault="005F0B7F"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hAnsi="Times New Roman" w:cs="Times New Roman"/>
          <w:color w:val="222222"/>
          <w:shd w:val="clear" w:color="auto" w:fill="FFFFFF"/>
        </w:rPr>
        <w:t>Remling, E. (2018). Depoliticizing adaptation: A critical analysis of EU climate adaptation policy. </w:t>
      </w:r>
      <w:r w:rsidRPr="00B64C8D">
        <w:rPr>
          <w:rFonts w:ascii="Times New Roman" w:hAnsi="Times New Roman" w:cs="Times New Roman"/>
          <w:i/>
          <w:iCs/>
          <w:color w:val="222222"/>
          <w:shd w:val="clear" w:color="auto" w:fill="FFFFFF"/>
        </w:rPr>
        <w:t>Environmental Politics</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27</w:t>
      </w:r>
      <w:r w:rsidRPr="00B64C8D">
        <w:rPr>
          <w:rFonts w:ascii="Times New Roman" w:hAnsi="Times New Roman" w:cs="Times New Roman"/>
          <w:color w:val="222222"/>
          <w:shd w:val="clear" w:color="auto" w:fill="FFFFFF"/>
        </w:rPr>
        <w:t>(3), 477-497.</w:t>
      </w:r>
    </w:p>
    <w:p w14:paraId="53A2D248" w14:textId="77777777" w:rsidR="00C60F05" w:rsidRPr="00B64C8D" w:rsidRDefault="00C60F05" w:rsidP="00B64C8D">
      <w:pPr>
        <w:spacing w:after="0" w:line="360" w:lineRule="auto"/>
        <w:rPr>
          <w:rFonts w:ascii="Times New Roman" w:eastAsia="Times New Roman" w:hAnsi="Times New Roman" w:cs="Times New Roman"/>
          <w:color w:val="0E101A"/>
          <w:kern w:val="0"/>
          <w:lang w:eastAsia="nl-NL"/>
          <w14:ligatures w14:val="none"/>
        </w:rPr>
      </w:pPr>
    </w:p>
    <w:p w14:paraId="4D111751"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 xml:space="preserve">Rijpma, J. J. (2010). Frontex: successful blame shifting of the Member </w:t>
      </w:r>
      <w:proofErr w:type="gramStart"/>
      <w:r w:rsidRPr="00B64C8D">
        <w:rPr>
          <w:rFonts w:ascii="Times New Roman" w:hAnsi="Times New Roman" w:cs="Times New Roman"/>
          <w:color w:val="222222"/>
          <w:shd w:val="clear" w:color="auto" w:fill="FFFFFF"/>
        </w:rPr>
        <w:t>States?.</w:t>
      </w:r>
      <w:proofErr w:type="gramEnd"/>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Elcano Newsletter</w:t>
      </w:r>
      <w:r w:rsidRPr="00B64C8D">
        <w:rPr>
          <w:rFonts w:ascii="Times New Roman" w:hAnsi="Times New Roman" w:cs="Times New Roman"/>
          <w:color w:val="222222"/>
          <w:shd w:val="clear" w:color="auto" w:fill="FFFFFF"/>
        </w:rPr>
        <w:t>, (66), 6.</w:t>
      </w:r>
    </w:p>
    <w:p w14:paraId="23B86AC6" w14:textId="77777777" w:rsidR="00C60F05" w:rsidRPr="00B64C8D" w:rsidRDefault="00C60F05"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Rimkutė, D. (2020). Building organizational reputation in the European regulatory state: An analysis of EU agencies' communications. </w:t>
      </w:r>
      <w:r w:rsidRPr="00B64C8D">
        <w:rPr>
          <w:rFonts w:ascii="Times New Roman" w:eastAsia="Times New Roman" w:hAnsi="Times New Roman" w:cs="Times New Roman"/>
          <w:i/>
          <w:iCs/>
          <w:color w:val="0E101A"/>
          <w:kern w:val="0"/>
          <w:lang w:eastAsia="nl-NL"/>
          <w14:ligatures w14:val="none"/>
        </w:rPr>
        <w:t>Governance</w:t>
      </w:r>
      <w:r w:rsidRPr="00B64C8D">
        <w:rPr>
          <w:rFonts w:ascii="Times New Roman" w:eastAsia="Times New Roman" w:hAnsi="Times New Roman" w:cs="Times New Roman"/>
          <w:color w:val="0E101A"/>
          <w:kern w:val="0"/>
          <w:lang w:eastAsia="nl-NL"/>
          <w14:ligatures w14:val="none"/>
        </w:rPr>
        <w:t>, </w:t>
      </w:r>
      <w:r w:rsidRPr="00B64C8D">
        <w:rPr>
          <w:rFonts w:ascii="Times New Roman" w:eastAsia="Times New Roman" w:hAnsi="Times New Roman" w:cs="Times New Roman"/>
          <w:i/>
          <w:iCs/>
          <w:color w:val="0E101A"/>
          <w:kern w:val="0"/>
          <w:lang w:eastAsia="nl-NL"/>
          <w14:ligatures w14:val="none"/>
        </w:rPr>
        <w:t>33</w:t>
      </w:r>
      <w:r w:rsidRPr="00B64C8D">
        <w:rPr>
          <w:rFonts w:ascii="Times New Roman" w:eastAsia="Times New Roman" w:hAnsi="Times New Roman" w:cs="Times New Roman"/>
          <w:color w:val="0E101A"/>
          <w:kern w:val="0"/>
          <w:lang w:eastAsia="nl-NL"/>
          <w14:ligatures w14:val="none"/>
        </w:rPr>
        <w:t>(2), 385-406.</w:t>
      </w:r>
    </w:p>
    <w:p w14:paraId="636AA206" w14:textId="77777777" w:rsidR="00684C57" w:rsidRPr="00B64C8D" w:rsidRDefault="00684C57" w:rsidP="00B64C8D">
      <w:pPr>
        <w:spacing w:after="0" w:line="360" w:lineRule="auto"/>
        <w:rPr>
          <w:rFonts w:ascii="Times New Roman" w:hAnsi="Times New Roman" w:cs="Times New Roman"/>
          <w:color w:val="222222"/>
          <w:shd w:val="clear" w:color="auto" w:fill="FFFFFF"/>
        </w:rPr>
      </w:pPr>
    </w:p>
    <w:p w14:paraId="2492B356" w14:textId="2768329E" w:rsidR="00C60F05" w:rsidRPr="00B64C8D" w:rsidRDefault="00684C57"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hAnsi="Times New Roman" w:cs="Times New Roman"/>
          <w:color w:val="222222"/>
          <w:shd w:val="clear" w:color="auto" w:fill="FFFFFF"/>
        </w:rPr>
        <w:t>Ryan, R. M., Deci, E. L., Grolnick, W. S., &amp; La Guardia, J. G. (2015). The significance of autonomy and autonomy support in psychological development and psychopathology. </w:t>
      </w:r>
      <w:r w:rsidRPr="00B64C8D">
        <w:rPr>
          <w:rFonts w:ascii="Times New Roman" w:hAnsi="Times New Roman" w:cs="Times New Roman"/>
          <w:i/>
          <w:iCs/>
          <w:color w:val="222222"/>
          <w:shd w:val="clear" w:color="auto" w:fill="FFFFFF"/>
        </w:rPr>
        <w:t>Developmental psychopathology: Volume one: Theory and method</w:t>
      </w:r>
      <w:r w:rsidRPr="00B64C8D">
        <w:rPr>
          <w:rFonts w:ascii="Times New Roman" w:hAnsi="Times New Roman" w:cs="Times New Roman"/>
          <w:color w:val="222222"/>
          <w:shd w:val="clear" w:color="auto" w:fill="FFFFFF"/>
        </w:rPr>
        <w:t>, 795-849.</w:t>
      </w:r>
    </w:p>
    <w:p w14:paraId="6E27A913" w14:textId="77777777" w:rsidR="00C60F05" w:rsidRPr="00B64C8D" w:rsidRDefault="00C60F05" w:rsidP="00B64C8D">
      <w:pPr>
        <w:spacing w:after="0" w:line="360" w:lineRule="auto"/>
        <w:rPr>
          <w:rFonts w:ascii="Times New Roman" w:eastAsia="Times New Roman" w:hAnsi="Times New Roman" w:cs="Times New Roman"/>
          <w:color w:val="0E101A"/>
          <w:kern w:val="0"/>
          <w:lang w:eastAsia="nl-NL"/>
          <w14:ligatures w14:val="none"/>
        </w:rPr>
      </w:pPr>
    </w:p>
    <w:p w14:paraId="0F683943"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Sabel, C. F., &amp; Zeitlin, J. (2007). Learning from difference: the new architecture of experimentalist governance in the European Union.</w:t>
      </w:r>
    </w:p>
    <w:p w14:paraId="2C697703" w14:textId="68CFE60E" w:rsidR="00C60F05" w:rsidRPr="00B64C8D" w:rsidRDefault="00C60F05"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Schimmelfennig, F. (2020). Politicization management in the European Union. </w:t>
      </w:r>
      <w:r w:rsidRPr="00B64C8D">
        <w:rPr>
          <w:rFonts w:ascii="Times New Roman" w:eastAsia="Times New Roman" w:hAnsi="Times New Roman" w:cs="Times New Roman"/>
          <w:i/>
          <w:iCs/>
          <w:color w:val="0E101A"/>
          <w:kern w:val="0"/>
          <w:lang w:eastAsia="nl-NL"/>
          <w14:ligatures w14:val="none"/>
        </w:rPr>
        <w:t>Journal of European Public Policy</w:t>
      </w:r>
      <w:r w:rsidRPr="00B64C8D">
        <w:rPr>
          <w:rFonts w:ascii="Times New Roman" w:eastAsia="Times New Roman" w:hAnsi="Times New Roman" w:cs="Times New Roman"/>
          <w:color w:val="0E101A"/>
          <w:kern w:val="0"/>
          <w:lang w:eastAsia="nl-NL"/>
          <w14:ligatures w14:val="none"/>
        </w:rPr>
        <w:t>, </w:t>
      </w:r>
      <w:r w:rsidRPr="00B64C8D">
        <w:rPr>
          <w:rFonts w:ascii="Times New Roman" w:eastAsia="Times New Roman" w:hAnsi="Times New Roman" w:cs="Times New Roman"/>
          <w:i/>
          <w:iCs/>
          <w:color w:val="0E101A"/>
          <w:kern w:val="0"/>
          <w:lang w:eastAsia="nl-NL"/>
          <w14:ligatures w14:val="none"/>
        </w:rPr>
        <w:t>27</w:t>
      </w:r>
      <w:r w:rsidRPr="00B64C8D">
        <w:rPr>
          <w:rFonts w:ascii="Times New Roman" w:eastAsia="Times New Roman" w:hAnsi="Times New Roman" w:cs="Times New Roman"/>
          <w:color w:val="0E101A"/>
          <w:kern w:val="0"/>
          <w:lang w:eastAsia="nl-NL"/>
          <w14:ligatures w14:val="none"/>
        </w:rPr>
        <w:t>(3), 342-361.</w:t>
      </w:r>
    </w:p>
    <w:p w14:paraId="0B6580D2" w14:textId="77777777" w:rsidR="00C60F05" w:rsidRPr="00B64C8D" w:rsidRDefault="00C60F05" w:rsidP="00B64C8D">
      <w:pPr>
        <w:spacing w:after="0" w:line="360" w:lineRule="auto"/>
        <w:rPr>
          <w:rFonts w:ascii="Times New Roman" w:eastAsia="Times New Roman" w:hAnsi="Times New Roman" w:cs="Times New Roman"/>
          <w:color w:val="0E101A"/>
          <w:kern w:val="0"/>
          <w:lang w:eastAsia="nl-NL"/>
          <w14:ligatures w14:val="none"/>
        </w:rPr>
      </w:pPr>
    </w:p>
    <w:p w14:paraId="6507865A" w14:textId="1A667872" w:rsidR="00C60F05" w:rsidRPr="00B64C8D" w:rsidRDefault="00C60F05"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lastRenderedPageBreak/>
        <w:t xml:space="preserve">Schmidt, V. A. (2013). Democracy and legitimacy in the European Union revisited: Input, </w:t>
      </w:r>
      <w:r w:rsidR="001B2B84" w:rsidRPr="00B64C8D">
        <w:rPr>
          <w:rFonts w:ascii="Times New Roman" w:eastAsia="Times New Roman" w:hAnsi="Times New Roman" w:cs="Times New Roman"/>
          <w:color w:val="0E101A"/>
          <w:kern w:val="0"/>
          <w:lang w:eastAsia="nl-NL"/>
          <w14:ligatures w14:val="none"/>
        </w:rPr>
        <w:t>output,</w:t>
      </w:r>
      <w:r w:rsidRPr="00B64C8D">
        <w:rPr>
          <w:rFonts w:ascii="Times New Roman" w:eastAsia="Times New Roman" w:hAnsi="Times New Roman" w:cs="Times New Roman"/>
          <w:color w:val="0E101A"/>
          <w:kern w:val="0"/>
          <w:lang w:eastAsia="nl-NL"/>
          <w14:ligatures w14:val="none"/>
        </w:rPr>
        <w:t xml:space="preserve"> and ‘throughput’. </w:t>
      </w:r>
      <w:r w:rsidRPr="00B64C8D">
        <w:rPr>
          <w:rFonts w:ascii="Times New Roman" w:eastAsia="Times New Roman" w:hAnsi="Times New Roman" w:cs="Times New Roman"/>
          <w:i/>
          <w:iCs/>
          <w:color w:val="0E101A"/>
          <w:kern w:val="0"/>
          <w:lang w:eastAsia="nl-NL"/>
          <w14:ligatures w14:val="none"/>
        </w:rPr>
        <w:t>Political studies</w:t>
      </w:r>
      <w:r w:rsidRPr="00B64C8D">
        <w:rPr>
          <w:rFonts w:ascii="Times New Roman" w:eastAsia="Times New Roman" w:hAnsi="Times New Roman" w:cs="Times New Roman"/>
          <w:color w:val="0E101A"/>
          <w:kern w:val="0"/>
          <w:lang w:eastAsia="nl-NL"/>
          <w14:ligatures w14:val="none"/>
        </w:rPr>
        <w:t>, </w:t>
      </w:r>
      <w:r w:rsidRPr="00B64C8D">
        <w:rPr>
          <w:rFonts w:ascii="Times New Roman" w:eastAsia="Times New Roman" w:hAnsi="Times New Roman" w:cs="Times New Roman"/>
          <w:i/>
          <w:iCs/>
          <w:color w:val="0E101A"/>
          <w:kern w:val="0"/>
          <w:lang w:eastAsia="nl-NL"/>
          <w14:ligatures w14:val="none"/>
        </w:rPr>
        <w:t>61</w:t>
      </w:r>
      <w:r w:rsidRPr="00B64C8D">
        <w:rPr>
          <w:rFonts w:ascii="Times New Roman" w:eastAsia="Times New Roman" w:hAnsi="Times New Roman" w:cs="Times New Roman"/>
          <w:color w:val="0E101A"/>
          <w:kern w:val="0"/>
          <w:lang w:eastAsia="nl-NL"/>
          <w14:ligatures w14:val="none"/>
        </w:rPr>
        <w:t>(1), 2-22.</w:t>
      </w:r>
    </w:p>
    <w:p w14:paraId="19C8446D" w14:textId="77777777" w:rsidR="00C60F05" w:rsidRPr="00B64C8D" w:rsidRDefault="00C60F05" w:rsidP="00B64C8D">
      <w:pPr>
        <w:spacing w:after="0" w:line="360" w:lineRule="auto"/>
        <w:rPr>
          <w:rFonts w:ascii="Times New Roman" w:eastAsia="Times New Roman" w:hAnsi="Times New Roman" w:cs="Times New Roman"/>
          <w:color w:val="0E101A"/>
          <w:kern w:val="0"/>
          <w:lang w:eastAsia="nl-NL"/>
          <w14:ligatures w14:val="none"/>
        </w:rPr>
      </w:pPr>
    </w:p>
    <w:p w14:paraId="6CBA29D9" w14:textId="77777777" w:rsidR="00C60F05" w:rsidRPr="00B64C8D" w:rsidRDefault="00C60F05" w:rsidP="00B64C8D">
      <w:pPr>
        <w:spacing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 xml:space="preserve">Scipioni, M. (2018). De Novo Bodies and EU Integration: What is the Story behind EU Agencies' </w:t>
      </w:r>
      <w:proofErr w:type="gramStart"/>
      <w:r w:rsidRPr="00B64C8D">
        <w:rPr>
          <w:rFonts w:ascii="Times New Roman" w:hAnsi="Times New Roman" w:cs="Times New Roman"/>
          <w:color w:val="222222"/>
          <w:shd w:val="clear" w:color="auto" w:fill="FFFFFF"/>
        </w:rPr>
        <w:t>Expansion?.</w:t>
      </w:r>
      <w:proofErr w:type="gramEnd"/>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JCMS: Journal of Common Market Studies</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56</w:t>
      </w:r>
      <w:r w:rsidRPr="00B64C8D">
        <w:rPr>
          <w:rFonts w:ascii="Times New Roman" w:hAnsi="Times New Roman" w:cs="Times New Roman"/>
          <w:color w:val="222222"/>
          <w:shd w:val="clear" w:color="auto" w:fill="FFFFFF"/>
        </w:rPr>
        <w:t>(4), 768-784.</w:t>
      </w:r>
    </w:p>
    <w:p w14:paraId="4E233B50" w14:textId="50E9A0D9" w:rsidR="00C60F05" w:rsidRPr="00B64C8D" w:rsidRDefault="00C60F05" w:rsidP="00B64C8D">
      <w:pPr>
        <w:spacing w:line="360" w:lineRule="auto"/>
        <w:rPr>
          <w:rFonts w:ascii="Times New Roman" w:hAnsi="Times New Roman" w:cs="Times New Roman"/>
          <w:shd w:val="clear" w:color="auto" w:fill="FFFFFF"/>
        </w:rPr>
      </w:pPr>
      <w:r w:rsidRPr="00B64C8D">
        <w:rPr>
          <w:rFonts w:ascii="Times New Roman" w:hAnsi="Times New Roman" w:cs="Times New Roman"/>
          <w:color w:val="222222"/>
          <w:shd w:val="clear" w:color="auto" w:fill="FFFFFF"/>
        </w:rPr>
        <w:t xml:space="preserve">Sleiman, </w:t>
      </w:r>
      <w:proofErr w:type="gramStart"/>
      <w:r w:rsidRPr="00B64C8D">
        <w:rPr>
          <w:rFonts w:ascii="Times New Roman" w:hAnsi="Times New Roman" w:cs="Times New Roman"/>
          <w:color w:val="222222"/>
          <w:shd w:val="clear" w:color="auto" w:fill="FFFFFF"/>
        </w:rPr>
        <w:t>S,.</w:t>
      </w:r>
      <w:proofErr w:type="gramEnd"/>
      <w:r w:rsidRPr="00B64C8D">
        <w:rPr>
          <w:rFonts w:ascii="Times New Roman" w:hAnsi="Times New Roman" w:cs="Times New Roman"/>
          <w:color w:val="222222"/>
          <w:shd w:val="clear" w:color="auto" w:fill="FFFFFF"/>
        </w:rPr>
        <w:t xml:space="preserve"> (2022) </w:t>
      </w:r>
      <w:r w:rsidRPr="00B64C8D">
        <w:rPr>
          <w:rFonts w:ascii="Times New Roman" w:hAnsi="Times New Roman" w:cs="Times New Roman"/>
          <w:i/>
          <w:iCs/>
          <w:color w:val="222222"/>
          <w:shd w:val="clear" w:color="auto" w:fill="FFFFFF"/>
        </w:rPr>
        <w:t xml:space="preserve">Militarised borders are a bonanza for the arms industry. </w:t>
      </w:r>
      <w:r w:rsidRPr="00B64C8D">
        <w:rPr>
          <w:rFonts w:ascii="Times New Roman" w:hAnsi="Times New Roman" w:cs="Times New Roman"/>
          <w:color w:val="222222"/>
          <w:shd w:val="clear" w:color="auto" w:fill="FFFFFF"/>
        </w:rPr>
        <w:t xml:space="preserve">Trtworld. </w:t>
      </w:r>
      <w:hyperlink r:id="rId30" w:history="1">
        <w:r w:rsidRPr="00B64C8D">
          <w:rPr>
            <w:rStyle w:val="Hyperlink"/>
            <w:rFonts w:ascii="Times New Roman" w:hAnsi="Times New Roman" w:cs="Times New Roman"/>
            <w:shd w:val="clear" w:color="auto" w:fill="FFFFFF"/>
          </w:rPr>
          <w:t>https://www.trtworld.com/magazine/militarised-borders-are-a-bonanza-for-the-arms-industry-52630 Accessed on 22-05-2023</w:t>
        </w:r>
      </w:hyperlink>
      <w:r w:rsidRPr="00B64C8D">
        <w:rPr>
          <w:rFonts w:ascii="Times New Roman" w:hAnsi="Times New Roman" w:cs="Times New Roman"/>
          <w:shd w:val="clear" w:color="auto" w:fill="FFFFFF"/>
        </w:rPr>
        <w:t xml:space="preserve"> accessed on </w:t>
      </w:r>
      <w:proofErr w:type="gramStart"/>
      <w:r w:rsidRPr="00B64C8D">
        <w:rPr>
          <w:rFonts w:ascii="Times New Roman" w:hAnsi="Times New Roman" w:cs="Times New Roman"/>
          <w:shd w:val="clear" w:color="auto" w:fill="FFFFFF"/>
        </w:rPr>
        <w:t>14-06-2023</w:t>
      </w:r>
      <w:proofErr w:type="gramEnd"/>
    </w:p>
    <w:p w14:paraId="1D6C3EFE" w14:textId="77777777" w:rsidR="00C60F05" w:rsidRPr="00B64C8D" w:rsidRDefault="00C60F05" w:rsidP="00B64C8D">
      <w:pPr>
        <w:spacing w:line="360" w:lineRule="auto"/>
        <w:rPr>
          <w:rFonts w:ascii="Times New Roman" w:hAnsi="Times New Roman" w:cs="Times New Roman"/>
        </w:rPr>
      </w:pPr>
      <w:r w:rsidRPr="00B64C8D">
        <w:rPr>
          <w:rFonts w:ascii="Times New Roman" w:hAnsi="Times New Roman" w:cs="Times New Roman"/>
        </w:rPr>
        <w:t xml:space="preserve">Statista. (2023) </w:t>
      </w:r>
      <w:r w:rsidRPr="00B64C8D">
        <w:rPr>
          <w:rFonts w:ascii="Times New Roman" w:hAnsi="Times New Roman" w:cs="Times New Roman"/>
          <w:i/>
          <w:iCs/>
        </w:rPr>
        <w:t xml:space="preserve">Annual budget of Frontex in the EU 2005-2022. </w:t>
      </w:r>
      <w:r w:rsidRPr="00B64C8D">
        <w:rPr>
          <w:rFonts w:ascii="Times New Roman" w:hAnsi="Times New Roman" w:cs="Times New Roman"/>
        </w:rPr>
        <w:t xml:space="preserve">Statista Research Department. </w:t>
      </w:r>
    </w:p>
    <w:p w14:paraId="5CB95F41" w14:textId="77777777" w:rsidR="00C60F05" w:rsidRPr="00B64C8D" w:rsidRDefault="00C60F05"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 xml:space="preserve">Stephenson, P. (2013). Twenty years of multi-level </w:t>
      </w:r>
      <w:proofErr w:type="gramStart"/>
      <w:r w:rsidRPr="00B64C8D">
        <w:rPr>
          <w:rFonts w:ascii="Times New Roman" w:eastAsia="Times New Roman" w:hAnsi="Times New Roman" w:cs="Times New Roman"/>
          <w:color w:val="0E101A"/>
          <w:kern w:val="0"/>
          <w:lang w:eastAsia="nl-NL"/>
          <w14:ligatures w14:val="none"/>
        </w:rPr>
        <w:t>governance:‘</w:t>
      </w:r>
      <w:proofErr w:type="gramEnd"/>
      <w:r w:rsidRPr="00B64C8D">
        <w:rPr>
          <w:rFonts w:ascii="Times New Roman" w:eastAsia="Times New Roman" w:hAnsi="Times New Roman" w:cs="Times New Roman"/>
          <w:color w:val="0E101A"/>
          <w:kern w:val="0"/>
          <w:lang w:eastAsia="nl-NL"/>
          <w14:ligatures w14:val="none"/>
        </w:rPr>
        <w:t>Where does it come from? What is it? Where is it going?’. </w:t>
      </w:r>
      <w:r w:rsidRPr="00B64C8D">
        <w:rPr>
          <w:rFonts w:ascii="Times New Roman" w:eastAsia="Times New Roman" w:hAnsi="Times New Roman" w:cs="Times New Roman"/>
          <w:i/>
          <w:iCs/>
          <w:color w:val="0E101A"/>
          <w:kern w:val="0"/>
          <w:lang w:eastAsia="nl-NL"/>
          <w14:ligatures w14:val="none"/>
        </w:rPr>
        <w:t>Journal of European public policy</w:t>
      </w:r>
      <w:r w:rsidRPr="00B64C8D">
        <w:rPr>
          <w:rFonts w:ascii="Times New Roman" w:eastAsia="Times New Roman" w:hAnsi="Times New Roman" w:cs="Times New Roman"/>
          <w:color w:val="0E101A"/>
          <w:kern w:val="0"/>
          <w:lang w:eastAsia="nl-NL"/>
          <w14:ligatures w14:val="none"/>
        </w:rPr>
        <w:t>, </w:t>
      </w:r>
      <w:r w:rsidRPr="00B64C8D">
        <w:rPr>
          <w:rFonts w:ascii="Times New Roman" w:eastAsia="Times New Roman" w:hAnsi="Times New Roman" w:cs="Times New Roman"/>
          <w:i/>
          <w:iCs/>
          <w:color w:val="0E101A"/>
          <w:kern w:val="0"/>
          <w:lang w:eastAsia="nl-NL"/>
          <w14:ligatures w14:val="none"/>
        </w:rPr>
        <w:t>20</w:t>
      </w:r>
      <w:r w:rsidRPr="00B64C8D">
        <w:rPr>
          <w:rFonts w:ascii="Times New Roman" w:eastAsia="Times New Roman" w:hAnsi="Times New Roman" w:cs="Times New Roman"/>
          <w:color w:val="0E101A"/>
          <w:kern w:val="0"/>
          <w:lang w:eastAsia="nl-NL"/>
          <w14:ligatures w14:val="none"/>
        </w:rPr>
        <w:t>(6), 817-837.</w:t>
      </w:r>
    </w:p>
    <w:p w14:paraId="76BF1E70" w14:textId="77777777" w:rsidR="00580360" w:rsidRPr="00B64C8D" w:rsidRDefault="00580360" w:rsidP="00B64C8D">
      <w:pPr>
        <w:spacing w:after="0" w:line="360" w:lineRule="auto"/>
        <w:rPr>
          <w:rFonts w:ascii="Times New Roman" w:eastAsia="Times New Roman" w:hAnsi="Times New Roman" w:cs="Times New Roman"/>
          <w:color w:val="0E101A"/>
          <w:kern w:val="0"/>
          <w:lang w:eastAsia="nl-NL"/>
          <w14:ligatures w14:val="none"/>
        </w:rPr>
      </w:pPr>
    </w:p>
    <w:p w14:paraId="0B895748" w14:textId="689EE722" w:rsidR="00C60F05" w:rsidRPr="00B64C8D" w:rsidRDefault="00580360" w:rsidP="00B64C8D">
      <w:pPr>
        <w:spacing w:after="0" w:line="360" w:lineRule="auto"/>
        <w:rPr>
          <w:rFonts w:ascii="Times New Roman" w:hAnsi="Times New Roman" w:cs="Times New Roman"/>
          <w:color w:val="222222"/>
          <w:shd w:val="clear" w:color="auto" w:fill="FFFFFF"/>
        </w:rPr>
      </w:pPr>
      <w:r w:rsidRPr="00B64C8D">
        <w:rPr>
          <w:rFonts w:ascii="Times New Roman" w:hAnsi="Times New Roman" w:cs="Times New Roman"/>
          <w:color w:val="222222"/>
          <w:shd w:val="clear" w:color="auto" w:fill="FFFFFF"/>
        </w:rPr>
        <w:t>Thatcher, M., &amp; Sweet, A. S. (2002). Theory and practice of delegation to non-majoritarian institutions. </w:t>
      </w:r>
      <w:r w:rsidRPr="00B64C8D">
        <w:rPr>
          <w:rFonts w:ascii="Times New Roman" w:hAnsi="Times New Roman" w:cs="Times New Roman"/>
          <w:i/>
          <w:iCs/>
          <w:color w:val="222222"/>
          <w:shd w:val="clear" w:color="auto" w:fill="FFFFFF"/>
        </w:rPr>
        <w:t>West European Politics</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25</w:t>
      </w:r>
      <w:r w:rsidRPr="00B64C8D">
        <w:rPr>
          <w:rFonts w:ascii="Times New Roman" w:hAnsi="Times New Roman" w:cs="Times New Roman"/>
          <w:color w:val="222222"/>
          <w:shd w:val="clear" w:color="auto" w:fill="FFFFFF"/>
        </w:rPr>
        <w:t>(1), 1-22.</w:t>
      </w:r>
    </w:p>
    <w:p w14:paraId="4C0ECAA4" w14:textId="77777777" w:rsidR="001035D7" w:rsidRPr="00B64C8D" w:rsidRDefault="001035D7" w:rsidP="00B64C8D">
      <w:pPr>
        <w:spacing w:after="0" w:line="360" w:lineRule="auto"/>
        <w:rPr>
          <w:rFonts w:ascii="Times New Roman" w:eastAsia="Times New Roman" w:hAnsi="Times New Roman" w:cs="Times New Roman"/>
          <w:color w:val="0E101A"/>
          <w:kern w:val="0"/>
          <w:lang w:eastAsia="nl-NL"/>
          <w14:ligatures w14:val="none"/>
        </w:rPr>
      </w:pPr>
    </w:p>
    <w:p w14:paraId="52333DE7" w14:textId="77777777" w:rsidR="00C60F05" w:rsidRPr="00B64C8D" w:rsidRDefault="00C60F05" w:rsidP="00B64C8D">
      <w:pPr>
        <w:tabs>
          <w:tab w:val="left" w:pos="6400"/>
        </w:tabs>
        <w:spacing w:line="360" w:lineRule="auto"/>
        <w:rPr>
          <w:rFonts w:ascii="Times New Roman" w:hAnsi="Times New Roman" w:cs="Times New Roman"/>
          <w:i/>
          <w:iCs/>
          <w:lang w:val="nl-NL"/>
        </w:rPr>
      </w:pPr>
      <w:r w:rsidRPr="00B64C8D">
        <w:rPr>
          <w:rFonts w:ascii="Times New Roman" w:hAnsi="Times New Roman" w:cs="Times New Roman"/>
          <w:lang w:val="nl-NL"/>
        </w:rPr>
        <w:t xml:space="preserve">van Dijken, K., Deeb, B., Creta, S., Freudenthal, E., (2021) De Banden tussen Frontex en de Libische kustwacht zijn hecht. </w:t>
      </w:r>
      <w:r w:rsidRPr="00B64C8D">
        <w:rPr>
          <w:rFonts w:ascii="Times New Roman" w:hAnsi="Times New Roman" w:cs="Times New Roman"/>
          <w:i/>
          <w:iCs/>
          <w:lang w:val="nl-NL"/>
        </w:rPr>
        <w:t>Trouw</w:t>
      </w:r>
    </w:p>
    <w:p w14:paraId="7D8BE44F" w14:textId="1AF1C15D" w:rsidR="001D595B" w:rsidRPr="00B64C8D" w:rsidRDefault="001D595B" w:rsidP="00B64C8D">
      <w:pPr>
        <w:tabs>
          <w:tab w:val="left" w:pos="6400"/>
        </w:tabs>
        <w:spacing w:line="360" w:lineRule="auto"/>
        <w:rPr>
          <w:rFonts w:ascii="Times New Roman" w:hAnsi="Times New Roman" w:cs="Times New Roman"/>
          <w:i/>
          <w:iCs/>
        </w:rPr>
      </w:pPr>
      <w:r w:rsidRPr="00B64C8D">
        <w:rPr>
          <w:rFonts w:ascii="Times New Roman" w:hAnsi="Times New Roman" w:cs="Times New Roman"/>
          <w:color w:val="222222"/>
          <w:shd w:val="clear" w:color="auto" w:fill="FFFFFF"/>
          <w:lang w:val="nl-NL"/>
        </w:rPr>
        <w:t xml:space="preserve">Verhoest, K., Peters, B. G., Bouckaert, G., &amp; Verschuere, B. (2004). </w:t>
      </w:r>
      <w:r w:rsidRPr="00B64C8D">
        <w:rPr>
          <w:rFonts w:ascii="Times New Roman" w:hAnsi="Times New Roman" w:cs="Times New Roman"/>
          <w:color w:val="222222"/>
          <w:shd w:val="clear" w:color="auto" w:fill="FFFFFF"/>
        </w:rPr>
        <w:t>The study of organisational autonomy: a conceptual review. </w:t>
      </w:r>
      <w:r w:rsidRPr="00B64C8D">
        <w:rPr>
          <w:rFonts w:ascii="Times New Roman" w:hAnsi="Times New Roman" w:cs="Times New Roman"/>
          <w:i/>
          <w:iCs/>
          <w:color w:val="222222"/>
          <w:shd w:val="clear" w:color="auto" w:fill="FFFFFF"/>
        </w:rPr>
        <w:t>Public administration and development: The international journal of management research and practice</w:t>
      </w:r>
      <w:r w:rsidRPr="00B64C8D">
        <w:rPr>
          <w:rFonts w:ascii="Times New Roman" w:hAnsi="Times New Roman" w:cs="Times New Roman"/>
          <w:color w:val="222222"/>
          <w:shd w:val="clear" w:color="auto" w:fill="FFFFFF"/>
        </w:rPr>
        <w:t>, </w:t>
      </w:r>
      <w:r w:rsidRPr="00B64C8D">
        <w:rPr>
          <w:rFonts w:ascii="Times New Roman" w:hAnsi="Times New Roman" w:cs="Times New Roman"/>
          <w:i/>
          <w:iCs/>
          <w:color w:val="222222"/>
          <w:shd w:val="clear" w:color="auto" w:fill="FFFFFF"/>
        </w:rPr>
        <w:t>24</w:t>
      </w:r>
      <w:r w:rsidRPr="00B64C8D">
        <w:rPr>
          <w:rFonts w:ascii="Times New Roman" w:hAnsi="Times New Roman" w:cs="Times New Roman"/>
          <w:color w:val="222222"/>
          <w:shd w:val="clear" w:color="auto" w:fill="FFFFFF"/>
        </w:rPr>
        <w:t>(2), 101-118.</w:t>
      </w:r>
    </w:p>
    <w:p w14:paraId="69785716" w14:textId="77777777" w:rsidR="00C60F05" w:rsidRPr="00B64C8D" w:rsidRDefault="00C60F05"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Yesilkagit, K. (2004). Bureaucratic autonomy, organizational culture, and habituation: Politicians and independent administrative bodies in the Netherlands. </w:t>
      </w:r>
      <w:r w:rsidRPr="00B64C8D">
        <w:rPr>
          <w:rFonts w:ascii="Times New Roman" w:eastAsia="Times New Roman" w:hAnsi="Times New Roman" w:cs="Times New Roman"/>
          <w:i/>
          <w:iCs/>
          <w:color w:val="0E101A"/>
          <w:kern w:val="0"/>
          <w:lang w:eastAsia="nl-NL"/>
          <w14:ligatures w14:val="none"/>
        </w:rPr>
        <w:t>Administration &amp; Society</w:t>
      </w:r>
      <w:r w:rsidRPr="00B64C8D">
        <w:rPr>
          <w:rFonts w:ascii="Times New Roman" w:eastAsia="Times New Roman" w:hAnsi="Times New Roman" w:cs="Times New Roman"/>
          <w:color w:val="0E101A"/>
          <w:kern w:val="0"/>
          <w:lang w:eastAsia="nl-NL"/>
          <w14:ligatures w14:val="none"/>
        </w:rPr>
        <w:t>, </w:t>
      </w:r>
      <w:r w:rsidRPr="00B64C8D">
        <w:rPr>
          <w:rFonts w:ascii="Times New Roman" w:eastAsia="Times New Roman" w:hAnsi="Times New Roman" w:cs="Times New Roman"/>
          <w:i/>
          <w:iCs/>
          <w:color w:val="0E101A"/>
          <w:kern w:val="0"/>
          <w:lang w:eastAsia="nl-NL"/>
          <w14:ligatures w14:val="none"/>
        </w:rPr>
        <w:t>36</w:t>
      </w:r>
      <w:r w:rsidRPr="00B64C8D">
        <w:rPr>
          <w:rFonts w:ascii="Times New Roman" w:eastAsia="Times New Roman" w:hAnsi="Times New Roman" w:cs="Times New Roman"/>
          <w:color w:val="0E101A"/>
          <w:kern w:val="0"/>
          <w:lang w:eastAsia="nl-NL"/>
          <w14:ligatures w14:val="none"/>
        </w:rPr>
        <w:t>(5), 528-552.</w:t>
      </w:r>
    </w:p>
    <w:p w14:paraId="42349359" w14:textId="77777777" w:rsidR="00C60F05" w:rsidRPr="00B64C8D" w:rsidRDefault="00C60F05" w:rsidP="00B64C8D">
      <w:pPr>
        <w:spacing w:after="0" w:line="360" w:lineRule="auto"/>
        <w:rPr>
          <w:rFonts w:ascii="Times New Roman" w:eastAsia="Times New Roman" w:hAnsi="Times New Roman" w:cs="Times New Roman"/>
          <w:color w:val="0E101A"/>
          <w:kern w:val="0"/>
          <w:lang w:eastAsia="nl-NL"/>
          <w14:ligatures w14:val="none"/>
        </w:rPr>
      </w:pPr>
    </w:p>
    <w:p w14:paraId="48B1C627" w14:textId="77777777" w:rsidR="00C60F05" w:rsidRPr="00B64C8D" w:rsidRDefault="00C60F05" w:rsidP="00B64C8D">
      <w:pPr>
        <w:spacing w:after="0" w:line="360" w:lineRule="auto"/>
        <w:rPr>
          <w:rFonts w:ascii="Times New Roman" w:eastAsia="Times New Roman" w:hAnsi="Times New Roman" w:cs="Times New Roman"/>
          <w:color w:val="0E101A"/>
          <w:kern w:val="0"/>
          <w:lang w:eastAsia="nl-NL"/>
          <w14:ligatures w14:val="none"/>
        </w:rPr>
      </w:pPr>
      <w:r w:rsidRPr="00B64C8D">
        <w:rPr>
          <w:rFonts w:ascii="Times New Roman" w:eastAsia="Times New Roman" w:hAnsi="Times New Roman" w:cs="Times New Roman"/>
          <w:color w:val="0E101A"/>
          <w:kern w:val="0"/>
          <w:lang w:eastAsia="nl-NL"/>
          <w14:ligatures w14:val="none"/>
        </w:rPr>
        <w:t>Yesilkagit, K. (2011). Institutional compliance, European networks of regulation and the bureaucratic autonomy of national regulatory authorities. </w:t>
      </w:r>
      <w:r w:rsidRPr="00B64C8D">
        <w:rPr>
          <w:rFonts w:ascii="Times New Roman" w:eastAsia="Times New Roman" w:hAnsi="Times New Roman" w:cs="Times New Roman"/>
          <w:i/>
          <w:iCs/>
          <w:color w:val="0E101A"/>
          <w:kern w:val="0"/>
          <w:lang w:eastAsia="nl-NL"/>
          <w14:ligatures w14:val="none"/>
        </w:rPr>
        <w:t>Journal of European Public Policy</w:t>
      </w:r>
      <w:r w:rsidRPr="00B64C8D">
        <w:rPr>
          <w:rFonts w:ascii="Times New Roman" w:eastAsia="Times New Roman" w:hAnsi="Times New Roman" w:cs="Times New Roman"/>
          <w:color w:val="0E101A"/>
          <w:kern w:val="0"/>
          <w:lang w:eastAsia="nl-NL"/>
          <w14:ligatures w14:val="none"/>
        </w:rPr>
        <w:t>, </w:t>
      </w:r>
      <w:r w:rsidRPr="00B64C8D">
        <w:rPr>
          <w:rFonts w:ascii="Times New Roman" w:eastAsia="Times New Roman" w:hAnsi="Times New Roman" w:cs="Times New Roman"/>
          <w:i/>
          <w:iCs/>
          <w:color w:val="0E101A"/>
          <w:kern w:val="0"/>
          <w:lang w:eastAsia="nl-NL"/>
          <w14:ligatures w14:val="none"/>
        </w:rPr>
        <w:t>18</w:t>
      </w:r>
      <w:r w:rsidRPr="00B64C8D">
        <w:rPr>
          <w:rFonts w:ascii="Times New Roman" w:eastAsia="Times New Roman" w:hAnsi="Times New Roman" w:cs="Times New Roman"/>
          <w:color w:val="0E101A"/>
          <w:kern w:val="0"/>
          <w:lang w:eastAsia="nl-NL"/>
          <w14:ligatures w14:val="none"/>
        </w:rPr>
        <w:t>(7), 962-979.</w:t>
      </w:r>
    </w:p>
    <w:sectPr w:rsidR="00C60F05" w:rsidRPr="00B64C8D" w:rsidSect="004A7EDE">
      <w:footerReference w:type="default" r:id="rId31"/>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EC5618" w14:textId="77777777" w:rsidR="00380D59" w:rsidRDefault="00380D59" w:rsidP="00703A89">
      <w:pPr>
        <w:spacing w:after="0" w:line="240" w:lineRule="auto"/>
      </w:pPr>
      <w:r>
        <w:separator/>
      </w:r>
    </w:p>
  </w:endnote>
  <w:endnote w:type="continuationSeparator" w:id="0">
    <w:p w14:paraId="4DE788B6" w14:textId="77777777" w:rsidR="00380D59" w:rsidRDefault="00380D59" w:rsidP="00703A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37441796"/>
      <w:docPartObj>
        <w:docPartGallery w:val="Page Numbers (Bottom of Page)"/>
        <w:docPartUnique/>
      </w:docPartObj>
    </w:sdtPr>
    <w:sdtContent>
      <w:p w14:paraId="0B65BC91" w14:textId="36EABEEF" w:rsidR="00703A89" w:rsidRDefault="00703A89">
        <w:pPr>
          <w:pStyle w:val="Voettekst"/>
          <w:jc w:val="right"/>
        </w:pPr>
        <w:r>
          <w:fldChar w:fldCharType="begin"/>
        </w:r>
        <w:r>
          <w:instrText>PAGE   \* MERGEFORMAT</w:instrText>
        </w:r>
        <w:r>
          <w:fldChar w:fldCharType="separate"/>
        </w:r>
        <w:r>
          <w:rPr>
            <w:lang w:val="nl-NL"/>
          </w:rPr>
          <w:t>2</w:t>
        </w:r>
        <w:r>
          <w:fldChar w:fldCharType="end"/>
        </w:r>
      </w:p>
    </w:sdtContent>
  </w:sdt>
  <w:p w14:paraId="591339BD" w14:textId="77777777" w:rsidR="00703A89" w:rsidRDefault="00703A89">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1AD067" w14:textId="77777777" w:rsidR="00380D59" w:rsidRDefault="00380D59" w:rsidP="00703A89">
      <w:pPr>
        <w:spacing w:after="0" w:line="240" w:lineRule="auto"/>
      </w:pPr>
      <w:r>
        <w:separator/>
      </w:r>
    </w:p>
  </w:footnote>
  <w:footnote w:type="continuationSeparator" w:id="0">
    <w:p w14:paraId="1C432E75" w14:textId="77777777" w:rsidR="00380D59" w:rsidRDefault="00380D59" w:rsidP="00703A8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66CE7"/>
    <w:multiLevelType w:val="multilevel"/>
    <w:tmpl w:val="50A4362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BB93999"/>
    <w:multiLevelType w:val="multilevel"/>
    <w:tmpl w:val="E468F8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86643137">
    <w:abstractNumId w:val="1"/>
  </w:num>
  <w:num w:numId="2" w16cid:durableId="6480527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05D0"/>
    <w:rsid w:val="0000177A"/>
    <w:rsid w:val="00005E13"/>
    <w:rsid w:val="000115F1"/>
    <w:rsid w:val="0001291C"/>
    <w:rsid w:val="00023A15"/>
    <w:rsid w:val="00031888"/>
    <w:rsid w:val="00040462"/>
    <w:rsid w:val="00042C40"/>
    <w:rsid w:val="000445BD"/>
    <w:rsid w:val="00045A74"/>
    <w:rsid w:val="0004612F"/>
    <w:rsid w:val="00051444"/>
    <w:rsid w:val="000518C1"/>
    <w:rsid w:val="00064772"/>
    <w:rsid w:val="00071082"/>
    <w:rsid w:val="000805D0"/>
    <w:rsid w:val="00084763"/>
    <w:rsid w:val="00091B02"/>
    <w:rsid w:val="00094048"/>
    <w:rsid w:val="000963D0"/>
    <w:rsid w:val="00096B80"/>
    <w:rsid w:val="000A5DAB"/>
    <w:rsid w:val="000B5474"/>
    <w:rsid w:val="000C21EF"/>
    <w:rsid w:val="000C67CD"/>
    <w:rsid w:val="000D1737"/>
    <w:rsid w:val="000E02AC"/>
    <w:rsid w:val="000E1F35"/>
    <w:rsid w:val="000E24AD"/>
    <w:rsid w:val="000E5314"/>
    <w:rsid w:val="000F47F3"/>
    <w:rsid w:val="000F6C5F"/>
    <w:rsid w:val="00102CFD"/>
    <w:rsid w:val="001035D7"/>
    <w:rsid w:val="00103A09"/>
    <w:rsid w:val="00127079"/>
    <w:rsid w:val="00130035"/>
    <w:rsid w:val="0015106B"/>
    <w:rsid w:val="00164990"/>
    <w:rsid w:val="00167629"/>
    <w:rsid w:val="00175EA4"/>
    <w:rsid w:val="00180289"/>
    <w:rsid w:val="00180E80"/>
    <w:rsid w:val="00182B43"/>
    <w:rsid w:val="001838A9"/>
    <w:rsid w:val="001A5ED6"/>
    <w:rsid w:val="001B2B84"/>
    <w:rsid w:val="001B7D46"/>
    <w:rsid w:val="001C0313"/>
    <w:rsid w:val="001C4C03"/>
    <w:rsid w:val="001C767A"/>
    <w:rsid w:val="001D0BF8"/>
    <w:rsid w:val="001D1F06"/>
    <w:rsid w:val="001D595B"/>
    <w:rsid w:val="001E28D1"/>
    <w:rsid w:val="001F0F22"/>
    <w:rsid w:val="001F3444"/>
    <w:rsid w:val="001F5C11"/>
    <w:rsid w:val="00201ACA"/>
    <w:rsid w:val="00202680"/>
    <w:rsid w:val="00207183"/>
    <w:rsid w:val="00217B29"/>
    <w:rsid w:val="00221DC6"/>
    <w:rsid w:val="00222C0C"/>
    <w:rsid w:val="00227F4C"/>
    <w:rsid w:val="00232763"/>
    <w:rsid w:val="00233567"/>
    <w:rsid w:val="00233AF5"/>
    <w:rsid w:val="00250FBC"/>
    <w:rsid w:val="00254F7B"/>
    <w:rsid w:val="00257612"/>
    <w:rsid w:val="00262DAE"/>
    <w:rsid w:val="002649AF"/>
    <w:rsid w:val="00265F80"/>
    <w:rsid w:val="00272019"/>
    <w:rsid w:val="00283E42"/>
    <w:rsid w:val="00286C5F"/>
    <w:rsid w:val="00291899"/>
    <w:rsid w:val="002A2CEA"/>
    <w:rsid w:val="002B11C6"/>
    <w:rsid w:val="002B403A"/>
    <w:rsid w:val="002C4B52"/>
    <w:rsid w:val="002C6ADA"/>
    <w:rsid w:val="002D3F3F"/>
    <w:rsid w:val="002D58E6"/>
    <w:rsid w:val="002E5C94"/>
    <w:rsid w:val="002F66AD"/>
    <w:rsid w:val="00312B4B"/>
    <w:rsid w:val="00313B1C"/>
    <w:rsid w:val="0031578A"/>
    <w:rsid w:val="00315AB1"/>
    <w:rsid w:val="00316A77"/>
    <w:rsid w:val="00316F1C"/>
    <w:rsid w:val="00320444"/>
    <w:rsid w:val="0032446C"/>
    <w:rsid w:val="00325A42"/>
    <w:rsid w:val="00330F0F"/>
    <w:rsid w:val="00345D4C"/>
    <w:rsid w:val="00350FE0"/>
    <w:rsid w:val="00353D46"/>
    <w:rsid w:val="00361286"/>
    <w:rsid w:val="003655F1"/>
    <w:rsid w:val="003750C6"/>
    <w:rsid w:val="003754BE"/>
    <w:rsid w:val="00375A4B"/>
    <w:rsid w:val="00380D59"/>
    <w:rsid w:val="003812FF"/>
    <w:rsid w:val="00382722"/>
    <w:rsid w:val="003874DF"/>
    <w:rsid w:val="00393AF8"/>
    <w:rsid w:val="003944F6"/>
    <w:rsid w:val="0039571A"/>
    <w:rsid w:val="003A1D9E"/>
    <w:rsid w:val="003A4088"/>
    <w:rsid w:val="003A4120"/>
    <w:rsid w:val="003A5BDF"/>
    <w:rsid w:val="003B1A6D"/>
    <w:rsid w:val="003B3326"/>
    <w:rsid w:val="003B56C7"/>
    <w:rsid w:val="003B5E7B"/>
    <w:rsid w:val="003B67AE"/>
    <w:rsid w:val="003C4EA1"/>
    <w:rsid w:val="003C5287"/>
    <w:rsid w:val="003C7C5E"/>
    <w:rsid w:val="003E1C92"/>
    <w:rsid w:val="003F7DC3"/>
    <w:rsid w:val="004010E0"/>
    <w:rsid w:val="0040479D"/>
    <w:rsid w:val="00407024"/>
    <w:rsid w:val="00407B55"/>
    <w:rsid w:val="00410D6C"/>
    <w:rsid w:val="00421E5E"/>
    <w:rsid w:val="00427128"/>
    <w:rsid w:val="00433B36"/>
    <w:rsid w:val="00436843"/>
    <w:rsid w:val="00445C75"/>
    <w:rsid w:val="0045099E"/>
    <w:rsid w:val="004514E0"/>
    <w:rsid w:val="00452454"/>
    <w:rsid w:val="00455D57"/>
    <w:rsid w:val="00475CDB"/>
    <w:rsid w:val="004762F7"/>
    <w:rsid w:val="0049389E"/>
    <w:rsid w:val="00495741"/>
    <w:rsid w:val="004A7EDE"/>
    <w:rsid w:val="004B160F"/>
    <w:rsid w:val="004B55CF"/>
    <w:rsid w:val="004C0668"/>
    <w:rsid w:val="004C6543"/>
    <w:rsid w:val="004C7D13"/>
    <w:rsid w:val="004E1473"/>
    <w:rsid w:val="004E2930"/>
    <w:rsid w:val="004F4CA8"/>
    <w:rsid w:val="00500AD9"/>
    <w:rsid w:val="00500D32"/>
    <w:rsid w:val="00502FF0"/>
    <w:rsid w:val="0050772F"/>
    <w:rsid w:val="0051261A"/>
    <w:rsid w:val="00514161"/>
    <w:rsid w:val="00516DC7"/>
    <w:rsid w:val="00532F34"/>
    <w:rsid w:val="00535FBA"/>
    <w:rsid w:val="0053748C"/>
    <w:rsid w:val="00540F78"/>
    <w:rsid w:val="00557804"/>
    <w:rsid w:val="005650A1"/>
    <w:rsid w:val="00571CEC"/>
    <w:rsid w:val="00572C96"/>
    <w:rsid w:val="00580360"/>
    <w:rsid w:val="00580AD1"/>
    <w:rsid w:val="00587353"/>
    <w:rsid w:val="005875CB"/>
    <w:rsid w:val="00597285"/>
    <w:rsid w:val="005A0742"/>
    <w:rsid w:val="005A0E5C"/>
    <w:rsid w:val="005A31CF"/>
    <w:rsid w:val="005A5C1E"/>
    <w:rsid w:val="005C4C84"/>
    <w:rsid w:val="005C5842"/>
    <w:rsid w:val="005C5D15"/>
    <w:rsid w:val="005D0017"/>
    <w:rsid w:val="005D4D51"/>
    <w:rsid w:val="005D67E2"/>
    <w:rsid w:val="005E3469"/>
    <w:rsid w:val="005F0B7F"/>
    <w:rsid w:val="005F4ADD"/>
    <w:rsid w:val="00604041"/>
    <w:rsid w:val="00606E15"/>
    <w:rsid w:val="006158DD"/>
    <w:rsid w:val="00616B28"/>
    <w:rsid w:val="006226E7"/>
    <w:rsid w:val="00632589"/>
    <w:rsid w:val="00640C08"/>
    <w:rsid w:val="00641670"/>
    <w:rsid w:val="006416DF"/>
    <w:rsid w:val="006509C8"/>
    <w:rsid w:val="00652CF4"/>
    <w:rsid w:val="006560B9"/>
    <w:rsid w:val="00656D0B"/>
    <w:rsid w:val="006575D6"/>
    <w:rsid w:val="00660F86"/>
    <w:rsid w:val="006614FE"/>
    <w:rsid w:val="006633D0"/>
    <w:rsid w:val="006732EC"/>
    <w:rsid w:val="00673D1A"/>
    <w:rsid w:val="00676618"/>
    <w:rsid w:val="00676F69"/>
    <w:rsid w:val="00684C57"/>
    <w:rsid w:val="00686DF5"/>
    <w:rsid w:val="00687225"/>
    <w:rsid w:val="00690C47"/>
    <w:rsid w:val="006958E8"/>
    <w:rsid w:val="006A2FE3"/>
    <w:rsid w:val="006A62EE"/>
    <w:rsid w:val="006B1DEF"/>
    <w:rsid w:val="006B27A3"/>
    <w:rsid w:val="006B2D2B"/>
    <w:rsid w:val="006C1873"/>
    <w:rsid w:val="006C30F3"/>
    <w:rsid w:val="006D0285"/>
    <w:rsid w:val="006D66FD"/>
    <w:rsid w:val="006D7BFD"/>
    <w:rsid w:val="006E329D"/>
    <w:rsid w:val="006E4B7C"/>
    <w:rsid w:val="006E586F"/>
    <w:rsid w:val="006F30BA"/>
    <w:rsid w:val="006F3288"/>
    <w:rsid w:val="006F7903"/>
    <w:rsid w:val="00703993"/>
    <w:rsid w:val="00703A89"/>
    <w:rsid w:val="00707898"/>
    <w:rsid w:val="00714F4A"/>
    <w:rsid w:val="007347EE"/>
    <w:rsid w:val="0073640B"/>
    <w:rsid w:val="00745B84"/>
    <w:rsid w:val="00750BA8"/>
    <w:rsid w:val="00751488"/>
    <w:rsid w:val="00751A51"/>
    <w:rsid w:val="00751A61"/>
    <w:rsid w:val="00756782"/>
    <w:rsid w:val="00757054"/>
    <w:rsid w:val="00757648"/>
    <w:rsid w:val="0077254B"/>
    <w:rsid w:val="0077295C"/>
    <w:rsid w:val="00772CF2"/>
    <w:rsid w:val="00774287"/>
    <w:rsid w:val="007745A4"/>
    <w:rsid w:val="00775B4D"/>
    <w:rsid w:val="00776BDA"/>
    <w:rsid w:val="00777AEB"/>
    <w:rsid w:val="007859D3"/>
    <w:rsid w:val="00787459"/>
    <w:rsid w:val="00787C6A"/>
    <w:rsid w:val="00790AC7"/>
    <w:rsid w:val="007926A7"/>
    <w:rsid w:val="0079676E"/>
    <w:rsid w:val="007A0BEE"/>
    <w:rsid w:val="007A1809"/>
    <w:rsid w:val="007A3F66"/>
    <w:rsid w:val="007B0537"/>
    <w:rsid w:val="007B0542"/>
    <w:rsid w:val="007B07F2"/>
    <w:rsid w:val="007B2872"/>
    <w:rsid w:val="007B6639"/>
    <w:rsid w:val="007C3F9A"/>
    <w:rsid w:val="007D29DB"/>
    <w:rsid w:val="007D65BC"/>
    <w:rsid w:val="007E535A"/>
    <w:rsid w:val="007F2CF2"/>
    <w:rsid w:val="008100AF"/>
    <w:rsid w:val="00811B08"/>
    <w:rsid w:val="00816A24"/>
    <w:rsid w:val="00830393"/>
    <w:rsid w:val="008317BD"/>
    <w:rsid w:val="0083442E"/>
    <w:rsid w:val="00836DD6"/>
    <w:rsid w:val="008418F6"/>
    <w:rsid w:val="00842F6F"/>
    <w:rsid w:val="008475CE"/>
    <w:rsid w:val="008532D0"/>
    <w:rsid w:val="00854315"/>
    <w:rsid w:val="00854585"/>
    <w:rsid w:val="008560A9"/>
    <w:rsid w:val="00865C03"/>
    <w:rsid w:val="0087368D"/>
    <w:rsid w:val="0088109C"/>
    <w:rsid w:val="008861ED"/>
    <w:rsid w:val="00894D86"/>
    <w:rsid w:val="00897364"/>
    <w:rsid w:val="008A11BB"/>
    <w:rsid w:val="008A51B7"/>
    <w:rsid w:val="008B5A34"/>
    <w:rsid w:val="008B72B1"/>
    <w:rsid w:val="008C1E22"/>
    <w:rsid w:val="008D35C1"/>
    <w:rsid w:val="008D40B1"/>
    <w:rsid w:val="008D5F15"/>
    <w:rsid w:val="008E0061"/>
    <w:rsid w:val="008E6114"/>
    <w:rsid w:val="008E6D51"/>
    <w:rsid w:val="00900DDF"/>
    <w:rsid w:val="009102D2"/>
    <w:rsid w:val="00910B2A"/>
    <w:rsid w:val="00911BD5"/>
    <w:rsid w:val="009120F0"/>
    <w:rsid w:val="00916357"/>
    <w:rsid w:val="009210DA"/>
    <w:rsid w:val="00922A54"/>
    <w:rsid w:val="00923958"/>
    <w:rsid w:val="0092409D"/>
    <w:rsid w:val="00933B2D"/>
    <w:rsid w:val="00935FAA"/>
    <w:rsid w:val="00943576"/>
    <w:rsid w:val="00944BAE"/>
    <w:rsid w:val="009516F1"/>
    <w:rsid w:val="00952521"/>
    <w:rsid w:val="00961D9E"/>
    <w:rsid w:val="009661B5"/>
    <w:rsid w:val="00966EC2"/>
    <w:rsid w:val="00971562"/>
    <w:rsid w:val="009735E6"/>
    <w:rsid w:val="009827BD"/>
    <w:rsid w:val="0098444E"/>
    <w:rsid w:val="00985A20"/>
    <w:rsid w:val="00985D84"/>
    <w:rsid w:val="009866FA"/>
    <w:rsid w:val="009952E2"/>
    <w:rsid w:val="009A08CC"/>
    <w:rsid w:val="009A3958"/>
    <w:rsid w:val="009A5219"/>
    <w:rsid w:val="009B24CA"/>
    <w:rsid w:val="009B5C8C"/>
    <w:rsid w:val="009C03C9"/>
    <w:rsid w:val="009C1C3A"/>
    <w:rsid w:val="009C2FCB"/>
    <w:rsid w:val="009E2C78"/>
    <w:rsid w:val="009F5845"/>
    <w:rsid w:val="00A06CF0"/>
    <w:rsid w:val="00A071FF"/>
    <w:rsid w:val="00A15FC5"/>
    <w:rsid w:val="00A20DCD"/>
    <w:rsid w:val="00A341F5"/>
    <w:rsid w:val="00A37D1A"/>
    <w:rsid w:val="00A43B17"/>
    <w:rsid w:val="00A452CA"/>
    <w:rsid w:val="00A50FEA"/>
    <w:rsid w:val="00A527EE"/>
    <w:rsid w:val="00A56B61"/>
    <w:rsid w:val="00A715A4"/>
    <w:rsid w:val="00A77902"/>
    <w:rsid w:val="00A852AD"/>
    <w:rsid w:val="00A85504"/>
    <w:rsid w:val="00A858BE"/>
    <w:rsid w:val="00A85939"/>
    <w:rsid w:val="00A90FAF"/>
    <w:rsid w:val="00A92221"/>
    <w:rsid w:val="00A93DC5"/>
    <w:rsid w:val="00AA5B0A"/>
    <w:rsid w:val="00AA6535"/>
    <w:rsid w:val="00AB1749"/>
    <w:rsid w:val="00AB1C3C"/>
    <w:rsid w:val="00AC00E8"/>
    <w:rsid w:val="00AC7420"/>
    <w:rsid w:val="00AD1A7D"/>
    <w:rsid w:val="00AD2103"/>
    <w:rsid w:val="00AD72C7"/>
    <w:rsid w:val="00AE050C"/>
    <w:rsid w:val="00AE0C90"/>
    <w:rsid w:val="00AE1AB9"/>
    <w:rsid w:val="00AF0860"/>
    <w:rsid w:val="00AF0C9F"/>
    <w:rsid w:val="00AF2140"/>
    <w:rsid w:val="00AF4BF9"/>
    <w:rsid w:val="00AF71DD"/>
    <w:rsid w:val="00B06515"/>
    <w:rsid w:val="00B11947"/>
    <w:rsid w:val="00B41042"/>
    <w:rsid w:val="00B42B63"/>
    <w:rsid w:val="00B46777"/>
    <w:rsid w:val="00B5430C"/>
    <w:rsid w:val="00B5668E"/>
    <w:rsid w:val="00B64500"/>
    <w:rsid w:val="00B64C8D"/>
    <w:rsid w:val="00B706F7"/>
    <w:rsid w:val="00B7138F"/>
    <w:rsid w:val="00B742DB"/>
    <w:rsid w:val="00B813D7"/>
    <w:rsid w:val="00B82E1B"/>
    <w:rsid w:val="00B90C61"/>
    <w:rsid w:val="00B913D7"/>
    <w:rsid w:val="00B917C1"/>
    <w:rsid w:val="00B9520D"/>
    <w:rsid w:val="00B968BC"/>
    <w:rsid w:val="00B96CB4"/>
    <w:rsid w:val="00BB44CE"/>
    <w:rsid w:val="00BB4C01"/>
    <w:rsid w:val="00BC1C1B"/>
    <w:rsid w:val="00BE35B3"/>
    <w:rsid w:val="00BE64DE"/>
    <w:rsid w:val="00BE651A"/>
    <w:rsid w:val="00BF0BE1"/>
    <w:rsid w:val="00BF1A40"/>
    <w:rsid w:val="00C1140D"/>
    <w:rsid w:val="00C13F54"/>
    <w:rsid w:val="00C16E78"/>
    <w:rsid w:val="00C23250"/>
    <w:rsid w:val="00C30E42"/>
    <w:rsid w:val="00C413BD"/>
    <w:rsid w:val="00C4269A"/>
    <w:rsid w:val="00C45795"/>
    <w:rsid w:val="00C552A2"/>
    <w:rsid w:val="00C55A29"/>
    <w:rsid w:val="00C60F05"/>
    <w:rsid w:val="00C62D23"/>
    <w:rsid w:val="00C651E3"/>
    <w:rsid w:val="00C7342B"/>
    <w:rsid w:val="00C75704"/>
    <w:rsid w:val="00C80761"/>
    <w:rsid w:val="00C82E0C"/>
    <w:rsid w:val="00C849F6"/>
    <w:rsid w:val="00C852E1"/>
    <w:rsid w:val="00CA229B"/>
    <w:rsid w:val="00CA48DF"/>
    <w:rsid w:val="00CA72ED"/>
    <w:rsid w:val="00CB26C3"/>
    <w:rsid w:val="00CB48B7"/>
    <w:rsid w:val="00CB6C9F"/>
    <w:rsid w:val="00CC11C0"/>
    <w:rsid w:val="00CC57FB"/>
    <w:rsid w:val="00CD10A9"/>
    <w:rsid w:val="00CD14D8"/>
    <w:rsid w:val="00CE20FC"/>
    <w:rsid w:val="00CE2A86"/>
    <w:rsid w:val="00CE664B"/>
    <w:rsid w:val="00CF0018"/>
    <w:rsid w:val="00D06BD9"/>
    <w:rsid w:val="00D15419"/>
    <w:rsid w:val="00D17B37"/>
    <w:rsid w:val="00D2318E"/>
    <w:rsid w:val="00D25AC0"/>
    <w:rsid w:val="00D27A5C"/>
    <w:rsid w:val="00D31081"/>
    <w:rsid w:val="00D54D17"/>
    <w:rsid w:val="00D64BAF"/>
    <w:rsid w:val="00D6795C"/>
    <w:rsid w:val="00D67D0D"/>
    <w:rsid w:val="00D7137D"/>
    <w:rsid w:val="00D73523"/>
    <w:rsid w:val="00D7578F"/>
    <w:rsid w:val="00D75C81"/>
    <w:rsid w:val="00D77224"/>
    <w:rsid w:val="00D82B63"/>
    <w:rsid w:val="00D86626"/>
    <w:rsid w:val="00D935F7"/>
    <w:rsid w:val="00D93C28"/>
    <w:rsid w:val="00DA2937"/>
    <w:rsid w:val="00DA2F46"/>
    <w:rsid w:val="00DA31F1"/>
    <w:rsid w:val="00DA41FF"/>
    <w:rsid w:val="00DA4FF7"/>
    <w:rsid w:val="00DA663F"/>
    <w:rsid w:val="00DC17AD"/>
    <w:rsid w:val="00DC1BAE"/>
    <w:rsid w:val="00DC7150"/>
    <w:rsid w:val="00DD3027"/>
    <w:rsid w:val="00DD3DC2"/>
    <w:rsid w:val="00DE6ACE"/>
    <w:rsid w:val="00DF27D1"/>
    <w:rsid w:val="00E01237"/>
    <w:rsid w:val="00E04C6C"/>
    <w:rsid w:val="00E06D9D"/>
    <w:rsid w:val="00E06DA3"/>
    <w:rsid w:val="00E075D3"/>
    <w:rsid w:val="00E1041B"/>
    <w:rsid w:val="00E10AAD"/>
    <w:rsid w:val="00E172C3"/>
    <w:rsid w:val="00E179DC"/>
    <w:rsid w:val="00E179EF"/>
    <w:rsid w:val="00E212E6"/>
    <w:rsid w:val="00E21DD9"/>
    <w:rsid w:val="00E27943"/>
    <w:rsid w:val="00E3270C"/>
    <w:rsid w:val="00E40F27"/>
    <w:rsid w:val="00E4111B"/>
    <w:rsid w:val="00E42DF4"/>
    <w:rsid w:val="00E43F34"/>
    <w:rsid w:val="00E63518"/>
    <w:rsid w:val="00E810F8"/>
    <w:rsid w:val="00E83D89"/>
    <w:rsid w:val="00E85794"/>
    <w:rsid w:val="00E90662"/>
    <w:rsid w:val="00E90E3D"/>
    <w:rsid w:val="00E92042"/>
    <w:rsid w:val="00EA0347"/>
    <w:rsid w:val="00EA1098"/>
    <w:rsid w:val="00EA2F21"/>
    <w:rsid w:val="00EA3154"/>
    <w:rsid w:val="00EB212C"/>
    <w:rsid w:val="00EB5A39"/>
    <w:rsid w:val="00EB5D76"/>
    <w:rsid w:val="00EB76D0"/>
    <w:rsid w:val="00EB7D5A"/>
    <w:rsid w:val="00ED5DE2"/>
    <w:rsid w:val="00EE67B9"/>
    <w:rsid w:val="00EF16F1"/>
    <w:rsid w:val="00F06A49"/>
    <w:rsid w:val="00F12548"/>
    <w:rsid w:val="00F15193"/>
    <w:rsid w:val="00F165B7"/>
    <w:rsid w:val="00F210DD"/>
    <w:rsid w:val="00F21E54"/>
    <w:rsid w:val="00F25B5A"/>
    <w:rsid w:val="00F307B3"/>
    <w:rsid w:val="00F4548C"/>
    <w:rsid w:val="00F45DDE"/>
    <w:rsid w:val="00F518F0"/>
    <w:rsid w:val="00F5784F"/>
    <w:rsid w:val="00F70E27"/>
    <w:rsid w:val="00F715F9"/>
    <w:rsid w:val="00F7466F"/>
    <w:rsid w:val="00F7786F"/>
    <w:rsid w:val="00F82139"/>
    <w:rsid w:val="00F8462E"/>
    <w:rsid w:val="00F953CF"/>
    <w:rsid w:val="00F97BAD"/>
    <w:rsid w:val="00FA5D01"/>
    <w:rsid w:val="00FC1C61"/>
    <w:rsid w:val="00FC5C65"/>
    <w:rsid w:val="00FC780F"/>
    <w:rsid w:val="00FD5A01"/>
    <w:rsid w:val="00FD67BE"/>
    <w:rsid w:val="00FE0A53"/>
    <w:rsid w:val="00FE0D71"/>
    <w:rsid w:val="00FF3412"/>
    <w:rsid w:val="00FF6A4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6A9DA6"/>
  <w15:docId w15:val="{A90AF0B2-E853-4C60-8753-25F9B27EB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Pr>
      <w:lang w:val="en-US"/>
    </w:rPr>
  </w:style>
  <w:style w:type="paragraph" w:styleId="Kop1">
    <w:name w:val="heading 1"/>
    <w:basedOn w:val="Standaard"/>
    <w:next w:val="Standaard"/>
    <w:link w:val="Kop1Char"/>
    <w:uiPriority w:val="9"/>
    <w:qFormat/>
    <w:rsid w:val="00AE0C90"/>
    <w:pPr>
      <w:keepNext/>
      <w:keepLines/>
      <w:spacing w:before="240" w:after="0" w:line="360" w:lineRule="auto"/>
      <w:outlineLvl w:val="0"/>
    </w:pPr>
    <w:rPr>
      <w:rFonts w:ascii="Times New Roman" w:eastAsiaTheme="majorEastAsia" w:hAnsi="Times New Roman" w:cs="Times New Roman"/>
      <w:color w:val="2F5496" w:themeColor="accent1" w:themeShade="BF"/>
      <w:sz w:val="24"/>
      <w:szCs w:val="24"/>
    </w:rPr>
  </w:style>
  <w:style w:type="paragraph" w:styleId="Kop2">
    <w:name w:val="heading 2"/>
    <w:basedOn w:val="Standaard"/>
    <w:next w:val="Standaard"/>
    <w:link w:val="Kop2Char"/>
    <w:uiPriority w:val="9"/>
    <w:unhideWhenUsed/>
    <w:qFormat/>
    <w:rsid w:val="00703A8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unhideWhenUsed/>
    <w:qFormat/>
    <w:rsid w:val="0097156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AE0C90"/>
    <w:rPr>
      <w:rFonts w:ascii="Times New Roman" w:eastAsiaTheme="majorEastAsia" w:hAnsi="Times New Roman" w:cs="Times New Roman"/>
      <w:color w:val="2F5496" w:themeColor="accent1" w:themeShade="BF"/>
      <w:sz w:val="24"/>
      <w:szCs w:val="24"/>
      <w:lang w:val="en-US"/>
    </w:rPr>
  </w:style>
  <w:style w:type="character" w:styleId="Verwijzingopmerking">
    <w:name w:val="annotation reference"/>
    <w:basedOn w:val="Standaardalinea-lettertype"/>
    <w:uiPriority w:val="99"/>
    <w:semiHidden/>
    <w:unhideWhenUsed/>
    <w:rsid w:val="00B968BC"/>
    <w:rPr>
      <w:sz w:val="16"/>
      <w:szCs w:val="16"/>
    </w:rPr>
  </w:style>
  <w:style w:type="paragraph" w:styleId="Tekstopmerking">
    <w:name w:val="annotation text"/>
    <w:basedOn w:val="Standaard"/>
    <w:link w:val="TekstopmerkingChar"/>
    <w:uiPriority w:val="99"/>
    <w:unhideWhenUsed/>
    <w:rsid w:val="00B968BC"/>
    <w:pPr>
      <w:spacing w:line="240" w:lineRule="auto"/>
    </w:pPr>
    <w:rPr>
      <w:sz w:val="20"/>
      <w:szCs w:val="20"/>
    </w:rPr>
  </w:style>
  <w:style w:type="character" w:customStyle="1" w:styleId="TekstopmerkingChar">
    <w:name w:val="Tekst opmerking Char"/>
    <w:basedOn w:val="Standaardalinea-lettertype"/>
    <w:link w:val="Tekstopmerking"/>
    <w:uiPriority w:val="99"/>
    <w:rsid w:val="00B968BC"/>
    <w:rPr>
      <w:sz w:val="20"/>
      <w:szCs w:val="20"/>
      <w:lang w:val="en-US"/>
    </w:rPr>
  </w:style>
  <w:style w:type="paragraph" w:styleId="Onderwerpvanopmerking">
    <w:name w:val="annotation subject"/>
    <w:basedOn w:val="Tekstopmerking"/>
    <w:next w:val="Tekstopmerking"/>
    <w:link w:val="OnderwerpvanopmerkingChar"/>
    <w:uiPriority w:val="99"/>
    <w:semiHidden/>
    <w:unhideWhenUsed/>
    <w:rsid w:val="00B968BC"/>
    <w:rPr>
      <w:b/>
      <w:bCs/>
    </w:rPr>
  </w:style>
  <w:style w:type="character" w:customStyle="1" w:styleId="OnderwerpvanopmerkingChar">
    <w:name w:val="Onderwerp van opmerking Char"/>
    <w:basedOn w:val="TekstopmerkingChar"/>
    <w:link w:val="Onderwerpvanopmerking"/>
    <w:uiPriority w:val="99"/>
    <w:semiHidden/>
    <w:rsid w:val="00B968BC"/>
    <w:rPr>
      <w:b/>
      <w:bCs/>
      <w:sz w:val="20"/>
      <w:szCs w:val="20"/>
      <w:lang w:val="en-US"/>
    </w:rPr>
  </w:style>
  <w:style w:type="paragraph" w:styleId="Koptekst">
    <w:name w:val="header"/>
    <w:basedOn w:val="Standaard"/>
    <w:link w:val="KoptekstChar"/>
    <w:uiPriority w:val="99"/>
    <w:unhideWhenUsed/>
    <w:rsid w:val="00703A89"/>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703A89"/>
    <w:rPr>
      <w:lang w:val="en-US"/>
    </w:rPr>
  </w:style>
  <w:style w:type="paragraph" w:styleId="Voettekst">
    <w:name w:val="footer"/>
    <w:basedOn w:val="Standaard"/>
    <w:link w:val="VoettekstChar"/>
    <w:uiPriority w:val="99"/>
    <w:unhideWhenUsed/>
    <w:rsid w:val="00703A89"/>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703A89"/>
    <w:rPr>
      <w:lang w:val="en-US"/>
    </w:rPr>
  </w:style>
  <w:style w:type="paragraph" w:styleId="Kopvaninhoudsopgave">
    <w:name w:val="TOC Heading"/>
    <w:basedOn w:val="Kop1"/>
    <w:next w:val="Standaard"/>
    <w:uiPriority w:val="39"/>
    <w:unhideWhenUsed/>
    <w:qFormat/>
    <w:rsid w:val="00703A89"/>
    <w:pPr>
      <w:outlineLvl w:val="9"/>
    </w:pPr>
    <w:rPr>
      <w:kern w:val="0"/>
      <w:lang w:val="nl-NL" w:eastAsia="nl-NL"/>
    </w:rPr>
  </w:style>
  <w:style w:type="paragraph" w:styleId="Inhopg1">
    <w:name w:val="toc 1"/>
    <w:basedOn w:val="Standaard"/>
    <w:next w:val="Standaard"/>
    <w:autoRedefine/>
    <w:uiPriority w:val="39"/>
    <w:unhideWhenUsed/>
    <w:rsid w:val="00C7342B"/>
    <w:pPr>
      <w:tabs>
        <w:tab w:val="right" w:leader="dot" w:pos="9062"/>
      </w:tabs>
      <w:spacing w:after="100"/>
    </w:pPr>
  </w:style>
  <w:style w:type="character" w:styleId="Hyperlink">
    <w:name w:val="Hyperlink"/>
    <w:basedOn w:val="Standaardalinea-lettertype"/>
    <w:uiPriority w:val="99"/>
    <w:unhideWhenUsed/>
    <w:rsid w:val="00703A89"/>
    <w:rPr>
      <w:color w:val="0563C1" w:themeColor="hyperlink"/>
      <w:u w:val="single"/>
    </w:rPr>
  </w:style>
  <w:style w:type="character" w:customStyle="1" w:styleId="Kop2Char">
    <w:name w:val="Kop 2 Char"/>
    <w:basedOn w:val="Standaardalinea-lettertype"/>
    <w:link w:val="Kop2"/>
    <w:uiPriority w:val="9"/>
    <w:rsid w:val="00703A89"/>
    <w:rPr>
      <w:rFonts w:asciiTheme="majorHAnsi" w:eastAsiaTheme="majorEastAsia" w:hAnsiTheme="majorHAnsi" w:cstheme="majorBidi"/>
      <w:color w:val="2F5496" w:themeColor="accent1" w:themeShade="BF"/>
      <w:sz w:val="26"/>
      <w:szCs w:val="26"/>
      <w:lang w:val="en-US"/>
    </w:rPr>
  </w:style>
  <w:style w:type="paragraph" w:styleId="Normaalweb">
    <w:name w:val="Normal (Web)"/>
    <w:basedOn w:val="Standaard"/>
    <w:uiPriority w:val="99"/>
    <w:unhideWhenUsed/>
    <w:rsid w:val="00703A89"/>
    <w:pPr>
      <w:spacing w:before="100" w:beforeAutospacing="1" w:after="100" w:afterAutospacing="1" w:line="240" w:lineRule="auto"/>
    </w:pPr>
    <w:rPr>
      <w:rFonts w:ascii="Times New Roman" w:eastAsia="Times New Roman" w:hAnsi="Times New Roman" w:cs="Times New Roman"/>
      <w:kern w:val="0"/>
      <w:sz w:val="24"/>
      <w:szCs w:val="24"/>
      <w:lang w:val="nl-NL" w:eastAsia="nl-NL"/>
    </w:rPr>
  </w:style>
  <w:style w:type="character" w:styleId="Nadruk">
    <w:name w:val="Emphasis"/>
    <w:basedOn w:val="Standaardalinea-lettertype"/>
    <w:uiPriority w:val="20"/>
    <w:qFormat/>
    <w:rsid w:val="00703A89"/>
    <w:rPr>
      <w:i/>
      <w:iCs/>
    </w:rPr>
  </w:style>
  <w:style w:type="paragraph" w:styleId="Inhopg2">
    <w:name w:val="toc 2"/>
    <w:basedOn w:val="Standaard"/>
    <w:next w:val="Standaard"/>
    <w:autoRedefine/>
    <w:uiPriority w:val="39"/>
    <w:unhideWhenUsed/>
    <w:rsid w:val="00CA48DF"/>
    <w:pPr>
      <w:tabs>
        <w:tab w:val="right" w:leader="dot" w:pos="9062"/>
      </w:tabs>
      <w:spacing w:after="100"/>
      <w:ind w:left="220"/>
    </w:pPr>
  </w:style>
  <w:style w:type="character" w:customStyle="1" w:styleId="apple-converted-space">
    <w:name w:val="apple-converted-space"/>
    <w:basedOn w:val="Standaardalinea-lettertype"/>
    <w:rsid w:val="00A90FAF"/>
  </w:style>
  <w:style w:type="character" w:styleId="Onopgelostemelding">
    <w:name w:val="Unresolved Mention"/>
    <w:basedOn w:val="Standaardalinea-lettertype"/>
    <w:uiPriority w:val="99"/>
    <w:semiHidden/>
    <w:unhideWhenUsed/>
    <w:rsid w:val="00C60F05"/>
    <w:rPr>
      <w:color w:val="605E5C"/>
      <w:shd w:val="clear" w:color="auto" w:fill="E1DFDD"/>
    </w:rPr>
  </w:style>
  <w:style w:type="character" w:styleId="GevolgdeHyperlink">
    <w:name w:val="FollowedHyperlink"/>
    <w:basedOn w:val="Standaardalinea-lettertype"/>
    <w:uiPriority w:val="99"/>
    <w:semiHidden/>
    <w:unhideWhenUsed/>
    <w:rsid w:val="00042C40"/>
    <w:rPr>
      <w:color w:val="954F72" w:themeColor="followedHyperlink"/>
      <w:u w:val="single"/>
    </w:rPr>
  </w:style>
  <w:style w:type="table" w:styleId="Tabelraster">
    <w:name w:val="Table Grid"/>
    <w:basedOn w:val="Standaardtabel"/>
    <w:uiPriority w:val="39"/>
    <w:rsid w:val="00E04C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eenafstand">
    <w:name w:val="No Spacing"/>
    <w:link w:val="GeenafstandChar"/>
    <w:uiPriority w:val="1"/>
    <w:qFormat/>
    <w:rsid w:val="004A7EDE"/>
    <w:pPr>
      <w:spacing w:after="0" w:line="240" w:lineRule="auto"/>
    </w:pPr>
    <w:rPr>
      <w:rFonts w:eastAsiaTheme="minorEastAsia"/>
      <w:kern w:val="0"/>
      <w:lang w:eastAsia="nl-NL"/>
    </w:rPr>
  </w:style>
  <w:style w:type="character" w:customStyle="1" w:styleId="GeenafstandChar">
    <w:name w:val="Geen afstand Char"/>
    <w:basedOn w:val="Standaardalinea-lettertype"/>
    <w:link w:val="Geenafstand"/>
    <w:uiPriority w:val="1"/>
    <w:rsid w:val="004A7EDE"/>
    <w:rPr>
      <w:rFonts w:eastAsiaTheme="minorEastAsia"/>
      <w:kern w:val="0"/>
      <w:lang w:eastAsia="nl-NL"/>
    </w:rPr>
  </w:style>
  <w:style w:type="character" w:customStyle="1" w:styleId="Kop3Char">
    <w:name w:val="Kop 3 Char"/>
    <w:basedOn w:val="Standaardalinea-lettertype"/>
    <w:link w:val="Kop3"/>
    <w:uiPriority w:val="9"/>
    <w:rsid w:val="00971562"/>
    <w:rPr>
      <w:rFonts w:asciiTheme="majorHAnsi" w:eastAsiaTheme="majorEastAsia" w:hAnsiTheme="majorHAnsi" w:cstheme="majorBidi"/>
      <w:color w:val="1F3763" w:themeColor="accent1" w:themeShade="7F"/>
      <w:sz w:val="24"/>
      <w:szCs w:val="24"/>
      <w:lang w:val="en-US"/>
    </w:rPr>
  </w:style>
  <w:style w:type="paragraph" w:styleId="Inhopg3">
    <w:name w:val="toc 3"/>
    <w:basedOn w:val="Standaard"/>
    <w:next w:val="Standaard"/>
    <w:autoRedefine/>
    <w:uiPriority w:val="39"/>
    <w:unhideWhenUsed/>
    <w:rsid w:val="00971562"/>
    <w:pPr>
      <w:spacing w:after="100"/>
      <w:ind w:left="440"/>
    </w:pPr>
  </w:style>
  <w:style w:type="paragraph" w:customStyle="1" w:styleId="Stijl1">
    <w:name w:val="Stijl1"/>
    <w:basedOn w:val="Kop1"/>
    <w:uiPriority w:val="99"/>
    <w:qFormat/>
    <w:rsid w:val="00AE0C90"/>
    <w:rPr>
      <w:rFonts w:asciiTheme="majorHAnsi" w:hAnsiTheme="majorHAnsi"/>
      <w:sz w:val="32"/>
      <w:shd w:val="clear" w:color="auto" w:fill="FFFFFF"/>
    </w:rPr>
  </w:style>
  <w:style w:type="paragraph" w:customStyle="1" w:styleId="kj">
    <w:name w:val="kj"/>
    <w:basedOn w:val="Stijl1"/>
    <w:autoRedefine/>
    <w:uiPriority w:val="99"/>
    <w:rsid w:val="00E63518"/>
  </w:style>
  <w:style w:type="paragraph" w:styleId="Revisie">
    <w:name w:val="Revision"/>
    <w:hidden/>
    <w:uiPriority w:val="99"/>
    <w:semiHidden/>
    <w:rsid w:val="007D29DB"/>
    <w:pPr>
      <w:spacing w:after="0" w:line="240" w:lineRule="auto"/>
    </w:pPr>
    <w:rPr>
      <w:lang w:val="en-US"/>
    </w:rPr>
  </w:style>
  <w:style w:type="paragraph" w:customStyle="1" w:styleId="msonormal0">
    <w:name w:val="msonormal"/>
    <w:basedOn w:val="Standaard"/>
    <w:uiPriority w:val="99"/>
    <w:rsid w:val="00312B4B"/>
    <w:pPr>
      <w:spacing w:before="100" w:beforeAutospacing="1" w:after="100" w:afterAutospacing="1" w:line="240" w:lineRule="auto"/>
    </w:pPr>
    <w:rPr>
      <w:rFonts w:ascii="Times New Roman" w:eastAsia="Times New Roman" w:hAnsi="Times New Roman" w:cs="Times New Roman"/>
      <w:kern w:val="0"/>
      <w:sz w:val="24"/>
      <w:szCs w:val="24"/>
      <w:lang w:val="nl-NL"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2299037">
      <w:bodyDiv w:val="1"/>
      <w:marLeft w:val="0"/>
      <w:marRight w:val="0"/>
      <w:marTop w:val="0"/>
      <w:marBottom w:val="0"/>
      <w:divBdr>
        <w:top w:val="none" w:sz="0" w:space="0" w:color="auto"/>
        <w:left w:val="none" w:sz="0" w:space="0" w:color="auto"/>
        <w:bottom w:val="none" w:sz="0" w:space="0" w:color="auto"/>
        <w:right w:val="none" w:sz="0" w:space="0" w:color="auto"/>
      </w:divBdr>
    </w:div>
    <w:div w:id="2027632438">
      <w:bodyDiv w:val="1"/>
      <w:marLeft w:val="0"/>
      <w:marRight w:val="0"/>
      <w:marTop w:val="0"/>
      <w:marBottom w:val="0"/>
      <w:divBdr>
        <w:top w:val="none" w:sz="0" w:space="0" w:color="auto"/>
        <w:left w:val="none" w:sz="0" w:space="0" w:color="auto"/>
        <w:bottom w:val="none" w:sz="0" w:space="0" w:color="auto"/>
        <w:right w:val="none" w:sz="0" w:space="0" w:color="auto"/>
      </w:divBdr>
    </w:div>
    <w:div w:id="2103869305">
      <w:bodyDiv w:val="1"/>
      <w:marLeft w:val="0"/>
      <w:marRight w:val="0"/>
      <w:marTop w:val="0"/>
      <w:marBottom w:val="0"/>
      <w:divBdr>
        <w:top w:val="none" w:sz="0" w:space="0" w:color="auto"/>
        <w:left w:val="none" w:sz="0" w:space="0" w:color="auto"/>
        <w:bottom w:val="none" w:sz="0" w:space="0" w:color="auto"/>
        <w:right w:val="none" w:sz="0" w:space="0" w:color="auto"/>
      </w:divBdr>
      <w:divsChild>
        <w:div w:id="15225897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frontexfiles.eu/en.html%20Accessed%20on%2024-05-2023" TargetMode="External"/><Relationship Id="rId18" Type="http://schemas.openxmlformats.org/officeDocument/2006/relationships/hyperlink" Target="https://www.europarl.europa.eu/olp/en/ordinary-legislative-procedure/overview" TargetMode="External"/><Relationship Id="rId26" Type="http://schemas.openxmlformats.org/officeDocument/2006/relationships/hyperlink" Target="https://frontex.europa.eu/innovation/announcements/announcement-to-industry-gyZ1cF%20%20Accessed%20on%2022-05-2023" TargetMode="External"/><Relationship Id="rId3" Type="http://schemas.openxmlformats.org/officeDocument/2006/relationships/numbering" Target="numbering.xml"/><Relationship Id="rId21" Type="http://schemas.openxmlformats.org/officeDocument/2006/relationships/hyperlink" Target="https://frontex.europa.eu/assets/Key_Documents/Annual_report/2011/General_Report_2011.pdf%20Accessed%20on%2022-05-2023" TargetMode="External"/><Relationship Id="rId7" Type="http://schemas.openxmlformats.org/officeDocument/2006/relationships/footnotes" Target="footnotes.xml"/><Relationship Id="rId12" Type="http://schemas.openxmlformats.org/officeDocument/2006/relationships/hyperlink" Target="https://cordis.europa.eu/programme/id/FP7%20Accessed%20on%2019-05-2023" TargetMode="External"/><Relationship Id="rId17" Type="http://schemas.openxmlformats.org/officeDocument/2006/relationships/hyperlink" Target="https://www.europarl.europa.eu/RegData/etudes/BRIE/2021/690544/EPRS_BRI(2021)690544_EN.pdf" TargetMode="External"/><Relationship Id="rId25" Type="http://schemas.openxmlformats.org/officeDocument/2006/relationships/hyperlink" Target="https://frontex.europa.eu/innovation/announcements/document-challenge-ii-invitation-to-industry-phase-ii-TFKgWg"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european-union.europa.eu/institutions-law-budget/institutions-and-bodies/institutions-and-bodies-profiles/frontex_en" TargetMode="External"/><Relationship Id="rId20" Type="http://schemas.openxmlformats.org/officeDocument/2006/relationships/hyperlink" Target="https://frontex.europa.eu/transparency/accountability/" TargetMode="External"/><Relationship Id="rId29" Type="http://schemas.openxmlformats.org/officeDocument/2006/relationships/hyperlink" Target="https://www.europarl.europa.eu/doceo/document/E-9-2020-002861_EN.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asktheeu.org/en/request/contacts_with_the_defence_and_se_3" TargetMode="External"/><Relationship Id="rId24" Type="http://schemas.openxmlformats.org/officeDocument/2006/relationships/hyperlink" Target="https://frontex.europa.eu/innovation/announcements/invitation-to-attend-an-industry-day-workshop-U4pjcn%20Accessed%20on%2022-05-2023"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ec.europa.eu/commission/presscorner/detail/en/MEMO_15_6332" TargetMode="External"/><Relationship Id="rId23" Type="http://schemas.openxmlformats.org/officeDocument/2006/relationships/hyperlink" Target="https://frontex.europa.eu/transparency/transparency-register/" TargetMode="External"/><Relationship Id="rId28" Type="http://schemas.openxmlformats.org/officeDocument/2006/relationships/hyperlink" Target="https://groenlinks.nl/sites/groenlinks/files/2022-11/T.%20Strik%20-%20Final%20Report.pdf" TargetMode="External"/><Relationship Id="rId10" Type="http://schemas.openxmlformats.org/officeDocument/2006/relationships/image" Target="media/image2.jpeg"/><Relationship Id="rId19" Type="http://schemas.openxmlformats.org/officeDocument/2006/relationships/hyperlink" Target="https://www.ipsnews.net/2013/01/people-pay-for-research-against-migrants/" TargetMode="External"/><Relationship Id="rId31"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gif"/><Relationship Id="rId14" Type="http://schemas.openxmlformats.org/officeDocument/2006/relationships/hyperlink" Target="https://www.ipsnews.net/Library/2013/01/Response-to-Ms-Ciobanu.pdf" TargetMode="External"/><Relationship Id="rId22" Type="http://schemas.openxmlformats.org/officeDocument/2006/relationships/hyperlink" Target="https://frontex.europa.eu/media-centre/news/news-release/european-border-and-coast-guard-agency-launches-rapid-intervention-pool-P93Lhp" TargetMode="External"/><Relationship Id="rId27" Type="http://schemas.openxmlformats.org/officeDocument/2006/relationships/hyperlink" Target="https://frontex.europa.eu/search-results/?q=crisis&amp;p=1" TargetMode="External"/><Relationship Id="rId30" Type="http://schemas.openxmlformats.org/officeDocument/2006/relationships/hyperlink" Target="https://www.trtworld.com/magazine/militarised-borders-are-a-bonanza-for-the-arms-industry-52630%20Accessed%20on%2022-05-2023" TargetMode="External"/><Relationship Id="rId8" Type="http://schemas.openxmlformats.org/officeDocument/2006/relationships/endnotes" Target="endnote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B0E5700-3590-4C17-8095-3CA0B3256E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55</Pages>
  <Words>22113</Words>
  <Characters>121622</Characters>
  <Application>Microsoft Office Word</Application>
  <DocSecurity>0</DocSecurity>
  <Lines>1013</Lines>
  <Paragraphs>286</Paragraphs>
  <ScaleCrop>false</ScaleCrop>
  <HeadingPairs>
    <vt:vector size="2" baseType="variant">
      <vt:variant>
        <vt:lpstr>Titel</vt:lpstr>
      </vt:variant>
      <vt:variant>
        <vt:i4>1</vt:i4>
      </vt:variant>
    </vt:vector>
  </HeadingPairs>
  <TitlesOfParts>
    <vt:vector size="1" baseType="lpstr">
      <vt:lpstr>Frontex: explaining the autonomy of the EU border and coast guard agency</vt:lpstr>
    </vt:vector>
  </TitlesOfParts>
  <Company>Dr. R.A. van der Veer</Company>
  <LinksUpToDate>false</LinksUpToDate>
  <CharactersWithSpaces>143449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Frontex: explaining the autonomy of the EU border and coast guard agency</dc:title>
  <dc:subject/>
  <dc:creator>Tijn Deelen (s1079200)</dc:creator>
  <cp:keywords/>
  <dc:description/>
  <cp:lastModifiedBy>Tijn Deelen</cp:lastModifiedBy>
  <cp:revision>4</cp:revision>
  <dcterms:created xsi:type="dcterms:W3CDTF">2023-11-30T14:44:00Z</dcterms:created>
  <dcterms:modified xsi:type="dcterms:W3CDTF">2023-11-30T14:52:00Z</dcterms:modified>
</cp:coreProperties>
</file>