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Theme="majorHAnsi" w:eastAsiaTheme="majorEastAsia" w:hAnsiTheme="majorHAnsi" w:cstheme="majorBidi"/>
          <w:caps/>
          <w:lang w:val="nl-NL" w:eastAsia="en-US"/>
        </w:rPr>
        <w:id w:val="-336541023"/>
        <w:docPartObj>
          <w:docPartGallery w:val="Cover Pages"/>
          <w:docPartUnique/>
        </w:docPartObj>
      </w:sdtPr>
      <w:sdtEndPr>
        <w:rPr>
          <w:rFonts w:asciiTheme="minorHAnsi" w:eastAsiaTheme="minorHAnsi" w:hAnsiTheme="minorHAnsi" w:cstheme="minorBidi"/>
          <w:caps w:val="0"/>
          <w:lang w:val="en-GB"/>
        </w:rPr>
      </w:sdtEndPr>
      <w:sdtContent>
        <w:tbl>
          <w:tblPr>
            <w:tblW w:w="5000" w:type="pct"/>
            <w:jc w:val="center"/>
            <w:tblLook w:val="04A0" w:firstRow="1" w:lastRow="0" w:firstColumn="1" w:lastColumn="0" w:noHBand="0" w:noVBand="1"/>
          </w:tblPr>
          <w:tblGrid>
            <w:gridCol w:w="9072"/>
          </w:tblGrid>
          <w:tr w:rsidR="009C5E10" w14:paraId="30A3E695" w14:textId="77777777">
            <w:trPr>
              <w:trHeight w:val="2880"/>
              <w:jc w:val="center"/>
            </w:trPr>
            <w:sdt>
              <w:sdtPr>
                <w:rPr>
                  <w:rFonts w:asciiTheme="majorHAnsi" w:eastAsiaTheme="majorEastAsia" w:hAnsiTheme="majorHAnsi" w:cstheme="majorBidi"/>
                  <w:caps/>
                  <w:lang w:val="nl-NL" w:eastAsia="en-US"/>
                </w:rPr>
                <w:alias w:val="Company"/>
                <w:id w:val="15524243"/>
                <w:placeholder>
                  <w:docPart w:val="228A56B126B54060AA27208FD612140B"/>
                </w:placeholder>
                <w:dataBinding w:prefixMappings="xmlns:ns0='http://schemas.openxmlformats.org/officeDocument/2006/extended-properties'" w:xpath="/ns0:Properties[1]/ns0:Company[1]" w:storeItemID="{6668398D-A668-4E3E-A5EB-62B293D839F1}"/>
                <w:text/>
              </w:sdtPr>
              <w:sdtEndPr>
                <w:rPr>
                  <w:lang w:val="en-US" w:eastAsia="ja-JP"/>
                </w:rPr>
              </w:sdtEndPr>
              <w:sdtContent>
                <w:tc>
                  <w:tcPr>
                    <w:tcW w:w="5000" w:type="pct"/>
                  </w:tcPr>
                  <w:p w14:paraId="05809369" w14:textId="451755FA" w:rsidR="009C5E10" w:rsidRDefault="009C5E10" w:rsidP="00C71FE6">
                    <w:pPr>
                      <w:pStyle w:val="NoSpacing"/>
                      <w:spacing w:line="360" w:lineRule="auto"/>
                      <w:jc w:val="center"/>
                      <w:rPr>
                        <w:rFonts w:asciiTheme="majorHAnsi" w:eastAsiaTheme="majorEastAsia" w:hAnsiTheme="majorHAnsi" w:cstheme="majorBidi"/>
                        <w:caps/>
                      </w:rPr>
                    </w:pPr>
                    <w:r>
                      <w:rPr>
                        <w:rFonts w:asciiTheme="majorHAnsi" w:eastAsiaTheme="majorEastAsia" w:hAnsiTheme="majorHAnsi" w:cstheme="majorBidi"/>
                        <w:caps/>
                        <w:lang w:val="nl-NL"/>
                      </w:rPr>
                      <w:t>Radboud Universiteit Nijmegen</w:t>
                    </w:r>
                  </w:p>
                </w:tc>
              </w:sdtContent>
            </w:sdt>
          </w:tr>
          <w:tr w:rsidR="009C5E10" w:rsidRPr="002D3401" w14:paraId="78228D6C" w14:textId="77777777">
            <w:trPr>
              <w:trHeight w:val="1440"/>
              <w:jc w:val="center"/>
            </w:trPr>
            <w:sdt>
              <w:sdtPr>
                <w:rPr>
                  <w:rFonts w:asciiTheme="majorHAnsi" w:eastAsiaTheme="majorEastAsia" w:hAnsiTheme="majorHAnsi" w:cstheme="majorBidi"/>
                  <w:sz w:val="80"/>
                  <w:szCs w:val="80"/>
                </w:rPr>
                <w:alias w:val="Title"/>
                <w:id w:val="15524250"/>
                <w:placeholder>
                  <w:docPart w:val="7C4B51194E75445F85641C4317AA1E51"/>
                </w:placeholder>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single" w:sz="4" w:space="0" w:color="5B9BD5" w:themeColor="accent1"/>
                    </w:tcBorders>
                    <w:vAlign w:val="center"/>
                  </w:tcPr>
                  <w:p w14:paraId="1AD1A7E4" w14:textId="046128B9" w:rsidR="009C5E10" w:rsidRDefault="009C5E10" w:rsidP="00C71FE6">
                    <w:pPr>
                      <w:pStyle w:val="NoSpacing"/>
                      <w:spacing w:line="360" w:lineRule="auto"/>
                      <w:jc w:val="center"/>
                      <w:rPr>
                        <w:rFonts w:asciiTheme="majorHAnsi" w:eastAsiaTheme="majorEastAsia" w:hAnsiTheme="majorHAnsi" w:cstheme="majorBidi"/>
                        <w:sz w:val="80"/>
                        <w:szCs w:val="80"/>
                      </w:rPr>
                    </w:pPr>
                    <w:r>
                      <w:rPr>
                        <w:rFonts w:asciiTheme="majorHAnsi" w:eastAsiaTheme="majorEastAsia" w:hAnsiTheme="majorHAnsi" w:cstheme="majorBidi"/>
                        <w:sz w:val="80"/>
                        <w:szCs w:val="80"/>
                      </w:rPr>
                      <w:t xml:space="preserve">EU Industrial Policy: Vertical Aid in Battery Production </w:t>
                    </w:r>
                  </w:p>
                </w:tc>
              </w:sdtContent>
            </w:sdt>
          </w:tr>
          <w:tr w:rsidR="009C5E10" w:rsidRPr="002D3401" w14:paraId="50A3B12D" w14:textId="77777777">
            <w:trPr>
              <w:trHeight w:val="720"/>
              <w:jc w:val="center"/>
            </w:trPr>
            <w:sdt>
              <w:sdtPr>
                <w:rPr>
                  <w:rFonts w:asciiTheme="majorHAnsi" w:eastAsiaTheme="majorEastAsia" w:hAnsiTheme="majorHAnsi" w:cstheme="majorBidi"/>
                  <w:sz w:val="44"/>
                  <w:szCs w:val="44"/>
                </w:rPr>
                <w:alias w:val="Subtitle"/>
                <w:id w:val="15524255"/>
                <w:placeholder>
                  <w:docPart w:val="F779107305604EE4B6D1EA458367A70F"/>
                </w:placeholder>
                <w:dataBinding w:prefixMappings="xmlns:ns0='http://schemas.openxmlformats.org/package/2006/metadata/core-properties' xmlns:ns1='http://purl.org/dc/elements/1.1/'" w:xpath="/ns0:coreProperties[1]/ns1:subject[1]" w:storeItemID="{6C3C8BC8-F283-45AE-878A-BAB7291924A1}"/>
                <w:text/>
              </w:sdtPr>
              <w:sdtEndPr/>
              <w:sdtContent>
                <w:tc>
                  <w:tcPr>
                    <w:tcW w:w="5000" w:type="pct"/>
                    <w:tcBorders>
                      <w:top w:val="single" w:sz="4" w:space="0" w:color="5B9BD5" w:themeColor="accent1"/>
                    </w:tcBorders>
                    <w:vAlign w:val="center"/>
                  </w:tcPr>
                  <w:p w14:paraId="60985FE5" w14:textId="2C43F5B7" w:rsidR="009C5E10" w:rsidRDefault="009C5E10" w:rsidP="00C71FE6">
                    <w:pPr>
                      <w:pStyle w:val="NoSpacing"/>
                      <w:spacing w:line="360" w:lineRule="auto"/>
                      <w:jc w:val="center"/>
                      <w:rPr>
                        <w:rFonts w:asciiTheme="majorHAnsi" w:eastAsiaTheme="majorEastAsia" w:hAnsiTheme="majorHAnsi" w:cstheme="majorBidi"/>
                        <w:sz w:val="44"/>
                        <w:szCs w:val="44"/>
                      </w:rPr>
                    </w:pPr>
                    <w:r>
                      <w:rPr>
                        <w:rFonts w:asciiTheme="majorHAnsi" w:eastAsiaTheme="majorEastAsia" w:hAnsiTheme="majorHAnsi" w:cstheme="majorBidi"/>
                        <w:sz w:val="44"/>
                        <w:szCs w:val="44"/>
                      </w:rPr>
                      <w:t xml:space="preserve">How the Commission </w:t>
                    </w:r>
                    <w:r w:rsidR="00D548FF">
                      <w:rPr>
                        <w:rFonts w:asciiTheme="majorHAnsi" w:eastAsiaTheme="majorEastAsia" w:hAnsiTheme="majorHAnsi" w:cstheme="majorBidi"/>
                        <w:sz w:val="44"/>
                        <w:szCs w:val="44"/>
                      </w:rPr>
                      <w:t>partook in a</w:t>
                    </w:r>
                    <w:r>
                      <w:rPr>
                        <w:rFonts w:asciiTheme="majorHAnsi" w:eastAsiaTheme="majorEastAsia" w:hAnsiTheme="majorHAnsi" w:cstheme="majorBidi"/>
                        <w:sz w:val="44"/>
                        <w:szCs w:val="44"/>
                      </w:rPr>
                      <w:t xml:space="preserve"> Paradigm shift</w:t>
                    </w:r>
                  </w:p>
                </w:tc>
              </w:sdtContent>
            </w:sdt>
          </w:tr>
          <w:tr w:rsidR="009C5E10" w:rsidRPr="002D3401" w14:paraId="15597891" w14:textId="77777777">
            <w:trPr>
              <w:trHeight w:val="360"/>
              <w:jc w:val="center"/>
            </w:trPr>
            <w:tc>
              <w:tcPr>
                <w:tcW w:w="5000" w:type="pct"/>
                <w:vAlign w:val="center"/>
              </w:tcPr>
              <w:p w14:paraId="32D0F526" w14:textId="77777777" w:rsidR="009C5E10" w:rsidRDefault="009C5E10" w:rsidP="00C71FE6">
                <w:pPr>
                  <w:pStyle w:val="NoSpacing"/>
                  <w:spacing w:line="360" w:lineRule="auto"/>
                  <w:jc w:val="center"/>
                </w:pPr>
              </w:p>
            </w:tc>
          </w:tr>
          <w:tr w:rsidR="009C5E10" w14:paraId="6C5DF0B9" w14:textId="77777777">
            <w:trPr>
              <w:trHeight w:val="360"/>
              <w:jc w:val="center"/>
            </w:trPr>
            <w:sdt>
              <w:sdtPr>
                <w:rPr>
                  <w:b/>
                  <w:bCs/>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tc>
                  <w:tcPr>
                    <w:tcW w:w="5000" w:type="pct"/>
                    <w:vAlign w:val="center"/>
                  </w:tcPr>
                  <w:p w14:paraId="24730A46" w14:textId="6D86811A" w:rsidR="009C5E10" w:rsidRPr="009C5E10" w:rsidRDefault="009C5E10" w:rsidP="00C71FE6">
                    <w:pPr>
                      <w:pStyle w:val="NoSpacing"/>
                      <w:spacing w:line="360" w:lineRule="auto"/>
                      <w:jc w:val="center"/>
                      <w:rPr>
                        <w:b/>
                        <w:bCs/>
                        <w:lang w:val="nl-NL"/>
                      </w:rPr>
                    </w:pPr>
                    <w:r>
                      <w:rPr>
                        <w:b/>
                        <w:bCs/>
                        <w:lang w:val="nl-NL"/>
                      </w:rPr>
                      <w:t>Liebergen, J.J.A.M.S. van (Sjef) s4077822</w:t>
                    </w:r>
                  </w:p>
                </w:tc>
              </w:sdtContent>
            </w:sdt>
          </w:tr>
          <w:tr w:rsidR="009C5E10" w14:paraId="04C50D85" w14:textId="77777777">
            <w:trPr>
              <w:trHeight w:val="360"/>
              <w:jc w:val="center"/>
            </w:trPr>
            <w:sdt>
              <w:sdtPr>
                <w:rPr>
                  <w:b/>
                  <w:bCs/>
                </w:rPr>
                <w:alias w:val="Date"/>
                <w:id w:val="516659546"/>
                <w:dataBinding w:prefixMappings="xmlns:ns0='http://schemas.microsoft.com/office/2006/coverPageProps'" w:xpath="/ns0:CoverPageProperties[1]/ns0:PublishDate[1]" w:storeItemID="{55AF091B-3C7A-41E3-B477-F2FDAA23CFDA}"/>
                <w:date w:fullDate="2020-08-17T00:00:00Z">
                  <w:dateFormat w:val="M/d/yyyy"/>
                  <w:lid w:val="en-US"/>
                  <w:storeMappedDataAs w:val="dateTime"/>
                  <w:calendar w:val="gregorian"/>
                </w:date>
              </w:sdtPr>
              <w:sdtEndPr/>
              <w:sdtContent>
                <w:tc>
                  <w:tcPr>
                    <w:tcW w:w="5000" w:type="pct"/>
                    <w:vAlign w:val="center"/>
                  </w:tcPr>
                  <w:p w14:paraId="6AE8EC7B" w14:textId="3F0E21FA" w:rsidR="009C5E10" w:rsidRDefault="00503502" w:rsidP="00C71FE6">
                    <w:pPr>
                      <w:pStyle w:val="NoSpacing"/>
                      <w:spacing w:line="360" w:lineRule="auto"/>
                      <w:jc w:val="center"/>
                      <w:rPr>
                        <w:b/>
                        <w:bCs/>
                      </w:rPr>
                    </w:pPr>
                    <w:r>
                      <w:rPr>
                        <w:b/>
                        <w:bCs/>
                      </w:rPr>
                      <w:t>8/17/2020</w:t>
                    </w:r>
                  </w:p>
                </w:tc>
              </w:sdtContent>
            </w:sdt>
          </w:tr>
        </w:tbl>
        <w:p w14:paraId="16A44AE9" w14:textId="77777777" w:rsidR="009C5E10" w:rsidRDefault="009C5E10" w:rsidP="00C71FE6">
          <w:pPr>
            <w:spacing w:line="360" w:lineRule="auto"/>
          </w:pPr>
        </w:p>
        <w:p w14:paraId="17D1C849" w14:textId="77777777" w:rsidR="00C71FE6" w:rsidRDefault="00C71FE6" w:rsidP="00C71FE6">
          <w:pPr>
            <w:spacing w:after="0" w:line="240" w:lineRule="auto"/>
            <w:rPr>
              <w:lang w:val="en-GB"/>
            </w:rPr>
          </w:pPr>
          <w:r>
            <w:rPr>
              <w:lang w:val="en-GB"/>
            </w:rPr>
            <w:t xml:space="preserve">Thesis Submitted in Partial Fulfilment of the Requirements </w:t>
          </w:r>
        </w:p>
        <w:p w14:paraId="65FD64DF" w14:textId="77777777" w:rsidR="00C71FE6" w:rsidRDefault="00C71FE6" w:rsidP="00C71FE6">
          <w:pPr>
            <w:spacing w:after="0" w:line="240" w:lineRule="auto"/>
            <w:rPr>
              <w:lang w:val="en-GB"/>
            </w:rPr>
          </w:pPr>
          <w:r>
            <w:rPr>
              <w:lang w:val="en-GB"/>
            </w:rPr>
            <w:t>for the Degree of Master in Political Science (MSc)</w:t>
          </w:r>
        </w:p>
        <w:p w14:paraId="45139C5F" w14:textId="77777777" w:rsidR="00C71FE6" w:rsidRDefault="00C71FE6" w:rsidP="00C71FE6">
          <w:pPr>
            <w:spacing w:after="0" w:line="240" w:lineRule="auto"/>
            <w:rPr>
              <w:lang w:val="en-GB"/>
            </w:rPr>
          </w:pPr>
        </w:p>
        <w:p w14:paraId="1C62CECB" w14:textId="77777777" w:rsidR="00C71FE6" w:rsidRDefault="00C71FE6" w:rsidP="00C71FE6">
          <w:pPr>
            <w:spacing w:after="0" w:line="240" w:lineRule="auto"/>
            <w:rPr>
              <w:lang w:val="en-GB"/>
            </w:rPr>
          </w:pPr>
          <w:r>
            <w:rPr>
              <w:lang w:val="en-GB"/>
            </w:rPr>
            <w:t>Specialisation: IPE</w:t>
          </w:r>
        </w:p>
        <w:p w14:paraId="15A3F2E7" w14:textId="77777777" w:rsidR="00C71FE6" w:rsidRDefault="00C71FE6" w:rsidP="00C71FE6">
          <w:pPr>
            <w:spacing w:after="0" w:line="240" w:lineRule="auto"/>
            <w:rPr>
              <w:lang w:val="en-GB"/>
            </w:rPr>
          </w:pPr>
          <w:r>
            <w:rPr>
              <w:lang w:val="en-GB"/>
            </w:rPr>
            <w:t>Supervisor: Professor Angela Wigger</w:t>
          </w:r>
        </w:p>
        <w:p w14:paraId="4DAA4163" w14:textId="77777777" w:rsidR="00C71FE6" w:rsidRDefault="00C71FE6" w:rsidP="00C71FE6">
          <w:pPr>
            <w:spacing w:after="0" w:line="240" w:lineRule="auto"/>
            <w:rPr>
              <w:lang w:val="en-GB"/>
            </w:rPr>
          </w:pPr>
          <w:r>
            <w:rPr>
              <w:lang w:val="en-GB"/>
            </w:rPr>
            <w:t>Faculty: Nijmegen School of Management</w:t>
          </w:r>
        </w:p>
        <w:p w14:paraId="37DA8AD6" w14:textId="77777777" w:rsidR="009C5E10" w:rsidRDefault="009C5E10" w:rsidP="00C71FE6">
          <w:pPr>
            <w:spacing w:line="360" w:lineRule="auto"/>
          </w:pPr>
        </w:p>
        <w:tbl>
          <w:tblPr>
            <w:tblpPr w:leftFromText="187" w:rightFromText="187" w:horzAnchor="margin" w:tblpXSpec="center" w:tblpYSpec="bottom"/>
            <w:tblW w:w="5000" w:type="pct"/>
            <w:tblLook w:val="04A0" w:firstRow="1" w:lastRow="0" w:firstColumn="1" w:lastColumn="0" w:noHBand="0" w:noVBand="1"/>
          </w:tblPr>
          <w:tblGrid>
            <w:gridCol w:w="9072"/>
          </w:tblGrid>
          <w:tr w:rsidR="009C5E10" w:rsidRPr="002D3401" w14:paraId="4C702E94" w14:textId="77777777">
            <w:sdt>
              <w:sdtPr>
                <w:rPr>
                  <w:rFonts w:cstheme="minorHAnsi"/>
                  <w:lang w:val="en-GB"/>
                </w:rPr>
                <w:alias w:val="Abstract"/>
                <w:id w:val="8276291"/>
                <w:dataBinding w:prefixMappings="xmlns:ns0='http://schemas.microsoft.com/office/2006/coverPageProps'" w:xpath="/ns0:CoverPageProperties[1]/ns0:Abstract[1]" w:storeItemID="{55AF091B-3C7A-41E3-B477-F2FDAA23CFDA}"/>
                <w:text/>
              </w:sdtPr>
              <w:sdtEndPr/>
              <w:sdtContent>
                <w:tc>
                  <w:tcPr>
                    <w:tcW w:w="5000" w:type="pct"/>
                  </w:tcPr>
                  <w:p w14:paraId="560D0470" w14:textId="090E8F22" w:rsidR="009C5E10" w:rsidRDefault="009C5E10" w:rsidP="00C71FE6">
                    <w:pPr>
                      <w:pStyle w:val="NoSpacing"/>
                      <w:spacing w:line="360" w:lineRule="auto"/>
                    </w:pPr>
                    <w:r w:rsidRPr="009C5E10">
                      <w:rPr>
                        <w:rFonts w:cstheme="minorHAnsi"/>
                        <w:lang w:val="en-GB"/>
                      </w:rPr>
                      <w:t>December 2019 the European Commission approved €</w:t>
                    </w:r>
                    <w:r w:rsidR="002573C1">
                      <w:rPr>
                        <w:rFonts w:cstheme="minorHAnsi"/>
                        <w:lang w:val="en-GB"/>
                      </w:rPr>
                      <w:t>3</w:t>
                    </w:r>
                    <w:r w:rsidRPr="009C5E10">
                      <w:rPr>
                        <w:rFonts w:cstheme="minorHAnsi"/>
                        <w:lang w:val="en-GB"/>
                      </w:rPr>
                      <w:t>.2</w:t>
                    </w:r>
                    <w:r>
                      <w:rPr>
                        <w:rFonts w:cstheme="minorHAnsi"/>
                        <w:lang w:val="en-GB"/>
                      </w:rPr>
                      <w:t xml:space="preserve"> billion in state aid to create a European car battery value chain under the notion of green growth and industrial prowess. </w:t>
                    </w:r>
                    <w:r w:rsidR="00D548FF">
                      <w:rPr>
                        <w:rFonts w:cstheme="minorHAnsi"/>
                        <w:lang w:val="en-GB"/>
                      </w:rPr>
                      <w:t xml:space="preserve">This action reveals an apparent break with previous policy, constituting a break from horizontal to vertical industrial policy. This paper seeks to first establish whether or not the EU experienced a break. </w:t>
                    </w:r>
                    <w:r w:rsidR="00D548FF">
                      <w:rPr>
                        <w:rFonts w:cstheme="minorHAnsi"/>
                        <w:lang w:val="en-GB"/>
                      </w:rPr>
                      <w:lastRenderedPageBreak/>
                      <w:t xml:space="preserve">After which, this insight is validated through HI paradigm shift theory. It leads the paper to a causal mechanism in which minimum causes for a shift are laid bare. This article argues that the EU in fact did not experience a paradigm shift, as vertical policy was already in place. As multiple INUS causes appear inconclusive or absent, theory supports the inference that a shift did not take place. </w:t>
                    </w:r>
                  </w:p>
                </w:tc>
              </w:sdtContent>
            </w:sdt>
          </w:tr>
        </w:tbl>
        <w:p w14:paraId="6ABA7FA6" w14:textId="77777777" w:rsidR="002D3401" w:rsidRDefault="00C71FE6">
          <w:pPr>
            <w:rPr>
              <w:lang w:val="en-GB"/>
            </w:rPr>
            <w:sectPr w:rsidR="002D3401" w:rsidSect="009C5E10">
              <w:footerReference w:type="default" r:id="rId9"/>
              <w:pgSz w:w="11906" w:h="16838"/>
              <w:pgMar w:top="1417" w:right="1417" w:bottom="1417" w:left="1417" w:header="708" w:footer="708" w:gutter="0"/>
              <w:pgNumType w:start="0"/>
              <w:cols w:space="708"/>
              <w:titlePg/>
              <w:docGrid w:linePitch="360"/>
            </w:sectPr>
          </w:pPr>
          <w:r>
            <w:rPr>
              <w:lang w:val="en-GB"/>
            </w:rPr>
            <w:lastRenderedPageBreak/>
            <w:br w:type="page"/>
          </w:r>
        </w:p>
        <w:p w14:paraId="7E722186" w14:textId="180D873B" w:rsidR="000C236B" w:rsidRDefault="000C236B" w:rsidP="00C71FE6">
          <w:pPr>
            <w:spacing w:line="360" w:lineRule="auto"/>
            <w:rPr>
              <w:lang w:val="en-GB"/>
            </w:rPr>
          </w:pPr>
          <w:r>
            <w:rPr>
              <w:lang w:val="en-GB"/>
            </w:rPr>
            <w:lastRenderedPageBreak/>
            <w:t>T</w:t>
          </w:r>
          <w:r w:rsidR="003D634D">
            <w:rPr>
              <w:lang w:val="en-GB"/>
            </w:rPr>
            <w:t>he</w:t>
          </w:r>
          <w:r>
            <w:rPr>
              <w:lang w:val="en-GB"/>
            </w:rPr>
            <w:t xml:space="preserve"> golden age of continental Europe in the thirty years following World War II was not to last.</w:t>
          </w:r>
          <w:r w:rsidR="003D634D">
            <w:rPr>
              <w:lang w:val="en-GB"/>
            </w:rPr>
            <w:t xml:space="preserve"> </w:t>
          </w:r>
          <w:r>
            <w:rPr>
              <w:lang w:val="en-GB"/>
            </w:rPr>
            <w:t>A</w:t>
          </w:r>
          <w:r w:rsidR="003D634D">
            <w:rPr>
              <w:lang w:val="en-GB"/>
            </w:rPr>
            <w:t xml:space="preserve"> group of policy makers set their sights on </w:t>
          </w:r>
          <w:r>
            <w:rPr>
              <w:lang w:val="en-GB"/>
            </w:rPr>
            <w:t xml:space="preserve">turning around Keynesianism in favour of monetarism. The oil crises of the 70s and the ensuing economic malaise </w:t>
          </w:r>
          <w:r w:rsidR="00934B61">
            <w:rPr>
              <w:lang w:val="en-GB"/>
            </w:rPr>
            <w:t>proved</w:t>
          </w:r>
          <w:r>
            <w:rPr>
              <w:lang w:val="en-GB"/>
            </w:rPr>
            <w:t xml:space="preserve"> an opportunity to overthrow the old state interventionism in favour of a slimmed down state bound by fiscal discipline and leaving economic affairs to the free market. Laissez faire policy proved to be unstable, however, but it required another crisis to break with the </w:t>
          </w:r>
          <w:r w:rsidR="00934B61">
            <w:rPr>
              <w:lang w:val="en-GB"/>
            </w:rPr>
            <w:t>neoliberal</w:t>
          </w:r>
          <w:r>
            <w:rPr>
              <w:lang w:val="en-GB"/>
            </w:rPr>
            <w:t xml:space="preserve"> paradigm. Such was the belief of </w:t>
          </w:r>
          <w:proofErr w:type="spellStart"/>
          <w:r>
            <w:rPr>
              <w:lang w:val="en-GB"/>
            </w:rPr>
            <w:t>Keynesianists</w:t>
          </w:r>
          <w:proofErr w:type="spellEnd"/>
          <w:r>
            <w:rPr>
              <w:lang w:val="en-GB"/>
            </w:rPr>
            <w:t xml:space="preserve"> who sought to revive former role of the state in market affairs. All the ingredients were in place, but did they succeed?</w:t>
          </w:r>
          <w:r w:rsidR="002827DF">
            <w:rPr>
              <w:lang w:val="en-GB"/>
            </w:rPr>
            <w:t xml:space="preserve"> Some argue yes, pointing out in the wake of the 2008 Great Financial Crisis and 2010 Euro Crisis the nationalisation of banks, high levels of state aid, and the implementation of stricter rules in fi</w:t>
          </w:r>
          <w:r w:rsidR="002D3401">
            <w:rPr>
              <w:lang w:val="en-GB"/>
            </w:rPr>
            <w:t>nancial policy. Others disagree;</w:t>
          </w:r>
          <w:r w:rsidR="002827DF">
            <w:rPr>
              <w:lang w:val="en-GB"/>
            </w:rPr>
            <w:t xml:space="preserve"> </w:t>
          </w:r>
          <w:r w:rsidR="00260EF1">
            <w:rPr>
              <w:lang w:val="en-GB"/>
            </w:rPr>
            <w:t>they signify the argued policy implications were merely temporary</w:t>
          </w:r>
          <w:r w:rsidR="00934B61">
            <w:rPr>
              <w:lang w:val="en-GB"/>
            </w:rPr>
            <w:t>,</w:t>
          </w:r>
          <w:r w:rsidR="00260EF1">
            <w:rPr>
              <w:lang w:val="en-GB"/>
            </w:rPr>
            <w:t xml:space="preserve"> indicating that no paradigm shift actually took place. Now, n</w:t>
          </w:r>
          <w:r w:rsidR="002827DF">
            <w:rPr>
              <w:lang w:val="en-GB"/>
            </w:rPr>
            <w:t xml:space="preserve">ew proof </w:t>
          </w:r>
          <w:r w:rsidR="00260EF1">
            <w:rPr>
              <w:lang w:val="en-GB"/>
            </w:rPr>
            <w:t>may</w:t>
          </w:r>
          <w:r w:rsidR="002827DF">
            <w:rPr>
              <w:lang w:val="en-GB"/>
            </w:rPr>
            <w:t xml:space="preserve"> </w:t>
          </w:r>
          <w:r w:rsidR="00260EF1">
            <w:rPr>
              <w:lang w:val="en-GB"/>
            </w:rPr>
            <w:t>mark a turn around</w:t>
          </w:r>
          <w:r w:rsidR="002827DF">
            <w:rPr>
              <w:lang w:val="en-GB"/>
            </w:rPr>
            <w:t xml:space="preserve"> </w:t>
          </w:r>
          <w:r w:rsidR="00260EF1">
            <w:rPr>
              <w:lang w:val="en-GB"/>
            </w:rPr>
            <w:t xml:space="preserve">and illustrate the re-emergence of the </w:t>
          </w:r>
          <w:r w:rsidR="00260EF1" w:rsidRPr="00260EF1">
            <w:rPr>
              <w:lang w:val="en-GB"/>
            </w:rPr>
            <w:t>Keynesian</w:t>
          </w:r>
          <w:r w:rsidR="002827DF">
            <w:rPr>
              <w:lang w:val="en-GB"/>
            </w:rPr>
            <w:t xml:space="preserve"> ways of old within the EU. </w:t>
          </w:r>
        </w:p>
      </w:sdtContent>
    </w:sdt>
    <w:p w14:paraId="02ECC73D" w14:textId="215F2158" w:rsidR="00260EF1" w:rsidRDefault="00673487" w:rsidP="00C71FE6">
      <w:pPr>
        <w:spacing w:line="360" w:lineRule="auto"/>
        <w:rPr>
          <w:lang w:val="en-GB"/>
        </w:rPr>
      </w:pPr>
      <w:r>
        <w:rPr>
          <w:lang w:val="en-GB"/>
        </w:rPr>
        <w:t xml:space="preserve">A Commission approved Member State subsidy for the creation of European car battery industry embodies the new evidence. </w:t>
      </w:r>
      <w:r w:rsidR="000F5052">
        <w:rPr>
          <w:lang w:val="en-GB"/>
        </w:rPr>
        <w:t xml:space="preserve">The December 2019 authorisation concerns an amount of </w:t>
      </w:r>
      <w:r w:rsidR="000F5052">
        <w:rPr>
          <w:rFonts w:cstheme="minorHAnsi"/>
          <w:lang w:val="en-GB"/>
        </w:rPr>
        <w:t>€</w:t>
      </w:r>
      <w:r w:rsidR="002573C1">
        <w:rPr>
          <w:lang w:val="en-GB"/>
        </w:rPr>
        <w:t>3</w:t>
      </w:r>
      <w:r w:rsidR="000F5052">
        <w:rPr>
          <w:lang w:val="en-GB"/>
        </w:rPr>
        <w:t xml:space="preserve">.2 billion in aid paid to seventeen industries by six Member States. Through these subsidies the Commission, the relevant Member States, and the firms involved hope to establish a car battery value chain which is able to operate independent from suppliers outside the EU. </w:t>
      </w:r>
      <w:r>
        <w:rPr>
          <w:lang w:val="en-GB"/>
        </w:rPr>
        <w:t xml:space="preserve">Why is this of concern? After all, the Commission and the Member States </w:t>
      </w:r>
      <w:r w:rsidR="00221453">
        <w:rPr>
          <w:lang w:val="en-GB"/>
        </w:rPr>
        <w:t>are no stranger to</w:t>
      </w:r>
      <w:r>
        <w:rPr>
          <w:lang w:val="en-GB"/>
        </w:rPr>
        <w:t xml:space="preserve"> industrial policy. </w:t>
      </w:r>
      <w:r w:rsidR="00221453">
        <w:rPr>
          <w:lang w:val="en-GB"/>
        </w:rPr>
        <w:t xml:space="preserve">The act of targeting specific firms for subsidy, as with the battery project, generally translates to vertical policy. The interventionist nature of vertical policy defies the market mannerism of horizontal policy. Rather than creating an equal playing field through policy as would fit a neoliberal state, the government instead picks winners, effectively side-lining the optimal allocation of capital through market forces. This paper functions as a deeper insight into this alleged shift from vertical to horizontal policy by the European Commission.  </w:t>
      </w:r>
    </w:p>
    <w:p w14:paraId="19D03039" w14:textId="382536A9" w:rsidR="00944A67" w:rsidRDefault="002973B1" w:rsidP="00C71FE6">
      <w:pPr>
        <w:spacing w:line="360" w:lineRule="auto"/>
        <w:rPr>
          <w:lang w:val="en-GB"/>
        </w:rPr>
      </w:pPr>
      <w:r>
        <w:rPr>
          <w:lang w:val="en-GB"/>
        </w:rPr>
        <w:t>In order to determine whether or not the approval constitutes a paradigm shift within EU industrial policy this paper first creates a framework by which to define industrial policy. In particular it sets out to illustrate the distinction between horizontal and vertical policy. Guided by th</w:t>
      </w:r>
      <w:r w:rsidR="00944A67">
        <w:rPr>
          <w:lang w:val="en-GB"/>
        </w:rPr>
        <w:t>is</w:t>
      </w:r>
      <w:r>
        <w:rPr>
          <w:lang w:val="en-GB"/>
        </w:rPr>
        <w:t xml:space="preserve"> framework the paper turns to empiric</w:t>
      </w:r>
      <w:r w:rsidR="00944A67">
        <w:rPr>
          <w:lang w:val="en-GB"/>
        </w:rPr>
        <w:t>al</w:t>
      </w:r>
      <w:r>
        <w:rPr>
          <w:lang w:val="en-GB"/>
        </w:rPr>
        <w:t xml:space="preserve"> </w:t>
      </w:r>
      <w:r w:rsidR="00944A67">
        <w:rPr>
          <w:lang w:val="en-GB"/>
        </w:rPr>
        <w:t xml:space="preserve">evidence in order to establish whether the project constitutes vertical policy or not. Consequently, previous EU industrial policy is </w:t>
      </w:r>
      <w:r w:rsidR="00AB4988">
        <w:rPr>
          <w:lang w:val="en-GB"/>
        </w:rPr>
        <w:t>submitted</w:t>
      </w:r>
      <w:r w:rsidR="00944A67">
        <w:rPr>
          <w:lang w:val="en-GB"/>
        </w:rPr>
        <w:t xml:space="preserve"> to the same test, which ultimately illustrates whether the EU experienced a paradigm shift in industrial policy.</w:t>
      </w:r>
    </w:p>
    <w:p w14:paraId="7889B34C" w14:textId="06AEBA27" w:rsidR="002973B1" w:rsidRDefault="00944A67" w:rsidP="00C71FE6">
      <w:pPr>
        <w:spacing w:line="360" w:lineRule="auto"/>
        <w:rPr>
          <w:lang w:val="en-GB"/>
        </w:rPr>
      </w:pPr>
      <w:r>
        <w:rPr>
          <w:lang w:val="en-GB"/>
        </w:rPr>
        <w:t xml:space="preserve">Rather than relying solely on the premise of industrial theory, this paper aims to validate its assertion on a shift through a causal mechanism designed </w:t>
      </w:r>
      <w:r w:rsidR="00EB5B51">
        <w:rPr>
          <w:lang w:val="en-GB"/>
        </w:rPr>
        <w:t xml:space="preserve">to establish minimal causes required to create a paradigm shift. The mechanism, as </w:t>
      </w:r>
      <w:r w:rsidR="00AB4988">
        <w:rPr>
          <w:lang w:val="en-GB"/>
        </w:rPr>
        <w:t xml:space="preserve">a </w:t>
      </w:r>
      <w:r w:rsidR="00EB5B51">
        <w:rPr>
          <w:lang w:val="en-GB"/>
        </w:rPr>
        <w:t xml:space="preserve">part of process tracing, follows the logic of Historical </w:t>
      </w:r>
      <w:r w:rsidR="00EB5B51">
        <w:rPr>
          <w:lang w:val="en-GB"/>
        </w:rPr>
        <w:lastRenderedPageBreak/>
        <w:t xml:space="preserve">Institutionalism. Based on this strand of political theory the article first encapsulates the notion of a paradigm shift. In short, it embodies a radical break with the orthodoxy in which a challenger idea takes its place as the new paradigm. </w:t>
      </w:r>
      <w:r w:rsidR="00B757BB">
        <w:rPr>
          <w:lang w:val="en-GB"/>
        </w:rPr>
        <w:t xml:space="preserve">A shift does not form lightly, however. It requires a minimal amount of events in order to materialise. First and foremost, to instigate change there ought to be a crisis situation which creates a critical juncture. This provokes four minimal causes which explain how the new overthrows the old. There need be a policy shortcoming, or gap, to which the challenger knows the remedy. There need form new coalitions. Policy areas beyond industry ought to follow a similar path. Finally, the masses should support the change. Additional empirical research -alongside the </w:t>
      </w:r>
      <w:r w:rsidR="000F43E1">
        <w:rPr>
          <w:lang w:val="en-GB"/>
        </w:rPr>
        <w:t>establishment</w:t>
      </w:r>
      <w:r w:rsidR="00B757BB">
        <w:rPr>
          <w:lang w:val="en-GB"/>
        </w:rPr>
        <w:t xml:space="preserve"> of current and previous industrial policy- will determine </w:t>
      </w:r>
      <w:r w:rsidR="000F43E1">
        <w:rPr>
          <w:lang w:val="en-GB"/>
        </w:rPr>
        <w:t xml:space="preserve">whether possible EU policy alterations followed the logical steps as put forward under HI theory. </w:t>
      </w:r>
    </w:p>
    <w:p w14:paraId="39F81EE3" w14:textId="1AB26155" w:rsidR="00637A84" w:rsidRDefault="000F43E1" w:rsidP="00C71FE6">
      <w:pPr>
        <w:spacing w:line="360" w:lineRule="auto"/>
        <w:rPr>
          <w:lang w:val="en-GB"/>
        </w:rPr>
        <w:sectPr w:rsidR="00637A84" w:rsidSect="009C5E10">
          <w:headerReference w:type="first" r:id="rId10"/>
          <w:pgSz w:w="11906" w:h="16838"/>
          <w:pgMar w:top="1417" w:right="1417" w:bottom="1417" w:left="1417" w:header="708" w:footer="708" w:gutter="0"/>
          <w:pgNumType w:start="0"/>
          <w:cols w:space="708"/>
          <w:titlePg/>
          <w:docGrid w:linePitch="360"/>
        </w:sectPr>
      </w:pPr>
      <w:r>
        <w:rPr>
          <w:lang w:val="en-GB"/>
        </w:rPr>
        <w:t xml:space="preserve">Presented as a question, this article sets out to answer </w:t>
      </w:r>
      <w:r w:rsidRPr="00123CD3">
        <w:rPr>
          <w:i/>
          <w:lang w:val="en-GB"/>
        </w:rPr>
        <w:t>Why did the EU approve subsidies for a car battery alliance and does it constitute a paradigm shift in EU industrial policy</w:t>
      </w:r>
      <w:r>
        <w:rPr>
          <w:i/>
          <w:lang w:val="en-GB"/>
        </w:rPr>
        <w:t>?</w:t>
      </w:r>
      <w:r>
        <w:rPr>
          <w:lang w:val="en-GB"/>
        </w:rPr>
        <w:t xml:space="preserve"> Research commences with a general overview of what has been written on the subject of paradigm shifts </w:t>
      </w:r>
      <w:r w:rsidR="00014401">
        <w:rPr>
          <w:lang w:val="en-GB"/>
        </w:rPr>
        <w:t>theory</w:t>
      </w:r>
      <w:r>
        <w:rPr>
          <w:lang w:val="en-GB"/>
        </w:rPr>
        <w:t xml:space="preserve"> </w:t>
      </w:r>
      <w:r w:rsidR="00014401">
        <w:rPr>
          <w:lang w:val="en-GB"/>
        </w:rPr>
        <w:t>and whether other authors inferred a paradigm shift has taken place</w:t>
      </w:r>
      <w:r>
        <w:rPr>
          <w:lang w:val="en-GB"/>
        </w:rPr>
        <w:t xml:space="preserve">. This is followed by a conceptualisation of </w:t>
      </w:r>
      <w:r w:rsidR="00014401">
        <w:rPr>
          <w:lang w:val="en-GB"/>
        </w:rPr>
        <w:t>industrial policy and paradigm shifts, respectively</w:t>
      </w:r>
      <w:r>
        <w:rPr>
          <w:lang w:val="en-GB"/>
        </w:rPr>
        <w:t xml:space="preserve">. Based on those findings the paper establishes a methodology </w:t>
      </w:r>
      <w:r w:rsidR="00442197">
        <w:rPr>
          <w:lang w:val="en-GB"/>
        </w:rPr>
        <w:t>through which it may identify a shift and reconstruct a causal mechanism which guides the minimal requirements. All in all it leads this paper to answer five hypotheses which serve as markers for the empirical research. Finally, the findings on the hypotheses he</w:t>
      </w:r>
      <w:r w:rsidR="00232751">
        <w:rPr>
          <w:lang w:val="en-GB"/>
        </w:rPr>
        <w:t>lp answer the central question. As customary, the paper closes off with a number of caveats</w:t>
      </w:r>
      <w:r w:rsidR="00AB4988">
        <w:rPr>
          <w:lang w:val="en-GB"/>
        </w:rPr>
        <w:t xml:space="preserve"> and recommendations</w:t>
      </w:r>
      <w:r w:rsidR="00232751">
        <w:rPr>
          <w:lang w:val="en-GB"/>
        </w:rPr>
        <w:t xml:space="preserve">.  </w:t>
      </w:r>
    </w:p>
    <w:p w14:paraId="2E000FB8" w14:textId="0456C905" w:rsidR="00B8478C" w:rsidRPr="002F0363" w:rsidRDefault="00B8478C" w:rsidP="00C71FE6">
      <w:pPr>
        <w:spacing w:line="360" w:lineRule="auto"/>
        <w:rPr>
          <w:lang w:val="en-GB"/>
        </w:rPr>
      </w:pPr>
      <w:r>
        <w:rPr>
          <w:lang w:val="en-GB"/>
        </w:rPr>
        <w:lastRenderedPageBreak/>
        <w:t xml:space="preserve">This paper divides the theoretical framework in previous works on industrial policy and previous works on policy change; the former being more related to the case and the latter providing more of a background on the theory under discussion here. Firstly, in terms of theorising policy change there are those who assume rational agency. The work of Kenneth Benoit exemplifies the role of rationality in policy change. As a result of rationality politicians are aware of all outcomes and should this agent of change have the power to alter policy he or she will, if it helps them gain power in later elections </w:t>
      </w:r>
      <w:r w:rsidR="00C173EA" w:rsidRPr="00934157">
        <w:rPr>
          <w:noProof/>
          <w:lang w:val="en-GB"/>
        </w:rPr>
        <w:t>(Benoit, 2004</w:t>
      </w:r>
      <w:r w:rsidR="00C173EA">
        <w:rPr>
          <w:noProof/>
          <w:lang w:val="en-GB"/>
        </w:rPr>
        <w:t>: 364</w:t>
      </w:r>
      <w:r w:rsidR="00C173EA" w:rsidRPr="00934157">
        <w:rPr>
          <w:noProof/>
          <w:lang w:val="en-GB"/>
        </w:rPr>
        <w:t>)</w:t>
      </w:r>
      <w:r>
        <w:rPr>
          <w:lang w:val="en-GB"/>
        </w:rPr>
        <w:t xml:space="preserve">. Alternatively, rational choice institutionalism reserves more room for structure. As parties not always control a fiat of power, legislators may turn to logrolling. This “favour for </w:t>
      </w:r>
      <w:r w:rsidR="00EB786D">
        <w:rPr>
          <w:lang w:val="en-GB"/>
        </w:rPr>
        <w:t>a favour” may be time consuming. T</w:t>
      </w:r>
      <w:r>
        <w:rPr>
          <w:lang w:val="en-GB"/>
        </w:rPr>
        <w:t xml:space="preserve">he institutions function to lower the transaction costs of deals, whereby speeding up the process </w:t>
      </w:r>
      <w:r w:rsidRPr="007D2781">
        <w:rPr>
          <w:noProof/>
          <w:lang w:val="en-GB"/>
        </w:rPr>
        <w:t>(Hall &amp; Taylor, 1996</w:t>
      </w:r>
      <w:r w:rsidR="00C173EA">
        <w:rPr>
          <w:noProof/>
          <w:lang w:val="en-GB"/>
        </w:rPr>
        <w:t xml:space="preserve">: </w:t>
      </w:r>
      <w:r>
        <w:rPr>
          <w:noProof/>
          <w:lang w:val="en-GB"/>
        </w:rPr>
        <w:t>8</w:t>
      </w:r>
      <w:r w:rsidRPr="007D2781">
        <w:rPr>
          <w:noProof/>
          <w:lang w:val="en-GB"/>
        </w:rPr>
        <w:t>)</w:t>
      </w:r>
      <w:r>
        <w:rPr>
          <w:lang w:val="en-GB"/>
        </w:rPr>
        <w:t xml:space="preserve">. Not all assume rational agents, however. Other institutionalists indicate that policy makers only have limited information available due to the complexities of the world, thus being unable to account for all variables </w:t>
      </w:r>
      <w:r w:rsidRPr="00E73807">
        <w:rPr>
          <w:noProof/>
          <w:lang w:val="en-GB"/>
        </w:rPr>
        <w:t>(Mahoney &amp; Thelen, 2010</w:t>
      </w:r>
      <w:r w:rsidR="00C173EA">
        <w:rPr>
          <w:noProof/>
          <w:lang w:val="en-GB"/>
        </w:rPr>
        <w:t>: 11</w:t>
      </w:r>
      <w:r w:rsidRPr="00E73807">
        <w:rPr>
          <w:noProof/>
          <w:lang w:val="en-GB"/>
        </w:rPr>
        <w:t>)</w:t>
      </w:r>
      <w:r>
        <w:rPr>
          <w:lang w:val="en-GB"/>
        </w:rPr>
        <w:t>.  Culturally based theorists argue that agents are driven by preferences; they are not based on increasing efficien</w:t>
      </w:r>
      <w:r w:rsidR="00EB786D">
        <w:rPr>
          <w:lang w:val="en-GB"/>
        </w:rPr>
        <w:t>cy of their rule, rather policy</w:t>
      </w:r>
      <w:r w:rsidR="00671B80">
        <w:rPr>
          <w:lang w:val="en-GB"/>
        </w:rPr>
        <w:t xml:space="preserve"> </w:t>
      </w:r>
      <w:r>
        <w:rPr>
          <w:lang w:val="en-GB"/>
        </w:rPr>
        <w:t xml:space="preserve">makers change policy in order to augment legitimacy </w:t>
      </w:r>
      <w:r w:rsidRPr="009D4450">
        <w:rPr>
          <w:noProof/>
          <w:lang w:val="en-GB"/>
        </w:rPr>
        <w:t>(</w:t>
      </w:r>
      <w:r>
        <w:rPr>
          <w:noProof/>
          <w:lang w:val="en-GB"/>
        </w:rPr>
        <w:t>14</w:t>
      </w:r>
      <w:r w:rsidRPr="009D4450">
        <w:rPr>
          <w:noProof/>
          <w:lang w:val="en-GB"/>
        </w:rPr>
        <w:t>)</w:t>
      </w:r>
      <w:r>
        <w:rPr>
          <w:lang w:val="en-GB"/>
        </w:rPr>
        <w:t xml:space="preserve">. Renwick approaches change in a similar manner, arguing that politicians are principle driven and agents can push for reform by means of mass support </w:t>
      </w:r>
      <w:r w:rsidR="005A52DF" w:rsidRPr="00C173EA">
        <w:rPr>
          <w:noProof/>
          <w:lang w:val="en-GB"/>
        </w:rPr>
        <w:t>(Renwick, 2010</w:t>
      </w:r>
      <w:r w:rsidR="005A52DF">
        <w:rPr>
          <w:noProof/>
          <w:lang w:val="en-GB"/>
        </w:rPr>
        <w:t>: 252</w:t>
      </w:r>
      <w:r w:rsidR="005A52DF" w:rsidRPr="00C173EA">
        <w:rPr>
          <w:noProof/>
          <w:lang w:val="en-GB"/>
        </w:rPr>
        <w:t>)</w:t>
      </w:r>
      <w:r>
        <w:rPr>
          <w:lang w:val="en-GB"/>
        </w:rPr>
        <w:t xml:space="preserve">. However, both approaches appear zealous in their assumptions on rational versus social agents. </w:t>
      </w:r>
      <w:r>
        <w:rPr>
          <w:i/>
          <w:lang w:val="en-GB"/>
        </w:rPr>
        <w:t xml:space="preserve">Historical </w:t>
      </w:r>
      <w:r>
        <w:rPr>
          <w:lang w:val="en-GB"/>
        </w:rPr>
        <w:t xml:space="preserve">institutionalism (HI) provides room for both, combining the best (unless performed poorly) of two worlds. The HI approach is therefore the preferred option for his paper as it combines both calculus and cultural </w:t>
      </w:r>
      <w:r w:rsidRPr="002F0363">
        <w:rPr>
          <w:noProof/>
          <w:lang w:val="en-GB"/>
        </w:rPr>
        <w:t>(Hall &amp; Taylor, 1996</w:t>
      </w:r>
      <w:r w:rsidR="00C173EA">
        <w:rPr>
          <w:noProof/>
          <w:lang w:val="en-GB"/>
        </w:rPr>
        <w:t xml:space="preserve">: </w:t>
      </w:r>
      <w:r>
        <w:rPr>
          <w:noProof/>
          <w:lang w:val="en-GB"/>
        </w:rPr>
        <w:t>20</w:t>
      </w:r>
      <w:r w:rsidRPr="002F0363">
        <w:rPr>
          <w:noProof/>
          <w:lang w:val="en-GB"/>
        </w:rPr>
        <w:t>)</w:t>
      </w:r>
      <w:r>
        <w:rPr>
          <w:lang w:val="en-GB"/>
        </w:rPr>
        <w:t xml:space="preserve">.  </w:t>
      </w:r>
    </w:p>
    <w:p w14:paraId="5367C874" w14:textId="3D1A86E6" w:rsidR="00B8478C" w:rsidRDefault="00EB786D" w:rsidP="00C71FE6">
      <w:pPr>
        <w:spacing w:line="360" w:lineRule="auto"/>
        <w:rPr>
          <w:lang w:val="en-GB"/>
        </w:rPr>
      </w:pPr>
      <w:r>
        <w:rPr>
          <w:lang w:val="en-GB"/>
        </w:rPr>
        <w:t xml:space="preserve">Though rational, cultural, and historical institutionalisms are all rather structural they do </w:t>
      </w:r>
      <w:r w:rsidR="00B8478C">
        <w:rPr>
          <w:lang w:val="en-GB"/>
        </w:rPr>
        <w:t>provide room for agency, with institutions providing structure through procedures, norms and conventions.</w:t>
      </w:r>
      <w:r>
        <w:rPr>
          <w:lang w:val="en-GB"/>
        </w:rPr>
        <w:t xml:space="preserve"> On the other hand</w:t>
      </w:r>
      <w:r w:rsidR="00B8478C">
        <w:rPr>
          <w:lang w:val="en-GB"/>
        </w:rPr>
        <w:t xml:space="preserve"> </w:t>
      </w:r>
      <w:r>
        <w:rPr>
          <w:lang w:val="en-GB"/>
        </w:rPr>
        <w:t>s</w:t>
      </w:r>
      <w:r w:rsidR="00B8478C">
        <w:rPr>
          <w:lang w:val="en-GB"/>
        </w:rPr>
        <w:t xml:space="preserve">tructuralists such as </w:t>
      </w:r>
      <w:r w:rsidR="00B8478C" w:rsidRPr="00426E2C">
        <w:rPr>
          <w:lang w:val="en-GB"/>
        </w:rPr>
        <w:t>c</w:t>
      </w:r>
      <w:r>
        <w:rPr>
          <w:lang w:val="en-GB"/>
        </w:rPr>
        <w:t>ritical political economists and</w:t>
      </w:r>
      <w:r w:rsidR="00B8478C" w:rsidRPr="00426E2C">
        <w:rPr>
          <w:lang w:val="en-GB"/>
        </w:rPr>
        <w:t xml:space="preserve"> regulation theorists, </w:t>
      </w:r>
      <w:r>
        <w:rPr>
          <w:lang w:val="en-GB"/>
        </w:rPr>
        <w:t xml:space="preserve">also </w:t>
      </w:r>
      <w:r w:rsidR="00B8478C" w:rsidRPr="00426E2C">
        <w:rPr>
          <w:lang w:val="en-GB"/>
        </w:rPr>
        <w:t xml:space="preserve">allow for agents to be </w:t>
      </w:r>
      <w:r>
        <w:rPr>
          <w:lang w:val="en-GB"/>
        </w:rPr>
        <w:t xml:space="preserve">actual </w:t>
      </w:r>
      <w:r w:rsidR="00B8478C">
        <w:rPr>
          <w:lang w:val="en-GB"/>
        </w:rPr>
        <w:t xml:space="preserve">engines of change. </w:t>
      </w:r>
      <w:r>
        <w:rPr>
          <w:lang w:val="en-GB"/>
        </w:rPr>
        <w:t>They first</w:t>
      </w:r>
      <w:r w:rsidR="00B8478C">
        <w:rPr>
          <w:lang w:val="en-GB"/>
        </w:rPr>
        <w:t xml:space="preserve"> emphasize the contradictions and class struggles within capitalism that make the ideology susceptible to crises </w:t>
      </w:r>
      <w:r w:rsidR="005A52DF" w:rsidRPr="00C173EA">
        <w:rPr>
          <w:noProof/>
          <w:lang w:val="en-GB"/>
        </w:rPr>
        <w:t>(Harvey, 2014</w:t>
      </w:r>
      <w:r w:rsidR="005A52DF">
        <w:rPr>
          <w:noProof/>
          <w:lang w:val="en-GB"/>
        </w:rPr>
        <w:t>: 2</w:t>
      </w:r>
      <w:r w:rsidR="005A52DF" w:rsidRPr="00C173EA">
        <w:rPr>
          <w:noProof/>
          <w:lang w:val="en-GB"/>
        </w:rPr>
        <w:t>)</w:t>
      </w:r>
      <w:r w:rsidR="00B8478C">
        <w:rPr>
          <w:lang w:val="en-GB"/>
        </w:rPr>
        <w:t xml:space="preserve">. Institutions function as a force which stabilises the capitalist process of capital accumulations, at least temporarily </w:t>
      </w:r>
      <w:r w:rsidR="001D07A0" w:rsidRPr="00C173EA">
        <w:rPr>
          <w:noProof/>
          <w:lang w:val="en-GB"/>
        </w:rPr>
        <w:t>(Gordon, Edwards, &amp; Reich, 1982</w:t>
      </w:r>
      <w:r w:rsidR="001D07A0">
        <w:rPr>
          <w:noProof/>
          <w:lang w:val="en-GB"/>
        </w:rPr>
        <w:t>: 41</w:t>
      </w:r>
      <w:r w:rsidR="001D07A0" w:rsidRPr="00C173EA">
        <w:rPr>
          <w:noProof/>
          <w:lang w:val="en-GB"/>
        </w:rPr>
        <w:t>)</w:t>
      </w:r>
      <w:r w:rsidR="00B8478C">
        <w:rPr>
          <w:lang w:val="en-GB"/>
        </w:rPr>
        <w:t xml:space="preserve">. The institutions change through processes of political struggles in which fractions vie for power </w:t>
      </w:r>
      <w:r w:rsidR="00B75CB1" w:rsidRPr="00C173EA">
        <w:rPr>
          <w:noProof/>
          <w:lang w:val="en-GB"/>
        </w:rPr>
        <w:t>(Buch-Hansen, 2018</w:t>
      </w:r>
      <w:r w:rsidR="00B75CB1">
        <w:rPr>
          <w:noProof/>
          <w:lang w:val="en-GB"/>
        </w:rPr>
        <w:t>: 146</w:t>
      </w:r>
      <w:r w:rsidR="00B75CB1" w:rsidRPr="00C173EA">
        <w:rPr>
          <w:noProof/>
          <w:lang w:val="en-GB"/>
        </w:rPr>
        <w:t>)</w:t>
      </w:r>
      <w:r w:rsidR="00B8478C">
        <w:rPr>
          <w:lang w:val="en-GB"/>
        </w:rPr>
        <w:t xml:space="preserve">. It is only during crises that it allows for significant institutional alterations, as it is at these moments that power relations rebalance the most and new ideas can challenge the unstable paradigm </w:t>
      </w:r>
      <w:r w:rsidR="001D07A0" w:rsidRPr="00C173EA">
        <w:rPr>
          <w:noProof/>
          <w:lang w:val="en-GB"/>
        </w:rPr>
        <w:t>(Cox, 1987</w:t>
      </w:r>
      <w:r w:rsidR="001D07A0">
        <w:rPr>
          <w:noProof/>
          <w:lang w:val="en-GB"/>
        </w:rPr>
        <w:t>: 269-271</w:t>
      </w:r>
      <w:r w:rsidR="001D07A0" w:rsidRPr="00C173EA">
        <w:rPr>
          <w:noProof/>
          <w:lang w:val="en-GB"/>
        </w:rPr>
        <w:t>)</w:t>
      </w:r>
      <w:r w:rsidR="00B8478C">
        <w:rPr>
          <w:lang w:val="en-GB"/>
        </w:rPr>
        <w:t xml:space="preserve">. A fraction presents a way out of the crisis and on the road to supremacy forms alliances in order for its idea to become the new hegemon </w:t>
      </w:r>
      <w:r w:rsidR="001D07A0" w:rsidRPr="00C173EA">
        <w:rPr>
          <w:noProof/>
          <w:lang w:val="en-GB"/>
        </w:rPr>
        <w:t>(Buch-Hansen, 2018</w:t>
      </w:r>
      <w:r w:rsidR="001D07A0">
        <w:rPr>
          <w:noProof/>
          <w:lang w:val="en-GB"/>
        </w:rPr>
        <w:t>: 146</w:t>
      </w:r>
      <w:r w:rsidR="001D07A0" w:rsidRPr="00C173EA">
        <w:rPr>
          <w:noProof/>
          <w:lang w:val="en-GB"/>
        </w:rPr>
        <w:t>)</w:t>
      </w:r>
      <w:r w:rsidR="00B8478C">
        <w:rPr>
          <w:lang w:val="en-GB"/>
        </w:rPr>
        <w:t>. Regulatio</w:t>
      </w:r>
      <w:r>
        <w:rPr>
          <w:lang w:val="en-GB"/>
        </w:rPr>
        <w:t>n</w:t>
      </w:r>
      <w:r w:rsidR="00B8478C">
        <w:rPr>
          <w:lang w:val="en-GB"/>
        </w:rPr>
        <w:t xml:space="preserve"> theorists criticize HI for being unable to explain the cause of crises, and that it lacks theorisation on the circumstances for change </w:t>
      </w:r>
      <w:r w:rsidR="001D07A0" w:rsidRPr="00C173EA">
        <w:rPr>
          <w:noProof/>
          <w:lang w:val="en-GB"/>
        </w:rPr>
        <w:t>(Wigger &amp; Buch-Hansen, 2014</w:t>
      </w:r>
      <w:r w:rsidR="001D07A0">
        <w:rPr>
          <w:noProof/>
          <w:lang w:val="en-GB"/>
        </w:rPr>
        <w:t>: 116</w:t>
      </w:r>
      <w:r w:rsidR="001D07A0" w:rsidRPr="00C173EA">
        <w:rPr>
          <w:noProof/>
          <w:lang w:val="en-GB"/>
        </w:rPr>
        <w:t>)</w:t>
      </w:r>
      <w:r w:rsidR="00B8478C">
        <w:rPr>
          <w:lang w:val="en-GB"/>
        </w:rPr>
        <w:t xml:space="preserve">. The argument for unsatisfactory description of </w:t>
      </w:r>
      <w:r w:rsidR="00B8478C">
        <w:rPr>
          <w:lang w:val="en-GB"/>
        </w:rPr>
        <w:lastRenderedPageBreak/>
        <w:t>circumstances is however based on a classic</w:t>
      </w:r>
      <w:r>
        <w:rPr>
          <w:lang w:val="en-GB"/>
        </w:rPr>
        <w:t>al</w:t>
      </w:r>
      <w:r w:rsidR="00B8478C">
        <w:rPr>
          <w:lang w:val="en-GB"/>
        </w:rPr>
        <w:t xml:space="preserve"> perception of HI. As a result of ideational</w:t>
      </w:r>
      <w:r w:rsidR="00B75CB1">
        <w:rPr>
          <w:lang w:val="en-GB"/>
        </w:rPr>
        <w:t>-</w:t>
      </w:r>
      <w:r w:rsidR="00B8478C">
        <w:rPr>
          <w:lang w:val="en-GB"/>
        </w:rPr>
        <w:t xml:space="preserve"> and discursive institutionalist influences </w:t>
      </w:r>
      <w:r w:rsidR="00B75CB1" w:rsidRPr="00C173EA">
        <w:rPr>
          <w:noProof/>
          <w:lang w:val="en-GB"/>
        </w:rPr>
        <w:t>(Hogan, 2019</w:t>
      </w:r>
      <w:r w:rsidR="00B75CB1">
        <w:rPr>
          <w:noProof/>
          <w:lang w:val="en-GB"/>
        </w:rPr>
        <w:t>: 175</w:t>
      </w:r>
      <w:r w:rsidR="00B75CB1" w:rsidRPr="00C173EA">
        <w:rPr>
          <w:noProof/>
          <w:lang w:val="en-GB"/>
        </w:rPr>
        <w:t>)</w:t>
      </w:r>
      <w:r w:rsidR="00B8478C">
        <w:rPr>
          <w:lang w:val="en-GB"/>
        </w:rPr>
        <w:t xml:space="preserve"> HI developed a causal mechanism which is very similar to the circumstances proposed under regulation theory. It seems arbitrary to include ideational factors which are now rooted in regulation theory, but ignore those same developments in (historical) institutionalism. As for the inability to explain the causes of crises</w:t>
      </w:r>
      <w:r w:rsidR="00014401">
        <w:rPr>
          <w:lang w:val="en-GB"/>
        </w:rPr>
        <w:t>;</w:t>
      </w:r>
      <w:r w:rsidR="00B8478C">
        <w:rPr>
          <w:lang w:val="en-GB"/>
        </w:rPr>
        <w:t xml:space="preserve"> it is not the aim of this paper to explain the causes of crises, but rather the consequences. Second, the addition of this crisis-ridden assumption leads to a paradox. The circumstances required for change include a policy failure, which translates to the dominant political project being unable to explain the crisis due to it being an anomaly. </w:t>
      </w:r>
      <w:r w:rsidR="00014401">
        <w:rPr>
          <w:lang w:val="en-GB"/>
        </w:rPr>
        <w:t>By definition</w:t>
      </w:r>
      <w:r w:rsidR="00B8478C">
        <w:rPr>
          <w:lang w:val="en-GB"/>
        </w:rPr>
        <w:t>, an inherent, systematic occurrence which acts as an anomaly marks an inconsistency. As a result there is no real policy failure, which means no opportunity appears in which a policy gap opens up for a challenger idea to fill. If both assumptions hold true, change is never possible. This paper favours HI as it wants to avoid this inescapable structure, rejecting the notion of the systematic crises of capitalism</w:t>
      </w:r>
      <w:r w:rsidR="00B8478C" w:rsidRPr="00426E2C">
        <w:rPr>
          <w:lang w:val="en-GB"/>
        </w:rPr>
        <w:t xml:space="preserve"> </w:t>
      </w:r>
      <w:r w:rsidR="00B8478C">
        <w:rPr>
          <w:lang w:val="en-GB"/>
        </w:rPr>
        <w:t xml:space="preserve">in the process. </w:t>
      </w:r>
    </w:p>
    <w:p w14:paraId="48E4FC6E" w14:textId="77777777" w:rsidR="005D7FF0" w:rsidRDefault="00B8478C" w:rsidP="00C71FE6">
      <w:pPr>
        <w:spacing w:line="360" w:lineRule="auto"/>
        <w:rPr>
          <w:lang w:val="en-GB"/>
        </w:rPr>
        <w:sectPr w:rsidR="005D7FF0">
          <w:headerReference w:type="default" r:id="rId11"/>
          <w:pgSz w:w="11906" w:h="16838"/>
          <w:pgMar w:top="1417" w:right="1417" w:bottom="1417" w:left="1417" w:header="708" w:footer="708" w:gutter="0"/>
          <w:cols w:space="708"/>
          <w:docGrid w:linePitch="360"/>
        </w:sectPr>
      </w:pPr>
      <w:r>
        <w:rPr>
          <w:lang w:val="en-GB"/>
        </w:rPr>
        <w:t>Beyond the theoretical premises scholars provided insights on whether the EU experienced a paradigm shift</w:t>
      </w:r>
      <w:r w:rsidRPr="007C0902">
        <w:rPr>
          <w:lang w:val="en-GB"/>
        </w:rPr>
        <w:t xml:space="preserve"> </w:t>
      </w:r>
      <w:r>
        <w:rPr>
          <w:lang w:val="en-GB"/>
        </w:rPr>
        <w:t xml:space="preserve">following the Great Recession and Euro Crisis. Braun finds that there indeed has been a significant ideational shift in monetary terms, based on the post-crisis interwoven fiscal and monetary policy; policy areas which previously were strictly separated </w:t>
      </w:r>
      <w:r w:rsidRPr="002C7F0A">
        <w:rPr>
          <w:noProof/>
          <w:lang w:val="en-GB"/>
        </w:rPr>
        <w:t>(Braun, 2015</w:t>
      </w:r>
      <w:r>
        <w:rPr>
          <w:noProof/>
          <w:lang w:val="en-GB"/>
        </w:rPr>
        <w:t>: 435</w:t>
      </w:r>
      <w:r w:rsidRPr="002C7F0A">
        <w:rPr>
          <w:noProof/>
          <w:lang w:val="en-GB"/>
        </w:rPr>
        <w:t>)</w:t>
      </w:r>
      <w:r>
        <w:rPr>
          <w:lang w:val="en-GB"/>
        </w:rPr>
        <w:t xml:space="preserve">. In a 2014 regulation paper Wigger and Buch-Hansen argue that rather than observing a paradigm shift in EU competition regulation, the trade block merely experienced a temporary crisis response to the crisis in the form of state aid to the financial sector </w:t>
      </w:r>
      <w:r w:rsidRPr="002C7F0A">
        <w:rPr>
          <w:noProof/>
          <w:lang w:val="en-GB"/>
        </w:rPr>
        <w:t>(Wigger &amp; Buch-Hansen, 2014</w:t>
      </w:r>
      <w:r>
        <w:rPr>
          <w:noProof/>
          <w:lang w:val="en-GB"/>
        </w:rPr>
        <w:t>: 131</w:t>
      </w:r>
      <w:r w:rsidRPr="002C7F0A">
        <w:rPr>
          <w:noProof/>
          <w:lang w:val="en-GB"/>
        </w:rPr>
        <w:t>)</w:t>
      </w:r>
      <w:r>
        <w:rPr>
          <w:lang w:val="en-GB"/>
        </w:rPr>
        <w:t xml:space="preserve">. That same year De Ville and </w:t>
      </w:r>
      <w:proofErr w:type="spellStart"/>
      <w:r>
        <w:rPr>
          <w:lang w:val="en-GB"/>
        </w:rPr>
        <w:t>Orbie</w:t>
      </w:r>
      <w:proofErr w:type="spellEnd"/>
      <w:r>
        <w:rPr>
          <w:lang w:val="en-GB"/>
        </w:rPr>
        <w:t xml:space="preserve"> argued the EU consolidated its neoliberal position in trade policy following the Great Recession and Euro Crisis </w:t>
      </w:r>
      <w:r w:rsidRPr="00967B3F">
        <w:rPr>
          <w:noProof/>
          <w:lang w:val="en-GB"/>
        </w:rPr>
        <w:t>(Ville &amp; Orbie, 2014</w:t>
      </w:r>
      <w:r>
        <w:rPr>
          <w:noProof/>
          <w:lang w:val="en-GB"/>
        </w:rPr>
        <w:t>: 162</w:t>
      </w:r>
      <w:r w:rsidRPr="00967B3F">
        <w:rPr>
          <w:noProof/>
          <w:lang w:val="en-GB"/>
        </w:rPr>
        <w:t>)</w:t>
      </w:r>
      <w:r>
        <w:rPr>
          <w:lang w:val="en-GB"/>
        </w:rPr>
        <w:t xml:space="preserve">. Along the same lines earlier work from Stein forbade continuance of the neoliberal paradigm as states merely “fix” the orthodoxy </w:t>
      </w:r>
      <w:r w:rsidR="00014401">
        <w:rPr>
          <w:lang w:val="en-GB"/>
        </w:rPr>
        <w:t>in</w:t>
      </w:r>
      <w:r>
        <w:rPr>
          <w:lang w:val="en-GB"/>
        </w:rPr>
        <w:t xml:space="preserve"> response to the Great Recession </w:t>
      </w:r>
      <w:r w:rsidRPr="006A1130">
        <w:rPr>
          <w:noProof/>
          <w:lang w:val="en-GB"/>
        </w:rPr>
        <w:t>(Stein, 2012</w:t>
      </w:r>
      <w:r>
        <w:rPr>
          <w:noProof/>
          <w:lang w:val="en-GB"/>
        </w:rPr>
        <w:t>: 435</w:t>
      </w:r>
      <w:r w:rsidRPr="006A1130">
        <w:rPr>
          <w:noProof/>
          <w:lang w:val="en-GB"/>
        </w:rPr>
        <w:t>)</w:t>
      </w:r>
      <w:r>
        <w:rPr>
          <w:lang w:val="en-GB"/>
        </w:rPr>
        <w:t xml:space="preserve">. Mackintosh, on the other hand, recognized the macro prudential measures which regulated risk in finance as a shift which mitigated the boom-bust cycle </w:t>
      </w:r>
      <w:r w:rsidR="005F301D" w:rsidRPr="005F301D">
        <w:rPr>
          <w:noProof/>
          <w:lang w:val="en-GB"/>
        </w:rPr>
        <w:t>(Mackintosh, 2015: 6)</w:t>
      </w:r>
      <w:r w:rsidRPr="005F301D">
        <w:rPr>
          <w:lang w:val="en-GB"/>
        </w:rPr>
        <w:t>.</w:t>
      </w:r>
      <w:r>
        <w:rPr>
          <w:lang w:val="en-GB"/>
        </w:rPr>
        <w:t xml:space="preserve"> </w:t>
      </w:r>
      <w:r w:rsidR="00014401">
        <w:rPr>
          <w:lang w:val="en-GB"/>
        </w:rPr>
        <w:t xml:space="preserve">In terms of </w:t>
      </w:r>
      <w:r w:rsidR="00014401">
        <w:rPr>
          <w:i/>
          <w:lang w:val="en-GB"/>
        </w:rPr>
        <w:t xml:space="preserve">industrial </w:t>
      </w:r>
      <w:r w:rsidR="00014401">
        <w:rPr>
          <w:lang w:val="en-GB"/>
        </w:rPr>
        <w:t xml:space="preserve">policy </w:t>
      </w:r>
      <w:r>
        <w:rPr>
          <w:lang w:val="en-GB"/>
        </w:rPr>
        <w:t xml:space="preserve">Chan and </w:t>
      </w:r>
      <w:proofErr w:type="spellStart"/>
      <w:r>
        <w:rPr>
          <w:lang w:val="en-GB"/>
        </w:rPr>
        <w:t>Andreoni</w:t>
      </w:r>
      <w:proofErr w:type="spellEnd"/>
      <w:r>
        <w:rPr>
          <w:lang w:val="en-GB"/>
        </w:rPr>
        <w:t xml:space="preserve"> point out that (selective) industrial policy never left and merely existed under a different name until after the 2008 and 2010 crises </w:t>
      </w:r>
      <w:r w:rsidRPr="000E718A">
        <w:rPr>
          <w:noProof/>
          <w:lang w:val="en-GB"/>
        </w:rPr>
        <w:t>(Andreoni &amp; Chang, 2016</w:t>
      </w:r>
      <w:r>
        <w:rPr>
          <w:noProof/>
          <w:lang w:val="en-GB"/>
        </w:rPr>
        <w:t>: 500</w:t>
      </w:r>
      <w:r w:rsidRPr="000E718A">
        <w:rPr>
          <w:noProof/>
          <w:lang w:val="en-GB"/>
        </w:rPr>
        <w:t>)</w:t>
      </w:r>
      <w:r>
        <w:rPr>
          <w:lang w:val="en-GB"/>
        </w:rPr>
        <w:t>. Bailey and Tomlinson</w:t>
      </w:r>
      <w:r w:rsidR="00014401">
        <w:rPr>
          <w:lang w:val="en-GB"/>
        </w:rPr>
        <w:t xml:space="preserve"> do</w:t>
      </w:r>
      <w:r>
        <w:rPr>
          <w:lang w:val="en-GB"/>
        </w:rPr>
        <w:t xml:space="preserve"> recognise a shift from horizontal- to vertical industrial policy in the EU, in which specific industries are now targeted within the trade </w:t>
      </w:r>
      <w:r w:rsidRPr="005F301D">
        <w:rPr>
          <w:lang w:val="en-GB"/>
        </w:rPr>
        <w:t xml:space="preserve">block </w:t>
      </w:r>
      <w:r w:rsidR="005F301D" w:rsidRPr="005F301D">
        <w:rPr>
          <w:noProof/>
          <w:lang w:val="en-GB"/>
        </w:rPr>
        <w:t xml:space="preserve">(Bailey &amp; Tomlinson, 2017: </w:t>
      </w:r>
      <w:r w:rsidR="005F301D" w:rsidRPr="005F301D">
        <w:rPr>
          <w:noProof/>
          <w:lang w:val="en-US"/>
        </w:rPr>
        <w:t>227-228</w:t>
      </w:r>
      <w:r w:rsidR="005F301D" w:rsidRPr="005F301D">
        <w:rPr>
          <w:noProof/>
          <w:lang w:val="en-GB"/>
        </w:rPr>
        <w:t>)</w:t>
      </w:r>
      <w:r>
        <w:rPr>
          <w:lang w:val="en-GB"/>
        </w:rPr>
        <w:t xml:space="preserve">. Alternatively, in the case of Member State France author Levy perceived </w:t>
      </w:r>
      <w:r w:rsidR="00014401">
        <w:rPr>
          <w:lang w:val="en-GB"/>
        </w:rPr>
        <w:t>a mind</w:t>
      </w:r>
      <w:r>
        <w:rPr>
          <w:lang w:val="en-GB"/>
        </w:rPr>
        <w:t xml:space="preserve"> to turn to direct interventionism, but previous laws limited the state’s opportunity to intervene </w:t>
      </w:r>
      <w:r>
        <w:rPr>
          <w:noProof/>
          <w:lang w:val="en-US"/>
        </w:rPr>
        <w:t>(Levy, 2017: 604)</w:t>
      </w:r>
      <w:r>
        <w:rPr>
          <w:lang w:val="en-GB"/>
        </w:rPr>
        <w:t xml:space="preserve">. Peter </w:t>
      </w:r>
      <w:proofErr w:type="spellStart"/>
      <w:r>
        <w:rPr>
          <w:lang w:val="en-GB"/>
        </w:rPr>
        <w:t>Bofinger</w:t>
      </w:r>
      <w:proofErr w:type="spellEnd"/>
      <w:r>
        <w:rPr>
          <w:lang w:val="en-GB"/>
        </w:rPr>
        <w:t xml:space="preserve"> identifies a paradigm shift in German industrial policy already in 2018, though in practice it may lack substance </w:t>
      </w:r>
      <w:r>
        <w:rPr>
          <w:noProof/>
          <w:lang w:val="en-US"/>
        </w:rPr>
        <w:t>(Bardt et al. 2019: 95, 98)</w:t>
      </w:r>
      <w:r w:rsidR="005D7FF0">
        <w:rPr>
          <w:lang w:val="en-GB"/>
        </w:rPr>
        <w:t xml:space="preserve">. </w:t>
      </w:r>
    </w:p>
    <w:p w14:paraId="72C5DCA7" w14:textId="05ADDAB0" w:rsidR="00A9152F" w:rsidRPr="00123CD3" w:rsidRDefault="00726F10" w:rsidP="00C71FE6">
      <w:pPr>
        <w:spacing w:line="360" w:lineRule="auto"/>
        <w:rPr>
          <w:lang w:val="en-GB"/>
        </w:rPr>
      </w:pPr>
      <w:r w:rsidRPr="00123CD3">
        <w:rPr>
          <w:lang w:val="en-GB"/>
        </w:rPr>
        <w:lastRenderedPageBreak/>
        <w:t xml:space="preserve">Before setting out to determine a shift in industrial policy through empirics, this paper provides a definition and relevant theories on the subjects of paradigm shifts and industrial policy. </w:t>
      </w:r>
      <w:r w:rsidR="00A9152F" w:rsidRPr="00123CD3">
        <w:rPr>
          <w:lang w:val="en-GB"/>
        </w:rPr>
        <w:t xml:space="preserve">The central question </w:t>
      </w:r>
      <w:r w:rsidR="00A9152F" w:rsidRPr="00123CD3">
        <w:rPr>
          <w:i/>
          <w:lang w:val="en-GB"/>
        </w:rPr>
        <w:t>Why did the EU approve subsidies for a car battery alliance and does it constitute a paradigm shift in EU industrial policy</w:t>
      </w:r>
      <w:r w:rsidR="00A9152F" w:rsidRPr="00123CD3">
        <w:rPr>
          <w:lang w:val="en-GB"/>
        </w:rPr>
        <w:t xml:space="preserve"> exists out of two parts: Industrial policy and the paradigm shift. </w:t>
      </w:r>
      <w:r w:rsidRPr="00123CD3">
        <w:rPr>
          <w:lang w:val="en-GB"/>
        </w:rPr>
        <w:t xml:space="preserve">In terms of industrial policy this paper makes a distinction between vertical and horizontal policy. Why this distinction in particular? As will be put forward in the upcoming paragraphs these terms provide a succinct understanding of neoliberal (horizontal) versus more Keynesian (vertical) industrial policy. A policy alteration from one to the other would be considered a paradigm shift, as it has been. Following the industrial </w:t>
      </w:r>
      <w:r w:rsidR="005D7FF0">
        <w:rPr>
          <w:lang w:val="en-GB"/>
        </w:rPr>
        <w:t>distinctions</w:t>
      </w:r>
      <w:r w:rsidRPr="00123CD3">
        <w:rPr>
          <w:lang w:val="en-GB"/>
        </w:rPr>
        <w:t xml:space="preserve"> this article more closely defines a paradigm shift and its necessities. </w:t>
      </w:r>
      <w:r w:rsidR="00A9152F" w:rsidRPr="00123CD3">
        <w:rPr>
          <w:lang w:val="en-GB"/>
        </w:rPr>
        <w:t>It becomes apparent that beyond the radical transformation of a paradigm shift there are also less fundamental, incremental policy alterations. Additionally, the theories on paradigm shifts indicate whether a shift in industrial policy would fit the circumstances of the EU’s political economy at that time. Such information helps determine the likelihood of a shift, thus adding to the validity of this paper’s inference on whether there was a shift in EU industrial policy.</w:t>
      </w:r>
    </w:p>
    <w:p w14:paraId="6ECB27A9" w14:textId="7CFE52D2" w:rsidR="00E77ABE" w:rsidRPr="00123CD3" w:rsidRDefault="00E77ABE" w:rsidP="00C71FE6">
      <w:pPr>
        <w:spacing w:line="360" w:lineRule="auto"/>
        <w:rPr>
          <w:noProof/>
          <w:lang w:val="en-GB"/>
        </w:rPr>
      </w:pPr>
      <w:r w:rsidRPr="00123CD3">
        <w:rPr>
          <w:lang w:val="en-GB"/>
        </w:rPr>
        <w:t xml:space="preserve">In order to recognise a shift in EU industrial policy this paper creates a distinction between particular types of industrial policy. Indeed, based on the definition of industrial policy there might be or might not have been a paradigm shift. Starting off with a more general definition, industrial policy involves the government actively shaping the structure of an economy </w:t>
      </w:r>
      <w:r w:rsidRPr="00123CD3">
        <w:rPr>
          <w:noProof/>
          <w:lang w:val="en-GB"/>
        </w:rPr>
        <w:t>(Eder</w:t>
      </w:r>
      <w:r w:rsidR="008F1796">
        <w:rPr>
          <w:noProof/>
          <w:lang w:val="en-GB"/>
        </w:rPr>
        <w:t xml:space="preserve"> et al.</w:t>
      </w:r>
      <w:r w:rsidRPr="00123CD3">
        <w:rPr>
          <w:noProof/>
          <w:lang w:val="en-GB"/>
        </w:rPr>
        <w:t xml:space="preserve"> 2018: 8)</w:t>
      </w:r>
      <w:r w:rsidRPr="00123CD3">
        <w:rPr>
          <w:lang w:val="en-GB"/>
        </w:rPr>
        <w:t xml:space="preserve">. </w:t>
      </w:r>
      <w:proofErr w:type="spellStart"/>
      <w:r w:rsidRPr="00123CD3">
        <w:rPr>
          <w:lang w:val="en-GB"/>
        </w:rPr>
        <w:t>Pitelis</w:t>
      </w:r>
      <w:proofErr w:type="spellEnd"/>
      <w:r w:rsidRPr="00123CD3">
        <w:rPr>
          <w:lang w:val="en-GB"/>
        </w:rPr>
        <w:t xml:space="preserve"> provides a more detailed explanation referring to it as ‘a set of measures taken by a government that aim to influence the performance of firms, sectors, industries, and clusters towards a desired objective as well as the financial, human and organizational resources, and organizational and contingency arrangements made in order to implement this objective’ </w:t>
      </w:r>
      <w:r w:rsidR="005F301D" w:rsidRPr="005F301D">
        <w:rPr>
          <w:noProof/>
          <w:lang w:val="en-GB"/>
        </w:rPr>
        <w:t>(Pitelis, 2015: 18)</w:t>
      </w:r>
      <w:r w:rsidRPr="00123CD3">
        <w:rPr>
          <w:noProof/>
          <w:lang w:val="en-GB"/>
        </w:rPr>
        <w:t xml:space="preserve">. The latter, more detailed, understanding hints at particular sectors or industries being targeted, rather than industry as a whole. This provides a fundamental distinction which can tip the balance of policy in favour of a neoliberal or a Keynesian paradigm. Horizontal policy is more closely related to the former, the latter concidered more in league with vertical policy. </w:t>
      </w:r>
    </w:p>
    <w:p w14:paraId="02BD66D9" w14:textId="347AA3C5" w:rsidR="00E77ABE" w:rsidRPr="00123CD3" w:rsidRDefault="00E77ABE" w:rsidP="00C71FE6">
      <w:pPr>
        <w:spacing w:line="360" w:lineRule="auto"/>
        <w:rPr>
          <w:lang w:val="en-GB"/>
        </w:rPr>
      </w:pPr>
      <w:r w:rsidRPr="00123CD3">
        <w:rPr>
          <w:lang w:val="en-GB"/>
        </w:rPr>
        <w:t xml:space="preserve">Horizontal policy can be interpreted as competition policy in which policy makers intend to create a level playing field and competitive environment </w:t>
      </w:r>
      <w:r w:rsidRPr="00123CD3">
        <w:rPr>
          <w:noProof/>
          <w:lang w:val="en-GB"/>
        </w:rPr>
        <w:t>(Bailey &amp; Tomlinson, 2017: 223). Examples include prevention of monopolies, enforcing positive externalities and combatting negative externalities by the state (Bardt et al. 2019: 102)</w:t>
      </w:r>
      <w:r w:rsidRPr="00123CD3">
        <w:rPr>
          <w:lang w:val="en-GB"/>
        </w:rPr>
        <w:t xml:space="preserve">. </w:t>
      </w:r>
      <w:r w:rsidR="00947C23" w:rsidRPr="00123CD3">
        <w:rPr>
          <w:lang w:val="en-GB"/>
        </w:rPr>
        <w:t xml:space="preserve">Means of addressing externalities horizontally include safeguarding law and order, protecting property rights, and investing in </w:t>
      </w:r>
      <w:r w:rsidR="00947C23" w:rsidRPr="005F301D">
        <w:rPr>
          <w:lang w:val="en-GB"/>
        </w:rPr>
        <w:t xml:space="preserve">infrastructure </w:t>
      </w:r>
      <w:r w:rsidR="005F301D" w:rsidRPr="005F301D">
        <w:rPr>
          <w:noProof/>
          <w:lang w:val="en-GB"/>
        </w:rPr>
        <w:t>(Storm, 2015: 687)</w:t>
      </w:r>
      <w:r w:rsidR="00947C23" w:rsidRPr="00123CD3">
        <w:rPr>
          <w:lang w:val="en-GB"/>
        </w:rPr>
        <w:t xml:space="preserve">. Still further </w:t>
      </w:r>
      <w:r w:rsidRPr="00123CD3">
        <w:rPr>
          <w:lang w:val="en-GB"/>
        </w:rPr>
        <w:t xml:space="preserve">horizontal policy often aims to augment education, with universities acting as R&amp;D departments providing public </w:t>
      </w:r>
      <w:r w:rsidRPr="005F301D">
        <w:rPr>
          <w:lang w:val="en-GB"/>
        </w:rPr>
        <w:t xml:space="preserve">knowledge </w:t>
      </w:r>
      <w:r w:rsidR="005F301D" w:rsidRPr="005F301D">
        <w:rPr>
          <w:noProof/>
          <w:lang w:val="en-GB"/>
        </w:rPr>
        <w:t>(Bailey et al. 2019: 331, 332</w:t>
      </w:r>
      <w:r w:rsidR="005F301D">
        <w:rPr>
          <w:noProof/>
          <w:lang w:val="en-GB"/>
        </w:rPr>
        <w:t>; Andreoni &amp; Chang</w:t>
      </w:r>
      <w:r w:rsidRPr="00123CD3">
        <w:rPr>
          <w:noProof/>
          <w:lang w:val="en-GB"/>
        </w:rPr>
        <w:t>, 2020: 331)</w:t>
      </w:r>
      <w:r w:rsidRPr="00123CD3">
        <w:rPr>
          <w:lang w:val="en-GB"/>
        </w:rPr>
        <w:t xml:space="preserve">. The idea </w:t>
      </w:r>
      <w:r w:rsidR="005D7FF0" w:rsidRPr="00123CD3">
        <w:rPr>
          <w:lang w:val="en-GB"/>
        </w:rPr>
        <w:t xml:space="preserve">that a more skilled workforce serves as </w:t>
      </w:r>
      <w:r w:rsidR="005D7FF0">
        <w:rPr>
          <w:lang w:val="en-GB"/>
        </w:rPr>
        <w:t>a</w:t>
      </w:r>
      <w:r w:rsidR="005D7FF0" w:rsidRPr="00123CD3">
        <w:rPr>
          <w:lang w:val="en-GB"/>
        </w:rPr>
        <w:t xml:space="preserve"> growth and innovation</w:t>
      </w:r>
      <w:r w:rsidR="005D7FF0">
        <w:rPr>
          <w:lang w:val="en-GB"/>
        </w:rPr>
        <w:t xml:space="preserve"> stimulus</w:t>
      </w:r>
      <w:r w:rsidR="005D7FF0" w:rsidRPr="00123CD3">
        <w:rPr>
          <w:lang w:val="en-GB"/>
        </w:rPr>
        <w:t xml:space="preserve"> in </w:t>
      </w:r>
      <w:r w:rsidR="005D7FF0" w:rsidRPr="00123CD3">
        <w:rPr>
          <w:i/>
          <w:lang w:val="en-GB"/>
        </w:rPr>
        <w:t>all</w:t>
      </w:r>
      <w:r w:rsidR="005D7FF0" w:rsidRPr="00123CD3">
        <w:rPr>
          <w:lang w:val="en-GB"/>
        </w:rPr>
        <w:t xml:space="preserve"> </w:t>
      </w:r>
      <w:r w:rsidR="005D7FF0" w:rsidRPr="005F301D">
        <w:rPr>
          <w:lang w:val="en-GB"/>
        </w:rPr>
        <w:t>industries</w:t>
      </w:r>
      <w:r w:rsidR="005D7FF0" w:rsidRPr="00123CD3">
        <w:rPr>
          <w:lang w:val="en-GB"/>
        </w:rPr>
        <w:t xml:space="preserve"> </w:t>
      </w:r>
      <w:r w:rsidR="005D7FF0">
        <w:rPr>
          <w:lang w:val="en-GB"/>
        </w:rPr>
        <w:lastRenderedPageBreak/>
        <w:t>serves as the backbone b</w:t>
      </w:r>
      <w:r w:rsidRPr="00123CD3">
        <w:rPr>
          <w:lang w:val="en-GB"/>
        </w:rPr>
        <w:t xml:space="preserve">ehind this technology policy </w:t>
      </w:r>
      <w:r w:rsidRPr="005F301D">
        <w:rPr>
          <w:noProof/>
          <w:lang w:val="en-GB"/>
        </w:rPr>
        <w:t>(Bardt</w:t>
      </w:r>
      <w:r w:rsidRPr="00123CD3">
        <w:rPr>
          <w:noProof/>
          <w:lang w:val="en-GB"/>
        </w:rPr>
        <w:t xml:space="preserve"> et al. 2019: 99)</w:t>
      </w:r>
      <w:r w:rsidRPr="00123CD3">
        <w:rPr>
          <w:lang w:val="en-GB"/>
        </w:rPr>
        <w:t xml:space="preserve">. Horizontal policy thus serves as a non-discriminatory policy in line with neo-liberalism </w:t>
      </w:r>
      <w:r w:rsidRPr="00123CD3">
        <w:rPr>
          <w:noProof/>
          <w:lang w:val="en-GB"/>
        </w:rPr>
        <w:t>(Bailey et al. 2019: 328)</w:t>
      </w:r>
      <w:r w:rsidR="00947C23" w:rsidRPr="00123CD3">
        <w:rPr>
          <w:noProof/>
          <w:lang w:val="en-GB"/>
        </w:rPr>
        <w:t>:</w:t>
      </w:r>
      <w:r w:rsidRPr="00123CD3">
        <w:rPr>
          <w:noProof/>
          <w:lang w:val="en-GB"/>
        </w:rPr>
        <w:t xml:space="preserve"> A market in which firms operate on an equal footing free of preferential aid (Bartlett, 2014: 5).</w:t>
      </w:r>
    </w:p>
    <w:p w14:paraId="371F4E67" w14:textId="0FD95CDE" w:rsidR="00947C23" w:rsidRPr="00123CD3" w:rsidRDefault="00E77ABE" w:rsidP="00C71FE6">
      <w:pPr>
        <w:spacing w:line="360" w:lineRule="auto"/>
        <w:rPr>
          <w:lang w:val="en-GB"/>
        </w:rPr>
      </w:pPr>
      <w:r w:rsidRPr="00123CD3">
        <w:rPr>
          <w:lang w:val="en-GB"/>
        </w:rPr>
        <w:t xml:space="preserve">Vertical policy, on the other hand, more closely identifies with selective, strategic interventions supporting particular activities. This includes targeting </w:t>
      </w:r>
      <w:r w:rsidR="00947C23" w:rsidRPr="00123CD3">
        <w:rPr>
          <w:lang w:val="en-GB"/>
        </w:rPr>
        <w:t>certain</w:t>
      </w:r>
      <w:r w:rsidRPr="00123CD3">
        <w:rPr>
          <w:lang w:val="en-GB"/>
        </w:rPr>
        <w:t xml:space="preserve"> industries </w:t>
      </w:r>
      <w:r w:rsidR="00947C23" w:rsidRPr="00123CD3">
        <w:rPr>
          <w:lang w:val="en-GB"/>
        </w:rPr>
        <w:t xml:space="preserve">or firms </w:t>
      </w:r>
      <w:r w:rsidRPr="00123CD3">
        <w:rPr>
          <w:lang w:val="en-GB"/>
        </w:rPr>
        <w:t xml:space="preserve">for supporting </w:t>
      </w:r>
      <w:r w:rsidR="00947C23" w:rsidRPr="00123CD3">
        <w:rPr>
          <w:lang w:val="en-GB"/>
        </w:rPr>
        <w:t>precise</w:t>
      </w:r>
      <w:r w:rsidRPr="00123CD3">
        <w:rPr>
          <w:lang w:val="en-GB"/>
        </w:rPr>
        <w:t xml:space="preserve"> innovations and enabling sectoral value chains </w:t>
      </w:r>
      <w:r w:rsidRPr="00123CD3">
        <w:rPr>
          <w:noProof/>
          <w:lang w:val="en-GB"/>
        </w:rPr>
        <w:t>(Andreoni &amp; Chang, 2016: 493)</w:t>
      </w:r>
      <w:r w:rsidRPr="00123CD3">
        <w:rPr>
          <w:lang w:val="en-GB"/>
        </w:rPr>
        <w:t xml:space="preserve">. Levy describes vertical policy based on the French </w:t>
      </w:r>
      <w:r w:rsidRPr="00123CD3">
        <w:rPr>
          <w:i/>
          <w:lang w:val="en-GB"/>
        </w:rPr>
        <w:t xml:space="preserve">dirigiste </w:t>
      </w:r>
      <w:r w:rsidRPr="00123CD3">
        <w:rPr>
          <w:lang w:val="en-GB"/>
        </w:rPr>
        <w:t xml:space="preserve">model which the </w:t>
      </w:r>
      <w:r w:rsidR="00947C23" w:rsidRPr="00123CD3">
        <w:rPr>
          <w:lang w:val="en-GB"/>
        </w:rPr>
        <w:t xml:space="preserve">EU </w:t>
      </w:r>
      <w:r w:rsidRPr="00123CD3">
        <w:rPr>
          <w:lang w:val="en-GB"/>
        </w:rPr>
        <w:t>Member State followed between World War 2</w:t>
      </w:r>
      <w:r w:rsidR="007D757F">
        <w:rPr>
          <w:lang w:val="en-GB"/>
        </w:rPr>
        <w:t xml:space="preserve"> and 1983. He recognizes a long term</w:t>
      </w:r>
      <w:r w:rsidRPr="00123CD3">
        <w:rPr>
          <w:lang w:val="en-GB"/>
        </w:rPr>
        <w:t>, state planned</w:t>
      </w:r>
      <w:r w:rsidR="007D757F">
        <w:rPr>
          <w:lang w:val="en-GB"/>
        </w:rPr>
        <w:t>,</w:t>
      </w:r>
      <w:r w:rsidRPr="00123CD3">
        <w:rPr>
          <w:lang w:val="en-GB"/>
        </w:rPr>
        <w:t xml:space="preserve"> national champions strategy</w:t>
      </w:r>
      <w:r w:rsidR="00947C23" w:rsidRPr="00123CD3">
        <w:rPr>
          <w:lang w:val="en-GB"/>
        </w:rPr>
        <w:t>,</w:t>
      </w:r>
      <w:r w:rsidRPr="00123CD3">
        <w:rPr>
          <w:lang w:val="en-GB"/>
        </w:rPr>
        <w:t xml:space="preserve"> nurturing economies of scale through transferred state innovation complemented with encouragements in private innovation through subsidies and guaranteed markets </w:t>
      </w:r>
      <w:r w:rsidRPr="00123CD3">
        <w:rPr>
          <w:noProof/>
          <w:lang w:val="en-GB"/>
        </w:rPr>
        <w:t>(Levy, 2017: 613)</w:t>
      </w:r>
      <w:r w:rsidRPr="00123CD3">
        <w:rPr>
          <w:lang w:val="en-GB"/>
        </w:rPr>
        <w:t>. He continues describing a strong sense of conditionality attached to th</w:t>
      </w:r>
      <w:r w:rsidR="007D757F">
        <w:rPr>
          <w:lang w:val="en-GB"/>
        </w:rPr>
        <w:t>e advantages industries receive</w:t>
      </w:r>
      <w:r w:rsidRPr="00123CD3">
        <w:rPr>
          <w:lang w:val="en-GB"/>
        </w:rPr>
        <w:t xml:space="preserve">, exemplifying also the long-term nature of the relationship, but more so cementing the push to innovate through manufacturing experience. </w:t>
      </w:r>
      <w:r w:rsidR="007D55D9" w:rsidRPr="00123CD3">
        <w:rPr>
          <w:lang w:val="en-GB"/>
        </w:rPr>
        <w:t xml:space="preserve">Historically, industrialization required a government’s central planning to disrupt the structure of the economy and provide the necessary capital. Such an act of breaching the comparative advantage in order to catch up exceeds private capital’s long-term risk barring capabilities </w:t>
      </w:r>
      <w:r w:rsidR="007D55D9" w:rsidRPr="00123CD3">
        <w:rPr>
          <w:noProof/>
          <w:lang w:val="en-GB"/>
        </w:rPr>
        <w:t>(Storm, 2015: 674-675)</w:t>
      </w:r>
      <w:r w:rsidR="007D55D9" w:rsidRPr="00123CD3">
        <w:rPr>
          <w:lang w:val="en-GB"/>
        </w:rPr>
        <w:t xml:space="preserve">. </w:t>
      </w:r>
    </w:p>
    <w:p w14:paraId="3F5AB299" w14:textId="66D7EA91" w:rsidR="007D55D9" w:rsidRPr="00123CD3" w:rsidRDefault="009A5BC9" w:rsidP="00C71FE6">
      <w:pPr>
        <w:spacing w:line="360" w:lineRule="auto"/>
        <w:rPr>
          <w:lang w:val="en-GB"/>
        </w:rPr>
      </w:pPr>
      <w:r w:rsidRPr="00123CD3">
        <w:rPr>
          <w:lang w:val="en-GB"/>
        </w:rPr>
        <w:t xml:space="preserve">The preference for one form of industrial policy over the other could be traced back to defining the comparative advantage. Policy makers that perceive the comparative advantage to be static </w:t>
      </w:r>
      <w:r w:rsidR="007D757F">
        <w:rPr>
          <w:lang w:val="en-GB"/>
        </w:rPr>
        <w:t>generally</w:t>
      </w:r>
      <w:r w:rsidRPr="00123CD3">
        <w:rPr>
          <w:lang w:val="en-GB"/>
        </w:rPr>
        <w:t xml:space="preserve"> employ horizontal measures </w:t>
      </w:r>
      <w:r w:rsidRPr="00123CD3">
        <w:rPr>
          <w:noProof/>
          <w:lang w:val="en-GB"/>
        </w:rPr>
        <w:t>(Storm, 2015: 687)</w:t>
      </w:r>
      <w:r w:rsidRPr="00123CD3">
        <w:rPr>
          <w:lang w:val="en-GB"/>
        </w:rPr>
        <w:t xml:space="preserve">. </w:t>
      </w:r>
      <w:r w:rsidR="00385B79" w:rsidRPr="00123CD3">
        <w:rPr>
          <w:lang w:val="en-GB"/>
        </w:rPr>
        <w:t xml:space="preserve">As comparative advantages are set in stone, there is little use in forcing a new advantage through selective industrial policy, hence the main thing a state can do is facilitate the advantage it already has. If one assumes a dynamic comparative advantage, on the other hand, active interventions in the structure of the economy through vertical policy may yield benefits. It clears a path for an infant industry rhetoric in which the state may protect its home market in order to let a new industry bloom in peace. The idea being that a market would be more efficient at the home turf, but cannot get off the ground due to international competition. </w:t>
      </w:r>
      <w:r w:rsidR="007D55D9" w:rsidRPr="00123CD3">
        <w:rPr>
          <w:lang w:val="en-GB"/>
        </w:rPr>
        <w:t>It can actually rectify a false comparative advantage early adopters have merely for being first on the scene</w:t>
      </w:r>
      <w:r w:rsidR="00385B79" w:rsidRPr="00123CD3">
        <w:rPr>
          <w:lang w:val="en-GB"/>
        </w:rPr>
        <w:t xml:space="preserve"> </w:t>
      </w:r>
      <w:r w:rsidR="00385B79" w:rsidRPr="00123CD3">
        <w:rPr>
          <w:noProof/>
          <w:lang w:val="en-GB"/>
        </w:rPr>
        <w:t>(Krugman, Obstfeld, &amp; Melitz, 2018: 312-313)</w:t>
      </w:r>
      <w:r w:rsidR="00385B79" w:rsidRPr="00123CD3">
        <w:rPr>
          <w:lang w:val="en-GB"/>
        </w:rPr>
        <w:t>.</w:t>
      </w:r>
      <w:r w:rsidR="007D55D9" w:rsidRPr="00123CD3">
        <w:rPr>
          <w:lang w:val="en-GB"/>
        </w:rPr>
        <w:t xml:space="preserve"> </w:t>
      </w:r>
      <w:r w:rsidRPr="00123CD3">
        <w:rPr>
          <w:lang w:val="en-GB"/>
        </w:rPr>
        <w:t xml:space="preserve">However, Rodrik </w:t>
      </w:r>
      <w:r w:rsidR="007D757F">
        <w:rPr>
          <w:lang w:val="en-GB"/>
        </w:rPr>
        <w:t>states</w:t>
      </w:r>
      <w:r w:rsidRPr="00123CD3">
        <w:rPr>
          <w:lang w:val="en-GB"/>
        </w:rPr>
        <w:t xml:space="preserve"> a distinction between dynamic and static comparative advantages is folly. He argues both assumptions recognize market failures. Failures distort the prices that signal a comparative advantage which means one is unable to determine whether the market operates under one or the </w:t>
      </w:r>
      <w:r w:rsidRPr="005F301D">
        <w:rPr>
          <w:lang w:val="en-GB"/>
        </w:rPr>
        <w:t xml:space="preserve">other </w:t>
      </w:r>
      <w:r w:rsidRPr="005F301D">
        <w:rPr>
          <w:noProof/>
          <w:lang w:val="en-GB"/>
        </w:rPr>
        <w:t>(Rodrik, 2011</w:t>
      </w:r>
      <w:r w:rsidRPr="00123CD3">
        <w:rPr>
          <w:noProof/>
          <w:lang w:val="en-GB"/>
        </w:rPr>
        <w:t>: 228-229)</w:t>
      </w:r>
      <w:r w:rsidRPr="00123CD3">
        <w:rPr>
          <w:lang w:val="en-GB"/>
        </w:rPr>
        <w:t xml:space="preserve">. What remains is how to best address and correct market distortions, rather than deterring from vertical policy altogether due to historically determined comparative advantages. </w:t>
      </w:r>
    </w:p>
    <w:p w14:paraId="39F0D719" w14:textId="6043A9FD" w:rsidR="009A5BC9" w:rsidRPr="00123CD3" w:rsidRDefault="00117640" w:rsidP="00C71FE6">
      <w:pPr>
        <w:spacing w:line="360" w:lineRule="auto"/>
        <w:rPr>
          <w:lang w:val="en-GB"/>
        </w:rPr>
      </w:pPr>
      <w:r w:rsidRPr="00BF6DED">
        <w:rPr>
          <w:lang w:val="en-GB"/>
        </w:rPr>
        <w:lastRenderedPageBreak/>
        <w:t xml:space="preserve">Whether horizontal or vertical, what drives a government to engage in industrial policy? </w:t>
      </w:r>
      <w:r w:rsidR="009A5BC9" w:rsidRPr="00BF6DED">
        <w:rPr>
          <w:lang w:val="en-GB"/>
        </w:rPr>
        <w:t xml:space="preserve">Going on the work of Kaldor stimulation of the manufacturing sector is advantageous. Kaldor identifies industry as the greatest growth sector as it is the sector which allows for the most specialisation and is most suitable for acquiring and incorporating new technologies. Additionally, the manufacturing sector has the greatest forward and backward linkages, thus providing significant </w:t>
      </w:r>
      <w:proofErr w:type="spellStart"/>
      <w:r w:rsidR="009A5BC9" w:rsidRPr="00BF6DED">
        <w:rPr>
          <w:lang w:val="en-GB"/>
        </w:rPr>
        <w:t>spillover</w:t>
      </w:r>
      <w:proofErr w:type="spellEnd"/>
      <w:r w:rsidR="009A5BC9" w:rsidRPr="00BF6DED">
        <w:rPr>
          <w:lang w:val="en-GB"/>
        </w:rPr>
        <w:t xml:space="preserve"> effects for the rest of the economy </w:t>
      </w:r>
      <w:r w:rsidR="00D23D8B" w:rsidRPr="00BF6DED">
        <w:rPr>
          <w:noProof/>
          <w:lang w:val="en-GB"/>
        </w:rPr>
        <w:t>(Thirlwall, 1983: 345-346)</w:t>
      </w:r>
      <w:r w:rsidR="009A5BC9" w:rsidRPr="00BF6DED">
        <w:rPr>
          <w:lang w:val="en-GB"/>
        </w:rPr>
        <w:t xml:space="preserve">. Indeed, UN research indicates that between 1970 and 2007 countries with high share of GDP in manufacturing coincided with higher GDP </w:t>
      </w:r>
      <w:r w:rsidR="009A5BC9" w:rsidRPr="005F301D">
        <w:rPr>
          <w:lang w:val="en-GB"/>
        </w:rPr>
        <w:t xml:space="preserve">growth </w:t>
      </w:r>
      <w:r w:rsidR="009A5BC9" w:rsidRPr="005F301D">
        <w:rPr>
          <w:noProof/>
          <w:lang w:val="en-GB"/>
        </w:rPr>
        <w:t>(UNIDO,</w:t>
      </w:r>
      <w:r w:rsidR="009A5BC9" w:rsidRPr="00BF6DED">
        <w:rPr>
          <w:noProof/>
          <w:lang w:val="en-GB"/>
        </w:rPr>
        <w:t xml:space="preserve"> 2013: 23)</w:t>
      </w:r>
      <w:r w:rsidR="009A5BC9" w:rsidRPr="00BF6DED">
        <w:rPr>
          <w:lang w:val="en-GB"/>
        </w:rPr>
        <w:t xml:space="preserve">. Though it should be noted that financial services experienced significant growth up until 2008, the appending financial crisis proved the accumulation was speculative and unstable </w:t>
      </w:r>
      <w:r w:rsidR="005F301D" w:rsidRPr="005F301D">
        <w:rPr>
          <w:noProof/>
          <w:lang w:val="en-GB"/>
        </w:rPr>
        <w:t>(Epstein &amp; Crotty, 2013: 293)</w:t>
      </w:r>
      <w:r w:rsidR="009A5BC9" w:rsidRPr="00BF6DED">
        <w:rPr>
          <w:lang w:val="en-GB"/>
        </w:rPr>
        <w:t xml:space="preserve">. Other service based industries such as ICT in India also spurred significant growth levels over the last decades. However, Ghose found that India’s process of leapfrogging past an industrial society into a service-based economy will ultimately slow down growth. Sustained rapid growth in India requires manufactured-led as the balance of trade of the country cannot withstand the increasing imbalances resulting from the service based economy. Incidentally, Ghose implies investment in manufacturing would have lowered inequality more as opposed to the realised investments in services </w:t>
      </w:r>
      <w:r w:rsidR="009A5BC9" w:rsidRPr="005F301D">
        <w:rPr>
          <w:noProof/>
          <w:lang w:val="en-GB"/>
        </w:rPr>
        <w:t>(Ghose, 2014</w:t>
      </w:r>
      <w:r w:rsidR="009A5BC9" w:rsidRPr="00BF6DED">
        <w:rPr>
          <w:noProof/>
          <w:lang w:val="en-GB"/>
        </w:rPr>
        <w:t>: 18-19)</w:t>
      </w:r>
      <w:r w:rsidR="009A5BC9" w:rsidRPr="00BF6DED">
        <w:rPr>
          <w:lang w:val="en-GB"/>
        </w:rPr>
        <w:t>.</w:t>
      </w:r>
      <w:r w:rsidR="009A5BC9" w:rsidRPr="00123CD3">
        <w:rPr>
          <w:lang w:val="en-GB"/>
        </w:rPr>
        <w:t xml:space="preserve"> </w:t>
      </w:r>
    </w:p>
    <w:p w14:paraId="0F1C68C8" w14:textId="40553473" w:rsidR="00D65536" w:rsidRDefault="00375353" w:rsidP="00C71FE6">
      <w:pPr>
        <w:spacing w:line="360" w:lineRule="auto"/>
        <w:rPr>
          <w:lang w:val="en-GB"/>
        </w:rPr>
      </w:pPr>
      <w:r w:rsidRPr="00123CD3">
        <w:rPr>
          <w:lang w:val="en-GB"/>
        </w:rPr>
        <w:t xml:space="preserve">Altering the structure of the economy became </w:t>
      </w:r>
      <w:r w:rsidR="00213487">
        <w:rPr>
          <w:lang w:val="en-GB"/>
        </w:rPr>
        <w:t xml:space="preserve">especially </w:t>
      </w:r>
      <w:r w:rsidRPr="00123CD3">
        <w:rPr>
          <w:lang w:val="en-GB"/>
        </w:rPr>
        <w:t xml:space="preserve">preferable </w:t>
      </w:r>
      <w:r w:rsidR="00213487" w:rsidRPr="00123CD3">
        <w:rPr>
          <w:lang w:val="en-GB"/>
        </w:rPr>
        <w:t xml:space="preserve">after and during the Great Recession </w:t>
      </w:r>
      <w:r w:rsidRPr="00123CD3">
        <w:rPr>
          <w:lang w:val="en-GB"/>
        </w:rPr>
        <w:t xml:space="preserve">as countries noticed that -in accordance with the findings of Kaldor- states strong in manufacturing outperformed service-based economies </w:t>
      </w:r>
      <w:r w:rsidRPr="00123CD3">
        <w:rPr>
          <w:noProof/>
          <w:lang w:val="en-GB"/>
        </w:rPr>
        <w:t>(Bailey et al. 2019a: 330)</w:t>
      </w:r>
      <w:r w:rsidRPr="00123CD3">
        <w:rPr>
          <w:lang w:val="en-GB"/>
        </w:rPr>
        <w:t xml:space="preserve">. </w:t>
      </w:r>
      <w:r w:rsidR="00213487">
        <w:rPr>
          <w:lang w:val="en-GB"/>
        </w:rPr>
        <w:t xml:space="preserve">Based on the work of </w:t>
      </w:r>
      <w:proofErr w:type="spellStart"/>
      <w:r w:rsidR="00213487">
        <w:rPr>
          <w:lang w:val="en-GB"/>
        </w:rPr>
        <w:t>Mazzucato</w:t>
      </w:r>
      <w:proofErr w:type="spellEnd"/>
      <w:r w:rsidR="00213487">
        <w:rPr>
          <w:lang w:val="en-GB"/>
        </w:rPr>
        <w:t>, states diverted to</w:t>
      </w:r>
      <w:r w:rsidR="00213487" w:rsidRPr="00123CD3">
        <w:rPr>
          <w:lang w:val="en-GB"/>
        </w:rPr>
        <w:t xml:space="preserve"> vertical intervention </w:t>
      </w:r>
      <w:r w:rsidR="00213487">
        <w:rPr>
          <w:lang w:val="en-GB"/>
        </w:rPr>
        <w:t>as it could</w:t>
      </w:r>
      <w:r w:rsidR="00213487" w:rsidRPr="00123CD3">
        <w:rPr>
          <w:lang w:val="en-GB"/>
        </w:rPr>
        <w:t xml:space="preserve"> yield greater</w:t>
      </w:r>
      <w:r w:rsidR="00213487">
        <w:rPr>
          <w:lang w:val="en-GB"/>
        </w:rPr>
        <w:t xml:space="preserve"> results</w:t>
      </w:r>
      <w:r w:rsidR="00213487" w:rsidRPr="00123CD3">
        <w:rPr>
          <w:lang w:val="en-GB"/>
        </w:rPr>
        <w:t xml:space="preserve"> </w:t>
      </w:r>
      <w:r w:rsidR="00947C23" w:rsidRPr="00123CD3">
        <w:rPr>
          <w:lang w:val="en-GB"/>
        </w:rPr>
        <w:t xml:space="preserve">than allowing capital to flow towards optimal </w:t>
      </w:r>
      <w:r w:rsidR="004D15AA" w:rsidRPr="00123CD3">
        <w:rPr>
          <w:lang w:val="en-GB"/>
        </w:rPr>
        <w:t>allocation</w:t>
      </w:r>
      <w:r w:rsidR="00947C23" w:rsidRPr="00123CD3">
        <w:rPr>
          <w:lang w:val="en-GB"/>
        </w:rPr>
        <w:t xml:space="preserve"> on its own</w:t>
      </w:r>
      <w:r w:rsidRPr="00123CD3">
        <w:rPr>
          <w:lang w:val="en-GB"/>
        </w:rPr>
        <w:t>.</w:t>
      </w:r>
      <w:r w:rsidR="00213487">
        <w:rPr>
          <w:lang w:val="en-GB"/>
        </w:rPr>
        <w:t xml:space="preserve"> </w:t>
      </w:r>
      <w:proofErr w:type="spellStart"/>
      <w:r w:rsidR="004D15AA" w:rsidRPr="00123CD3">
        <w:rPr>
          <w:lang w:val="en-GB"/>
        </w:rPr>
        <w:t>Mazzucato</w:t>
      </w:r>
      <w:proofErr w:type="spellEnd"/>
      <w:r w:rsidR="004D15AA" w:rsidRPr="00123CD3">
        <w:rPr>
          <w:lang w:val="en-GB"/>
        </w:rPr>
        <w:t xml:space="preserve"> argue</w:t>
      </w:r>
      <w:r w:rsidRPr="00123CD3">
        <w:rPr>
          <w:lang w:val="en-GB"/>
        </w:rPr>
        <w:t>s</w:t>
      </w:r>
      <w:r w:rsidR="004D15AA" w:rsidRPr="00123CD3">
        <w:rPr>
          <w:lang w:val="en-GB"/>
        </w:rPr>
        <w:t xml:space="preserve"> that the public sector may innovate more efficiently than the private sector</w:t>
      </w:r>
      <w:r w:rsidR="00213487">
        <w:rPr>
          <w:lang w:val="en-GB"/>
        </w:rPr>
        <w:t xml:space="preserve">, as it </w:t>
      </w:r>
      <w:r w:rsidR="00D65536">
        <w:rPr>
          <w:lang w:val="en-GB"/>
        </w:rPr>
        <w:t>has</w:t>
      </w:r>
      <w:r w:rsidRPr="00123CD3">
        <w:rPr>
          <w:lang w:val="en-GB"/>
        </w:rPr>
        <w:t xml:space="preserve"> more</w:t>
      </w:r>
      <w:r w:rsidR="00D65536">
        <w:rPr>
          <w:lang w:val="en-GB"/>
        </w:rPr>
        <w:t xml:space="preserve"> potential to create new markets.</w:t>
      </w:r>
      <w:r w:rsidRPr="00123CD3">
        <w:rPr>
          <w:lang w:val="en-GB"/>
        </w:rPr>
        <w:t xml:space="preserve"> </w:t>
      </w:r>
      <w:r w:rsidR="00D65536">
        <w:rPr>
          <w:lang w:val="en-GB"/>
        </w:rPr>
        <w:t>S</w:t>
      </w:r>
      <w:r w:rsidRPr="00123CD3">
        <w:rPr>
          <w:lang w:val="en-GB"/>
        </w:rPr>
        <w:t>he thus advocates an entrepreneurial state</w:t>
      </w:r>
      <w:r w:rsidR="004D15AA" w:rsidRPr="00123CD3">
        <w:rPr>
          <w:lang w:val="en-GB"/>
        </w:rPr>
        <w:t xml:space="preserve">. </w:t>
      </w:r>
      <w:r w:rsidR="00212541" w:rsidRPr="00123CD3">
        <w:rPr>
          <w:lang w:val="en-GB"/>
        </w:rPr>
        <w:t xml:space="preserve">The cornerstone for </w:t>
      </w:r>
      <w:r w:rsidRPr="00123CD3">
        <w:rPr>
          <w:lang w:val="en-GB"/>
        </w:rPr>
        <w:t>the state outperforming private capital in innovation and creating markets</w:t>
      </w:r>
      <w:r w:rsidR="00212541" w:rsidRPr="00123CD3">
        <w:rPr>
          <w:lang w:val="en-GB"/>
        </w:rPr>
        <w:t xml:space="preserve"> are risk and uncertainty. Fundamental, or ground breaking, innovations include uncertainty, rather than risk, as one is unable to calculate the probability of returns on the investment. As a result, investors prefer to stick to </w:t>
      </w:r>
      <w:r w:rsidR="00D65536">
        <w:rPr>
          <w:lang w:val="en-GB"/>
        </w:rPr>
        <w:t>applied and</w:t>
      </w:r>
      <w:r w:rsidR="009021CC" w:rsidRPr="00123CD3">
        <w:rPr>
          <w:lang w:val="en-GB"/>
        </w:rPr>
        <w:t xml:space="preserve"> </w:t>
      </w:r>
      <w:r w:rsidR="00212541" w:rsidRPr="00123CD3">
        <w:rPr>
          <w:lang w:val="en-GB"/>
        </w:rPr>
        <w:t xml:space="preserve">incremental innovations, </w:t>
      </w:r>
      <w:r w:rsidR="00D65536">
        <w:rPr>
          <w:lang w:val="en-GB"/>
        </w:rPr>
        <w:t xml:space="preserve">effectively </w:t>
      </w:r>
      <w:r w:rsidR="00212541" w:rsidRPr="00123CD3">
        <w:rPr>
          <w:lang w:val="en-GB"/>
        </w:rPr>
        <w:t xml:space="preserve">updating existing technologies, </w:t>
      </w:r>
      <w:r w:rsidR="009021CC" w:rsidRPr="00123CD3">
        <w:rPr>
          <w:lang w:val="en-GB"/>
        </w:rPr>
        <w:t>which adhere</w:t>
      </w:r>
      <w:r w:rsidR="00D65536">
        <w:rPr>
          <w:lang w:val="en-GB"/>
        </w:rPr>
        <w:t>s</w:t>
      </w:r>
      <w:r w:rsidR="009021CC" w:rsidRPr="00123CD3">
        <w:rPr>
          <w:lang w:val="en-GB"/>
        </w:rPr>
        <w:t xml:space="preserve"> better to risk-assessment</w:t>
      </w:r>
      <w:r w:rsidRPr="00123CD3">
        <w:rPr>
          <w:lang w:val="en-GB"/>
        </w:rPr>
        <w:t xml:space="preserve">. </w:t>
      </w:r>
      <w:r w:rsidR="00B4101E" w:rsidRPr="00123CD3">
        <w:rPr>
          <w:lang w:val="en-GB"/>
        </w:rPr>
        <w:t xml:space="preserve">Untapped growth potential, however, predominantly stems from fundamental innovations such as the internet and GPS. </w:t>
      </w:r>
      <w:r w:rsidRPr="00123CD3">
        <w:rPr>
          <w:lang w:val="en-GB"/>
        </w:rPr>
        <w:t xml:space="preserve">The state acts as an entrepreneurial agent willing to take the risks that private capital dare </w:t>
      </w:r>
      <w:r w:rsidRPr="005F301D">
        <w:rPr>
          <w:lang w:val="en-GB"/>
        </w:rPr>
        <w:t xml:space="preserve">not bear </w:t>
      </w:r>
      <w:r w:rsidRPr="005F301D">
        <w:rPr>
          <w:noProof/>
          <w:lang w:val="en-GB"/>
        </w:rPr>
        <w:t>(Mazzucato</w:t>
      </w:r>
      <w:r w:rsidRPr="00123CD3">
        <w:rPr>
          <w:noProof/>
          <w:lang w:val="en-GB"/>
        </w:rPr>
        <w:t>, 2013: 32)</w:t>
      </w:r>
      <w:r w:rsidRPr="00123CD3">
        <w:rPr>
          <w:lang w:val="en-GB"/>
        </w:rPr>
        <w:t>.</w:t>
      </w:r>
      <w:r w:rsidR="00212541" w:rsidRPr="00123CD3">
        <w:rPr>
          <w:lang w:val="en-GB"/>
        </w:rPr>
        <w:t xml:space="preserve"> </w:t>
      </w:r>
      <w:r w:rsidRPr="00123CD3">
        <w:rPr>
          <w:lang w:val="en-GB"/>
        </w:rPr>
        <w:t>Wade describes the situation as such: The</w:t>
      </w:r>
      <w:r w:rsidR="007E7E40" w:rsidRPr="00123CD3">
        <w:rPr>
          <w:lang w:val="en-GB"/>
        </w:rPr>
        <w:t xml:space="preserve"> private sector will merely invest in incremental changes</w:t>
      </w:r>
      <w:r w:rsidRPr="00123CD3">
        <w:rPr>
          <w:lang w:val="en-GB"/>
        </w:rPr>
        <w:t>,</w:t>
      </w:r>
      <w:r w:rsidR="007E7E40" w:rsidRPr="00123CD3">
        <w:rPr>
          <w:lang w:val="en-GB"/>
        </w:rPr>
        <w:t xml:space="preserve"> as that is what the market signals in terms of prices. This signal blocks fundamental innovations and </w:t>
      </w:r>
      <w:r w:rsidRPr="00123CD3">
        <w:rPr>
          <w:lang w:val="en-GB"/>
        </w:rPr>
        <w:t>a</w:t>
      </w:r>
      <w:r w:rsidR="007E7E40" w:rsidRPr="00123CD3">
        <w:rPr>
          <w:lang w:val="en-GB"/>
        </w:rPr>
        <w:t>ffects the future state of the country</w:t>
      </w:r>
      <w:r w:rsidR="00D65536">
        <w:rPr>
          <w:lang w:val="en-GB"/>
        </w:rPr>
        <w:t>,</w:t>
      </w:r>
      <w:r w:rsidR="007E7E40" w:rsidRPr="00123CD3">
        <w:rPr>
          <w:lang w:val="en-GB"/>
        </w:rPr>
        <w:t xml:space="preserve"> </w:t>
      </w:r>
      <w:r w:rsidR="00D65536">
        <w:rPr>
          <w:lang w:val="en-GB"/>
        </w:rPr>
        <w:t>since</w:t>
      </w:r>
      <w:r w:rsidR="007E7E40" w:rsidRPr="00123CD3">
        <w:rPr>
          <w:lang w:val="en-GB"/>
        </w:rPr>
        <w:t xml:space="preserve"> what a countr</w:t>
      </w:r>
      <w:r w:rsidR="00D65536">
        <w:rPr>
          <w:lang w:val="en-GB"/>
        </w:rPr>
        <w:t>y produces today determines its</w:t>
      </w:r>
      <w:r w:rsidR="007E7E40" w:rsidRPr="00123CD3">
        <w:rPr>
          <w:lang w:val="en-GB"/>
        </w:rPr>
        <w:t xml:space="preserve"> comparative advantage in the future. The state therefore has a place to help steer the comparative advantage of the future as they are not constrained by the </w:t>
      </w:r>
      <w:r w:rsidR="007E7E40" w:rsidRPr="00123CD3">
        <w:rPr>
          <w:lang w:val="en-GB"/>
        </w:rPr>
        <w:lastRenderedPageBreak/>
        <w:t xml:space="preserve">capitalist logic of market </w:t>
      </w:r>
      <w:r w:rsidR="007E7E40" w:rsidRPr="005F301D">
        <w:rPr>
          <w:lang w:val="en-GB"/>
        </w:rPr>
        <w:t xml:space="preserve">signals </w:t>
      </w:r>
      <w:r w:rsidR="007E7E40" w:rsidRPr="005F301D">
        <w:rPr>
          <w:noProof/>
          <w:lang w:val="en-GB"/>
        </w:rPr>
        <w:t>(Wade</w:t>
      </w:r>
      <w:r w:rsidR="007E7E40" w:rsidRPr="00123CD3">
        <w:rPr>
          <w:noProof/>
          <w:lang w:val="en-GB"/>
        </w:rPr>
        <w:t>, 2014: 781)</w:t>
      </w:r>
      <w:r w:rsidR="007E7E40" w:rsidRPr="00123CD3">
        <w:rPr>
          <w:lang w:val="en-GB"/>
        </w:rPr>
        <w:t xml:space="preserve">. </w:t>
      </w:r>
      <w:r w:rsidR="00117640" w:rsidRPr="00123CD3">
        <w:rPr>
          <w:lang w:val="en-GB"/>
        </w:rPr>
        <w:t xml:space="preserve">Some fear </w:t>
      </w:r>
      <w:r w:rsidR="00D65536">
        <w:rPr>
          <w:lang w:val="en-GB"/>
        </w:rPr>
        <w:t xml:space="preserve">state </w:t>
      </w:r>
      <w:r w:rsidR="00117640" w:rsidRPr="00123CD3">
        <w:rPr>
          <w:lang w:val="en-GB"/>
        </w:rPr>
        <w:t>involvement in investing crowds out private investment</w:t>
      </w:r>
      <w:r w:rsidRPr="00123CD3">
        <w:rPr>
          <w:lang w:val="en-GB"/>
        </w:rPr>
        <w:t>:</w:t>
      </w:r>
      <w:r w:rsidR="00117640" w:rsidRPr="00123CD3">
        <w:rPr>
          <w:lang w:val="en-GB"/>
        </w:rPr>
        <w:t xml:space="preserve"> </w:t>
      </w:r>
      <w:r w:rsidRPr="00123CD3">
        <w:rPr>
          <w:lang w:val="en-GB"/>
        </w:rPr>
        <w:t>F</w:t>
      </w:r>
      <w:r w:rsidR="00117640" w:rsidRPr="00123CD3">
        <w:rPr>
          <w:lang w:val="en-GB"/>
        </w:rPr>
        <w:t xml:space="preserve">irms lack in incentive to invest in innovation </w:t>
      </w:r>
      <w:r w:rsidR="00D65536" w:rsidRPr="00123CD3">
        <w:rPr>
          <w:lang w:val="en-GB"/>
        </w:rPr>
        <w:t>them</w:t>
      </w:r>
      <w:r w:rsidR="00D65536">
        <w:rPr>
          <w:lang w:val="en-GB"/>
        </w:rPr>
        <w:t>s</w:t>
      </w:r>
      <w:r w:rsidR="00D65536" w:rsidRPr="00123CD3">
        <w:rPr>
          <w:lang w:val="en-GB"/>
        </w:rPr>
        <w:t>elves</w:t>
      </w:r>
      <w:r w:rsidR="002D3401">
        <w:rPr>
          <w:lang w:val="en-GB"/>
        </w:rPr>
        <w:t>,</w:t>
      </w:r>
      <w:r w:rsidR="00117640" w:rsidRPr="00123CD3">
        <w:rPr>
          <w:lang w:val="en-GB"/>
        </w:rPr>
        <w:t xml:space="preserve"> as that box is ticked by the state. </w:t>
      </w:r>
      <w:r w:rsidR="00D65536">
        <w:rPr>
          <w:lang w:val="en-GB"/>
        </w:rPr>
        <w:t>Saturated c</w:t>
      </w:r>
      <w:r w:rsidR="00117640" w:rsidRPr="00123CD3">
        <w:rPr>
          <w:lang w:val="en-GB"/>
        </w:rPr>
        <w:t xml:space="preserve">ompanies become less competitive due to lacking incentives </w:t>
      </w:r>
      <w:r w:rsidR="00117640" w:rsidRPr="00123CD3">
        <w:rPr>
          <w:noProof/>
          <w:lang w:val="en-GB"/>
        </w:rPr>
        <w:t>(Mazzucato, 2013: 46)</w:t>
      </w:r>
      <w:r w:rsidR="00117640" w:rsidRPr="00123CD3">
        <w:rPr>
          <w:lang w:val="en-GB"/>
        </w:rPr>
        <w:t xml:space="preserve">. Chang &amp; </w:t>
      </w:r>
      <w:proofErr w:type="spellStart"/>
      <w:r w:rsidR="00117640" w:rsidRPr="00123CD3">
        <w:rPr>
          <w:lang w:val="en-GB"/>
        </w:rPr>
        <w:t>Andreoni</w:t>
      </w:r>
      <w:proofErr w:type="spellEnd"/>
      <w:r w:rsidR="00117640" w:rsidRPr="00123CD3">
        <w:rPr>
          <w:lang w:val="en-GB"/>
        </w:rPr>
        <w:t xml:space="preserve"> argue, however, that investment in areas such as green technologies are unlikely to occur on a private basis due to </w:t>
      </w:r>
      <w:r w:rsidRPr="00123CD3">
        <w:rPr>
          <w:lang w:val="en-GB"/>
        </w:rPr>
        <w:t>its</w:t>
      </w:r>
      <w:r w:rsidR="00117640" w:rsidRPr="00123CD3">
        <w:rPr>
          <w:lang w:val="en-GB"/>
        </w:rPr>
        <w:t xml:space="preserve"> long-term nature, which increase</w:t>
      </w:r>
      <w:r w:rsidRPr="00123CD3">
        <w:rPr>
          <w:lang w:val="en-GB"/>
        </w:rPr>
        <w:t>s</w:t>
      </w:r>
      <w:r w:rsidR="00117640" w:rsidRPr="00123CD3">
        <w:rPr>
          <w:lang w:val="en-GB"/>
        </w:rPr>
        <w:t xml:space="preserve"> uncertainty, therefore no investment is crowded </w:t>
      </w:r>
      <w:r w:rsidR="00117640" w:rsidRPr="005F301D">
        <w:rPr>
          <w:lang w:val="en-GB"/>
        </w:rPr>
        <w:t xml:space="preserve">out </w:t>
      </w:r>
      <w:r w:rsidR="00117640" w:rsidRPr="005F301D">
        <w:rPr>
          <w:noProof/>
          <w:lang w:val="en-GB"/>
        </w:rPr>
        <w:t>(Chang &amp; Andreoni, 2020: 346)</w:t>
      </w:r>
      <w:r w:rsidR="00117640" w:rsidRPr="005F301D">
        <w:rPr>
          <w:lang w:val="en-GB"/>
        </w:rPr>
        <w:t>.</w:t>
      </w:r>
      <w:r w:rsidR="00117640" w:rsidRPr="00123CD3">
        <w:rPr>
          <w:lang w:val="en-GB"/>
        </w:rPr>
        <w:t xml:space="preserve"> In other words,</w:t>
      </w:r>
      <w:r w:rsidR="007E7E40" w:rsidRPr="00123CD3">
        <w:rPr>
          <w:lang w:val="en-GB"/>
        </w:rPr>
        <w:t xml:space="preserve"> </w:t>
      </w:r>
      <w:r w:rsidR="00117640" w:rsidRPr="00123CD3">
        <w:rPr>
          <w:lang w:val="en-GB"/>
        </w:rPr>
        <w:t>a</w:t>
      </w:r>
      <w:r w:rsidR="007E7E40" w:rsidRPr="00123CD3">
        <w:rPr>
          <w:lang w:val="en-GB"/>
        </w:rPr>
        <w:t xml:space="preserve"> neoliberal free market does </w:t>
      </w:r>
      <w:r w:rsidR="007E7E40" w:rsidRPr="00123CD3">
        <w:rPr>
          <w:i/>
          <w:lang w:val="en-GB"/>
        </w:rPr>
        <w:t xml:space="preserve">not </w:t>
      </w:r>
      <w:r w:rsidR="007E7E40" w:rsidRPr="00123CD3">
        <w:rPr>
          <w:lang w:val="en-GB"/>
        </w:rPr>
        <w:t>optimise the allocation of capital due to the unwillingness to engage in long-term</w:t>
      </w:r>
      <w:r w:rsidR="00D65536">
        <w:rPr>
          <w:lang w:val="en-GB"/>
        </w:rPr>
        <w:t>,</w:t>
      </w:r>
      <w:r w:rsidR="007E7E40" w:rsidRPr="00123CD3">
        <w:rPr>
          <w:lang w:val="en-GB"/>
        </w:rPr>
        <w:t xml:space="preserve"> </w:t>
      </w:r>
      <w:r w:rsidR="00B4101E" w:rsidRPr="00123CD3">
        <w:rPr>
          <w:lang w:val="en-GB"/>
        </w:rPr>
        <w:t>uncertain</w:t>
      </w:r>
      <w:r w:rsidR="007E7E40" w:rsidRPr="00123CD3">
        <w:rPr>
          <w:lang w:val="en-GB"/>
        </w:rPr>
        <w:t xml:space="preserve"> contracts. </w:t>
      </w:r>
      <w:r w:rsidR="00D65536">
        <w:rPr>
          <w:lang w:val="en-GB"/>
        </w:rPr>
        <w:t>Beyond the means of</w:t>
      </w:r>
      <w:r w:rsidR="007E7E40" w:rsidRPr="00123CD3">
        <w:rPr>
          <w:lang w:val="en-GB"/>
        </w:rPr>
        <w:t xml:space="preserve"> an u</w:t>
      </w:r>
      <w:r w:rsidR="00B4101E" w:rsidRPr="00123CD3">
        <w:rPr>
          <w:lang w:val="en-GB"/>
        </w:rPr>
        <w:t>ncoordinated neoliberal market,</w:t>
      </w:r>
      <w:r w:rsidR="007E7E40" w:rsidRPr="00123CD3">
        <w:rPr>
          <w:lang w:val="en-GB"/>
        </w:rPr>
        <w:t xml:space="preserve"> state interventionism ultimately would optimise GDP growth through more efficient </w:t>
      </w:r>
      <w:r w:rsidR="00B4101E" w:rsidRPr="00123CD3">
        <w:rPr>
          <w:lang w:val="en-GB"/>
        </w:rPr>
        <w:t xml:space="preserve">allocation of </w:t>
      </w:r>
      <w:r w:rsidR="00B4101E" w:rsidRPr="005F301D">
        <w:rPr>
          <w:lang w:val="en-GB"/>
        </w:rPr>
        <w:t>resources</w:t>
      </w:r>
      <w:r w:rsidR="007E7E40" w:rsidRPr="005F301D">
        <w:rPr>
          <w:lang w:val="en-GB"/>
        </w:rPr>
        <w:t xml:space="preserve"> </w:t>
      </w:r>
      <w:r w:rsidR="007E7E40" w:rsidRPr="005F301D">
        <w:rPr>
          <w:noProof/>
          <w:lang w:val="en-GB"/>
        </w:rPr>
        <w:t>(Storm</w:t>
      </w:r>
      <w:r w:rsidR="007E7E40" w:rsidRPr="00123CD3">
        <w:rPr>
          <w:noProof/>
          <w:lang w:val="en-GB"/>
        </w:rPr>
        <w:t>, 2017: 8)</w:t>
      </w:r>
      <w:r w:rsidR="00B4101E" w:rsidRPr="00123CD3">
        <w:rPr>
          <w:lang w:val="en-GB"/>
        </w:rPr>
        <w:t>.</w:t>
      </w:r>
      <w:r w:rsidR="00117640" w:rsidRPr="00123CD3">
        <w:rPr>
          <w:lang w:val="en-GB"/>
        </w:rPr>
        <w:t xml:space="preserve"> </w:t>
      </w:r>
      <w:r w:rsidR="004D15AA" w:rsidRPr="00123CD3">
        <w:rPr>
          <w:lang w:val="en-GB"/>
        </w:rPr>
        <w:t xml:space="preserve">Reluctance of the private sector to invest in fundamental innovations acts as a market failure, and thus the state rectifies through interventionism </w:t>
      </w:r>
      <w:r w:rsidR="004D15AA" w:rsidRPr="00123CD3">
        <w:rPr>
          <w:noProof/>
          <w:lang w:val="en-GB"/>
        </w:rPr>
        <w:t>(Mazzucato, 2013: 27, 44)</w:t>
      </w:r>
      <w:r w:rsidR="004D15AA" w:rsidRPr="00123CD3">
        <w:rPr>
          <w:lang w:val="en-GB"/>
        </w:rPr>
        <w:t xml:space="preserve">. </w:t>
      </w:r>
      <w:r w:rsidR="003A2274" w:rsidRPr="00123CD3">
        <w:rPr>
          <w:lang w:val="en-GB"/>
        </w:rPr>
        <w:t>Keynes already noticed that the state should not intervene in practices in which the private is already active</w:t>
      </w:r>
      <w:r w:rsidR="00B4101E" w:rsidRPr="00123CD3">
        <w:rPr>
          <w:lang w:val="en-GB"/>
        </w:rPr>
        <w:t xml:space="preserve"> thus crowding out investments</w:t>
      </w:r>
      <w:r w:rsidR="003A2274" w:rsidRPr="00123CD3">
        <w:rPr>
          <w:lang w:val="en-GB"/>
        </w:rPr>
        <w:t xml:space="preserve">. </w:t>
      </w:r>
      <w:r w:rsidR="00B4101E" w:rsidRPr="00123CD3">
        <w:rPr>
          <w:lang w:val="en-GB"/>
        </w:rPr>
        <w:t>However</w:t>
      </w:r>
      <w:r w:rsidR="003A2274" w:rsidRPr="00123CD3">
        <w:rPr>
          <w:lang w:val="en-GB"/>
        </w:rPr>
        <w:t xml:space="preserve">, the state </w:t>
      </w:r>
      <w:r w:rsidR="00B4101E" w:rsidRPr="00123CD3">
        <w:rPr>
          <w:i/>
          <w:lang w:val="en-GB"/>
        </w:rPr>
        <w:t xml:space="preserve">should </w:t>
      </w:r>
      <w:r w:rsidR="003A2274" w:rsidRPr="00123CD3">
        <w:rPr>
          <w:lang w:val="en-GB"/>
        </w:rPr>
        <w:t xml:space="preserve">intervene when the private sector is </w:t>
      </w:r>
      <w:r w:rsidR="003A2274" w:rsidRPr="00123CD3">
        <w:rPr>
          <w:i/>
          <w:lang w:val="en-GB"/>
        </w:rPr>
        <w:t>not</w:t>
      </w:r>
      <w:r w:rsidR="003A2274" w:rsidRPr="00123CD3">
        <w:rPr>
          <w:lang w:val="en-GB"/>
        </w:rPr>
        <w:t xml:space="preserve"> active where a market should be present </w:t>
      </w:r>
      <w:sdt>
        <w:sdtPr>
          <w:rPr>
            <w:lang w:val="en-GB"/>
          </w:rPr>
          <w:id w:val="309072865"/>
          <w:citation/>
        </w:sdtPr>
        <w:sdtEndPr/>
        <w:sdtContent>
          <w:r w:rsidR="003A2274" w:rsidRPr="00123CD3">
            <w:rPr>
              <w:lang w:val="en-GB"/>
            </w:rPr>
            <w:fldChar w:fldCharType="begin"/>
          </w:r>
          <w:r w:rsidR="003A2274" w:rsidRPr="00123CD3">
            <w:rPr>
              <w:lang w:val="en-GB"/>
            </w:rPr>
            <w:instrText xml:space="preserve"> CITATION Key78 \l 1033 </w:instrText>
          </w:r>
          <w:r w:rsidR="003A2274" w:rsidRPr="00123CD3">
            <w:rPr>
              <w:lang w:val="en-GB"/>
            </w:rPr>
            <w:fldChar w:fldCharType="separate"/>
          </w:r>
          <w:r w:rsidR="0058607C" w:rsidRPr="0058607C">
            <w:rPr>
              <w:noProof/>
              <w:lang w:val="en-GB"/>
            </w:rPr>
            <w:t>(Keynes, 1978)</w:t>
          </w:r>
          <w:r w:rsidR="003A2274" w:rsidRPr="00123CD3">
            <w:rPr>
              <w:lang w:val="en-GB"/>
            </w:rPr>
            <w:fldChar w:fldCharType="end"/>
          </w:r>
        </w:sdtContent>
      </w:sdt>
      <w:r w:rsidR="003A2274" w:rsidRPr="00123CD3">
        <w:rPr>
          <w:lang w:val="en-GB"/>
        </w:rPr>
        <w:t xml:space="preserve">. </w:t>
      </w:r>
      <w:r w:rsidR="00B4101E" w:rsidRPr="00123CD3">
        <w:rPr>
          <w:lang w:val="en-GB"/>
        </w:rPr>
        <w:t>Beyond</w:t>
      </w:r>
      <w:r w:rsidR="003A2274" w:rsidRPr="00123CD3">
        <w:rPr>
          <w:lang w:val="en-GB"/>
        </w:rPr>
        <w:t xml:space="preserve"> the uncertainty linked to fundam</w:t>
      </w:r>
      <w:r w:rsidR="00D65536">
        <w:rPr>
          <w:lang w:val="en-GB"/>
        </w:rPr>
        <w:t>ental innovations</w:t>
      </w:r>
      <w:r w:rsidR="003A2274" w:rsidRPr="00123CD3">
        <w:rPr>
          <w:lang w:val="en-GB"/>
        </w:rPr>
        <w:t xml:space="preserve"> </w:t>
      </w:r>
      <w:r w:rsidR="00D65536" w:rsidRPr="00123CD3">
        <w:rPr>
          <w:lang w:val="en-GB"/>
        </w:rPr>
        <w:t>initial investments</w:t>
      </w:r>
      <w:r w:rsidR="00D65536">
        <w:rPr>
          <w:lang w:val="en-GB"/>
        </w:rPr>
        <w:t>,</w:t>
      </w:r>
      <w:r w:rsidR="00D65536" w:rsidRPr="00123CD3">
        <w:rPr>
          <w:lang w:val="en-GB"/>
        </w:rPr>
        <w:t xml:space="preserve"> </w:t>
      </w:r>
      <w:r w:rsidR="00B4101E" w:rsidRPr="00123CD3">
        <w:rPr>
          <w:lang w:val="en-GB"/>
        </w:rPr>
        <w:t>particularly in industry</w:t>
      </w:r>
      <w:r w:rsidR="00D65536">
        <w:rPr>
          <w:lang w:val="en-GB"/>
        </w:rPr>
        <w:t>,</w:t>
      </w:r>
      <w:r w:rsidR="00B4101E" w:rsidRPr="00123CD3">
        <w:rPr>
          <w:lang w:val="en-GB"/>
        </w:rPr>
        <w:t xml:space="preserve"> </w:t>
      </w:r>
      <w:r w:rsidR="003A2274" w:rsidRPr="00123CD3">
        <w:rPr>
          <w:lang w:val="en-GB"/>
        </w:rPr>
        <w:t>are risky as they require relatively substantial investments which will later count as sunk-in</w:t>
      </w:r>
      <w:r w:rsidR="00B4101E" w:rsidRPr="00123CD3">
        <w:rPr>
          <w:lang w:val="en-GB"/>
        </w:rPr>
        <w:t xml:space="preserve"> costs</w:t>
      </w:r>
      <w:r w:rsidR="003A2274" w:rsidRPr="00123CD3">
        <w:rPr>
          <w:lang w:val="en-GB"/>
        </w:rPr>
        <w:t xml:space="preserve">. Industry requires investments in physical capital, thus solidifying the capital and increasing uncertainty due do its illiquid form, even more so as particular machines or skills only serve a single technology or product </w:t>
      </w:r>
      <w:r w:rsidR="003A2274" w:rsidRPr="00123CD3">
        <w:rPr>
          <w:noProof/>
          <w:lang w:val="en-GB"/>
        </w:rPr>
        <w:t>(Chang &amp; Andreoni, 2020: 327)</w:t>
      </w:r>
      <w:r w:rsidR="003A2274" w:rsidRPr="00123CD3">
        <w:rPr>
          <w:lang w:val="en-GB"/>
        </w:rPr>
        <w:t xml:space="preserve">. In terms of green technology uncertainty is </w:t>
      </w:r>
      <w:r w:rsidR="00D65536">
        <w:rPr>
          <w:lang w:val="en-GB"/>
        </w:rPr>
        <w:t>especially</w:t>
      </w:r>
      <w:r w:rsidR="003A2274" w:rsidRPr="00123CD3">
        <w:rPr>
          <w:lang w:val="en-GB"/>
        </w:rPr>
        <w:t xml:space="preserve"> high due to its development residing in early stages, making a state entrepreneur particularly relevant </w:t>
      </w:r>
      <w:r w:rsidR="003A2274" w:rsidRPr="00123CD3">
        <w:rPr>
          <w:noProof/>
          <w:lang w:val="en-GB"/>
        </w:rPr>
        <w:t>(Mazzucato, 2013: 30)</w:t>
      </w:r>
      <w:r w:rsidR="003A2274" w:rsidRPr="00123CD3">
        <w:rPr>
          <w:lang w:val="en-GB"/>
        </w:rPr>
        <w:t xml:space="preserve">. </w:t>
      </w:r>
    </w:p>
    <w:p w14:paraId="2FBB83F9" w14:textId="585330AF" w:rsidR="00636256" w:rsidRPr="00D36CBD" w:rsidRDefault="00636256" w:rsidP="00C71FE6">
      <w:pPr>
        <w:spacing w:line="360" w:lineRule="auto"/>
        <w:rPr>
          <w:lang w:val="en-GB"/>
        </w:rPr>
      </w:pPr>
      <w:r>
        <w:rPr>
          <w:lang w:val="en-GB"/>
        </w:rPr>
        <w:t xml:space="preserve">In addition to the state serving as an allocator of </w:t>
      </w:r>
      <w:r w:rsidR="00D65536">
        <w:rPr>
          <w:lang w:val="en-GB"/>
        </w:rPr>
        <w:t>resources, it may also act as a</w:t>
      </w:r>
      <w:r>
        <w:rPr>
          <w:lang w:val="en-GB"/>
        </w:rPr>
        <w:t xml:space="preserve"> coordinator and investor for cooperation</w:t>
      </w:r>
      <w:r w:rsidR="005872E3">
        <w:rPr>
          <w:lang w:val="en-GB"/>
        </w:rPr>
        <w:t>, such as in an industrial cluster</w:t>
      </w:r>
      <w:r>
        <w:rPr>
          <w:lang w:val="en-GB"/>
        </w:rPr>
        <w:t xml:space="preserve">. Indeed, the inability of the market to coordinate capital injections amongst related industries acts as a market failure driven forth by a lack of information. This again, is mostly related to the initial investments costs. It is therefore justified for the government to step in and take the risk necessary to reap the most rewards from an industrial </w:t>
      </w:r>
      <w:r w:rsidRPr="005F301D">
        <w:rPr>
          <w:lang w:val="en-GB"/>
        </w:rPr>
        <w:t>cluster (</w:t>
      </w:r>
      <w:proofErr w:type="spellStart"/>
      <w:r w:rsidR="005F301D">
        <w:rPr>
          <w:lang w:val="en-GB"/>
        </w:rPr>
        <w:t>Andreoni</w:t>
      </w:r>
      <w:proofErr w:type="spellEnd"/>
      <w:r w:rsidR="005F301D">
        <w:rPr>
          <w:lang w:val="en-GB"/>
        </w:rPr>
        <w:t xml:space="preserve"> &amp; Chang</w:t>
      </w:r>
      <w:r>
        <w:rPr>
          <w:lang w:val="en-GB"/>
        </w:rPr>
        <w:t>, 2019:</w:t>
      </w:r>
      <w:r w:rsidR="005F301D">
        <w:rPr>
          <w:lang w:val="en-GB"/>
        </w:rPr>
        <w:t xml:space="preserve"> </w:t>
      </w:r>
      <w:r>
        <w:rPr>
          <w:lang w:val="en-GB"/>
        </w:rPr>
        <w:t xml:space="preserve">139). Why is clustering important? </w:t>
      </w:r>
      <w:r w:rsidRPr="004E2D8E">
        <w:rPr>
          <w:lang w:val="en-GB"/>
        </w:rPr>
        <w:t xml:space="preserve">New technologies seldom work in isolation, relying on interdependent </w:t>
      </w:r>
      <w:r w:rsidRPr="005F301D">
        <w:rPr>
          <w:lang w:val="en-GB"/>
        </w:rPr>
        <w:t xml:space="preserve">innovations to operate </w:t>
      </w:r>
      <w:r w:rsidRPr="005F301D">
        <w:rPr>
          <w:noProof/>
          <w:lang w:val="en-GB"/>
        </w:rPr>
        <w:t>(Tassey, 2010</w:t>
      </w:r>
      <w:r w:rsidRPr="004E2D8E">
        <w:rPr>
          <w:noProof/>
          <w:lang w:val="en-GB"/>
        </w:rPr>
        <w:t>: 288)</w:t>
      </w:r>
      <w:r w:rsidRPr="004E2D8E">
        <w:rPr>
          <w:lang w:val="en-GB"/>
        </w:rPr>
        <w:t xml:space="preserve">. Therefore it may be beneficial to cluster related industries </w:t>
      </w:r>
      <w:r w:rsidR="00B73E3F" w:rsidRPr="005F301D">
        <w:rPr>
          <w:noProof/>
          <w:lang w:val="en-GB"/>
        </w:rPr>
        <w:t>(Rosenberg, 1976</w:t>
      </w:r>
      <w:r w:rsidRPr="004E2D8E">
        <w:rPr>
          <w:noProof/>
          <w:lang w:val="en-GB"/>
        </w:rPr>
        <w:t xml:space="preserve">: </w:t>
      </w:r>
      <w:r w:rsidR="00B73E3F">
        <w:rPr>
          <w:noProof/>
          <w:lang w:val="en-GB"/>
        </w:rPr>
        <w:t>67</w:t>
      </w:r>
      <w:r w:rsidRPr="004E2D8E">
        <w:rPr>
          <w:noProof/>
          <w:lang w:val="en-GB"/>
        </w:rPr>
        <w:t>)</w:t>
      </w:r>
      <w:r w:rsidRPr="004E2D8E">
        <w:rPr>
          <w:lang w:val="en-GB"/>
        </w:rPr>
        <w:t xml:space="preserve">. Recognition of the necessity for cooperation between multiple firms and state fits the aforementioned references to risk and initial costs. Particularly nowadays in the world of industry 4.0 the (digital) economy often operates best in tandem better enabling network effects </w:t>
      </w:r>
      <w:r w:rsidRPr="004E2D8E">
        <w:rPr>
          <w:noProof/>
          <w:lang w:val="en-GB"/>
        </w:rPr>
        <w:t>(Bardt et al. 2019: 90)</w:t>
      </w:r>
      <w:r w:rsidRPr="004E2D8E">
        <w:rPr>
          <w:lang w:val="en-GB"/>
        </w:rPr>
        <w:t xml:space="preserve">. Furthermore, production clusters may be advantageous </w:t>
      </w:r>
      <w:r w:rsidR="005872E3">
        <w:rPr>
          <w:lang w:val="en-GB"/>
        </w:rPr>
        <w:t>as it forms an economy of scale:</w:t>
      </w:r>
      <w:r w:rsidRPr="004E2D8E">
        <w:rPr>
          <w:lang w:val="en-GB"/>
        </w:rPr>
        <w:t xml:space="preserve"> </w:t>
      </w:r>
      <w:r w:rsidR="005872E3">
        <w:rPr>
          <w:lang w:val="en-GB"/>
        </w:rPr>
        <w:t>Higher output lowers the variable costs, thus</w:t>
      </w:r>
      <w:r w:rsidRPr="004E2D8E">
        <w:rPr>
          <w:lang w:val="en-GB"/>
        </w:rPr>
        <w:t xml:space="preserve"> </w:t>
      </w:r>
      <w:r w:rsidR="005872E3">
        <w:rPr>
          <w:lang w:val="en-GB"/>
        </w:rPr>
        <w:t>increasing</w:t>
      </w:r>
      <w:r w:rsidRPr="004E2D8E">
        <w:rPr>
          <w:lang w:val="en-GB"/>
        </w:rPr>
        <w:t xml:space="preserve"> the returns due to </w:t>
      </w:r>
      <w:r w:rsidRPr="005F301D">
        <w:rPr>
          <w:lang w:val="en-GB"/>
        </w:rPr>
        <w:t xml:space="preserve">augmented efficiency </w:t>
      </w:r>
      <w:r w:rsidR="005F301D" w:rsidRPr="005F301D">
        <w:rPr>
          <w:noProof/>
          <w:lang w:val="en-GB"/>
        </w:rPr>
        <w:t xml:space="preserve">(Krugman et al. </w:t>
      </w:r>
      <w:r w:rsidRPr="005F301D">
        <w:rPr>
          <w:noProof/>
          <w:lang w:val="en-GB"/>
        </w:rPr>
        <w:t>2018: 181)</w:t>
      </w:r>
      <w:r w:rsidRPr="005F301D">
        <w:rPr>
          <w:lang w:val="en-GB"/>
        </w:rPr>
        <w:t>.</w:t>
      </w:r>
      <w:r w:rsidRPr="00123CD3">
        <w:rPr>
          <w:i/>
          <w:lang w:val="en-GB"/>
        </w:rPr>
        <w:t xml:space="preserve"> </w:t>
      </w:r>
    </w:p>
    <w:p w14:paraId="1D72738E" w14:textId="626D7C97" w:rsidR="008516D0" w:rsidRPr="00123CD3" w:rsidRDefault="00A9152F" w:rsidP="00C71FE6">
      <w:pPr>
        <w:spacing w:line="360" w:lineRule="auto"/>
        <w:rPr>
          <w:lang w:val="en-GB"/>
        </w:rPr>
      </w:pPr>
      <w:r w:rsidRPr="00123CD3">
        <w:rPr>
          <w:b/>
          <w:lang w:val="en-GB"/>
        </w:rPr>
        <w:br w:type="page"/>
      </w:r>
      <w:r w:rsidR="004319D0" w:rsidRPr="00123CD3">
        <w:rPr>
          <w:lang w:val="en-GB"/>
        </w:rPr>
        <w:lastRenderedPageBreak/>
        <w:t>T</w:t>
      </w:r>
      <w:r w:rsidR="00CD2B20" w:rsidRPr="00123CD3">
        <w:rPr>
          <w:lang w:val="en-GB"/>
        </w:rPr>
        <w:t xml:space="preserve">o add to the validity of the answer </w:t>
      </w:r>
      <w:r w:rsidR="004319D0" w:rsidRPr="00123CD3">
        <w:rPr>
          <w:lang w:val="en-GB"/>
        </w:rPr>
        <w:t>on whether the EU shifted from a horizontal to a vertical industrial policy</w:t>
      </w:r>
      <w:r w:rsidR="00CD2B20" w:rsidRPr="00123CD3">
        <w:rPr>
          <w:lang w:val="en-GB"/>
        </w:rPr>
        <w:t xml:space="preserve"> </w:t>
      </w:r>
      <w:r w:rsidR="004319D0" w:rsidRPr="00123CD3">
        <w:rPr>
          <w:lang w:val="en-GB"/>
        </w:rPr>
        <w:t>this paper includes a section revolving around the theory on policy paradigm shifts.</w:t>
      </w:r>
      <w:r w:rsidR="00CD2B20" w:rsidRPr="00123CD3">
        <w:rPr>
          <w:lang w:val="en-GB"/>
        </w:rPr>
        <w:t xml:space="preserve"> </w:t>
      </w:r>
      <w:r w:rsidR="004319D0" w:rsidRPr="00123CD3">
        <w:rPr>
          <w:lang w:val="en-GB"/>
        </w:rPr>
        <w:t xml:space="preserve">Firstly, it is clarified what an actual paradigm shift encompasses. There are multiple forms of policy alterations, would a shift from vertical to horizontal fit the bill of a </w:t>
      </w:r>
      <w:r w:rsidR="004319D0" w:rsidRPr="00123CD3">
        <w:rPr>
          <w:i/>
          <w:lang w:val="en-GB"/>
        </w:rPr>
        <w:t xml:space="preserve">paradigm </w:t>
      </w:r>
      <w:r w:rsidR="004319D0" w:rsidRPr="00123CD3">
        <w:rPr>
          <w:lang w:val="en-GB"/>
        </w:rPr>
        <w:t xml:space="preserve">shift? </w:t>
      </w:r>
      <w:r w:rsidR="008516D0" w:rsidRPr="00123CD3">
        <w:rPr>
          <w:lang w:val="en-GB"/>
        </w:rPr>
        <w:t xml:space="preserve">Next, the paper describes the particular necessities for a shift to occur. Based on the methods and processes described below, this article can with more certainty infer that a shift would indeed fit </w:t>
      </w:r>
      <w:r w:rsidR="007F58AF">
        <w:rPr>
          <w:lang w:val="en-GB"/>
        </w:rPr>
        <w:t>the contemporary political economy</w:t>
      </w:r>
      <w:r w:rsidR="008516D0" w:rsidRPr="00123CD3">
        <w:rPr>
          <w:lang w:val="en-GB"/>
        </w:rPr>
        <w:t xml:space="preserve">.   </w:t>
      </w:r>
    </w:p>
    <w:p w14:paraId="2CF6B557" w14:textId="722160E9" w:rsidR="00917041" w:rsidRPr="00123CD3" w:rsidRDefault="00917041" w:rsidP="00C71FE6">
      <w:pPr>
        <w:spacing w:line="360" w:lineRule="auto"/>
        <w:rPr>
          <w:lang w:val="en-GB"/>
        </w:rPr>
      </w:pPr>
      <w:r w:rsidRPr="00123CD3">
        <w:rPr>
          <w:lang w:val="en-GB"/>
        </w:rPr>
        <w:t xml:space="preserve">In basic terms, a paradigm shift occurs when a dominant idea, the paradigm, is replaced by a challenging idea and cements its dominance as the new orthodoxy. To understand the process of paradigm shifts better this paper takes a historical institutional (HI) approach. Early on, HI gave policy change little thought </w:t>
      </w:r>
      <w:r w:rsidRPr="00123CD3">
        <w:rPr>
          <w:noProof/>
          <w:lang w:val="en-GB"/>
        </w:rPr>
        <w:t>(Thelen, 2004</w:t>
      </w:r>
      <w:r w:rsidR="00270DE4">
        <w:rPr>
          <w:noProof/>
          <w:lang w:val="en-GB"/>
        </w:rPr>
        <w:t>: 23</w:t>
      </w:r>
      <w:r w:rsidRPr="00123CD3">
        <w:rPr>
          <w:noProof/>
          <w:lang w:val="en-GB"/>
        </w:rPr>
        <w:t>)</w:t>
      </w:r>
      <w:r w:rsidRPr="00123CD3">
        <w:rPr>
          <w:lang w:val="en-GB"/>
        </w:rPr>
        <w:t>. It mainly revolved around path-dependence, which locked-in future developments</w:t>
      </w:r>
      <w:r w:rsidR="00132649">
        <w:rPr>
          <w:lang w:val="en-GB"/>
        </w:rPr>
        <w:t>, though some found room for change</w:t>
      </w:r>
      <w:r w:rsidRPr="00123CD3">
        <w:rPr>
          <w:lang w:val="en-GB"/>
        </w:rPr>
        <w:t xml:space="preserve"> </w:t>
      </w:r>
      <w:r w:rsidR="00132649" w:rsidRPr="00123CD3">
        <w:rPr>
          <w:noProof/>
          <w:lang w:val="en-GB"/>
        </w:rPr>
        <w:t>(Pierson, 2004</w:t>
      </w:r>
      <w:r w:rsidR="00132649">
        <w:rPr>
          <w:noProof/>
          <w:lang w:val="en-GB"/>
        </w:rPr>
        <w:t>: 52</w:t>
      </w:r>
      <w:r w:rsidR="00132649" w:rsidRPr="00123CD3">
        <w:rPr>
          <w:noProof/>
          <w:lang w:val="en-GB"/>
        </w:rPr>
        <w:t>)</w:t>
      </w:r>
      <w:r w:rsidRPr="00123CD3">
        <w:rPr>
          <w:lang w:val="en-GB"/>
        </w:rPr>
        <w:t>. Due to the path-dependent particularities HI effectively centred around structural institutions</w:t>
      </w:r>
      <w:r w:rsidR="0051330C" w:rsidRPr="00123CD3">
        <w:rPr>
          <w:lang w:val="en-GB"/>
        </w:rPr>
        <w:t>,</w:t>
      </w:r>
      <w:r w:rsidRPr="00123CD3">
        <w:rPr>
          <w:lang w:val="en-GB"/>
        </w:rPr>
        <w:t xml:space="preserve"> originally recognizing only one major force for change: Ex</w:t>
      </w:r>
      <w:r w:rsidR="0051330C" w:rsidRPr="00123CD3">
        <w:rPr>
          <w:lang w:val="en-GB"/>
        </w:rPr>
        <w:t>ogenous</w:t>
      </w:r>
      <w:r w:rsidRPr="00123CD3">
        <w:rPr>
          <w:lang w:val="en-GB"/>
        </w:rPr>
        <w:t xml:space="preserve"> shocks. The theory thus divided the flow of history into two segments: Periods of continuity</w:t>
      </w:r>
      <w:r w:rsidR="007F58AF">
        <w:rPr>
          <w:lang w:val="en-GB"/>
        </w:rPr>
        <w:t>,</w:t>
      </w:r>
      <w:r w:rsidRPr="00123CD3">
        <w:rPr>
          <w:lang w:val="en-GB"/>
        </w:rPr>
        <w:t xml:space="preserve"> and external shocks, also known as critical junctures </w:t>
      </w:r>
      <w:r w:rsidRPr="00123CD3">
        <w:rPr>
          <w:noProof/>
          <w:lang w:val="en-GB"/>
        </w:rPr>
        <w:t>(Hall &amp; Taylor, 1996</w:t>
      </w:r>
      <w:r w:rsidR="00982F73">
        <w:rPr>
          <w:noProof/>
          <w:lang w:val="en-GB"/>
        </w:rPr>
        <w:t>: 942</w:t>
      </w:r>
      <w:r w:rsidRPr="00123CD3">
        <w:rPr>
          <w:noProof/>
          <w:lang w:val="en-GB"/>
        </w:rPr>
        <w:t>)</w:t>
      </w:r>
      <w:r w:rsidRPr="00123CD3">
        <w:rPr>
          <w:lang w:val="en-GB"/>
        </w:rPr>
        <w:t xml:space="preserve">. </w:t>
      </w:r>
      <w:r w:rsidR="00C91747" w:rsidRPr="00123CD3">
        <w:rPr>
          <w:lang w:val="en-GB"/>
        </w:rPr>
        <w:t xml:space="preserve">Critical junctures circumvent the limitations that structure imposes on change: Forces outside the framework instigate alterations and it is only at critical points that the foundations can be transformed </w:t>
      </w:r>
      <w:r w:rsidR="00C91747" w:rsidRPr="00123CD3">
        <w:rPr>
          <w:noProof/>
          <w:lang w:val="en-GB"/>
        </w:rPr>
        <w:t>(Katznelson, 2003</w:t>
      </w:r>
      <w:r w:rsidR="003927FA">
        <w:rPr>
          <w:noProof/>
          <w:lang w:val="en-GB"/>
        </w:rPr>
        <w:t>: 271</w:t>
      </w:r>
      <w:r w:rsidR="00C91747" w:rsidRPr="00123CD3">
        <w:rPr>
          <w:noProof/>
          <w:lang w:val="en-GB"/>
        </w:rPr>
        <w:t>)</w:t>
      </w:r>
      <w:r w:rsidR="00C91747" w:rsidRPr="00123CD3">
        <w:rPr>
          <w:i/>
          <w:lang w:val="en-GB"/>
        </w:rPr>
        <w:t xml:space="preserve">. </w:t>
      </w:r>
      <w:r w:rsidRPr="00123CD3">
        <w:rPr>
          <w:lang w:val="en-GB"/>
        </w:rPr>
        <w:t>The addition of critical junctures brought with it the notion of multiple ideas being present at all times</w:t>
      </w:r>
      <w:r w:rsidR="007F58AF">
        <w:rPr>
          <w:lang w:val="en-GB"/>
        </w:rPr>
        <w:t>.</w:t>
      </w:r>
      <w:r w:rsidR="00951805">
        <w:rPr>
          <w:lang w:val="en-GB"/>
        </w:rPr>
        <w:t xml:space="preserve"> </w:t>
      </w:r>
      <w:r w:rsidR="007F58AF">
        <w:rPr>
          <w:lang w:val="en-GB"/>
        </w:rPr>
        <w:t>It</w:t>
      </w:r>
      <w:r w:rsidR="00951805">
        <w:rPr>
          <w:lang w:val="en-GB"/>
        </w:rPr>
        <w:t xml:space="preserve"> explains the ability </w:t>
      </w:r>
      <w:r w:rsidR="007F58AF">
        <w:rPr>
          <w:lang w:val="en-GB"/>
        </w:rPr>
        <w:t xml:space="preserve">of policies </w:t>
      </w:r>
      <w:r w:rsidR="00951805">
        <w:rPr>
          <w:lang w:val="en-GB"/>
        </w:rPr>
        <w:t>to change within a government</w:t>
      </w:r>
      <w:r w:rsidRPr="00123CD3">
        <w:rPr>
          <w:lang w:val="en-GB"/>
        </w:rPr>
        <w:t xml:space="preserve"> </w:t>
      </w:r>
      <w:r w:rsidR="00951805" w:rsidRPr="00123CD3">
        <w:rPr>
          <w:noProof/>
          <w:lang w:val="en-GB"/>
        </w:rPr>
        <w:t>(Lieberman, 2002</w:t>
      </w:r>
      <w:r w:rsidR="00951805">
        <w:rPr>
          <w:noProof/>
          <w:lang w:val="en-GB"/>
        </w:rPr>
        <w:t>: 702</w:t>
      </w:r>
      <w:r w:rsidR="00951805" w:rsidRPr="00123CD3">
        <w:rPr>
          <w:noProof/>
          <w:lang w:val="en-GB"/>
        </w:rPr>
        <w:t>)</w:t>
      </w:r>
      <w:r w:rsidRPr="00123CD3">
        <w:rPr>
          <w:lang w:val="en-GB"/>
        </w:rPr>
        <w:t>. After all, if there would be only one possible policy proposal</w:t>
      </w:r>
      <w:r w:rsidR="007F58AF">
        <w:rPr>
          <w:lang w:val="en-GB"/>
        </w:rPr>
        <w:t xml:space="preserve"> or idea</w:t>
      </w:r>
      <w:r w:rsidRPr="00123CD3">
        <w:rPr>
          <w:lang w:val="en-GB"/>
        </w:rPr>
        <w:t xml:space="preserve">, there </w:t>
      </w:r>
      <w:r w:rsidR="0051330C" w:rsidRPr="00123CD3">
        <w:rPr>
          <w:lang w:val="en-GB"/>
        </w:rPr>
        <w:t>is</w:t>
      </w:r>
      <w:r w:rsidRPr="00123CD3">
        <w:rPr>
          <w:lang w:val="en-GB"/>
        </w:rPr>
        <w:t xml:space="preserve"> nothing to replace </w:t>
      </w:r>
      <w:r w:rsidR="007F58AF">
        <w:rPr>
          <w:lang w:val="en-GB"/>
        </w:rPr>
        <w:t>the paradigm</w:t>
      </w:r>
      <w:r w:rsidRPr="00123CD3">
        <w:rPr>
          <w:lang w:val="en-GB"/>
        </w:rPr>
        <w:t xml:space="preserve">. </w:t>
      </w:r>
    </w:p>
    <w:p w14:paraId="6B2B4CAF" w14:textId="5F082E41" w:rsidR="00C01CED" w:rsidRPr="00123CD3" w:rsidRDefault="00917041" w:rsidP="00C71FE6">
      <w:pPr>
        <w:spacing w:line="360" w:lineRule="auto"/>
        <w:rPr>
          <w:lang w:val="en-GB"/>
        </w:rPr>
      </w:pPr>
      <w:r w:rsidRPr="00123CD3">
        <w:rPr>
          <w:lang w:val="en-GB"/>
        </w:rPr>
        <w:t>After including the possibility o</w:t>
      </w:r>
      <w:r w:rsidR="007F58AF">
        <w:rPr>
          <w:lang w:val="en-GB"/>
        </w:rPr>
        <w:t>f change the next step consists of</w:t>
      </w:r>
      <w:r w:rsidRPr="00123CD3">
        <w:rPr>
          <w:lang w:val="en-GB"/>
        </w:rPr>
        <w:t xml:space="preserve"> determining the types of change. Hall</w:t>
      </w:r>
      <w:r w:rsidR="00903B67" w:rsidRPr="00123CD3">
        <w:rPr>
          <w:lang w:val="en-GB"/>
        </w:rPr>
        <w:t xml:space="preserve"> proposes three levels of policy change. First order change relates to instrument</w:t>
      </w:r>
      <w:r w:rsidR="007F58AF">
        <w:rPr>
          <w:lang w:val="en-GB"/>
        </w:rPr>
        <w:t>s</w:t>
      </w:r>
      <w:r w:rsidR="00903B67" w:rsidRPr="00123CD3">
        <w:rPr>
          <w:lang w:val="en-GB"/>
        </w:rPr>
        <w:t xml:space="preserve"> being fi</w:t>
      </w:r>
      <w:r w:rsidR="007F58AF">
        <w:rPr>
          <w:lang w:val="en-GB"/>
        </w:rPr>
        <w:t>ne-tuned based on new knowledge</w:t>
      </w:r>
      <w:r w:rsidR="00903B67" w:rsidRPr="00123CD3">
        <w:rPr>
          <w:lang w:val="en-GB"/>
        </w:rPr>
        <w:t xml:space="preserve"> while policy goals are unaltered. Under second order change the goals, again, remain the same, but instead of minor adjustments to existing instruments, </w:t>
      </w:r>
      <w:r w:rsidR="00903B67" w:rsidRPr="00123CD3">
        <w:rPr>
          <w:i/>
          <w:lang w:val="en-GB"/>
        </w:rPr>
        <w:t>new</w:t>
      </w:r>
      <w:r w:rsidR="00903B67" w:rsidRPr="00123CD3">
        <w:rPr>
          <w:lang w:val="en-GB"/>
        </w:rPr>
        <w:t xml:space="preserve"> instruments can be introduced. Finally there is change of the third order, in which all three components of policy change: Instrument settings change, instruments themselves change, and the hierarchy of the goals behind policy change </w:t>
      </w:r>
      <w:r w:rsidR="00903B67" w:rsidRPr="00123CD3">
        <w:rPr>
          <w:noProof/>
          <w:lang w:val="en-GB"/>
        </w:rPr>
        <w:t>(Hall, 1993: 279-280)</w:t>
      </w:r>
      <w:r w:rsidR="00903B67" w:rsidRPr="00123CD3">
        <w:rPr>
          <w:lang w:val="en-GB"/>
        </w:rPr>
        <w:t>. Third order change is considered a paradigm shift</w:t>
      </w:r>
      <w:r w:rsidR="00903B67" w:rsidRPr="00123CD3">
        <w:rPr>
          <w:i/>
          <w:lang w:val="en-GB"/>
        </w:rPr>
        <w:t>.</w:t>
      </w:r>
      <w:r w:rsidR="00903B67" w:rsidRPr="00123CD3">
        <w:rPr>
          <w:lang w:val="en-GB"/>
        </w:rPr>
        <w:t xml:space="preserve"> First and second order shifts, on the other hand, can occur within a paradigm. Shifts of the third kind happen seldom; the shift from Keynesianism to Monetarism is considered one </w:t>
      </w:r>
      <w:r w:rsidR="00951805" w:rsidRPr="00123CD3">
        <w:rPr>
          <w:noProof/>
          <w:lang w:val="en-GB"/>
        </w:rPr>
        <w:t>(Hogan, 2019</w:t>
      </w:r>
      <w:r w:rsidR="00951805">
        <w:rPr>
          <w:noProof/>
          <w:lang w:val="en-GB"/>
        </w:rPr>
        <w:t>: 181</w:t>
      </w:r>
      <w:r w:rsidR="00951805" w:rsidRPr="00123CD3">
        <w:rPr>
          <w:noProof/>
          <w:lang w:val="en-GB"/>
        </w:rPr>
        <w:t>)</w:t>
      </w:r>
      <w:r w:rsidR="00903B67" w:rsidRPr="00123CD3">
        <w:rPr>
          <w:lang w:val="en-GB"/>
        </w:rPr>
        <w:t>.</w:t>
      </w:r>
      <w:r w:rsidR="00C01CED" w:rsidRPr="00123CD3">
        <w:rPr>
          <w:lang w:val="en-GB"/>
        </w:rPr>
        <w:t xml:space="preserve"> </w:t>
      </w:r>
      <w:r w:rsidR="00903B67" w:rsidRPr="00123CD3">
        <w:rPr>
          <w:lang w:val="en-GB"/>
        </w:rPr>
        <w:t xml:space="preserve">Which type of change is most likely to occur depends on the </w:t>
      </w:r>
      <w:r w:rsidR="00C01CED" w:rsidRPr="00123CD3">
        <w:rPr>
          <w:lang w:val="en-GB"/>
        </w:rPr>
        <w:t>characteristics of the force for change.</w:t>
      </w:r>
    </w:p>
    <w:p w14:paraId="0C65902C" w14:textId="79828CA1" w:rsidR="00C91747" w:rsidRPr="00123CD3" w:rsidRDefault="00C91747" w:rsidP="00C71FE6">
      <w:pPr>
        <w:spacing w:line="360" w:lineRule="auto"/>
        <w:rPr>
          <w:lang w:val="en-GB"/>
        </w:rPr>
      </w:pPr>
      <w:r w:rsidRPr="00123CD3">
        <w:rPr>
          <w:lang w:val="en-GB"/>
        </w:rPr>
        <w:lastRenderedPageBreak/>
        <w:t>Recognition of incremental</w:t>
      </w:r>
      <w:r w:rsidR="007B7D0F">
        <w:rPr>
          <w:lang w:val="en-GB"/>
        </w:rPr>
        <w:t>,</w:t>
      </w:r>
      <w:r w:rsidRPr="00123CD3">
        <w:rPr>
          <w:lang w:val="en-GB"/>
        </w:rPr>
        <w:t xml:space="preserve"> </w:t>
      </w:r>
      <w:r w:rsidR="007B7D0F">
        <w:rPr>
          <w:lang w:val="en-GB"/>
        </w:rPr>
        <w:t>1</w:t>
      </w:r>
      <w:r w:rsidR="007B7D0F" w:rsidRPr="007B7D0F">
        <w:rPr>
          <w:vertAlign w:val="superscript"/>
          <w:lang w:val="en-GB"/>
        </w:rPr>
        <w:t>st</w:t>
      </w:r>
      <w:r w:rsidR="007B7D0F">
        <w:rPr>
          <w:lang w:val="en-GB"/>
        </w:rPr>
        <w:t xml:space="preserve"> order change </w:t>
      </w:r>
      <w:r w:rsidRPr="00123CD3">
        <w:rPr>
          <w:lang w:val="en-GB"/>
        </w:rPr>
        <w:t>serves as a vehicle to allow for more agency within the pr</w:t>
      </w:r>
      <w:r w:rsidR="00867157" w:rsidRPr="00123CD3">
        <w:rPr>
          <w:lang w:val="en-GB"/>
        </w:rPr>
        <w:t>o</w:t>
      </w:r>
      <w:r w:rsidRPr="00123CD3">
        <w:rPr>
          <w:lang w:val="en-GB"/>
        </w:rPr>
        <w:t xml:space="preserve">cess of policy </w:t>
      </w:r>
      <w:r w:rsidR="007B7D0F">
        <w:rPr>
          <w:lang w:val="en-GB"/>
        </w:rPr>
        <w:t>shifts</w:t>
      </w:r>
      <w:r w:rsidRPr="00123CD3">
        <w:rPr>
          <w:lang w:val="en-GB"/>
        </w:rPr>
        <w:t xml:space="preserve">. </w:t>
      </w:r>
      <w:r w:rsidR="00BC37D5" w:rsidRPr="00123CD3">
        <w:rPr>
          <w:lang w:val="en-GB"/>
        </w:rPr>
        <w:t xml:space="preserve">The addition of these incremental changes in policy allowed for HI to increase the influence of agency within the theory. </w:t>
      </w:r>
      <w:r w:rsidR="00AE7973" w:rsidRPr="00123CD3">
        <w:rPr>
          <w:lang w:val="en-GB"/>
        </w:rPr>
        <w:t>At its inception, shifts or change happened exclusively as a result of exogenous forces, which occurred during critical junctures</w:t>
      </w:r>
      <w:r w:rsidR="007B7D0F">
        <w:rPr>
          <w:lang w:val="en-GB"/>
        </w:rPr>
        <w:t>.</w:t>
      </w:r>
      <w:r w:rsidR="00AE7973" w:rsidRPr="00123CD3">
        <w:rPr>
          <w:lang w:val="en-GB"/>
        </w:rPr>
        <w:t xml:space="preserve"> </w:t>
      </w:r>
      <w:r w:rsidR="007B7D0F">
        <w:rPr>
          <w:lang w:val="en-GB"/>
        </w:rPr>
        <w:t>This r</w:t>
      </w:r>
      <w:r w:rsidR="007B7D0F" w:rsidRPr="00123CD3">
        <w:rPr>
          <w:lang w:val="en-GB"/>
        </w:rPr>
        <w:t xml:space="preserve">eliance on critical junctures prohibits significant change from </w:t>
      </w:r>
      <w:r w:rsidR="007B7D0F" w:rsidRPr="00123CD3">
        <w:rPr>
          <w:i/>
          <w:lang w:val="en-GB"/>
        </w:rPr>
        <w:t>within</w:t>
      </w:r>
      <w:r w:rsidR="007B7D0F" w:rsidRPr="00123CD3">
        <w:rPr>
          <w:lang w:val="en-GB"/>
        </w:rPr>
        <w:t xml:space="preserve"> the paradigm </w:t>
      </w:r>
      <w:r w:rsidR="005F301D" w:rsidRPr="005F301D">
        <w:rPr>
          <w:noProof/>
          <w:lang w:val="en-GB"/>
        </w:rPr>
        <w:t>(Mahoney, 2000</w:t>
      </w:r>
      <w:r w:rsidR="005F301D">
        <w:rPr>
          <w:noProof/>
          <w:lang w:val="en-GB"/>
        </w:rPr>
        <w:t>: 519</w:t>
      </w:r>
      <w:r w:rsidR="005F301D" w:rsidRPr="005F301D">
        <w:rPr>
          <w:noProof/>
          <w:lang w:val="en-GB"/>
        </w:rPr>
        <w:t>)</w:t>
      </w:r>
      <w:r w:rsidR="00AE7973" w:rsidRPr="00123CD3">
        <w:rPr>
          <w:lang w:val="en-GB"/>
        </w:rPr>
        <w:t xml:space="preserve">. </w:t>
      </w:r>
      <w:r w:rsidR="007B7D0F">
        <w:rPr>
          <w:lang w:val="en-GB"/>
        </w:rPr>
        <w:t>T</w:t>
      </w:r>
      <w:r w:rsidRPr="00123CD3">
        <w:rPr>
          <w:lang w:val="en-GB"/>
        </w:rPr>
        <w:t xml:space="preserve">he focus on external factors raises a structure-agency problem as actors are ill-endowed in explanatory power </w:t>
      </w:r>
      <w:r w:rsidRPr="00123CD3">
        <w:rPr>
          <w:noProof/>
          <w:lang w:val="en-GB"/>
        </w:rPr>
        <w:t>(Hall &amp; Taylor, 1996</w:t>
      </w:r>
      <w:r w:rsidR="00951805">
        <w:rPr>
          <w:noProof/>
          <w:lang w:val="en-GB"/>
        </w:rPr>
        <w:t>: 954</w:t>
      </w:r>
      <w:r w:rsidRPr="00123CD3">
        <w:rPr>
          <w:noProof/>
          <w:lang w:val="en-GB"/>
        </w:rPr>
        <w:t>)</w:t>
      </w:r>
      <w:r w:rsidRPr="00123CD3">
        <w:rPr>
          <w:lang w:val="en-GB"/>
        </w:rPr>
        <w:t xml:space="preserve">. </w:t>
      </w:r>
      <w:r w:rsidR="00B26EFD">
        <w:rPr>
          <w:lang w:val="en-GB"/>
        </w:rPr>
        <w:t xml:space="preserve">The inclusion of smaller than paradigm shift changes which were still significant proved to be the first step in empowering agents, as before small changes mattered little </w:t>
      </w:r>
      <w:r w:rsidR="00B26EFD" w:rsidRPr="00123CD3">
        <w:rPr>
          <w:noProof/>
          <w:lang w:val="en-GB"/>
        </w:rPr>
        <w:t>(Streeck &amp; Thelen, 2005</w:t>
      </w:r>
      <w:r w:rsidR="00B26EFD">
        <w:rPr>
          <w:noProof/>
          <w:lang w:val="en-GB"/>
        </w:rPr>
        <w:t>: 8</w:t>
      </w:r>
      <w:r w:rsidR="00B26EFD" w:rsidRPr="00123CD3">
        <w:rPr>
          <w:noProof/>
          <w:lang w:val="en-GB"/>
        </w:rPr>
        <w:t>)</w:t>
      </w:r>
      <w:r w:rsidR="00B26EFD" w:rsidRPr="00123CD3">
        <w:rPr>
          <w:lang w:val="en-GB"/>
        </w:rPr>
        <w:t>.</w:t>
      </w:r>
      <w:r w:rsidR="00B26EFD">
        <w:rPr>
          <w:lang w:val="en-GB"/>
        </w:rPr>
        <w:t xml:space="preserve"> The fleshing out of ideas embodied the second step in closing the structure-agency gap. </w:t>
      </w:r>
      <w:r w:rsidR="00AE7973" w:rsidRPr="00B26EFD">
        <w:rPr>
          <w:lang w:val="en-GB"/>
        </w:rPr>
        <w:t>Ideas</w:t>
      </w:r>
      <w:r w:rsidR="00AE7973" w:rsidRPr="00123CD3">
        <w:rPr>
          <w:lang w:val="en-GB"/>
        </w:rPr>
        <w:t xml:space="preserve"> help explain the sophisticated relationship between structures and agents. Accordingly, when there is little room for agency HI falls short when it comes to explaining the context of demands for change and </w:t>
      </w:r>
      <w:r w:rsidR="00AE7973" w:rsidRPr="00123CD3">
        <w:rPr>
          <w:i/>
          <w:lang w:val="en-GB"/>
        </w:rPr>
        <w:t>why</w:t>
      </w:r>
      <w:r w:rsidR="00AE7973" w:rsidRPr="00123CD3">
        <w:rPr>
          <w:lang w:val="en-GB"/>
        </w:rPr>
        <w:t xml:space="preserve"> actors demand change. Ideas fill this explanatory gap </w:t>
      </w:r>
      <w:r w:rsidR="00AE7973" w:rsidRPr="00123CD3">
        <w:rPr>
          <w:noProof/>
          <w:lang w:val="en-GB"/>
        </w:rPr>
        <w:t>(Lieberman, 2002</w:t>
      </w:r>
      <w:r w:rsidR="00951805">
        <w:rPr>
          <w:noProof/>
          <w:lang w:val="en-GB"/>
        </w:rPr>
        <w:t>: 697</w:t>
      </w:r>
      <w:r w:rsidR="00AE7973" w:rsidRPr="00123CD3">
        <w:rPr>
          <w:noProof/>
          <w:lang w:val="en-GB"/>
        </w:rPr>
        <w:t>)</w:t>
      </w:r>
      <w:r w:rsidR="00AE7973" w:rsidRPr="00123CD3">
        <w:rPr>
          <w:lang w:val="en-GB"/>
        </w:rPr>
        <w:t>.</w:t>
      </w:r>
      <w:r w:rsidRPr="00123CD3">
        <w:rPr>
          <w:lang w:val="en-GB"/>
        </w:rPr>
        <w:t xml:space="preserve"> On the other hand, though ideas can by themselves act as forces for change</w:t>
      </w:r>
      <w:r w:rsidR="00B26EFD">
        <w:rPr>
          <w:lang w:val="en-GB"/>
        </w:rPr>
        <w:t>, though it will not constitute a paradigm shift by without a shock</w:t>
      </w:r>
      <w:r w:rsidRPr="004B6A68">
        <w:rPr>
          <w:lang w:val="en-GB"/>
        </w:rPr>
        <w:t xml:space="preserve"> </w:t>
      </w:r>
      <w:r w:rsidR="004B6A68" w:rsidRPr="004B6A68">
        <w:rPr>
          <w:noProof/>
          <w:lang w:val="en-GB"/>
        </w:rPr>
        <w:t>(Matthijs, 2012: 4)</w:t>
      </w:r>
      <w:r w:rsidRPr="004B6A68">
        <w:rPr>
          <w:lang w:val="en-GB"/>
        </w:rPr>
        <w:t>. Shocks</w:t>
      </w:r>
      <w:r w:rsidRPr="00123CD3">
        <w:rPr>
          <w:lang w:val="en-GB"/>
        </w:rPr>
        <w:t xml:space="preserve"> are indeed important since agents tend to increase their activities during crises </w:t>
      </w:r>
      <w:r w:rsidR="00DF1B2B" w:rsidRPr="00123CD3">
        <w:rPr>
          <w:noProof/>
          <w:lang w:val="en-GB"/>
        </w:rPr>
        <w:t>(Schmidt, 2008</w:t>
      </w:r>
      <w:r w:rsidR="00DF1B2B">
        <w:rPr>
          <w:noProof/>
          <w:lang w:val="en-GB"/>
        </w:rPr>
        <w:t>: 306</w:t>
      </w:r>
      <w:r w:rsidR="00DF1B2B" w:rsidRPr="00123CD3">
        <w:rPr>
          <w:noProof/>
          <w:lang w:val="en-GB"/>
        </w:rPr>
        <w:t>)</w:t>
      </w:r>
      <w:r w:rsidRPr="00123CD3">
        <w:rPr>
          <w:lang w:val="en-GB"/>
        </w:rPr>
        <w:t xml:space="preserve">. Ultimately, the non-exogenous influence of agency has the capability to induce significant changes within the paradigm. </w:t>
      </w:r>
      <w:r w:rsidR="00E35324">
        <w:rPr>
          <w:lang w:val="en-GB"/>
        </w:rPr>
        <w:t>However, taking the agent’s power</w:t>
      </w:r>
      <w:r w:rsidR="00E35324" w:rsidRPr="00123CD3">
        <w:rPr>
          <w:lang w:val="en-GB"/>
        </w:rPr>
        <w:t xml:space="preserve"> in consideration Levy points out that HI should not lose sight of the strength of path-dependency. F</w:t>
      </w:r>
      <w:r w:rsidR="00B26EFD">
        <w:rPr>
          <w:lang w:val="en-GB"/>
        </w:rPr>
        <w:t>or even during a moment of crisis</w:t>
      </w:r>
      <w:r w:rsidR="00E35324" w:rsidRPr="00123CD3">
        <w:rPr>
          <w:lang w:val="en-GB"/>
        </w:rPr>
        <w:t xml:space="preserve"> that provide</w:t>
      </w:r>
      <w:r w:rsidR="00B26EFD">
        <w:rPr>
          <w:lang w:val="en-GB"/>
        </w:rPr>
        <w:t>s</w:t>
      </w:r>
      <w:r w:rsidR="00E35324" w:rsidRPr="00123CD3">
        <w:rPr>
          <w:lang w:val="en-GB"/>
        </w:rPr>
        <w:t xml:space="preserve"> a critical juncture</w:t>
      </w:r>
      <w:r w:rsidR="00B26EFD">
        <w:rPr>
          <w:lang w:val="en-GB"/>
        </w:rPr>
        <w:t>,</w:t>
      </w:r>
      <w:r w:rsidR="00E35324" w:rsidRPr="00123CD3">
        <w:rPr>
          <w:lang w:val="en-GB"/>
        </w:rPr>
        <w:t xml:space="preserve"> </w:t>
      </w:r>
      <w:r w:rsidR="00B26EFD">
        <w:rPr>
          <w:lang w:val="en-GB"/>
        </w:rPr>
        <w:t>i</w:t>
      </w:r>
      <w:r w:rsidR="00E35324" w:rsidRPr="00123CD3">
        <w:rPr>
          <w:lang w:val="en-GB"/>
        </w:rPr>
        <w:t>nstitutions</w:t>
      </w:r>
      <w:r w:rsidR="00B26EFD">
        <w:rPr>
          <w:lang w:val="en-GB"/>
        </w:rPr>
        <w:t xml:space="preserve"> can</w:t>
      </w:r>
      <w:r w:rsidR="00E35324" w:rsidRPr="00123CD3">
        <w:rPr>
          <w:lang w:val="en-GB"/>
        </w:rPr>
        <w:t xml:space="preserve"> smother reformists</w:t>
      </w:r>
      <w:r w:rsidR="00B26EFD">
        <w:rPr>
          <w:lang w:val="en-GB"/>
        </w:rPr>
        <w:t xml:space="preserve"> leaving</w:t>
      </w:r>
      <w:r w:rsidR="00E35324" w:rsidRPr="00123CD3">
        <w:rPr>
          <w:lang w:val="en-GB"/>
        </w:rPr>
        <w:t xml:space="preserve"> little opportunity for state </w:t>
      </w:r>
      <w:r w:rsidR="00E35324" w:rsidRPr="004B6A68">
        <w:rPr>
          <w:lang w:val="en-GB"/>
        </w:rPr>
        <w:t>interventionism</w:t>
      </w:r>
      <w:r w:rsidR="00502D87">
        <w:rPr>
          <w:lang w:val="en-GB"/>
        </w:rPr>
        <w:t xml:space="preserve"> </w:t>
      </w:r>
      <w:r w:rsidR="00E35324" w:rsidRPr="004B6A68">
        <w:rPr>
          <w:noProof/>
          <w:lang w:val="en-GB"/>
        </w:rPr>
        <w:t>(Levy,</w:t>
      </w:r>
      <w:r w:rsidR="00E35324" w:rsidRPr="00123CD3">
        <w:rPr>
          <w:noProof/>
          <w:lang w:val="en-GB"/>
        </w:rPr>
        <w:t xml:space="preserve"> 2017: 622-623)</w:t>
      </w:r>
      <w:r w:rsidR="00E35324" w:rsidRPr="00123CD3">
        <w:rPr>
          <w:lang w:val="en-GB"/>
        </w:rPr>
        <w:t xml:space="preserve">. The constraining power of ideas depicts how the orthodoxy structures thought through its authority over other ideas </w:t>
      </w:r>
      <w:r w:rsidR="00E35324" w:rsidRPr="00123CD3">
        <w:rPr>
          <w:noProof/>
          <w:lang w:val="en-GB"/>
        </w:rPr>
        <w:t>(Carstensen &amp; Matthijs, 2018</w:t>
      </w:r>
      <w:r w:rsidR="002E47CF">
        <w:rPr>
          <w:noProof/>
          <w:lang w:val="en-GB"/>
        </w:rPr>
        <w:t>: 432</w:t>
      </w:r>
      <w:r w:rsidR="00E35324" w:rsidRPr="00123CD3">
        <w:rPr>
          <w:noProof/>
          <w:lang w:val="en-GB"/>
        </w:rPr>
        <w:t>)</w:t>
      </w:r>
      <w:r w:rsidR="00E35324" w:rsidRPr="00123CD3">
        <w:rPr>
          <w:lang w:val="en-GB"/>
        </w:rPr>
        <w:t xml:space="preserve">. </w:t>
      </w:r>
      <w:r w:rsidR="00502D87">
        <w:rPr>
          <w:lang w:val="en-GB"/>
        </w:rPr>
        <w:t>However, t</w:t>
      </w:r>
      <w:r w:rsidR="00E35324" w:rsidRPr="00123CD3">
        <w:rPr>
          <w:lang w:val="en-GB"/>
        </w:rPr>
        <w:t>hese constraints can</w:t>
      </w:r>
      <w:r w:rsidR="00502D87">
        <w:rPr>
          <w:lang w:val="en-GB"/>
        </w:rPr>
        <w:t xml:space="preserve"> also</w:t>
      </w:r>
      <w:r w:rsidR="00E35324" w:rsidRPr="00123CD3">
        <w:rPr>
          <w:lang w:val="en-GB"/>
        </w:rPr>
        <w:t xml:space="preserve"> be used to a peripheral idea’s advantage as it is able to interpret </w:t>
      </w:r>
      <w:r w:rsidR="00502D87">
        <w:rPr>
          <w:lang w:val="en-GB"/>
        </w:rPr>
        <w:t>the paradigm in such a manner</w:t>
      </w:r>
      <w:r w:rsidR="00E35324" w:rsidRPr="00123CD3">
        <w:rPr>
          <w:lang w:val="en-GB"/>
        </w:rPr>
        <w:t xml:space="preserve"> so </w:t>
      </w:r>
      <w:r w:rsidR="00502D87">
        <w:rPr>
          <w:lang w:val="en-GB"/>
        </w:rPr>
        <w:t>it</w:t>
      </w:r>
      <w:r w:rsidR="00E35324" w:rsidRPr="00123CD3">
        <w:rPr>
          <w:lang w:val="en-GB"/>
        </w:rPr>
        <w:t xml:space="preserve"> </w:t>
      </w:r>
      <w:r w:rsidR="00502D87">
        <w:rPr>
          <w:lang w:val="en-GB"/>
        </w:rPr>
        <w:t>is</w:t>
      </w:r>
      <w:r w:rsidR="00E35324" w:rsidRPr="00123CD3">
        <w:rPr>
          <w:lang w:val="en-GB"/>
        </w:rPr>
        <w:t xml:space="preserve"> in line with the paradigm; relate</w:t>
      </w:r>
      <w:r w:rsidR="00502D87">
        <w:rPr>
          <w:lang w:val="en-GB"/>
        </w:rPr>
        <w:t xml:space="preserve"> to the heterodoxy</w:t>
      </w:r>
      <w:r w:rsidR="00E35324" w:rsidRPr="00123CD3">
        <w:rPr>
          <w:lang w:val="en-GB"/>
        </w:rPr>
        <w:t xml:space="preserve"> in order to gain recognition </w:t>
      </w:r>
      <w:r w:rsidR="00DF1B2B" w:rsidRPr="00123CD3">
        <w:rPr>
          <w:noProof/>
          <w:lang w:val="en-GB"/>
        </w:rPr>
        <w:t>(Boswell &amp; Hampshire, 2017</w:t>
      </w:r>
      <w:r w:rsidR="00DF1B2B">
        <w:rPr>
          <w:noProof/>
          <w:lang w:val="en-GB"/>
        </w:rPr>
        <w:t>: 146</w:t>
      </w:r>
      <w:r w:rsidR="00DF1B2B" w:rsidRPr="00123CD3">
        <w:rPr>
          <w:noProof/>
          <w:lang w:val="en-GB"/>
        </w:rPr>
        <w:t>)</w:t>
      </w:r>
      <w:r w:rsidR="00E35324" w:rsidRPr="00123CD3">
        <w:rPr>
          <w:lang w:val="en-GB"/>
        </w:rPr>
        <w:t xml:space="preserve">. </w:t>
      </w:r>
      <w:r w:rsidR="00502D87">
        <w:rPr>
          <w:lang w:val="en-GB"/>
        </w:rPr>
        <w:t>All in all, p</w:t>
      </w:r>
      <w:r w:rsidR="00E35324" w:rsidRPr="00123CD3">
        <w:rPr>
          <w:lang w:val="en-GB"/>
        </w:rPr>
        <w:t>aradigm shifts are a struggl</w:t>
      </w:r>
      <w:r w:rsidR="00502D87">
        <w:rPr>
          <w:lang w:val="en-GB"/>
        </w:rPr>
        <w:t>e about interpreting an anomaly. I</w:t>
      </w:r>
      <w:r w:rsidR="00E35324" w:rsidRPr="00123CD3">
        <w:rPr>
          <w:lang w:val="en-GB"/>
        </w:rPr>
        <w:t>t thus has more to do with authority than purely the ideational</w:t>
      </w:r>
      <w:r w:rsidR="00502D87">
        <w:rPr>
          <w:lang w:val="en-GB"/>
        </w:rPr>
        <w:t>, due to the imposition of power</w:t>
      </w:r>
      <w:r w:rsidR="00E35324" w:rsidRPr="00123CD3">
        <w:rPr>
          <w:lang w:val="en-GB"/>
        </w:rPr>
        <w:t xml:space="preserve"> </w:t>
      </w:r>
      <w:r w:rsidR="00E35324" w:rsidRPr="00123CD3">
        <w:rPr>
          <w:noProof/>
          <w:lang w:val="en-GB"/>
        </w:rPr>
        <w:t>(Blyth, 2013</w:t>
      </w:r>
      <w:r w:rsidR="002E47CF">
        <w:rPr>
          <w:noProof/>
          <w:lang w:val="en-GB"/>
        </w:rPr>
        <w:t>: 211</w:t>
      </w:r>
      <w:r w:rsidR="00E35324" w:rsidRPr="00123CD3">
        <w:rPr>
          <w:noProof/>
          <w:lang w:val="en-GB"/>
        </w:rPr>
        <w:t>)</w:t>
      </w:r>
      <w:r w:rsidR="00E35324" w:rsidRPr="00123CD3">
        <w:rPr>
          <w:lang w:val="en-GB"/>
        </w:rPr>
        <w:t xml:space="preserve">. </w:t>
      </w:r>
      <w:r w:rsidR="00502D87">
        <w:rPr>
          <w:lang w:val="en-GB"/>
        </w:rPr>
        <w:t>A</w:t>
      </w:r>
      <w:r w:rsidR="00E35324" w:rsidRPr="00123CD3">
        <w:rPr>
          <w:lang w:val="en-GB"/>
        </w:rPr>
        <w:t xml:space="preserve">ctors erect both ideational and institutional barriers in order to safeguard the future of the paradigm </w:t>
      </w:r>
      <w:r w:rsidR="00E35324" w:rsidRPr="00123CD3">
        <w:rPr>
          <w:noProof/>
          <w:lang w:val="en-GB"/>
        </w:rPr>
        <w:t>(Carstensen &amp; Matthijs, 2018</w:t>
      </w:r>
      <w:r w:rsidR="002E47CF">
        <w:rPr>
          <w:noProof/>
          <w:lang w:val="en-GB"/>
        </w:rPr>
        <w:t>: 445</w:t>
      </w:r>
      <w:r w:rsidR="00E35324" w:rsidRPr="00123CD3">
        <w:rPr>
          <w:noProof/>
          <w:lang w:val="en-GB"/>
        </w:rPr>
        <w:t>)</w:t>
      </w:r>
      <w:r w:rsidR="00E35324" w:rsidRPr="00123CD3">
        <w:rPr>
          <w:lang w:val="en-GB"/>
        </w:rPr>
        <w:t>. This includes placing agents who support your agenda in key positions within the institutions</w:t>
      </w:r>
      <w:r w:rsidR="000955B8">
        <w:rPr>
          <w:lang w:val="en-GB"/>
        </w:rPr>
        <w:t>.</w:t>
      </w:r>
      <w:r w:rsidR="00E35324">
        <w:rPr>
          <w:lang w:val="en-GB"/>
        </w:rPr>
        <w:t xml:space="preserve"> Thus</w:t>
      </w:r>
      <w:r w:rsidR="00E35324" w:rsidRPr="00123CD3">
        <w:rPr>
          <w:lang w:val="en-GB"/>
        </w:rPr>
        <w:t xml:space="preserve"> if policy makers are in a strong position they are more likely to resist societal pressure which calls for change, that is, if their policy is coherent with the current paradigm. A strong coherence enhances the autonomy of policy makers and shields them from gaps </w:t>
      </w:r>
      <w:r w:rsidR="00E35324" w:rsidRPr="00123CD3">
        <w:rPr>
          <w:noProof/>
          <w:lang w:val="en-GB"/>
        </w:rPr>
        <w:t>(Hall, 1993</w:t>
      </w:r>
      <w:r w:rsidR="002E47CF">
        <w:rPr>
          <w:noProof/>
          <w:lang w:val="en-GB"/>
        </w:rPr>
        <w:t>: 290</w:t>
      </w:r>
      <w:r w:rsidR="00E35324" w:rsidRPr="00123CD3">
        <w:rPr>
          <w:noProof/>
          <w:lang w:val="en-GB"/>
        </w:rPr>
        <w:t>)</w:t>
      </w:r>
      <w:r w:rsidR="00E35324" w:rsidRPr="00123CD3">
        <w:rPr>
          <w:lang w:val="en-GB"/>
        </w:rPr>
        <w:t>.</w:t>
      </w:r>
      <w:r w:rsidR="00E35324">
        <w:rPr>
          <w:lang w:val="en-GB"/>
        </w:rPr>
        <w:t xml:space="preserve"> </w:t>
      </w:r>
      <w:r w:rsidR="000955B8">
        <w:rPr>
          <w:lang w:val="en-GB"/>
        </w:rPr>
        <w:t xml:space="preserve">That said, if a shock is severe enough, even the most entrenched paradigm may succumb to its challenger. </w:t>
      </w:r>
      <w:r w:rsidR="00502D87">
        <w:rPr>
          <w:lang w:val="en-GB"/>
        </w:rPr>
        <w:t>But w</w:t>
      </w:r>
      <w:r w:rsidR="008D558B" w:rsidRPr="00123CD3">
        <w:rPr>
          <w:lang w:val="en-GB"/>
        </w:rPr>
        <w:t>hat is considered a shock and why is it necessary to initiate change?</w:t>
      </w:r>
    </w:p>
    <w:p w14:paraId="1409D411" w14:textId="3A288B9E" w:rsidR="008D558B" w:rsidRPr="00CD67E4" w:rsidRDefault="008D558B" w:rsidP="00C71FE6">
      <w:pPr>
        <w:spacing w:line="360" w:lineRule="auto"/>
        <w:rPr>
          <w:lang w:val="en-GB"/>
        </w:rPr>
      </w:pPr>
      <w:r w:rsidRPr="00123CD3">
        <w:rPr>
          <w:lang w:val="en-GB"/>
        </w:rPr>
        <w:lastRenderedPageBreak/>
        <w:t xml:space="preserve">A critical juncture, or opportunity for change, presents itself in the form of an exogenous shock, often as a result of a crisis </w:t>
      </w:r>
      <w:r w:rsidR="00DF1B2B" w:rsidRPr="00123CD3">
        <w:rPr>
          <w:noProof/>
          <w:lang w:val="en-GB"/>
        </w:rPr>
        <w:t>(Hogan, 2019</w:t>
      </w:r>
      <w:r w:rsidR="00DF1B2B">
        <w:rPr>
          <w:noProof/>
          <w:lang w:val="en-GB"/>
        </w:rPr>
        <w:t>: 179-180</w:t>
      </w:r>
      <w:r w:rsidR="00DF1B2B" w:rsidRPr="00123CD3">
        <w:rPr>
          <w:noProof/>
          <w:lang w:val="en-GB"/>
        </w:rPr>
        <w:t>)</w:t>
      </w:r>
      <w:r w:rsidRPr="00123CD3">
        <w:rPr>
          <w:lang w:val="en-GB"/>
        </w:rPr>
        <w:t xml:space="preserve">. </w:t>
      </w:r>
      <w:r w:rsidR="00B85617" w:rsidRPr="00123CD3">
        <w:rPr>
          <w:lang w:val="en-GB"/>
        </w:rPr>
        <w:t xml:space="preserve">Exogenous shocks such as depressions and wars may pressure groups into reconsideration of the existing ideas </w:t>
      </w:r>
      <w:r w:rsidR="00B85617" w:rsidRPr="00123CD3">
        <w:rPr>
          <w:noProof/>
          <w:lang w:val="en-GB"/>
        </w:rPr>
        <w:t>(Berman, 2013: 227-228)</w:t>
      </w:r>
      <w:r w:rsidRPr="00123CD3">
        <w:rPr>
          <w:lang w:val="en-GB"/>
        </w:rPr>
        <w:t>. Examples include the 2008 Financial Crisis and the ensuing Great Recession, the Euro Crisis, and th</w:t>
      </w:r>
      <w:r w:rsidR="00502D87">
        <w:rPr>
          <w:lang w:val="en-GB"/>
        </w:rPr>
        <w:t>e oil crises of the 1970s. Crise</w:t>
      </w:r>
      <w:r w:rsidRPr="00123CD3">
        <w:rPr>
          <w:lang w:val="en-GB"/>
        </w:rPr>
        <w:t xml:space="preserve">s form the opportune moment to challenge and replace the current paradigm because during these periods anomalies emerge; problems which the current paradigm cannot </w:t>
      </w:r>
      <w:r w:rsidR="00502D87">
        <w:rPr>
          <w:lang w:val="en-GB"/>
        </w:rPr>
        <w:t>explain</w:t>
      </w:r>
      <w:r w:rsidRPr="00123CD3">
        <w:rPr>
          <w:lang w:val="en-GB"/>
        </w:rPr>
        <w:t xml:space="preserve"> </w:t>
      </w:r>
      <w:r w:rsidRPr="00123CD3">
        <w:rPr>
          <w:noProof/>
          <w:lang w:val="en-GB"/>
        </w:rPr>
        <w:t>(Hall, 1993</w:t>
      </w:r>
      <w:r w:rsidR="00A1131F" w:rsidRPr="00123CD3">
        <w:rPr>
          <w:noProof/>
          <w:lang w:val="en-GB"/>
        </w:rPr>
        <w:t>: 280</w:t>
      </w:r>
      <w:r w:rsidRPr="00123CD3">
        <w:rPr>
          <w:noProof/>
          <w:lang w:val="en-GB"/>
        </w:rPr>
        <w:t>)</w:t>
      </w:r>
      <w:r w:rsidRPr="00123CD3">
        <w:rPr>
          <w:lang w:val="en-GB"/>
        </w:rPr>
        <w:t xml:space="preserve">. It provides </w:t>
      </w:r>
      <w:r w:rsidRPr="00C50F64">
        <w:rPr>
          <w:lang w:val="en-GB"/>
        </w:rPr>
        <w:t>opportunity for challenging ideas</w:t>
      </w:r>
      <w:r w:rsidR="00B800F5" w:rsidRPr="00C50F64">
        <w:rPr>
          <w:lang w:val="en-GB"/>
        </w:rPr>
        <w:t xml:space="preserve"> to</w:t>
      </w:r>
      <w:r w:rsidRPr="00C50F64">
        <w:rPr>
          <w:lang w:val="en-GB"/>
        </w:rPr>
        <w:t xml:space="preserve"> </w:t>
      </w:r>
      <w:r w:rsidR="00B800F5" w:rsidRPr="00C50F64">
        <w:rPr>
          <w:lang w:val="en-GB"/>
        </w:rPr>
        <w:t>solve the current predicament</w:t>
      </w:r>
      <w:r w:rsidR="00B800F5" w:rsidRPr="00123CD3">
        <w:rPr>
          <w:lang w:val="en-GB"/>
        </w:rPr>
        <w:t xml:space="preserve"> </w:t>
      </w:r>
      <w:r w:rsidR="00B800F5" w:rsidRPr="00123CD3">
        <w:rPr>
          <w:noProof/>
          <w:lang w:val="en-GB"/>
        </w:rPr>
        <w:t>(Berman, 2013</w:t>
      </w:r>
      <w:r w:rsidR="00C50F64">
        <w:rPr>
          <w:noProof/>
          <w:lang w:val="en-GB"/>
        </w:rPr>
        <w:t>: 227</w:t>
      </w:r>
      <w:r w:rsidR="00B800F5" w:rsidRPr="00123CD3">
        <w:rPr>
          <w:noProof/>
          <w:lang w:val="en-GB"/>
        </w:rPr>
        <w:t>)</w:t>
      </w:r>
      <w:r w:rsidR="00502D87">
        <w:rPr>
          <w:lang w:val="en-GB"/>
        </w:rPr>
        <w:t>.</w:t>
      </w:r>
      <w:r w:rsidR="00B800F5" w:rsidRPr="00123CD3">
        <w:rPr>
          <w:lang w:val="en-GB"/>
        </w:rPr>
        <w:t xml:space="preserve"> The shift from Keynesianism to Monetarism after the 1970s oil crises serve as the most astute example. The inability of Keynesian policy to account for high inflation and slow growth served as </w:t>
      </w:r>
      <w:r w:rsidR="00502D87">
        <w:rPr>
          <w:lang w:val="en-GB"/>
        </w:rPr>
        <w:t>an opportunity</w:t>
      </w:r>
      <w:r w:rsidR="00B800F5" w:rsidRPr="00123CD3">
        <w:rPr>
          <w:lang w:val="en-GB"/>
        </w:rPr>
        <w:t xml:space="preserve"> for monetarism to jump in the gap to explain the economic turmoil </w:t>
      </w:r>
      <w:r w:rsidR="002E1437" w:rsidRPr="00123CD3">
        <w:rPr>
          <w:lang w:val="en-GB"/>
        </w:rPr>
        <w:t>(Hall, 1993: 284-285)</w:t>
      </w:r>
      <w:r w:rsidR="00B800F5" w:rsidRPr="00123CD3">
        <w:rPr>
          <w:lang w:val="en-GB"/>
        </w:rPr>
        <w:t xml:space="preserve">. </w:t>
      </w:r>
      <w:r w:rsidR="00502D87">
        <w:rPr>
          <w:lang w:val="en-GB"/>
        </w:rPr>
        <w:t>The orthodoxy could seek to maintain its position through an interpretation of the anomaly. However, p</w:t>
      </w:r>
      <w:r w:rsidR="00B800F5" w:rsidRPr="00123CD3">
        <w:rPr>
          <w:lang w:val="en-GB"/>
        </w:rPr>
        <w:t xml:space="preserve">aradigms forcefully trying to explain anomalies can lead to stretching: It seeks an explanation which does not fit its theoretical background. It is in the grey areas, policy shrouded with uncertainty, where new policy can nestle </w:t>
      </w:r>
      <w:r w:rsidR="00B800F5" w:rsidRPr="00123CD3">
        <w:rPr>
          <w:noProof/>
          <w:lang w:val="en-GB"/>
        </w:rPr>
        <w:t>(</w:t>
      </w:r>
      <w:r w:rsidR="00B800F5" w:rsidRPr="004B6A68">
        <w:rPr>
          <w:noProof/>
          <w:lang w:val="en-GB"/>
        </w:rPr>
        <w:t>Berman, 2001</w:t>
      </w:r>
      <w:r w:rsidR="004B6A68" w:rsidRPr="004B6A68">
        <w:rPr>
          <w:noProof/>
          <w:lang w:val="en-GB"/>
        </w:rPr>
        <w:t>: 235</w:t>
      </w:r>
      <w:r w:rsidR="00B800F5" w:rsidRPr="004B6A68">
        <w:rPr>
          <w:noProof/>
          <w:lang w:val="en-GB"/>
        </w:rPr>
        <w:t>)</w:t>
      </w:r>
      <w:r w:rsidR="00B800F5" w:rsidRPr="00123CD3">
        <w:rPr>
          <w:lang w:val="en-GB"/>
        </w:rPr>
        <w:t xml:space="preserve">. These grey areas, or gaps, may be the result of lacking theory or can be the result of ambiguous rules due to information limitations of actors </w:t>
      </w:r>
      <w:r w:rsidR="00B800F5" w:rsidRPr="00123CD3">
        <w:rPr>
          <w:noProof/>
          <w:lang w:val="en-GB"/>
        </w:rPr>
        <w:t>(</w:t>
      </w:r>
      <w:r w:rsidR="00B800F5" w:rsidRPr="00CD67E4">
        <w:rPr>
          <w:noProof/>
          <w:lang w:val="en-GB"/>
        </w:rPr>
        <w:t>Mahoney &amp; Thelen, 2010</w:t>
      </w:r>
      <w:r w:rsidR="00CD67E4">
        <w:rPr>
          <w:noProof/>
          <w:lang w:val="en-GB"/>
        </w:rPr>
        <w:t>: 12</w:t>
      </w:r>
      <w:r w:rsidR="00B800F5" w:rsidRPr="00123CD3">
        <w:rPr>
          <w:noProof/>
          <w:lang w:val="en-GB"/>
        </w:rPr>
        <w:t>)</w:t>
      </w:r>
      <w:r w:rsidR="00B800F5" w:rsidRPr="00123CD3">
        <w:rPr>
          <w:lang w:val="en-GB"/>
        </w:rPr>
        <w:t>. Rules can never be complete enough to incl</w:t>
      </w:r>
      <w:r w:rsidR="00782546" w:rsidRPr="00123CD3">
        <w:rPr>
          <w:lang w:val="en-GB"/>
        </w:rPr>
        <w:t xml:space="preserve">ude all real world complexities which also opens up space for interpretation </w:t>
      </w:r>
      <w:r w:rsidR="00782546" w:rsidRPr="00123CD3">
        <w:rPr>
          <w:noProof/>
          <w:lang w:val="en-GB"/>
        </w:rPr>
        <w:t>(</w:t>
      </w:r>
      <w:r w:rsidR="00782546" w:rsidRPr="00CD67E4">
        <w:rPr>
          <w:noProof/>
          <w:lang w:val="en-GB"/>
        </w:rPr>
        <w:t>Lieberman, 2007</w:t>
      </w:r>
      <w:r w:rsidR="00782546" w:rsidRPr="00123CD3">
        <w:rPr>
          <w:noProof/>
          <w:lang w:val="en-GB"/>
        </w:rPr>
        <w:t>)</w:t>
      </w:r>
      <w:r w:rsidR="00782546" w:rsidRPr="00123CD3">
        <w:rPr>
          <w:lang w:val="en-GB"/>
        </w:rPr>
        <w:t xml:space="preserve">. Actors can thus mould ideas to serve their preferences in order to bend the outcome into their preferred </w:t>
      </w:r>
      <w:r w:rsidR="00782546" w:rsidRPr="00CD67E4">
        <w:rPr>
          <w:lang w:val="en-GB"/>
        </w:rPr>
        <w:t xml:space="preserve">direction </w:t>
      </w:r>
      <w:r w:rsidR="00CD67E4" w:rsidRPr="00CD67E4">
        <w:rPr>
          <w:noProof/>
          <w:lang w:val="en-GB"/>
        </w:rPr>
        <w:t>(Sheingate, 2007: 17)</w:t>
      </w:r>
      <w:r w:rsidR="00782546" w:rsidRPr="00CD67E4">
        <w:rPr>
          <w:lang w:val="en-GB"/>
        </w:rPr>
        <w:t xml:space="preserve">. </w:t>
      </w:r>
      <w:r w:rsidR="00A040A1">
        <w:rPr>
          <w:lang w:val="en-GB"/>
        </w:rPr>
        <w:t>One</w:t>
      </w:r>
      <w:r w:rsidR="00782546" w:rsidRPr="00123CD3">
        <w:rPr>
          <w:lang w:val="en-GB"/>
        </w:rPr>
        <w:t xml:space="preserve"> can interpret these ideas as stretching the parameters and scope of </w:t>
      </w:r>
      <w:r w:rsidR="00782546" w:rsidRPr="00CD67E4">
        <w:rPr>
          <w:lang w:val="en-GB"/>
        </w:rPr>
        <w:t xml:space="preserve">legislation </w:t>
      </w:r>
      <w:r w:rsidR="00782546" w:rsidRPr="00CD67E4">
        <w:rPr>
          <w:noProof/>
          <w:lang w:val="en-GB"/>
        </w:rPr>
        <w:t>(Mahoney &amp; Thelen, 2010</w:t>
      </w:r>
      <w:r w:rsidR="00CD67E4" w:rsidRPr="00CD67E4">
        <w:rPr>
          <w:noProof/>
          <w:lang w:val="en-GB"/>
        </w:rPr>
        <w:t>: 13</w:t>
      </w:r>
      <w:r w:rsidR="00782546" w:rsidRPr="00CD67E4">
        <w:rPr>
          <w:noProof/>
          <w:lang w:val="en-GB"/>
        </w:rPr>
        <w:t>)</w:t>
      </w:r>
      <w:r w:rsidR="00782546" w:rsidRPr="00CD67E4">
        <w:rPr>
          <w:lang w:val="en-GB"/>
        </w:rPr>
        <w:t>. As some preferences weigh more than others, it matters a great deal how an issue</w:t>
      </w:r>
      <w:r w:rsidR="00A040A1">
        <w:rPr>
          <w:lang w:val="en-GB"/>
        </w:rPr>
        <w:t xml:space="preserve"> or crisis</w:t>
      </w:r>
      <w:r w:rsidR="00782546" w:rsidRPr="00CD67E4">
        <w:rPr>
          <w:lang w:val="en-GB"/>
        </w:rPr>
        <w:t xml:space="preserve"> is framed </w:t>
      </w:r>
      <w:r w:rsidR="00782546" w:rsidRPr="00CD67E4">
        <w:rPr>
          <w:noProof/>
          <w:lang w:val="en-GB"/>
        </w:rPr>
        <w:t>(Hall &amp; Taylor, 1998</w:t>
      </w:r>
      <w:r w:rsidR="00CD67E4" w:rsidRPr="00CD67E4">
        <w:rPr>
          <w:noProof/>
          <w:lang w:val="en-GB"/>
        </w:rPr>
        <w:t>: 961</w:t>
      </w:r>
      <w:r w:rsidR="00782546" w:rsidRPr="00CD67E4">
        <w:rPr>
          <w:noProof/>
          <w:lang w:val="en-GB"/>
        </w:rPr>
        <w:t>)</w:t>
      </w:r>
      <w:r w:rsidR="00782546" w:rsidRPr="00CD67E4">
        <w:rPr>
          <w:lang w:val="en-GB"/>
        </w:rPr>
        <w:t>.</w:t>
      </w:r>
      <w:r w:rsidR="000B29D4" w:rsidRPr="00CD67E4">
        <w:rPr>
          <w:lang w:val="en-GB"/>
        </w:rPr>
        <w:t xml:space="preserve"> </w:t>
      </w:r>
    </w:p>
    <w:p w14:paraId="5B60C601" w14:textId="741BB6BF" w:rsidR="00175EBC" w:rsidRPr="00123CD3" w:rsidRDefault="000B29D4" w:rsidP="00C71FE6">
      <w:pPr>
        <w:spacing w:line="360" w:lineRule="auto"/>
        <w:rPr>
          <w:lang w:val="en-GB"/>
        </w:rPr>
      </w:pPr>
      <w:r w:rsidRPr="00123CD3">
        <w:rPr>
          <w:lang w:val="en-GB"/>
        </w:rPr>
        <w:t xml:space="preserve">The ability to interpret laws and circumstances in a particular fashion serves as the background for policy makers’ ability to reshuffle alliances and form new coalitions which can overthrow the status quo. </w:t>
      </w:r>
      <w:r w:rsidR="00867157" w:rsidRPr="00123CD3">
        <w:rPr>
          <w:lang w:val="en-GB"/>
        </w:rPr>
        <w:t xml:space="preserve">Agents can convince other agents and the </w:t>
      </w:r>
      <w:r w:rsidR="00867157" w:rsidRPr="00791B35">
        <w:rPr>
          <w:lang w:val="en-GB"/>
        </w:rPr>
        <w:t xml:space="preserve">masses </w:t>
      </w:r>
      <w:r w:rsidR="00791B35" w:rsidRPr="00791B35">
        <w:rPr>
          <w:noProof/>
          <w:lang w:val="en-GB"/>
        </w:rPr>
        <w:t>(Carstensen &amp; Schmidt, 2016: 326)</w:t>
      </w:r>
      <w:r w:rsidR="00867157" w:rsidRPr="00791B35">
        <w:rPr>
          <w:lang w:val="en-GB"/>
        </w:rPr>
        <w:t xml:space="preserve">. </w:t>
      </w:r>
      <w:r w:rsidR="009209DA" w:rsidRPr="00123CD3">
        <w:rPr>
          <w:lang w:val="en-GB"/>
        </w:rPr>
        <w:t xml:space="preserve">Conflict arises from the differently motivated actors that aim to fill the gap </w:t>
      </w:r>
      <w:r w:rsidR="009209DA" w:rsidRPr="00123CD3">
        <w:rPr>
          <w:noProof/>
          <w:lang w:val="en-GB"/>
        </w:rPr>
        <w:t>(Mahoney &amp; Thelen, 2010</w:t>
      </w:r>
      <w:r w:rsidR="009209DA">
        <w:rPr>
          <w:noProof/>
          <w:lang w:val="en-GB"/>
        </w:rPr>
        <w:t>: 11</w:t>
      </w:r>
      <w:r w:rsidR="009209DA" w:rsidRPr="00123CD3">
        <w:rPr>
          <w:noProof/>
          <w:lang w:val="en-GB"/>
        </w:rPr>
        <w:t>)</w:t>
      </w:r>
      <w:r w:rsidR="009209DA">
        <w:rPr>
          <w:lang w:val="en-GB"/>
        </w:rPr>
        <w:t xml:space="preserve">. </w:t>
      </w:r>
      <w:r w:rsidRPr="00791B35">
        <w:rPr>
          <w:lang w:val="en-GB"/>
        </w:rPr>
        <w:t>Successfully</w:t>
      </w:r>
      <w:r w:rsidRPr="00123CD3">
        <w:rPr>
          <w:lang w:val="en-GB"/>
        </w:rPr>
        <w:t xml:space="preserve"> challenging the paradigm depends on the ability to forge coalitions, in which the relative power of an actor is essential to its ability to form </w:t>
      </w:r>
      <w:r w:rsidRPr="00CD67E4">
        <w:rPr>
          <w:lang w:val="en-GB"/>
        </w:rPr>
        <w:t xml:space="preserve">them </w:t>
      </w:r>
      <w:r w:rsidRPr="00CD67E4">
        <w:rPr>
          <w:noProof/>
          <w:lang w:val="en-GB"/>
        </w:rPr>
        <w:t>(Hall &amp; Taylor, 1996</w:t>
      </w:r>
      <w:r w:rsidR="00CD67E4" w:rsidRPr="00CD67E4">
        <w:rPr>
          <w:noProof/>
          <w:lang w:val="en-GB"/>
        </w:rPr>
        <w:t>: 940-941</w:t>
      </w:r>
      <w:r w:rsidRPr="00CD67E4">
        <w:rPr>
          <w:noProof/>
          <w:lang w:val="en-GB"/>
        </w:rPr>
        <w:t>)</w:t>
      </w:r>
      <w:r w:rsidRPr="00CD67E4">
        <w:rPr>
          <w:lang w:val="en-GB"/>
        </w:rPr>
        <w:t>. Due</w:t>
      </w:r>
      <w:r w:rsidRPr="00123CD3">
        <w:rPr>
          <w:lang w:val="en-GB"/>
        </w:rPr>
        <w:t xml:space="preserve"> to coalition forming being based on the interpretation of ambiguities there are constantly shifting power blocks </w:t>
      </w:r>
      <w:r w:rsidR="00A040A1" w:rsidRPr="00E654C5">
        <w:rPr>
          <w:noProof/>
          <w:lang w:val="en-GB"/>
        </w:rPr>
        <w:t>(Weir, 1992</w:t>
      </w:r>
      <w:r w:rsidR="00A040A1">
        <w:rPr>
          <w:noProof/>
          <w:lang w:val="en-GB"/>
        </w:rPr>
        <w:t>: 29</w:t>
      </w:r>
      <w:r w:rsidR="00A040A1" w:rsidRPr="00E654C5">
        <w:rPr>
          <w:noProof/>
          <w:lang w:val="en-GB"/>
        </w:rPr>
        <w:t>)</w:t>
      </w:r>
      <w:r w:rsidRPr="00123CD3">
        <w:rPr>
          <w:lang w:val="en-GB"/>
        </w:rPr>
        <w:t xml:space="preserve">. </w:t>
      </w:r>
      <w:r w:rsidR="00175EBC" w:rsidRPr="00123CD3">
        <w:rPr>
          <w:lang w:val="en-GB"/>
        </w:rPr>
        <w:t xml:space="preserve">How far an interpretation may stretch and how well it fits the gap depends on the resilience, and crisis preparedness of the </w:t>
      </w:r>
      <w:r w:rsidR="00175EBC" w:rsidRPr="00CD67E4">
        <w:rPr>
          <w:lang w:val="en-GB"/>
        </w:rPr>
        <w:t xml:space="preserve">idea </w:t>
      </w:r>
      <w:r w:rsidR="00CD67E4" w:rsidRPr="00CD67E4">
        <w:rPr>
          <w:noProof/>
          <w:lang w:val="en-GB"/>
        </w:rPr>
        <w:t>(Braun, 2015: 420)</w:t>
      </w:r>
      <w:r w:rsidR="00175EBC" w:rsidRPr="00CD67E4">
        <w:rPr>
          <w:lang w:val="en-GB"/>
        </w:rPr>
        <w:t>. The less</w:t>
      </w:r>
      <w:r w:rsidR="00175EBC" w:rsidRPr="00123CD3">
        <w:rPr>
          <w:lang w:val="en-GB"/>
        </w:rPr>
        <w:t xml:space="preserve"> prepared the paradigm, the more likely the heterodoxy is able to align enough policymakers to challenge and overthrow the orthodoxy. Interpretations aside though, the idea that is most likely to be chosen to explain the crisis is often the one of the agent with the most money, as ‘He who pays the piper, calls the tune’ </w:t>
      </w:r>
      <w:r w:rsidR="005D41D8" w:rsidRPr="00123CD3">
        <w:rPr>
          <w:noProof/>
          <w:lang w:val="en-GB"/>
        </w:rPr>
        <w:t>(Goodhart &amp; Schoenmaker, 1995: 544)</w:t>
      </w:r>
      <w:r w:rsidR="00175EBC" w:rsidRPr="00123CD3">
        <w:rPr>
          <w:lang w:val="en-GB"/>
        </w:rPr>
        <w:t xml:space="preserve">. </w:t>
      </w:r>
      <w:r w:rsidR="004A1AEE" w:rsidRPr="00123CD3">
        <w:rPr>
          <w:lang w:val="en-GB"/>
        </w:rPr>
        <w:t xml:space="preserve">Lastly, reasserting the prominence of crises in </w:t>
      </w:r>
      <w:r w:rsidR="004A1AEE" w:rsidRPr="00123CD3">
        <w:rPr>
          <w:lang w:val="en-GB"/>
        </w:rPr>
        <w:lastRenderedPageBreak/>
        <w:t>shifts</w:t>
      </w:r>
      <w:r w:rsidR="00A040A1">
        <w:rPr>
          <w:lang w:val="en-GB"/>
        </w:rPr>
        <w:t>,</w:t>
      </w:r>
      <w:r w:rsidR="004A1AEE" w:rsidRPr="00123CD3">
        <w:rPr>
          <w:lang w:val="en-GB"/>
        </w:rPr>
        <w:t xml:space="preserve"> the agents’ nature becomes more voluntaristic during critical junctures as it is a period in which the structure is relatively undetermined </w:t>
      </w:r>
      <w:r w:rsidR="004A1AEE" w:rsidRPr="00123CD3">
        <w:rPr>
          <w:noProof/>
          <w:lang w:val="en-GB"/>
        </w:rPr>
        <w:t>(Mahoney, 2001</w:t>
      </w:r>
      <w:r w:rsidR="00B75CB1">
        <w:rPr>
          <w:noProof/>
          <w:lang w:val="en-GB"/>
        </w:rPr>
        <w:t xml:space="preserve">: </w:t>
      </w:r>
      <w:r w:rsidR="00484091">
        <w:rPr>
          <w:noProof/>
          <w:lang w:val="en-GB"/>
        </w:rPr>
        <w:t>7</w:t>
      </w:r>
      <w:r w:rsidR="004A1AEE" w:rsidRPr="00123CD3">
        <w:rPr>
          <w:noProof/>
          <w:lang w:val="en-GB"/>
        </w:rPr>
        <w:t>)</w:t>
      </w:r>
      <w:r w:rsidR="004A1AEE" w:rsidRPr="00123CD3">
        <w:rPr>
          <w:lang w:val="en-GB"/>
        </w:rPr>
        <w:t xml:space="preserve">. The main addition here consists of a juncture’s effect in the short- and long-run. Braun emphasizes that uncertainty and the ensuing persuasiveness leading up to significant change plays a dominant role in the </w:t>
      </w:r>
      <w:r w:rsidR="004A1AEE" w:rsidRPr="00A040A1">
        <w:rPr>
          <w:lang w:val="en-GB"/>
        </w:rPr>
        <w:t>emergency phase</w:t>
      </w:r>
      <w:r w:rsidR="004A1AEE" w:rsidRPr="00123CD3">
        <w:rPr>
          <w:lang w:val="en-GB"/>
        </w:rPr>
        <w:t xml:space="preserve"> of a critical juncture </w:t>
      </w:r>
      <w:r w:rsidR="00B75CB1" w:rsidRPr="00C173EA">
        <w:rPr>
          <w:noProof/>
          <w:lang w:val="en-GB"/>
        </w:rPr>
        <w:t>(Braun, 2015</w:t>
      </w:r>
      <w:r w:rsidR="00B75CB1">
        <w:rPr>
          <w:noProof/>
          <w:lang w:val="en-GB"/>
        </w:rPr>
        <w:t>: 420</w:t>
      </w:r>
      <w:r w:rsidR="00B75CB1" w:rsidRPr="00C173EA">
        <w:rPr>
          <w:noProof/>
          <w:lang w:val="en-GB"/>
        </w:rPr>
        <w:t>)</w:t>
      </w:r>
      <w:r w:rsidR="004A1AEE" w:rsidRPr="00123CD3">
        <w:rPr>
          <w:lang w:val="en-GB"/>
        </w:rPr>
        <w:t>. It is more likely that a new paradigm reveals itself amidst the chaos, rather than after the crisis has settled down, as policy makers are more susceptible to new coalitions.</w:t>
      </w:r>
      <w:r w:rsidR="00634A97" w:rsidRPr="00123CD3">
        <w:rPr>
          <w:lang w:val="en-GB"/>
        </w:rPr>
        <w:t xml:space="preserve"> </w:t>
      </w:r>
      <w:r w:rsidR="00175EBC" w:rsidRPr="00123CD3">
        <w:rPr>
          <w:lang w:val="en-GB"/>
        </w:rPr>
        <w:t xml:space="preserve">Overall the contest for power plays a pivotal role in constituting a paradigm shift. </w:t>
      </w:r>
    </w:p>
    <w:p w14:paraId="3C36F48A" w14:textId="5B09EDF0" w:rsidR="00867157" w:rsidRPr="00123CD3" w:rsidRDefault="00867157" w:rsidP="00C71FE6">
      <w:pPr>
        <w:spacing w:line="360" w:lineRule="auto"/>
        <w:rPr>
          <w:lang w:val="en-GB"/>
        </w:rPr>
      </w:pPr>
      <w:r w:rsidRPr="00123CD3">
        <w:rPr>
          <w:lang w:val="en-GB"/>
        </w:rPr>
        <w:t>Beyond a new coalition a paradigm shift is likely to occur across policy fields</w:t>
      </w:r>
      <w:r w:rsidR="00A040A1">
        <w:rPr>
          <w:lang w:val="en-GB"/>
        </w:rPr>
        <w:t>:</w:t>
      </w:r>
      <w:r w:rsidRPr="00123CD3">
        <w:rPr>
          <w:lang w:val="en-GB"/>
        </w:rPr>
        <w:t xml:space="preserve"> The plausibility of a</w:t>
      </w:r>
      <w:r w:rsidR="00634A97" w:rsidRPr="00123CD3">
        <w:rPr>
          <w:lang w:val="en-GB"/>
        </w:rPr>
        <w:t>n</w:t>
      </w:r>
      <w:r w:rsidRPr="00123CD3">
        <w:rPr>
          <w:lang w:val="en-GB"/>
        </w:rPr>
        <w:t xml:space="preserve"> industrial paradigm shift increases if similar shifts can be observed </w:t>
      </w:r>
      <w:r w:rsidR="00A040A1">
        <w:rPr>
          <w:lang w:val="en-GB"/>
        </w:rPr>
        <w:t>in</w:t>
      </w:r>
      <w:r w:rsidRPr="00123CD3">
        <w:rPr>
          <w:lang w:val="en-GB"/>
        </w:rPr>
        <w:t xml:space="preserve"> </w:t>
      </w:r>
      <w:r w:rsidR="00634A97" w:rsidRPr="00123CD3">
        <w:rPr>
          <w:lang w:val="en-GB"/>
        </w:rPr>
        <w:t xml:space="preserve">other </w:t>
      </w:r>
      <w:r w:rsidR="00A040A1">
        <w:rPr>
          <w:lang w:val="en-GB"/>
        </w:rPr>
        <w:t>policy areas</w:t>
      </w:r>
      <w:r w:rsidR="00634A97" w:rsidRPr="00123CD3">
        <w:rPr>
          <w:lang w:val="en-GB"/>
        </w:rPr>
        <w:t>.</w:t>
      </w:r>
      <w:r w:rsidR="00BE191B" w:rsidRPr="00123CD3">
        <w:rPr>
          <w:lang w:val="en-GB"/>
        </w:rPr>
        <w:t xml:space="preserve"> This notion relates to the persistence of the paradigm as it becomes institutionalised and becomes a part of political life: The idea has become embedded in organisations, groups, and shaped the structure of the political arena </w:t>
      </w:r>
      <w:r w:rsidR="00BE191B" w:rsidRPr="00123CD3">
        <w:rPr>
          <w:noProof/>
          <w:lang w:val="en-GB"/>
        </w:rPr>
        <w:t>(Berman, 2013: 229)</w:t>
      </w:r>
      <w:r w:rsidR="00BE191B" w:rsidRPr="00123CD3">
        <w:rPr>
          <w:lang w:val="en-GB"/>
        </w:rPr>
        <w:t xml:space="preserve">. </w:t>
      </w:r>
      <w:r w:rsidR="007B4F2B" w:rsidRPr="00123CD3">
        <w:rPr>
          <w:lang w:val="en-GB"/>
        </w:rPr>
        <w:t xml:space="preserve">Carstensen and </w:t>
      </w:r>
      <w:proofErr w:type="spellStart"/>
      <w:r w:rsidR="007B4F2B" w:rsidRPr="00123CD3">
        <w:rPr>
          <w:lang w:val="en-GB"/>
        </w:rPr>
        <w:t>Röper</w:t>
      </w:r>
      <w:proofErr w:type="spellEnd"/>
      <w:r w:rsidR="007B4F2B" w:rsidRPr="00123CD3">
        <w:rPr>
          <w:lang w:val="en-GB"/>
        </w:rPr>
        <w:t xml:space="preserve"> also identified interinstitutional linkages as sources of change. They provide the example of how financial liberalisation in Germany went beyond its own policy paradigm and instigated a similar shift in pension privatisation </w:t>
      </w:r>
      <w:r w:rsidR="007B4F2B" w:rsidRPr="00123CD3">
        <w:rPr>
          <w:noProof/>
          <w:lang w:val="en-GB"/>
        </w:rPr>
        <w:t>(Carstensen &amp; Röper, 2019: 1329, 1352)</w:t>
      </w:r>
      <w:r w:rsidR="007B4F2B" w:rsidRPr="00123CD3">
        <w:rPr>
          <w:lang w:val="en-GB"/>
        </w:rPr>
        <w:t xml:space="preserve">. </w:t>
      </w:r>
      <w:r w:rsidR="00634A97" w:rsidRPr="00123CD3">
        <w:rPr>
          <w:lang w:val="en-GB"/>
        </w:rPr>
        <w:t xml:space="preserve">Buch-Hansen and Wigger concur that changes in </w:t>
      </w:r>
      <w:r w:rsidR="00B75CB1">
        <w:rPr>
          <w:lang w:val="en-GB"/>
        </w:rPr>
        <w:t>competition</w:t>
      </w:r>
      <w:r w:rsidR="00634A97" w:rsidRPr="00123CD3">
        <w:rPr>
          <w:lang w:val="en-GB"/>
        </w:rPr>
        <w:t xml:space="preserve"> regime should be part of a wider paradigm shift </w:t>
      </w:r>
      <w:r w:rsidR="00B75CB1" w:rsidRPr="00C173EA">
        <w:rPr>
          <w:noProof/>
          <w:lang w:val="en-GB"/>
        </w:rPr>
        <w:t>(Wigger &amp; Buch-Hansen, 2014</w:t>
      </w:r>
      <w:r w:rsidR="00B75CB1">
        <w:rPr>
          <w:noProof/>
          <w:lang w:val="en-GB"/>
        </w:rPr>
        <w:t>: 115</w:t>
      </w:r>
      <w:r w:rsidR="00B75CB1" w:rsidRPr="00C173EA">
        <w:rPr>
          <w:noProof/>
          <w:lang w:val="en-GB"/>
        </w:rPr>
        <w:t>)</w:t>
      </w:r>
      <w:r w:rsidR="00634A97" w:rsidRPr="00123CD3">
        <w:rPr>
          <w:lang w:val="en-GB"/>
        </w:rPr>
        <w:t xml:space="preserve">.  </w:t>
      </w:r>
    </w:p>
    <w:p w14:paraId="3D68AF0C" w14:textId="65446D61" w:rsidR="00634A97" w:rsidRPr="00123CD3" w:rsidRDefault="00634A97" w:rsidP="00C71FE6">
      <w:pPr>
        <w:spacing w:line="360" w:lineRule="auto"/>
        <w:rPr>
          <w:lang w:val="en-GB"/>
        </w:rPr>
      </w:pPr>
      <w:r w:rsidRPr="00123CD3">
        <w:rPr>
          <w:lang w:val="en-GB"/>
        </w:rPr>
        <w:t xml:space="preserve">Finally, a paradigm generally requires popular support, therefore a shift would coincide with public initiatives which are in line with the challenging idea. </w:t>
      </w:r>
      <w:r w:rsidR="00A1131F" w:rsidRPr="00123CD3">
        <w:rPr>
          <w:lang w:val="en-GB"/>
        </w:rPr>
        <w:t>A paradigm requires popular support for a simple reason: The moment a policy becomes the object of political debate, its success depends on its capacity to mobilize enough public support</w:t>
      </w:r>
      <w:r w:rsidR="00A13ADA" w:rsidRPr="00123CD3">
        <w:rPr>
          <w:lang w:val="en-GB"/>
        </w:rPr>
        <w:t xml:space="preserve">. Indeed, in a well-functioning democracy every bureaucrats or politicians should be able to justify his or her decision before the masses </w:t>
      </w:r>
      <w:r w:rsidR="00A1131F" w:rsidRPr="00123CD3">
        <w:rPr>
          <w:lang w:val="en-GB"/>
        </w:rPr>
        <w:t>(Hall, 1993: 287</w:t>
      </w:r>
      <w:r w:rsidR="00A13ADA" w:rsidRPr="00123CD3">
        <w:rPr>
          <w:lang w:val="en-GB"/>
        </w:rPr>
        <w:t>, 291</w:t>
      </w:r>
      <w:r w:rsidR="00A1131F" w:rsidRPr="00123CD3">
        <w:rPr>
          <w:lang w:val="en-GB"/>
        </w:rPr>
        <w:t xml:space="preserve">). </w:t>
      </w:r>
      <w:r w:rsidR="00B85617" w:rsidRPr="00123CD3">
        <w:rPr>
          <w:lang w:val="en-GB"/>
        </w:rPr>
        <w:t xml:space="preserve">It should be taken into </w:t>
      </w:r>
      <w:r w:rsidR="00A13ADA" w:rsidRPr="00123CD3">
        <w:rPr>
          <w:lang w:val="en-GB"/>
        </w:rPr>
        <w:t>consideration</w:t>
      </w:r>
      <w:r w:rsidR="00B85617" w:rsidRPr="00123CD3">
        <w:rPr>
          <w:lang w:val="en-GB"/>
        </w:rPr>
        <w:t xml:space="preserve">, though, that if the public indeed questions the orthodoxy, there need be an attractive alternative to follow in order to challenge the existing paradigm </w:t>
      </w:r>
      <w:r w:rsidR="00B85617" w:rsidRPr="00123CD3">
        <w:rPr>
          <w:noProof/>
          <w:lang w:val="en-GB"/>
        </w:rPr>
        <w:t>(Berman, 2013: 228)</w:t>
      </w:r>
      <w:r w:rsidR="00A107F2" w:rsidRPr="00123CD3">
        <w:rPr>
          <w:lang w:val="en-GB"/>
        </w:rPr>
        <w:t xml:space="preserve">. </w:t>
      </w:r>
    </w:p>
    <w:p w14:paraId="34C7CCE8" w14:textId="77777777" w:rsidR="009209DA" w:rsidRDefault="00A107F2" w:rsidP="00C71FE6">
      <w:pPr>
        <w:spacing w:line="360" w:lineRule="auto"/>
        <w:rPr>
          <w:lang w:val="en-GB"/>
        </w:rPr>
        <w:sectPr w:rsidR="009209DA">
          <w:headerReference w:type="default" r:id="rId12"/>
          <w:pgSz w:w="11906" w:h="16838"/>
          <w:pgMar w:top="1417" w:right="1417" w:bottom="1417" w:left="1417" w:header="708" w:footer="708" w:gutter="0"/>
          <w:cols w:space="708"/>
          <w:docGrid w:linePitch="360"/>
        </w:sectPr>
      </w:pPr>
      <w:r w:rsidRPr="00123CD3">
        <w:rPr>
          <w:lang w:val="en-GB"/>
        </w:rPr>
        <w:t xml:space="preserve">To recuperate, if there indeed is a paradigm shift within EU industrial policy one would expect to see the following traits in the political economic arena. First, a paradigm shift is often preceded by an exogenous shock, often embodied by an economic crisis, which acts as an anomaly. As the orthodoxy is unable to explain the event, a challenging idea may take this opportunity to fill the gap. Second, coinciding with the institutional change there is a shift in power. New coalitions form as actors realign themselves with ideas </w:t>
      </w:r>
      <w:r w:rsidR="00270F8B" w:rsidRPr="00123CD3">
        <w:rPr>
          <w:lang w:val="en-GB"/>
        </w:rPr>
        <w:t>not concurrent</w:t>
      </w:r>
      <w:r w:rsidRPr="00123CD3">
        <w:rPr>
          <w:lang w:val="en-GB"/>
        </w:rPr>
        <w:t xml:space="preserve"> </w:t>
      </w:r>
      <w:r w:rsidR="00270F8B" w:rsidRPr="00123CD3">
        <w:rPr>
          <w:lang w:val="en-GB"/>
        </w:rPr>
        <w:t xml:space="preserve">with </w:t>
      </w:r>
      <w:r w:rsidRPr="00123CD3">
        <w:rPr>
          <w:lang w:val="en-GB"/>
        </w:rPr>
        <w:t xml:space="preserve">the paradigm. </w:t>
      </w:r>
      <w:r w:rsidR="00270F8B" w:rsidRPr="00123CD3">
        <w:rPr>
          <w:lang w:val="en-GB"/>
        </w:rPr>
        <w:t xml:space="preserve">Third, the new coalition is expected to alter policy in multiple fields, rather than solely in industrial policy. Finally, within the EU policy generally requires popular support. Therefore, it is to </w:t>
      </w:r>
      <w:r w:rsidR="00D0374C">
        <w:rPr>
          <w:lang w:val="en-GB"/>
        </w:rPr>
        <w:t xml:space="preserve">be </w:t>
      </w:r>
      <w:r w:rsidR="00270F8B" w:rsidRPr="00123CD3">
        <w:rPr>
          <w:lang w:val="en-GB"/>
        </w:rPr>
        <w:t xml:space="preserve">expected that a paradigm shift coincides </w:t>
      </w:r>
      <w:r w:rsidR="00270F8B" w:rsidRPr="00123CD3">
        <w:rPr>
          <w:lang w:val="en-GB"/>
        </w:rPr>
        <w:lastRenderedPageBreak/>
        <w:t xml:space="preserve">with the opinion of the masses. Through these steps this papers wishes to specify the probability of a shift in industrial policy occurring. How this will come to pass is explained in the next chapter. </w:t>
      </w:r>
    </w:p>
    <w:p w14:paraId="057EAB65" w14:textId="67637AD5" w:rsidR="00860C43" w:rsidRDefault="003B5116" w:rsidP="00C71FE6">
      <w:pPr>
        <w:spacing w:line="360" w:lineRule="auto"/>
        <w:rPr>
          <w:lang w:val="en-GB"/>
        </w:rPr>
      </w:pPr>
      <w:r w:rsidRPr="00123CD3">
        <w:rPr>
          <w:lang w:val="en-GB"/>
        </w:rPr>
        <w:lastRenderedPageBreak/>
        <w:t xml:space="preserve">To find an answer to the question </w:t>
      </w:r>
      <w:r w:rsidRPr="00123CD3">
        <w:rPr>
          <w:i/>
          <w:lang w:val="en-GB"/>
        </w:rPr>
        <w:t>Why did the EU approve subsidies for a car battery alliance and does it constitute a paradigm shift in EU industrial policy</w:t>
      </w:r>
      <w:r w:rsidRPr="00123CD3">
        <w:rPr>
          <w:lang w:val="en-GB"/>
        </w:rPr>
        <w:t xml:space="preserve"> this paper developed a </w:t>
      </w:r>
      <w:r w:rsidR="00860C43">
        <w:rPr>
          <w:lang w:val="en-GB"/>
        </w:rPr>
        <w:t>causal mechanism</w:t>
      </w:r>
      <w:r w:rsidR="00227A56">
        <w:rPr>
          <w:lang w:val="en-GB"/>
        </w:rPr>
        <w:t xml:space="preserve"> based on HI theory. The mechanism </w:t>
      </w:r>
      <w:r w:rsidR="00860C43">
        <w:rPr>
          <w:lang w:val="en-GB"/>
        </w:rPr>
        <w:t>acts as</w:t>
      </w:r>
      <w:r w:rsidR="00227A56">
        <w:rPr>
          <w:lang w:val="en-GB"/>
        </w:rPr>
        <w:t xml:space="preserve"> a</w:t>
      </w:r>
      <w:r w:rsidR="00860C43">
        <w:rPr>
          <w:lang w:val="en-GB"/>
        </w:rPr>
        <w:t xml:space="preserve"> guideline</w:t>
      </w:r>
      <w:r w:rsidR="009F3EDE">
        <w:rPr>
          <w:lang w:val="en-GB"/>
        </w:rPr>
        <w:t xml:space="preserve"> to detect systematic patterns in the empirical manifestations </w:t>
      </w:r>
      <w:r w:rsidR="009F3EDE" w:rsidRPr="005A2DEC">
        <w:rPr>
          <w:noProof/>
          <w:lang w:val="en-GB"/>
        </w:rPr>
        <w:t>(Beach &amp; Pedersen, 2013</w:t>
      </w:r>
      <w:r w:rsidR="00484091">
        <w:rPr>
          <w:noProof/>
          <w:lang w:val="en-GB"/>
        </w:rPr>
        <w:t xml:space="preserve">: </w:t>
      </w:r>
      <w:r w:rsidR="009F3EDE">
        <w:rPr>
          <w:lang w:val="en-GB"/>
        </w:rPr>
        <w:t xml:space="preserve">18). </w:t>
      </w:r>
      <w:r w:rsidR="00860C43">
        <w:rPr>
          <w:lang w:val="en-GB"/>
        </w:rPr>
        <w:t>Like the theories before, this paper’s process is divided in two: The outcome and the mechanism leading up to the outcome. In other words, with the aid of the methods of process tracing this paper seeks to go beyond correlation</w:t>
      </w:r>
      <w:r w:rsidR="00227A56">
        <w:rPr>
          <w:lang w:val="en-GB"/>
        </w:rPr>
        <w:t>,</w:t>
      </w:r>
      <w:r w:rsidR="00860C43">
        <w:rPr>
          <w:lang w:val="en-GB"/>
        </w:rPr>
        <w:t xml:space="preserve"> aiming for causation. If X leads to Y this article aims to know how exactly this causal mechanism works, this is what defines process tracing </w:t>
      </w:r>
      <w:r w:rsidR="00860C43" w:rsidRPr="00CE4192">
        <w:rPr>
          <w:noProof/>
          <w:lang w:val="en-GB"/>
        </w:rPr>
        <w:t>(</w:t>
      </w:r>
      <w:r w:rsidR="005F448C">
        <w:rPr>
          <w:noProof/>
          <w:lang w:val="en-GB"/>
        </w:rPr>
        <w:t>29-30</w:t>
      </w:r>
      <w:r w:rsidR="00860C43" w:rsidRPr="00CE4192">
        <w:rPr>
          <w:noProof/>
          <w:lang w:val="en-GB"/>
        </w:rPr>
        <w:t>)</w:t>
      </w:r>
      <w:r w:rsidR="00860C43">
        <w:rPr>
          <w:lang w:val="en-GB"/>
        </w:rPr>
        <w:t xml:space="preserve">. Below is depicted a representation of the causal mechanism. Indeed, Process tracing serves to go beyond correlation. </w:t>
      </w:r>
    </w:p>
    <w:tbl>
      <w:tblPr>
        <w:tblStyle w:val="TableGrid"/>
        <w:tblW w:w="0" w:type="auto"/>
        <w:tblInd w:w="623" w:type="dxa"/>
        <w:tblLook w:val="04A0" w:firstRow="1" w:lastRow="0" w:firstColumn="1" w:lastColumn="0" w:noHBand="0" w:noVBand="1"/>
      </w:tblPr>
      <w:tblGrid>
        <w:gridCol w:w="1175"/>
        <w:gridCol w:w="1489"/>
        <w:gridCol w:w="1489"/>
        <w:gridCol w:w="1489"/>
        <w:gridCol w:w="1489"/>
        <w:gridCol w:w="854"/>
      </w:tblGrid>
      <w:tr w:rsidR="00860C43" w14:paraId="7C39BEAC" w14:textId="77777777" w:rsidTr="00E7088E">
        <w:trPr>
          <w:trHeight w:val="984"/>
        </w:trPr>
        <w:tc>
          <w:tcPr>
            <w:tcW w:w="1175" w:type="dxa"/>
            <w:vMerge w:val="restart"/>
          </w:tcPr>
          <w:p w14:paraId="6781FF5B" w14:textId="77777777" w:rsidR="00860C43" w:rsidRDefault="00860C43" w:rsidP="00C71FE6">
            <w:pPr>
              <w:spacing w:line="360" w:lineRule="auto"/>
              <w:rPr>
                <w:lang w:val="en-GB"/>
              </w:rPr>
            </w:pPr>
          </w:p>
          <w:p w14:paraId="012E32B5" w14:textId="77777777" w:rsidR="00860C43" w:rsidRDefault="00860C43" w:rsidP="00C71FE6">
            <w:pPr>
              <w:spacing w:line="360" w:lineRule="auto"/>
              <w:rPr>
                <w:lang w:val="en-GB"/>
              </w:rPr>
            </w:pPr>
          </w:p>
          <w:p w14:paraId="645C0BC4" w14:textId="77777777" w:rsidR="00860C43" w:rsidRDefault="00860C43" w:rsidP="00C71FE6">
            <w:pPr>
              <w:spacing w:line="360" w:lineRule="auto"/>
              <w:rPr>
                <w:lang w:val="en-GB"/>
              </w:rPr>
            </w:pPr>
          </w:p>
          <w:p w14:paraId="3A3C3905" w14:textId="77777777" w:rsidR="00860C43" w:rsidRDefault="00860C43" w:rsidP="00C71FE6">
            <w:pPr>
              <w:spacing w:line="360" w:lineRule="auto"/>
              <w:rPr>
                <w:lang w:val="en-GB"/>
              </w:rPr>
            </w:pPr>
            <w:r>
              <w:rPr>
                <w:lang w:val="en-GB"/>
              </w:rPr>
              <w:t>X</w:t>
            </w:r>
          </w:p>
          <w:p w14:paraId="33643974" w14:textId="77777777" w:rsidR="00860C43" w:rsidRPr="0046602E" w:rsidRDefault="00860C43" w:rsidP="00C71FE6">
            <w:pPr>
              <w:spacing w:line="360" w:lineRule="auto"/>
              <w:rPr>
                <w:i/>
                <w:lang w:val="en-GB"/>
              </w:rPr>
            </w:pPr>
          </w:p>
        </w:tc>
        <w:tc>
          <w:tcPr>
            <w:tcW w:w="1489" w:type="dxa"/>
          </w:tcPr>
          <w:p w14:paraId="26FCD94E" w14:textId="77777777" w:rsidR="00860C43" w:rsidRDefault="00860C43" w:rsidP="00C71FE6">
            <w:pPr>
              <w:spacing w:line="360" w:lineRule="auto"/>
              <w:rPr>
                <w:lang w:val="en-GB"/>
              </w:rPr>
            </w:pPr>
            <w:r>
              <w:rPr>
                <w:lang w:val="en-GB"/>
              </w:rPr>
              <w:t>Entity 1</w:t>
            </w:r>
          </w:p>
          <w:p w14:paraId="4D2947B9" w14:textId="77777777" w:rsidR="00860C43" w:rsidRDefault="00860C43" w:rsidP="00C71FE6">
            <w:pPr>
              <w:spacing w:line="360" w:lineRule="auto"/>
              <w:rPr>
                <w:lang w:val="en-GB"/>
              </w:rPr>
            </w:pPr>
          </w:p>
          <w:p w14:paraId="43B15B80" w14:textId="77777777" w:rsidR="00860C43" w:rsidRPr="001A7754" w:rsidRDefault="00860C43" w:rsidP="00C71FE6">
            <w:pPr>
              <w:spacing w:line="360" w:lineRule="auto"/>
              <w:rPr>
                <w:lang w:val="en-GB"/>
              </w:rPr>
            </w:pPr>
            <w:r w:rsidRPr="001A7754">
              <w:rPr>
                <w:lang w:val="en-GB"/>
              </w:rPr>
              <w:t>1)</w:t>
            </w:r>
            <w:r>
              <w:rPr>
                <w:lang w:val="en-GB"/>
              </w:rPr>
              <w:t xml:space="preserve"> Gaps</w:t>
            </w:r>
          </w:p>
        </w:tc>
        <w:tc>
          <w:tcPr>
            <w:tcW w:w="1489" w:type="dxa"/>
          </w:tcPr>
          <w:p w14:paraId="0610086F" w14:textId="77777777" w:rsidR="00860C43" w:rsidRDefault="00860C43" w:rsidP="00C71FE6">
            <w:pPr>
              <w:spacing w:line="360" w:lineRule="auto"/>
              <w:rPr>
                <w:lang w:val="en-GB"/>
              </w:rPr>
            </w:pPr>
            <w:r>
              <w:rPr>
                <w:lang w:val="en-GB"/>
              </w:rPr>
              <w:t>Entity 2</w:t>
            </w:r>
          </w:p>
          <w:p w14:paraId="30203004" w14:textId="77777777" w:rsidR="00860C43" w:rsidRDefault="00860C43" w:rsidP="00C71FE6">
            <w:pPr>
              <w:spacing w:line="360" w:lineRule="auto"/>
              <w:rPr>
                <w:lang w:val="en-GB"/>
              </w:rPr>
            </w:pPr>
          </w:p>
          <w:p w14:paraId="5DDECAF0" w14:textId="755A4816" w:rsidR="00860C43" w:rsidRDefault="00860C43" w:rsidP="00C71FE6">
            <w:pPr>
              <w:spacing w:line="360" w:lineRule="auto"/>
              <w:rPr>
                <w:lang w:val="en-GB"/>
              </w:rPr>
            </w:pPr>
            <w:r>
              <w:rPr>
                <w:lang w:val="en-GB"/>
              </w:rPr>
              <w:t xml:space="preserve">2) </w:t>
            </w:r>
            <w:r w:rsidR="0050063E">
              <w:rPr>
                <w:lang w:val="en-GB"/>
              </w:rPr>
              <w:t>Power-</w:t>
            </w:r>
            <w:r>
              <w:rPr>
                <w:lang w:val="en-GB"/>
              </w:rPr>
              <w:t>Play</w:t>
            </w:r>
          </w:p>
        </w:tc>
        <w:tc>
          <w:tcPr>
            <w:tcW w:w="1489" w:type="dxa"/>
          </w:tcPr>
          <w:p w14:paraId="471C4FF3" w14:textId="77777777" w:rsidR="00860C43" w:rsidRDefault="00860C43" w:rsidP="00C71FE6">
            <w:pPr>
              <w:spacing w:line="360" w:lineRule="auto"/>
              <w:rPr>
                <w:lang w:val="en-GB"/>
              </w:rPr>
            </w:pPr>
            <w:r>
              <w:rPr>
                <w:lang w:val="en-GB"/>
              </w:rPr>
              <w:t>Entity 1</w:t>
            </w:r>
          </w:p>
          <w:p w14:paraId="2433F34C" w14:textId="77777777" w:rsidR="00860C43" w:rsidRDefault="00860C43" w:rsidP="00C71FE6">
            <w:pPr>
              <w:spacing w:line="360" w:lineRule="auto"/>
              <w:rPr>
                <w:lang w:val="en-GB"/>
              </w:rPr>
            </w:pPr>
          </w:p>
          <w:p w14:paraId="7809722A" w14:textId="77777777" w:rsidR="00860C43" w:rsidRDefault="00860C43" w:rsidP="00C71FE6">
            <w:pPr>
              <w:spacing w:line="360" w:lineRule="auto"/>
              <w:rPr>
                <w:lang w:val="en-GB"/>
              </w:rPr>
            </w:pPr>
            <w:r>
              <w:rPr>
                <w:lang w:val="en-GB"/>
              </w:rPr>
              <w:t>3) Shifts Beyond Industry</w:t>
            </w:r>
          </w:p>
        </w:tc>
        <w:tc>
          <w:tcPr>
            <w:tcW w:w="1489" w:type="dxa"/>
          </w:tcPr>
          <w:p w14:paraId="1D6DA102" w14:textId="77777777" w:rsidR="00860C43" w:rsidRDefault="00860C43" w:rsidP="00C71FE6">
            <w:pPr>
              <w:spacing w:line="360" w:lineRule="auto"/>
              <w:rPr>
                <w:lang w:val="en-GB"/>
              </w:rPr>
            </w:pPr>
            <w:r>
              <w:rPr>
                <w:lang w:val="en-GB"/>
              </w:rPr>
              <w:t>Entity 3</w:t>
            </w:r>
          </w:p>
          <w:p w14:paraId="11C684FF" w14:textId="77777777" w:rsidR="00860C43" w:rsidRDefault="00860C43" w:rsidP="00C71FE6">
            <w:pPr>
              <w:spacing w:line="360" w:lineRule="auto"/>
              <w:rPr>
                <w:lang w:val="en-GB"/>
              </w:rPr>
            </w:pPr>
          </w:p>
          <w:p w14:paraId="07E8F81E" w14:textId="77777777" w:rsidR="00860C43" w:rsidRDefault="00860C43" w:rsidP="00C71FE6">
            <w:pPr>
              <w:spacing w:line="360" w:lineRule="auto"/>
              <w:rPr>
                <w:lang w:val="en-GB"/>
              </w:rPr>
            </w:pPr>
            <w:r>
              <w:rPr>
                <w:lang w:val="en-GB"/>
              </w:rPr>
              <w:t>4) Public Support</w:t>
            </w:r>
          </w:p>
        </w:tc>
        <w:tc>
          <w:tcPr>
            <w:tcW w:w="854" w:type="dxa"/>
            <w:vMerge w:val="restart"/>
          </w:tcPr>
          <w:p w14:paraId="0F834356" w14:textId="77777777" w:rsidR="00860C43" w:rsidRDefault="00860C43" w:rsidP="00C71FE6">
            <w:pPr>
              <w:spacing w:line="360" w:lineRule="auto"/>
              <w:rPr>
                <w:lang w:val="en-GB"/>
              </w:rPr>
            </w:pPr>
          </w:p>
          <w:p w14:paraId="39BAE2B4" w14:textId="77777777" w:rsidR="00860C43" w:rsidRDefault="00860C43" w:rsidP="00C71FE6">
            <w:pPr>
              <w:spacing w:line="360" w:lineRule="auto"/>
              <w:rPr>
                <w:lang w:val="en-GB"/>
              </w:rPr>
            </w:pPr>
          </w:p>
          <w:p w14:paraId="5197F087" w14:textId="77777777" w:rsidR="00860C43" w:rsidRDefault="00860C43" w:rsidP="00C71FE6">
            <w:pPr>
              <w:spacing w:line="360" w:lineRule="auto"/>
              <w:rPr>
                <w:lang w:val="en-GB"/>
              </w:rPr>
            </w:pPr>
          </w:p>
          <w:p w14:paraId="4CF33C6A" w14:textId="77777777" w:rsidR="00860C43" w:rsidRDefault="00860C43" w:rsidP="00C71FE6">
            <w:pPr>
              <w:spacing w:line="360" w:lineRule="auto"/>
              <w:rPr>
                <w:lang w:val="en-GB"/>
              </w:rPr>
            </w:pPr>
            <w:r>
              <w:rPr>
                <w:lang w:val="en-GB"/>
              </w:rPr>
              <w:t>Y</w:t>
            </w:r>
          </w:p>
          <w:p w14:paraId="2A619264" w14:textId="77777777" w:rsidR="00860C43" w:rsidRPr="0046602E" w:rsidRDefault="00860C43" w:rsidP="00C71FE6">
            <w:pPr>
              <w:spacing w:line="360" w:lineRule="auto"/>
              <w:rPr>
                <w:i/>
                <w:lang w:val="en-GB"/>
              </w:rPr>
            </w:pPr>
          </w:p>
        </w:tc>
      </w:tr>
      <w:tr w:rsidR="00860C43" w14:paraId="05AA921B" w14:textId="77777777" w:rsidTr="00E7088E">
        <w:trPr>
          <w:trHeight w:val="175"/>
        </w:trPr>
        <w:tc>
          <w:tcPr>
            <w:tcW w:w="1175" w:type="dxa"/>
            <w:vMerge/>
          </w:tcPr>
          <w:p w14:paraId="4E54BD1A" w14:textId="77777777" w:rsidR="00860C43" w:rsidRDefault="00860C43" w:rsidP="00C71FE6">
            <w:pPr>
              <w:spacing w:before="240" w:line="360" w:lineRule="auto"/>
              <w:rPr>
                <w:lang w:val="en-GB"/>
              </w:rPr>
            </w:pPr>
          </w:p>
        </w:tc>
        <w:tc>
          <w:tcPr>
            <w:tcW w:w="1489" w:type="dxa"/>
          </w:tcPr>
          <w:p w14:paraId="23E76896" w14:textId="77777777" w:rsidR="00860C43" w:rsidRDefault="00860C43" w:rsidP="00C71FE6">
            <w:pPr>
              <w:spacing w:before="240" w:line="360" w:lineRule="auto"/>
              <w:rPr>
                <w:lang w:val="en-GB"/>
              </w:rPr>
            </w:pPr>
            <w:r>
              <w:rPr>
                <w:lang w:val="en-GB"/>
              </w:rPr>
              <w:t>Empirical Manifestation</w:t>
            </w:r>
          </w:p>
        </w:tc>
        <w:tc>
          <w:tcPr>
            <w:tcW w:w="1489" w:type="dxa"/>
          </w:tcPr>
          <w:p w14:paraId="7FA409AC" w14:textId="77777777" w:rsidR="00860C43" w:rsidRDefault="00860C43" w:rsidP="00C71FE6">
            <w:pPr>
              <w:spacing w:before="240" w:line="360" w:lineRule="auto"/>
              <w:rPr>
                <w:lang w:val="en-GB"/>
              </w:rPr>
            </w:pPr>
            <w:r>
              <w:rPr>
                <w:lang w:val="en-GB"/>
              </w:rPr>
              <w:t>Empirical Manifestation</w:t>
            </w:r>
          </w:p>
        </w:tc>
        <w:tc>
          <w:tcPr>
            <w:tcW w:w="1489" w:type="dxa"/>
          </w:tcPr>
          <w:p w14:paraId="5313FAC1" w14:textId="77777777" w:rsidR="00860C43" w:rsidRDefault="00860C43" w:rsidP="00C71FE6">
            <w:pPr>
              <w:spacing w:before="240" w:line="360" w:lineRule="auto"/>
              <w:rPr>
                <w:lang w:val="en-GB"/>
              </w:rPr>
            </w:pPr>
            <w:r>
              <w:rPr>
                <w:lang w:val="en-GB"/>
              </w:rPr>
              <w:t>Empirical Manifestation</w:t>
            </w:r>
          </w:p>
        </w:tc>
        <w:tc>
          <w:tcPr>
            <w:tcW w:w="1489" w:type="dxa"/>
          </w:tcPr>
          <w:p w14:paraId="40878DEA" w14:textId="77777777" w:rsidR="00860C43" w:rsidRDefault="00860C43" w:rsidP="00C71FE6">
            <w:pPr>
              <w:spacing w:before="240" w:line="360" w:lineRule="auto"/>
              <w:rPr>
                <w:lang w:val="en-GB"/>
              </w:rPr>
            </w:pPr>
            <w:r>
              <w:rPr>
                <w:lang w:val="en-GB"/>
              </w:rPr>
              <w:t>Empirical Manifestation</w:t>
            </w:r>
          </w:p>
        </w:tc>
        <w:tc>
          <w:tcPr>
            <w:tcW w:w="854" w:type="dxa"/>
            <w:vMerge/>
          </w:tcPr>
          <w:p w14:paraId="2B5C0EA5" w14:textId="77777777" w:rsidR="00860C43" w:rsidRDefault="00860C43" w:rsidP="00C71FE6">
            <w:pPr>
              <w:spacing w:before="240" w:line="360" w:lineRule="auto"/>
              <w:rPr>
                <w:lang w:val="en-GB"/>
              </w:rPr>
            </w:pPr>
          </w:p>
        </w:tc>
      </w:tr>
    </w:tbl>
    <w:p w14:paraId="7BB3D831" w14:textId="77777777" w:rsidR="00860C43" w:rsidRDefault="00860C43" w:rsidP="00C71FE6">
      <w:pPr>
        <w:spacing w:line="360" w:lineRule="auto"/>
        <w:ind w:left="708"/>
        <w:rPr>
          <w:i/>
          <w:lang w:val="en-GB"/>
        </w:rPr>
      </w:pPr>
      <w:r w:rsidRPr="009C48B1">
        <w:rPr>
          <w:i/>
          <w:lang w:val="en-GB"/>
        </w:rPr>
        <w:t>Figure 1. Visual Representation Causal Mechanism</w:t>
      </w:r>
    </w:p>
    <w:p w14:paraId="1520AD9B" w14:textId="33D3E21D" w:rsidR="00860C43" w:rsidRDefault="00860C43" w:rsidP="00C71FE6">
      <w:pPr>
        <w:spacing w:line="360" w:lineRule="auto"/>
        <w:rPr>
          <w:lang w:val="en-GB"/>
        </w:rPr>
      </w:pPr>
      <w:r>
        <w:rPr>
          <w:lang w:val="en-GB"/>
        </w:rPr>
        <w:t>Converted to hypotheses ‘Y’ and the linkages within the mechanism are formulated as such:</w:t>
      </w:r>
    </w:p>
    <w:p w14:paraId="21B0C417" w14:textId="06BAB161" w:rsidR="00860C43" w:rsidRPr="00432F3A" w:rsidRDefault="00432F3A" w:rsidP="00C71FE6">
      <w:pPr>
        <w:pStyle w:val="ListParagraph"/>
        <w:numPr>
          <w:ilvl w:val="0"/>
          <w:numId w:val="3"/>
        </w:numPr>
        <w:spacing w:line="360" w:lineRule="auto"/>
        <w:rPr>
          <w:lang w:val="en-GB"/>
        </w:rPr>
      </w:pPr>
      <w:r w:rsidRPr="001F6B86">
        <w:rPr>
          <w:lang w:val="en-GB"/>
        </w:rPr>
        <w:t xml:space="preserve">In approving </w:t>
      </w:r>
      <w:r>
        <w:rPr>
          <w:lang w:val="en-GB"/>
        </w:rPr>
        <w:t>MS subsidies to the car battery industry</w:t>
      </w:r>
      <w:r w:rsidRPr="001F6B86">
        <w:rPr>
          <w:lang w:val="en-GB"/>
        </w:rPr>
        <w:t xml:space="preserve"> the European Commission experienced a shift from horizontal to vertical industr</w:t>
      </w:r>
      <w:r>
        <w:rPr>
          <w:lang w:val="en-GB"/>
        </w:rPr>
        <w:t>ial policy</w:t>
      </w:r>
      <w:r w:rsidR="00860C43" w:rsidRPr="00432F3A">
        <w:rPr>
          <w:lang w:val="en-GB"/>
        </w:rPr>
        <w:t>.</w:t>
      </w:r>
    </w:p>
    <w:p w14:paraId="295418E1" w14:textId="77777777" w:rsidR="00432F3A" w:rsidRDefault="00432F3A" w:rsidP="00C71FE6">
      <w:pPr>
        <w:pStyle w:val="ListParagraph"/>
        <w:numPr>
          <w:ilvl w:val="0"/>
          <w:numId w:val="3"/>
        </w:numPr>
        <w:spacing w:line="360" w:lineRule="auto"/>
        <w:rPr>
          <w:lang w:val="en-GB"/>
        </w:rPr>
      </w:pPr>
      <w:r w:rsidRPr="001F6B86">
        <w:rPr>
          <w:lang w:val="en-GB"/>
        </w:rPr>
        <w:t>The EU experienced a crisis which opened up an opportunity to convert from horizontal to vertical policy.</w:t>
      </w:r>
    </w:p>
    <w:p w14:paraId="077321A1" w14:textId="0877579D" w:rsidR="00860C43" w:rsidRPr="001F6B86" w:rsidRDefault="00432F3A" w:rsidP="00C71FE6">
      <w:pPr>
        <w:pStyle w:val="ListParagraph"/>
        <w:numPr>
          <w:ilvl w:val="0"/>
          <w:numId w:val="3"/>
        </w:numPr>
        <w:spacing w:line="360" w:lineRule="auto"/>
        <w:rPr>
          <w:lang w:val="en-GB"/>
        </w:rPr>
      </w:pPr>
      <w:r>
        <w:rPr>
          <w:lang w:val="en-GB"/>
        </w:rPr>
        <w:t>R</w:t>
      </w:r>
      <w:r w:rsidR="00860C43" w:rsidRPr="001F6B86">
        <w:rPr>
          <w:lang w:val="en-GB"/>
        </w:rPr>
        <w:t>elative stakeholders changed positions from supporting horizontal policy to supporting vertical policy</w:t>
      </w:r>
      <w:r>
        <w:rPr>
          <w:lang w:val="en-GB"/>
        </w:rPr>
        <w:t>, thus creating new power balances</w:t>
      </w:r>
      <w:r w:rsidR="00860C43" w:rsidRPr="001F6B86">
        <w:rPr>
          <w:lang w:val="en-GB"/>
        </w:rPr>
        <w:t>.</w:t>
      </w:r>
    </w:p>
    <w:p w14:paraId="4EDF2220" w14:textId="6F385FE6" w:rsidR="00432F3A" w:rsidRDefault="00432F3A" w:rsidP="00C71FE6">
      <w:pPr>
        <w:pStyle w:val="ListParagraph"/>
        <w:numPr>
          <w:ilvl w:val="0"/>
          <w:numId w:val="3"/>
        </w:numPr>
        <w:spacing w:line="360" w:lineRule="auto"/>
        <w:rPr>
          <w:lang w:val="en-GB"/>
        </w:rPr>
      </w:pPr>
      <w:r>
        <w:rPr>
          <w:lang w:val="en-GB"/>
        </w:rPr>
        <w:t>Aside from a horizontal to vertical shift</w:t>
      </w:r>
      <w:r w:rsidRPr="001F6B86">
        <w:rPr>
          <w:lang w:val="en-GB"/>
        </w:rPr>
        <w:t xml:space="preserve"> </w:t>
      </w:r>
      <w:r>
        <w:rPr>
          <w:lang w:val="en-GB"/>
        </w:rPr>
        <w:t>in</w:t>
      </w:r>
      <w:r w:rsidRPr="001F6B86">
        <w:rPr>
          <w:lang w:val="en-GB"/>
        </w:rPr>
        <w:t xml:space="preserve"> industrial policy, </w:t>
      </w:r>
      <w:r>
        <w:rPr>
          <w:lang w:val="en-GB"/>
        </w:rPr>
        <w:t xml:space="preserve">similar shifts materialised in other policy areas. </w:t>
      </w:r>
    </w:p>
    <w:p w14:paraId="68A32E82" w14:textId="612D0814" w:rsidR="00860C43" w:rsidRDefault="00860C43" w:rsidP="00C71FE6">
      <w:pPr>
        <w:pStyle w:val="ListParagraph"/>
        <w:numPr>
          <w:ilvl w:val="0"/>
          <w:numId w:val="3"/>
        </w:numPr>
        <w:spacing w:line="360" w:lineRule="auto"/>
        <w:rPr>
          <w:lang w:val="en-GB"/>
        </w:rPr>
      </w:pPr>
      <w:r>
        <w:rPr>
          <w:lang w:val="en-GB"/>
        </w:rPr>
        <w:t>The EU experienced demands from the masses that correspond to the shift from horizontal to vertical policy.</w:t>
      </w:r>
    </w:p>
    <w:p w14:paraId="19716A40" w14:textId="22B9313A" w:rsidR="00860C43" w:rsidRDefault="00860C43" w:rsidP="00C71FE6">
      <w:pPr>
        <w:spacing w:line="360" w:lineRule="auto"/>
        <w:rPr>
          <w:lang w:val="en-GB"/>
        </w:rPr>
      </w:pPr>
      <w:r>
        <w:rPr>
          <w:lang w:val="en-GB"/>
        </w:rPr>
        <w:t xml:space="preserve">The first hypothesis, on whether the </w:t>
      </w:r>
      <w:r w:rsidR="00227A56">
        <w:rPr>
          <w:lang w:val="en-GB"/>
        </w:rPr>
        <w:t>approval of the battery project</w:t>
      </w:r>
      <w:r>
        <w:rPr>
          <w:lang w:val="en-GB"/>
        </w:rPr>
        <w:t xml:space="preserve"> serves as a paradigm shift from horizontal to vertical industrial policy, consists of two parts. It first presents </w:t>
      </w:r>
      <w:r w:rsidR="00227A56">
        <w:rPr>
          <w:lang w:val="en-GB"/>
        </w:rPr>
        <w:t>the characteristics of the project based on this paper’s industrial framework. This is followed by an empirical depiction of previous EU industrial policy</w:t>
      </w:r>
      <w:r>
        <w:rPr>
          <w:lang w:val="en-GB"/>
        </w:rPr>
        <w:t xml:space="preserve">. </w:t>
      </w:r>
      <w:r w:rsidR="00227A56">
        <w:rPr>
          <w:lang w:val="en-GB"/>
        </w:rPr>
        <w:t xml:space="preserve">Comparing one to the other leads to an inference on whether there </w:t>
      </w:r>
      <w:r w:rsidR="00227A56">
        <w:rPr>
          <w:lang w:val="en-GB"/>
        </w:rPr>
        <w:lastRenderedPageBreak/>
        <w:t xml:space="preserve">was a shift or not. Hypothesis 1 is represented by ‘Y’ on the right hand side of the table. It embodies the outcome of whether there has been a shift from horizontal to vertical policy. The moment it has been established that Y is either one or the other, it will serve as a dot on the horizon to test the causal mechanism and prove the validity of said outcome. </w:t>
      </w:r>
      <w:r>
        <w:rPr>
          <w:lang w:val="en-GB"/>
        </w:rPr>
        <w:t>The remaining four hypotheses act as a confirmation of the outcome of the first hypothesis. The letter ‘X’ on the left hand side serves as the exogenous shock which kick starts the mechanism leading toward Y. In this case the Financial Crisis and ensuing Euro Crisis act as the exogenous shocks. The linkages which follow the initial shock need not appear in the order as depicted above: They are not steps which necessarily follow each other in a particular sequence.</w:t>
      </w:r>
      <w:r w:rsidRPr="006B2660">
        <w:rPr>
          <w:lang w:val="en-GB"/>
        </w:rPr>
        <w:t xml:space="preserve"> </w:t>
      </w:r>
      <w:r w:rsidR="00227A56">
        <w:rPr>
          <w:lang w:val="en-GB"/>
        </w:rPr>
        <w:t>Rather, t</w:t>
      </w:r>
      <w:r>
        <w:rPr>
          <w:lang w:val="en-GB"/>
        </w:rPr>
        <w:t xml:space="preserve">he mechanism presents </w:t>
      </w:r>
      <w:r w:rsidRPr="00227A56">
        <w:rPr>
          <w:lang w:val="en-GB"/>
        </w:rPr>
        <w:t>INUS causes</w:t>
      </w:r>
      <w:r>
        <w:rPr>
          <w:lang w:val="en-GB"/>
        </w:rPr>
        <w:t xml:space="preserve"> which together </w:t>
      </w:r>
      <w:r w:rsidRPr="002A2F4A">
        <w:rPr>
          <w:i/>
          <w:lang w:val="en-GB"/>
        </w:rPr>
        <w:t>may</w:t>
      </w:r>
      <w:r>
        <w:rPr>
          <w:lang w:val="en-GB"/>
        </w:rPr>
        <w:t xml:space="preserve"> form sufficient causes for Y </w:t>
      </w:r>
      <w:r w:rsidRPr="005A2DEC">
        <w:rPr>
          <w:noProof/>
          <w:lang w:val="en-GB"/>
        </w:rPr>
        <w:t>(Beach &amp; Pedersen, 2013</w:t>
      </w:r>
      <w:r>
        <w:rPr>
          <w:noProof/>
          <w:lang w:val="en-GB"/>
        </w:rPr>
        <w:t xml:space="preserve">: </w:t>
      </w:r>
      <w:r>
        <w:rPr>
          <w:lang w:val="en-GB"/>
        </w:rPr>
        <w:t>16</w:t>
      </w:r>
      <w:r w:rsidR="005F448C">
        <w:rPr>
          <w:lang w:val="en-GB"/>
        </w:rPr>
        <w:t>, 30</w:t>
      </w:r>
      <w:r>
        <w:rPr>
          <w:lang w:val="en-GB"/>
        </w:rPr>
        <w:t>) and how particular variables join together at specific historical moments</w:t>
      </w:r>
      <w:r w:rsidR="00C21FF9">
        <w:rPr>
          <w:lang w:val="en-GB"/>
        </w:rPr>
        <w:t xml:space="preserve"> </w:t>
      </w:r>
      <w:r w:rsidR="00C21FF9" w:rsidRPr="00C21FF9">
        <w:rPr>
          <w:noProof/>
          <w:lang w:val="en-GB"/>
        </w:rPr>
        <w:t>(Katznelson, 2009</w:t>
      </w:r>
      <w:r w:rsidR="00C21FF9">
        <w:rPr>
          <w:noProof/>
          <w:lang w:val="en-GB"/>
        </w:rPr>
        <w:t>: 101</w:t>
      </w:r>
      <w:r w:rsidR="00C21FF9" w:rsidRPr="00C21FF9">
        <w:rPr>
          <w:noProof/>
          <w:lang w:val="en-GB"/>
        </w:rPr>
        <w:t>)</w:t>
      </w:r>
      <w:r>
        <w:rPr>
          <w:lang w:val="en-GB"/>
        </w:rPr>
        <w:t xml:space="preserve">. </w:t>
      </w:r>
      <w:r w:rsidR="00227A56">
        <w:rPr>
          <w:lang w:val="en-GB"/>
        </w:rPr>
        <w:t xml:space="preserve">Should all linkages </w:t>
      </w:r>
      <w:r>
        <w:rPr>
          <w:lang w:val="en-GB"/>
        </w:rPr>
        <w:t xml:space="preserve">of the pre-built theory </w:t>
      </w:r>
      <w:r w:rsidR="00227A56">
        <w:rPr>
          <w:lang w:val="en-GB"/>
        </w:rPr>
        <w:t>be present</w:t>
      </w:r>
      <w:r>
        <w:rPr>
          <w:lang w:val="en-GB"/>
        </w:rPr>
        <w:t xml:space="preserve">, it is possible to infer the entire mechanism is present. On the other hand, if found that the mechanism is not present, the scope of the inference will diminish </w:t>
      </w:r>
      <w:r w:rsidRPr="001879B9">
        <w:rPr>
          <w:noProof/>
          <w:lang w:val="en-GB"/>
        </w:rPr>
        <w:t>(</w:t>
      </w:r>
      <w:r w:rsidRPr="005A2DEC">
        <w:rPr>
          <w:noProof/>
          <w:lang w:val="en-GB"/>
        </w:rPr>
        <w:t>Beach &amp; Pedersen, 2013</w:t>
      </w:r>
      <w:r>
        <w:rPr>
          <w:noProof/>
          <w:lang w:val="en-GB"/>
        </w:rPr>
        <w:t>: 88-</w:t>
      </w:r>
      <w:r>
        <w:rPr>
          <w:lang w:val="en-GB"/>
        </w:rPr>
        <w:t xml:space="preserve">89). In terms of generalisability, keep in mind that this is a case study. This paper functions to be able </w:t>
      </w:r>
      <w:r w:rsidR="00203B4A">
        <w:rPr>
          <w:lang w:val="en-GB"/>
        </w:rPr>
        <w:t xml:space="preserve">to </w:t>
      </w:r>
      <w:r>
        <w:rPr>
          <w:lang w:val="en-GB"/>
        </w:rPr>
        <w:t>infer whether there has been a shift in industrial policy and update the proposed mechanism and empirical research. Generalisability of the outcomes should be taken with a grain of salt, due to it being a singular case.</w:t>
      </w:r>
      <w:r w:rsidRPr="00D81F89">
        <w:rPr>
          <w:lang w:val="en-GB"/>
        </w:rPr>
        <w:t xml:space="preserve"> The variables used in the path are simply too many and too complex to be considered for a generalisation </w:t>
      </w:r>
      <w:r w:rsidR="00C21FF9" w:rsidRPr="00C173EA">
        <w:rPr>
          <w:noProof/>
          <w:lang w:val="en-GB"/>
        </w:rPr>
        <w:t>(Steinmo, 2008</w:t>
      </w:r>
      <w:r w:rsidR="00C21FF9">
        <w:rPr>
          <w:noProof/>
          <w:lang w:val="en-GB"/>
        </w:rPr>
        <w:t>: 175</w:t>
      </w:r>
      <w:r w:rsidR="00C21FF9" w:rsidRPr="00C173EA">
        <w:rPr>
          <w:noProof/>
          <w:lang w:val="en-GB"/>
        </w:rPr>
        <w:t>)</w:t>
      </w:r>
      <w:r w:rsidRPr="00D81F89">
        <w:rPr>
          <w:lang w:val="en-GB"/>
        </w:rPr>
        <w:t xml:space="preserve">. </w:t>
      </w:r>
      <w:r>
        <w:rPr>
          <w:lang w:val="en-GB"/>
        </w:rPr>
        <w:t xml:space="preserve">That said, in the process of theory </w:t>
      </w:r>
      <w:r w:rsidR="00203B4A">
        <w:rPr>
          <w:lang w:val="en-GB"/>
        </w:rPr>
        <w:t>testing</w:t>
      </w:r>
      <w:r>
        <w:rPr>
          <w:lang w:val="en-GB"/>
        </w:rPr>
        <w:t xml:space="preserve"> this paper </w:t>
      </w:r>
      <w:r w:rsidR="00840742">
        <w:rPr>
          <w:lang w:val="en-GB"/>
        </w:rPr>
        <w:t>draws upon</w:t>
      </w:r>
      <w:r>
        <w:rPr>
          <w:lang w:val="en-GB"/>
        </w:rPr>
        <w:t xml:space="preserve"> preceding theories as foundations for </w:t>
      </w:r>
      <w:r w:rsidR="00840742">
        <w:rPr>
          <w:lang w:val="en-GB"/>
        </w:rPr>
        <w:t>its mechanism and inferences</w:t>
      </w:r>
      <w:r>
        <w:rPr>
          <w:lang w:val="en-GB"/>
        </w:rPr>
        <w:t xml:space="preserve"> </w:t>
      </w:r>
      <w:r w:rsidRPr="00CE4192">
        <w:rPr>
          <w:noProof/>
          <w:lang w:val="en-GB"/>
        </w:rPr>
        <w:t>(Mahoney, 2015</w:t>
      </w:r>
      <w:r w:rsidR="00C21FF9">
        <w:rPr>
          <w:noProof/>
          <w:lang w:val="en-GB"/>
        </w:rPr>
        <w:t>: 213</w:t>
      </w:r>
      <w:r w:rsidRPr="00CE4192">
        <w:rPr>
          <w:noProof/>
          <w:lang w:val="en-GB"/>
        </w:rPr>
        <w:t>)</w:t>
      </w:r>
      <w:r w:rsidR="00203B4A">
        <w:rPr>
          <w:lang w:val="en-GB"/>
        </w:rPr>
        <w:t xml:space="preserve">. The inclusion of earlier </w:t>
      </w:r>
      <w:r>
        <w:rPr>
          <w:lang w:val="en-GB"/>
        </w:rPr>
        <w:t>theories provides ample amount of cases to be</w:t>
      </w:r>
      <w:r w:rsidR="00203B4A">
        <w:rPr>
          <w:lang w:val="en-GB"/>
        </w:rPr>
        <w:t xml:space="preserve"> able to work toward a generalizable</w:t>
      </w:r>
      <w:r>
        <w:rPr>
          <w:lang w:val="en-GB"/>
        </w:rPr>
        <w:t xml:space="preserve"> inference. If this paper’s mechanism is revealed to be </w:t>
      </w:r>
      <w:r w:rsidR="00203B4A">
        <w:rPr>
          <w:lang w:val="en-GB"/>
        </w:rPr>
        <w:t>accurate,</w:t>
      </w:r>
      <w:r>
        <w:rPr>
          <w:lang w:val="en-GB"/>
        </w:rPr>
        <w:t xml:space="preserve"> one can compare across other cases whether it holds true </w:t>
      </w:r>
      <w:r w:rsidRPr="00CE4192">
        <w:rPr>
          <w:noProof/>
          <w:lang w:val="en-GB"/>
        </w:rPr>
        <w:t>(Hall, 2013</w:t>
      </w:r>
      <w:r>
        <w:rPr>
          <w:noProof/>
          <w:lang w:val="en-GB"/>
        </w:rPr>
        <w:t>: 28</w:t>
      </w:r>
      <w:r w:rsidRPr="00CE4192">
        <w:rPr>
          <w:noProof/>
          <w:lang w:val="en-GB"/>
        </w:rPr>
        <w:t>)</w:t>
      </w:r>
      <w:r>
        <w:rPr>
          <w:lang w:val="en-GB"/>
        </w:rPr>
        <w:t xml:space="preserve">. </w:t>
      </w:r>
      <w:r w:rsidR="00203B4A">
        <w:rPr>
          <w:lang w:val="en-GB"/>
        </w:rPr>
        <w:t xml:space="preserve">Still, N is small so the inferred causal mechanism would only work within the specific context </w:t>
      </w:r>
      <w:r w:rsidR="00203B4A" w:rsidRPr="002770D3">
        <w:rPr>
          <w:noProof/>
          <w:lang w:val="en-GB"/>
        </w:rPr>
        <w:t>(Beach &amp; Pedersen, 2013</w:t>
      </w:r>
      <w:r w:rsidR="00203B4A">
        <w:rPr>
          <w:noProof/>
          <w:lang w:val="en-GB"/>
        </w:rPr>
        <w:t xml:space="preserve">: </w:t>
      </w:r>
      <w:r w:rsidR="00203B4A">
        <w:rPr>
          <w:lang w:val="en-GB"/>
        </w:rPr>
        <w:t>61). Indeed,</w:t>
      </w:r>
      <w:r>
        <w:rPr>
          <w:lang w:val="en-GB"/>
        </w:rPr>
        <w:t xml:space="preserve"> </w:t>
      </w:r>
      <w:r w:rsidR="00203B4A">
        <w:rPr>
          <w:lang w:val="en-GB"/>
        </w:rPr>
        <w:t xml:space="preserve">in </w:t>
      </w:r>
      <w:r>
        <w:rPr>
          <w:lang w:val="en-GB"/>
        </w:rPr>
        <w:t xml:space="preserve">historical process tracing </w:t>
      </w:r>
      <w:r w:rsidR="00203B4A">
        <w:rPr>
          <w:lang w:val="en-GB"/>
        </w:rPr>
        <w:t xml:space="preserve">a pattern serves in a particular place and time, thus a mechanism may only fit particular cases </w:t>
      </w:r>
      <w:r w:rsidR="00C21FF9" w:rsidRPr="00C173EA">
        <w:rPr>
          <w:noProof/>
          <w:lang w:val="en-GB"/>
        </w:rPr>
        <w:t>(Steinmo, 2008</w:t>
      </w:r>
      <w:r w:rsidR="00C21FF9">
        <w:rPr>
          <w:noProof/>
          <w:lang w:val="en-GB"/>
        </w:rPr>
        <w:t>: 163</w:t>
      </w:r>
      <w:r w:rsidR="00C21FF9" w:rsidRPr="00C173EA">
        <w:rPr>
          <w:noProof/>
          <w:lang w:val="en-GB"/>
        </w:rPr>
        <w:t>)</w:t>
      </w:r>
      <w:r>
        <w:rPr>
          <w:lang w:val="en-GB"/>
        </w:rPr>
        <w:t xml:space="preserve">. Furthermore, risk looms over the updating as it is possible that one builds a theory merely </w:t>
      </w:r>
      <w:r w:rsidR="00203B4A">
        <w:rPr>
          <w:lang w:val="en-GB"/>
        </w:rPr>
        <w:t>to fit</w:t>
      </w:r>
      <w:r>
        <w:rPr>
          <w:lang w:val="en-GB"/>
        </w:rPr>
        <w:t xml:space="preserve"> the data. It is essential to recognise that the data </w:t>
      </w:r>
      <w:r w:rsidR="00203B4A">
        <w:rPr>
          <w:lang w:val="en-GB"/>
        </w:rPr>
        <w:t xml:space="preserve">can </w:t>
      </w:r>
      <w:r w:rsidR="002D3401">
        <w:rPr>
          <w:lang w:val="en-GB"/>
        </w:rPr>
        <w:t>falsify</w:t>
      </w:r>
      <w:r>
        <w:rPr>
          <w:lang w:val="en-GB"/>
        </w:rPr>
        <w:t xml:space="preserve"> the theory, rather than </w:t>
      </w:r>
      <w:r w:rsidR="00203B4A">
        <w:rPr>
          <w:lang w:val="en-GB"/>
        </w:rPr>
        <w:t>updating</w:t>
      </w:r>
      <w:r>
        <w:rPr>
          <w:lang w:val="en-GB"/>
        </w:rPr>
        <w:t xml:space="preserve"> it </w:t>
      </w:r>
      <w:r w:rsidRPr="00CE4192">
        <w:rPr>
          <w:noProof/>
          <w:lang w:val="en-GB"/>
        </w:rPr>
        <w:t>(Hall, 2013</w:t>
      </w:r>
      <w:r>
        <w:rPr>
          <w:noProof/>
          <w:lang w:val="en-GB"/>
        </w:rPr>
        <w:t>: 21</w:t>
      </w:r>
      <w:r w:rsidRPr="00CE4192">
        <w:rPr>
          <w:noProof/>
          <w:lang w:val="en-GB"/>
        </w:rPr>
        <w:t>)</w:t>
      </w:r>
      <w:r>
        <w:rPr>
          <w:lang w:val="en-GB"/>
        </w:rPr>
        <w:t>.</w:t>
      </w:r>
    </w:p>
    <w:p w14:paraId="660AADEB" w14:textId="2AD831F4" w:rsidR="00917CFD" w:rsidRDefault="00AB33C6" w:rsidP="00C71FE6">
      <w:pPr>
        <w:spacing w:line="360" w:lineRule="auto"/>
        <w:rPr>
          <w:lang w:val="en-GB"/>
        </w:rPr>
      </w:pPr>
      <w:r>
        <w:rPr>
          <w:lang w:val="en-GB"/>
        </w:rPr>
        <w:t xml:space="preserve">The empirical section adheres to the mechanism discussed above. </w:t>
      </w:r>
      <w:r w:rsidR="003B5116" w:rsidRPr="00123CD3">
        <w:rPr>
          <w:lang w:val="en-GB"/>
        </w:rPr>
        <w:t>As a result, the empirical part</w:t>
      </w:r>
      <w:r>
        <w:rPr>
          <w:lang w:val="en-GB"/>
        </w:rPr>
        <w:t xml:space="preserve"> too</w:t>
      </w:r>
      <w:r w:rsidR="003B5116" w:rsidRPr="00123CD3">
        <w:rPr>
          <w:lang w:val="en-GB"/>
        </w:rPr>
        <w:t xml:space="preserve"> is divided in two sections. First, the goal is to find whether there has been a paradigm shift within EU industrial policy based on the vertical and horizontal policy distinction. </w:t>
      </w:r>
      <w:r>
        <w:rPr>
          <w:lang w:val="en-GB"/>
        </w:rPr>
        <w:t>This part</w:t>
      </w:r>
      <w:r w:rsidR="00943DE6">
        <w:rPr>
          <w:lang w:val="en-GB"/>
        </w:rPr>
        <w:t xml:space="preserve"> </w:t>
      </w:r>
      <w:r w:rsidR="003B5116" w:rsidRPr="00123CD3">
        <w:rPr>
          <w:lang w:val="en-GB"/>
        </w:rPr>
        <w:t xml:space="preserve">consists of identifying whether the battery subsidies </w:t>
      </w:r>
      <w:r>
        <w:rPr>
          <w:lang w:val="en-GB"/>
        </w:rPr>
        <w:t xml:space="preserve">actually </w:t>
      </w:r>
      <w:r w:rsidR="003B5116" w:rsidRPr="00123CD3">
        <w:rPr>
          <w:lang w:val="en-GB"/>
        </w:rPr>
        <w:t xml:space="preserve">adhere to the notion of vertical policy. </w:t>
      </w:r>
      <w:r>
        <w:rPr>
          <w:lang w:val="en-GB"/>
        </w:rPr>
        <w:t>EU p</w:t>
      </w:r>
      <w:r w:rsidR="003B5116" w:rsidRPr="00123CD3">
        <w:rPr>
          <w:lang w:val="en-GB"/>
        </w:rPr>
        <w:t>olicy serve</w:t>
      </w:r>
      <w:r>
        <w:rPr>
          <w:lang w:val="en-GB"/>
        </w:rPr>
        <w:t>s</w:t>
      </w:r>
      <w:r w:rsidR="003B5116" w:rsidRPr="00123CD3">
        <w:rPr>
          <w:lang w:val="en-GB"/>
        </w:rPr>
        <w:t xml:space="preserve"> as evidence which will be compared to the theory. Next, the empirics provide an overview of EU industrial policy </w:t>
      </w:r>
      <w:r w:rsidR="0000317F">
        <w:rPr>
          <w:lang w:val="en-GB"/>
        </w:rPr>
        <w:t xml:space="preserve">related to the car industry </w:t>
      </w:r>
      <w:r w:rsidR="00FF1F99" w:rsidRPr="00123CD3">
        <w:rPr>
          <w:lang w:val="en-GB"/>
        </w:rPr>
        <w:t xml:space="preserve">preceding the introduction of the </w:t>
      </w:r>
      <w:r w:rsidR="0000317F">
        <w:rPr>
          <w:lang w:val="en-GB"/>
        </w:rPr>
        <w:t>project in order to determine whether previous policy was either vertical or horizontal.</w:t>
      </w:r>
      <w:r w:rsidR="00FF1F99" w:rsidRPr="00123CD3">
        <w:rPr>
          <w:lang w:val="en-GB"/>
        </w:rPr>
        <w:t xml:space="preserve"> </w:t>
      </w:r>
      <w:r w:rsidR="0071338B">
        <w:rPr>
          <w:lang w:val="en-GB"/>
        </w:rPr>
        <w:t xml:space="preserve">All evidence related to this </w:t>
      </w:r>
      <w:r w:rsidR="0071338B">
        <w:rPr>
          <w:lang w:val="en-GB"/>
        </w:rPr>
        <w:lastRenderedPageBreak/>
        <w:t xml:space="preserve">hypothesis exists strictly within acts of the European Commission. </w:t>
      </w:r>
      <w:r w:rsidR="00E35324">
        <w:rPr>
          <w:lang w:val="en-GB"/>
        </w:rPr>
        <w:t xml:space="preserve">In </w:t>
      </w:r>
      <w:r w:rsidR="0000317F">
        <w:rPr>
          <w:lang w:val="en-GB"/>
        </w:rPr>
        <w:t>short</w:t>
      </w:r>
      <w:r w:rsidR="00E35324">
        <w:rPr>
          <w:lang w:val="en-GB"/>
        </w:rPr>
        <w:t xml:space="preserve">, </w:t>
      </w:r>
      <w:r w:rsidR="0000317F">
        <w:rPr>
          <w:lang w:val="en-GB"/>
        </w:rPr>
        <w:t>the paper dissects</w:t>
      </w:r>
      <w:r w:rsidR="00E35324">
        <w:rPr>
          <w:lang w:val="en-GB"/>
        </w:rPr>
        <w:t xml:space="preserve"> the </w:t>
      </w:r>
      <w:r w:rsidR="0000317F">
        <w:rPr>
          <w:lang w:val="en-GB"/>
        </w:rPr>
        <w:t>car battery proposal and clarifies</w:t>
      </w:r>
      <w:r w:rsidR="00E35324">
        <w:rPr>
          <w:lang w:val="en-GB"/>
        </w:rPr>
        <w:t xml:space="preserve"> whether previous Commission industrial policy decisions classify as vertical or horizontal.</w:t>
      </w:r>
      <w:r w:rsidR="00E35324" w:rsidRPr="00E35324">
        <w:rPr>
          <w:lang w:val="en-GB"/>
        </w:rPr>
        <w:t xml:space="preserve"> </w:t>
      </w:r>
      <w:r w:rsidR="00E35324" w:rsidRPr="00123CD3">
        <w:rPr>
          <w:lang w:val="en-GB"/>
        </w:rPr>
        <w:t>In essence, this answers the second part of the central question: Has there been a paradigm shift in EU industrial policy.</w:t>
      </w:r>
      <w:r w:rsidR="00917CFD">
        <w:rPr>
          <w:lang w:val="en-GB"/>
        </w:rPr>
        <w:t xml:space="preserve"> In accordance with the framework, if there is no shift there might still have been a 1</w:t>
      </w:r>
      <w:r w:rsidR="00917CFD" w:rsidRPr="00917CFD">
        <w:rPr>
          <w:vertAlign w:val="superscript"/>
          <w:lang w:val="en-GB"/>
        </w:rPr>
        <w:t>st</w:t>
      </w:r>
      <w:r w:rsidR="00917CFD">
        <w:rPr>
          <w:lang w:val="en-GB"/>
        </w:rPr>
        <w:t xml:space="preserve"> or 2</w:t>
      </w:r>
      <w:r w:rsidR="00917CFD" w:rsidRPr="00917CFD">
        <w:rPr>
          <w:vertAlign w:val="superscript"/>
          <w:lang w:val="en-GB"/>
        </w:rPr>
        <w:t>nd</w:t>
      </w:r>
      <w:r w:rsidR="00917CFD">
        <w:rPr>
          <w:lang w:val="en-GB"/>
        </w:rPr>
        <w:t xml:space="preserve"> order change.</w:t>
      </w:r>
    </w:p>
    <w:p w14:paraId="63877442" w14:textId="01D5DED8" w:rsidR="00AB33C6" w:rsidRDefault="00FF1F99" w:rsidP="00C71FE6">
      <w:pPr>
        <w:spacing w:line="360" w:lineRule="auto"/>
        <w:rPr>
          <w:lang w:val="en-GB"/>
        </w:rPr>
      </w:pPr>
      <w:r w:rsidRPr="00123CD3">
        <w:rPr>
          <w:lang w:val="en-GB"/>
        </w:rPr>
        <w:t>The</w:t>
      </w:r>
      <w:r w:rsidR="00AB33C6">
        <w:rPr>
          <w:lang w:val="en-GB"/>
        </w:rPr>
        <w:t xml:space="preserve"> consequent</w:t>
      </w:r>
      <w:r w:rsidRPr="00123CD3">
        <w:rPr>
          <w:lang w:val="en-GB"/>
        </w:rPr>
        <w:t xml:space="preserve"> </w:t>
      </w:r>
      <w:r w:rsidR="00AB33C6">
        <w:rPr>
          <w:lang w:val="en-GB"/>
        </w:rPr>
        <w:t xml:space="preserve">component </w:t>
      </w:r>
      <w:r w:rsidRPr="00123CD3">
        <w:rPr>
          <w:lang w:val="en-GB"/>
        </w:rPr>
        <w:t xml:space="preserve">of the empirical research concerns itself with clarifying </w:t>
      </w:r>
      <w:r w:rsidRPr="00123CD3">
        <w:rPr>
          <w:i/>
          <w:lang w:val="en-GB"/>
        </w:rPr>
        <w:t>why</w:t>
      </w:r>
      <w:r w:rsidRPr="00123CD3">
        <w:rPr>
          <w:lang w:val="en-GB"/>
        </w:rPr>
        <w:t xml:space="preserve"> a paradigm shift did, or did not occur. </w:t>
      </w:r>
      <w:r w:rsidR="00AB33C6">
        <w:rPr>
          <w:lang w:val="en-GB"/>
        </w:rPr>
        <w:t xml:space="preserve">Here the article tests the causal mechanism </w:t>
      </w:r>
      <w:r w:rsidR="0000317F">
        <w:rPr>
          <w:lang w:val="en-GB"/>
        </w:rPr>
        <w:t>checking the linkages and ‘X’</w:t>
      </w:r>
      <w:r w:rsidRPr="00123CD3">
        <w:rPr>
          <w:lang w:val="en-GB"/>
        </w:rPr>
        <w:t xml:space="preserve">. </w:t>
      </w:r>
      <w:r w:rsidR="006038DC" w:rsidRPr="00123CD3">
        <w:rPr>
          <w:lang w:val="en-GB"/>
        </w:rPr>
        <w:t xml:space="preserve">The empirics exist of the following steps. </w:t>
      </w:r>
      <w:r w:rsidR="00B36030" w:rsidRPr="00123CD3">
        <w:rPr>
          <w:lang w:val="en-GB"/>
        </w:rPr>
        <w:t xml:space="preserve">Firstly, does the paper recognize an exogenous shock which acts as an anomaly to the orthodoxy? </w:t>
      </w:r>
      <w:r w:rsidR="0050063E">
        <w:rPr>
          <w:lang w:val="en-GB"/>
        </w:rPr>
        <w:t>The empirical description of the double dip crisis in the EU simultaneously covers the anomalies and gaps that occurred and which provide an opportunity for an idea to challenge the orthodoxy. In other words, the evidence for</w:t>
      </w:r>
      <w:r w:rsidR="00AB33C6">
        <w:rPr>
          <w:lang w:val="en-GB"/>
        </w:rPr>
        <w:t xml:space="preserve"> X and the first linkage ‘Gaps’ </w:t>
      </w:r>
      <w:r w:rsidR="0050063E">
        <w:rPr>
          <w:lang w:val="en-GB"/>
        </w:rPr>
        <w:t>are combined;</w:t>
      </w:r>
      <w:r w:rsidR="00AB33C6">
        <w:rPr>
          <w:lang w:val="en-GB"/>
        </w:rPr>
        <w:t xml:space="preserve"> other linkages are dealt with separately. </w:t>
      </w:r>
      <w:r w:rsidR="0050063E" w:rsidRPr="00123CD3">
        <w:rPr>
          <w:lang w:val="en-GB"/>
        </w:rPr>
        <w:t>The establishment of a crisis</w:t>
      </w:r>
      <w:r w:rsidR="0050063E">
        <w:rPr>
          <w:lang w:val="en-GB"/>
        </w:rPr>
        <w:t xml:space="preserve"> and anomalies</w:t>
      </w:r>
      <w:r w:rsidR="0050063E" w:rsidRPr="00123CD3">
        <w:rPr>
          <w:lang w:val="en-GB"/>
        </w:rPr>
        <w:t xml:space="preserve"> leads to the next item within the mechanism: Power-play. The anomaly that the crisis </w:t>
      </w:r>
      <w:r w:rsidR="0000317F">
        <w:rPr>
          <w:lang w:val="en-GB"/>
        </w:rPr>
        <w:t>creates</w:t>
      </w:r>
      <w:r w:rsidR="0050063E" w:rsidRPr="00123CD3">
        <w:rPr>
          <w:lang w:val="en-GB"/>
        </w:rPr>
        <w:t xml:space="preserve"> presents agents with an opportunity to (re)interpret solutions to the pro</w:t>
      </w:r>
      <w:r w:rsidR="0050063E">
        <w:rPr>
          <w:lang w:val="en-GB"/>
        </w:rPr>
        <w:t>blem. This may result in agents</w:t>
      </w:r>
      <w:r w:rsidR="0050063E" w:rsidRPr="00123CD3">
        <w:rPr>
          <w:lang w:val="en-GB"/>
        </w:rPr>
        <w:t xml:space="preserve"> changing sides and forming new coalitions which may favour the challenging idea, in this case vertical industrial policy. </w:t>
      </w:r>
      <w:r w:rsidR="0071338B">
        <w:rPr>
          <w:lang w:val="en-GB"/>
        </w:rPr>
        <w:t xml:space="preserve">From this point forward, relevant agents include the Commission, but also other international organisations such as the International Monetary Fund (IMF), as well as Member State policy and MS politicians. The paper </w:t>
      </w:r>
      <w:r w:rsidR="0050063E">
        <w:rPr>
          <w:lang w:val="en-GB"/>
        </w:rPr>
        <w:t xml:space="preserve">seeks evidence of stakeholders that </w:t>
      </w:r>
      <w:r w:rsidR="0000317F">
        <w:rPr>
          <w:lang w:val="en-GB"/>
        </w:rPr>
        <w:t>now approve of</w:t>
      </w:r>
      <w:r w:rsidR="0050063E">
        <w:rPr>
          <w:lang w:val="en-GB"/>
        </w:rPr>
        <w:t xml:space="preserve"> </w:t>
      </w:r>
      <w:r w:rsidR="0000317F">
        <w:rPr>
          <w:lang w:val="en-GB"/>
        </w:rPr>
        <w:t>vertical industrial policy as opposed to the past</w:t>
      </w:r>
      <w:r w:rsidR="0050063E">
        <w:rPr>
          <w:lang w:val="en-GB"/>
        </w:rPr>
        <w:t>. The acceptance of</w:t>
      </w:r>
      <w:r w:rsidR="0000317F">
        <w:rPr>
          <w:lang w:val="en-GB"/>
        </w:rPr>
        <w:t xml:space="preserve"> a</w:t>
      </w:r>
      <w:r w:rsidR="0050063E">
        <w:rPr>
          <w:lang w:val="en-GB"/>
        </w:rPr>
        <w:t xml:space="preserve"> vertical program by relevant stake holders is not expected to operate solely within the field of industrial policy. Rather, HI theory expects similar alterations in other policy fields if there were a paradigm shift. This practice represents the consequen</w:t>
      </w:r>
      <w:r w:rsidR="00EB4920">
        <w:rPr>
          <w:lang w:val="en-GB"/>
        </w:rPr>
        <w:t>t part of the causal mechanism: Shift Beyond Industry</w:t>
      </w:r>
      <w:r w:rsidR="0050063E">
        <w:rPr>
          <w:lang w:val="en-GB"/>
        </w:rPr>
        <w:t xml:space="preserve">. </w:t>
      </w:r>
      <w:r w:rsidR="00EB4920">
        <w:rPr>
          <w:lang w:val="en-GB"/>
        </w:rPr>
        <w:t>E</w:t>
      </w:r>
      <w:r w:rsidR="0050063E">
        <w:rPr>
          <w:lang w:val="en-GB"/>
        </w:rPr>
        <w:t>vidence of synchronous changes in other policy fields</w:t>
      </w:r>
      <w:r w:rsidR="00EB4920">
        <w:rPr>
          <w:lang w:val="en-GB"/>
        </w:rPr>
        <w:t xml:space="preserve"> serve as empirical validation of the link</w:t>
      </w:r>
      <w:r w:rsidR="0050063E">
        <w:rPr>
          <w:lang w:val="en-GB"/>
        </w:rPr>
        <w:t xml:space="preserve">. In this case vertical versus horizontal policy will be presented in a broader sense as the distinction otherwise purely operates in an industrial </w:t>
      </w:r>
      <w:r w:rsidR="00EB4920">
        <w:rPr>
          <w:lang w:val="en-GB"/>
        </w:rPr>
        <w:t>framework</w:t>
      </w:r>
      <w:r w:rsidR="0050063E">
        <w:rPr>
          <w:lang w:val="en-GB"/>
        </w:rPr>
        <w:t xml:space="preserve">. </w:t>
      </w:r>
      <w:r w:rsidR="0000317F">
        <w:rPr>
          <w:lang w:val="en-GB"/>
        </w:rPr>
        <w:t>F</w:t>
      </w:r>
      <w:r w:rsidR="0050063E">
        <w:rPr>
          <w:lang w:val="en-GB"/>
        </w:rPr>
        <w:t>or the sake of argument</w:t>
      </w:r>
      <w:r w:rsidR="00EB4920">
        <w:rPr>
          <w:lang w:val="en-GB"/>
        </w:rPr>
        <w:t>,</w:t>
      </w:r>
      <w:r w:rsidR="0050063E">
        <w:rPr>
          <w:lang w:val="en-GB"/>
        </w:rPr>
        <w:t xml:space="preserve"> this paper looks for evidence of neoliberal policy which has shifted toward a more Keynesian understanding. </w:t>
      </w:r>
      <w:r w:rsidR="0071338B">
        <w:rPr>
          <w:lang w:val="en-GB"/>
        </w:rPr>
        <w:t xml:space="preserve">This will particularly entail acceptance of higher government debt. </w:t>
      </w:r>
      <w:r w:rsidR="0050063E">
        <w:rPr>
          <w:lang w:val="en-GB"/>
        </w:rPr>
        <w:t xml:space="preserve">In short, vertical policy more coincides with Keynesianism due to its direct interventionism, whereas horizontal policy better exemplifies neoliberalism due to its market driven allocation of resources </w:t>
      </w:r>
      <w:r w:rsidR="004B6A68" w:rsidRPr="005F301D">
        <w:rPr>
          <w:noProof/>
          <w:lang w:val="en-GB"/>
        </w:rPr>
        <w:t>(Coates, 2015</w:t>
      </w:r>
      <w:r w:rsidR="004B6A68">
        <w:rPr>
          <w:noProof/>
          <w:lang w:val="en-GB"/>
        </w:rPr>
        <w:t>: 53</w:t>
      </w:r>
      <w:r w:rsidR="004B6A68" w:rsidRPr="005F301D">
        <w:rPr>
          <w:noProof/>
          <w:lang w:val="en-GB"/>
        </w:rPr>
        <w:t>)</w:t>
      </w:r>
      <w:r w:rsidR="0050063E">
        <w:rPr>
          <w:lang w:val="en-GB"/>
        </w:rPr>
        <w:t xml:space="preserve">. </w:t>
      </w:r>
      <w:r w:rsidR="00C66CF0">
        <w:rPr>
          <w:lang w:val="en-GB"/>
        </w:rPr>
        <w:t xml:space="preserve">Be advised that this definition may lead to some overlap between hypothesis 3 and 4. </w:t>
      </w:r>
      <w:r w:rsidR="0050063E">
        <w:rPr>
          <w:lang w:val="en-GB"/>
        </w:rPr>
        <w:t xml:space="preserve">Finally, </w:t>
      </w:r>
      <w:r w:rsidR="00EB4920">
        <w:rPr>
          <w:lang w:val="en-GB"/>
        </w:rPr>
        <w:t>the mechanism</w:t>
      </w:r>
      <w:r w:rsidR="0050063E">
        <w:rPr>
          <w:lang w:val="en-GB"/>
        </w:rPr>
        <w:t xml:space="preserve"> stipulates that shifts generally are accompanied by a public discourse which follows the same logic. Thus</w:t>
      </w:r>
      <w:r w:rsidR="0000317F">
        <w:rPr>
          <w:lang w:val="en-GB"/>
        </w:rPr>
        <w:t>,</w:t>
      </w:r>
      <w:r w:rsidR="0050063E">
        <w:rPr>
          <w:lang w:val="en-GB"/>
        </w:rPr>
        <w:t xml:space="preserve"> as a final verification of a would-be shift from vertical to horizontal policy the empirical section includes an overview of mass sup</w:t>
      </w:r>
      <w:r w:rsidR="00EB4920">
        <w:rPr>
          <w:lang w:val="en-GB"/>
        </w:rPr>
        <w:t xml:space="preserve">port for policy alterations. </w:t>
      </w:r>
    </w:p>
    <w:p w14:paraId="0DFB57D9" w14:textId="6570A3BF" w:rsidR="00503502" w:rsidRDefault="00503502" w:rsidP="00C71FE6">
      <w:pPr>
        <w:spacing w:line="360" w:lineRule="auto"/>
        <w:rPr>
          <w:lang w:val="en-GB"/>
        </w:rPr>
      </w:pPr>
      <w:r>
        <w:rPr>
          <w:lang w:val="en-GB"/>
        </w:rPr>
        <w:lastRenderedPageBreak/>
        <w:t>Concerning the timeframe of this paper, t</w:t>
      </w:r>
      <w:r w:rsidR="001F2915">
        <w:rPr>
          <w:lang w:val="en-GB"/>
        </w:rPr>
        <w:t xml:space="preserve">he empirics extend over a broad period of time. Though extra attention is paid from the period </w:t>
      </w:r>
      <w:r>
        <w:rPr>
          <w:lang w:val="en-GB"/>
        </w:rPr>
        <w:t>following</w:t>
      </w:r>
      <w:r w:rsidR="001F2915">
        <w:rPr>
          <w:lang w:val="en-GB"/>
        </w:rPr>
        <w:t xml:space="preserve"> the Great Financial Crisis of 2008, preceding years are included as well in order to stipulate whether the EU preferred a horizontal industrial policy</w:t>
      </w:r>
      <w:r w:rsidR="0071338B">
        <w:rPr>
          <w:lang w:val="en-GB"/>
        </w:rPr>
        <w:t xml:space="preserve"> in days past</w:t>
      </w:r>
      <w:r w:rsidR="001F2915">
        <w:rPr>
          <w:lang w:val="en-GB"/>
        </w:rPr>
        <w:t xml:space="preserve">. </w:t>
      </w:r>
      <w:r>
        <w:rPr>
          <w:lang w:val="en-GB"/>
        </w:rPr>
        <w:t xml:space="preserve">It will go as far back as 1989, just after the EU policy paradigm shifted from </w:t>
      </w:r>
      <w:proofErr w:type="spellStart"/>
      <w:r>
        <w:rPr>
          <w:lang w:val="en-GB"/>
        </w:rPr>
        <w:t>Keynesianims</w:t>
      </w:r>
      <w:proofErr w:type="spellEnd"/>
      <w:r>
        <w:rPr>
          <w:lang w:val="en-GB"/>
        </w:rPr>
        <w:t xml:space="preserve"> to monetarism. </w:t>
      </w:r>
      <w:r w:rsidR="001F2915">
        <w:rPr>
          <w:lang w:val="en-GB"/>
        </w:rPr>
        <w:t xml:space="preserve">In accordance with the method this paper follows the mechanism is triggered through a crisis. </w:t>
      </w:r>
      <w:r w:rsidR="0071338B">
        <w:rPr>
          <w:lang w:val="en-GB"/>
        </w:rPr>
        <w:t xml:space="preserve">Within HI economic crises are most explicitly stated as vessels for </w:t>
      </w:r>
      <w:r w:rsidR="0071338B" w:rsidRPr="00791B35">
        <w:rPr>
          <w:lang w:val="en-GB"/>
        </w:rPr>
        <w:t xml:space="preserve">change </w:t>
      </w:r>
      <w:r w:rsidR="0071338B" w:rsidRPr="00791B35">
        <w:rPr>
          <w:noProof/>
          <w:lang w:val="en-GB"/>
        </w:rPr>
        <w:t>(Matthijs, 2012: 17)</w:t>
      </w:r>
      <w:r w:rsidR="0071338B" w:rsidRPr="00791B35">
        <w:rPr>
          <w:lang w:val="en-GB"/>
        </w:rPr>
        <w:t>.</w:t>
      </w:r>
      <w:r w:rsidR="0071338B">
        <w:rPr>
          <w:lang w:val="en-GB"/>
        </w:rPr>
        <w:t xml:space="preserve"> </w:t>
      </w:r>
      <w:r w:rsidR="001F2915">
        <w:rPr>
          <w:lang w:val="en-GB"/>
        </w:rPr>
        <w:t>To be clear, the</w:t>
      </w:r>
      <w:r w:rsidR="001F2915" w:rsidRPr="00123CD3">
        <w:rPr>
          <w:lang w:val="en-GB"/>
        </w:rPr>
        <w:t xml:space="preserve"> 2008 Financial Crisis, the Euro Crisis and their impending recessions may seem events from a distant past, </w:t>
      </w:r>
      <w:r w:rsidR="001F2915">
        <w:rPr>
          <w:lang w:val="en-GB"/>
        </w:rPr>
        <w:t xml:space="preserve">but some </w:t>
      </w:r>
      <w:r w:rsidR="001F2915" w:rsidRPr="00123CD3">
        <w:rPr>
          <w:lang w:val="en-GB"/>
        </w:rPr>
        <w:t xml:space="preserve">argue that the EU has not yet overcome all the negative economic and social effects of the </w:t>
      </w:r>
      <w:r w:rsidR="001F2915" w:rsidRPr="004B6A68">
        <w:rPr>
          <w:lang w:val="en-GB"/>
        </w:rPr>
        <w:t>crises (Buch-Hansen, 2018: 159)</w:t>
      </w:r>
      <w:r w:rsidR="001F2915" w:rsidRPr="00123CD3">
        <w:rPr>
          <w:lang w:val="en-GB"/>
        </w:rPr>
        <w:t>.</w:t>
      </w:r>
      <w:r w:rsidR="000954D2">
        <w:rPr>
          <w:lang w:val="en-GB"/>
        </w:rPr>
        <w:t xml:space="preserve"> Additionally, </w:t>
      </w:r>
      <w:r w:rsidR="000954D2" w:rsidRPr="00123CD3">
        <w:rPr>
          <w:lang w:val="en-GB"/>
        </w:rPr>
        <w:t xml:space="preserve">change stemming from crises may be a slow burn with reforms being institutionalized only after the immediate emergency phase </w:t>
      </w:r>
      <w:r w:rsidR="000954D2" w:rsidRPr="00123CD3">
        <w:rPr>
          <w:noProof/>
          <w:lang w:val="en-GB"/>
        </w:rPr>
        <w:t>(Braun, 2015: 434-435)</w:t>
      </w:r>
      <w:r w:rsidR="000954D2" w:rsidRPr="00123CD3">
        <w:rPr>
          <w:lang w:val="en-GB"/>
        </w:rPr>
        <w:t xml:space="preserve">. </w:t>
      </w:r>
      <w:r w:rsidR="000954D2">
        <w:rPr>
          <w:lang w:val="en-GB"/>
        </w:rPr>
        <w:t xml:space="preserve">At time of writing the EU suffers the (economic) consequences of the COVID-19 virus. These recent developments have had their effect on economic policy which may serve as evidence for the hypothesis regarding broader policy changes. </w:t>
      </w:r>
      <w:r w:rsidR="00374510" w:rsidRPr="00791B35">
        <w:rPr>
          <w:lang w:val="en-GB"/>
        </w:rPr>
        <w:t>Beyond</w:t>
      </w:r>
      <w:r w:rsidR="00374510">
        <w:rPr>
          <w:lang w:val="en-GB"/>
        </w:rPr>
        <w:t xml:space="preserve"> economic</w:t>
      </w:r>
      <w:r w:rsidR="00663B36">
        <w:rPr>
          <w:lang w:val="en-GB"/>
        </w:rPr>
        <w:t>s</w:t>
      </w:r>
      <w:r>
        <w:rPr>
          <w:lang w:val="en-GB"/>
        </w:rPr>
        <w:t>,</w:t>
      </w:r>
      <w:r w:rsidR="00374510">
        <w:rPr>
          <w:lang w:val="en-GB"/>
        </w:rPr>
        <w:t xml:space="preserve"> some point toward to a social- and environmental-</w:t>
      </w:r>
      <w:r w:rsidR="00374510" w:rsidRPr="00791B35">
        <w:rPr>
          <w:lang w:val="en-GB"/>
        </w:rPr>
        <w:t xml:space="preserve">crisis </w:t>
      </w:r>
      <w:r w:rsidR="00791B35" w:rsidRPr="00791B35">
        <w:rPr>
          <w:noProof/>
          <w:lang w:val="en-GB"/>
        </w:rPr>
        <w:t>(Buch-Hansen, 2018: 159)</w:t>
      </w:r>
      <w:r>
        <w:rPr>
          <w:lang w:val="en-GB"/>
        </w:rPr>
        <w:t>.</w:t>
      </w:r>
    </w:p>
    <w:p w14:paraId="2D46CA3A" w14:textId="53329121" w:rsidR="00503502" w:rsidRDefault="00503502" w:rsidP="00C71FE6">
      <w:pPr>
        <w:spacing w:line="360" w:lineRule="auto"/>
        <w:rPr>
          <w:lang w:val="en-GB"/>
        </w:rPr>
      </w:pPr>
      <w:r>
        <w:rPr>
          <w:lang w:val="en-GB"/>
        </w:rPr>
        <w:t>The scope of this paper is mostly attentive to the directives and regulations directly related to the car battery project. This narrow focus may overlook other relevant laws that influence EU industrial policy. Indeed, other industrial policy may lead to an alternative result on whether or not the EU experienced a shift from horizontal to vertical policy. A</w:t>
      </w:r>
      <w:r w:rsidR="00703204">
        <w:rPr>
          <w:lang w:val="en-GB"/>
        </w:rPr>
        <w:t xml:space="preserve">s it stands, the predominant way of recognizing vertical policy </w:t>
      </w:r>
      <w:r w:rsidR="008A51E9">
        <w:rPr>
          <w:lang w:val="en-GB"/>
        </w:rPr>
        <w:t xml:space="preserve">is through fiscal indicators. A firm receiving state aid serves as a red flag. Pushing an industry in a particular direction by the state is also relevant. Beyond that, this paper’s scope is limited. Finally, </w:t>
      </w:r>
      <w:r w:rsidR="00195604">
        <w:rPr>
          <w:lang w:val="en-GB"/>
        </w:rPr>
        <w:t xml:space="preserve">in terms of inclusiveness </w:t>
      </w:r>
      <w:r w:rsidR="008A51E9">
        <w:rPr>
          <w:lang w:val="en-GB"/>
        </w:rPr>
        <w:t xml:space="preserve">the linkages ‘Power Play’ and ‘Shift Beyond Industry’ may deserve more attention than this paper currently ensues. </w:t>
      </w:r>
      <w:r w:rsidR="00195604">
        <w:rPr>
          <w:lang w:val="en-GB"/>
        </w:rPr>
        <w:t xml:space="preserve">These are possibly infinitely broad subjects which are only touched upon in this paper. </w:t>
      </w:r>
    </w:p>
    <w:p w14:paraId="266AACB7" w14:textId="77777777" w:rsidR="00503502" w:rsidRDefault="00503502" w:rsidP="00C71FE6">
      <w:pPr>
        <w:spacing w:line="360" w:lineRule="auto"/>
        <w:rPr>
          <w:lang w:val="en-GB"/>
        </w:rPr>
        <w:sectPr w:rsidR="00503502">
          <w:headerReference w:type="default" r:id="rId13"/>
          <w:pgSz w:w="11906" w:h="16838"/>
          <w:pgMar w:top="1417" w:right="1417" w:bottom="1417" w:left="1417" w:header="708" w:footer="708" w:gutter="0"/>
          <w:cols w:space="708"/>
          <w:docGrid w:linePitch="360"/>
        </w:sectPr>
      </w:pPr>
    </w:p>
    <w:p w14:paraId="58B3A374" w14:textId="0C96488D" w:rsidR="00485F20" w:rsidRDefault="004E6AFC" w:rsidP="00C71FE6">
      <w:pPr>
        <w:spacing w:line="360" w:lineRule="auto"/>
        <w:rPr>
          <w:lang w:val="en-GB"/>
        </w:rPr>
      </w:pPr>
      <w:r>
        <w:rPr>
          <w:lang w:val="en-GB"/>
        </w:rPr>
        <w:lastRenderedPageBreak/>
        <w:t xml:space="preserve">To determine whether there has been a shift it must first be established what </w:t>
      </w:r>
      <w:r w:rsidR="00917CFD">
        <w:rPr>
          <w:lang w:val="en-GB"/>
        </w:rPr>
        <w:t xml:space="preserve">the </w:t>
      </w:r>
      <w:r>
        <w:rPr>
          <w:lang w:val="en-GB"/>
        </w:rPr>
        <w:t xml:space="preserve">car battery project entails. </w:t>
      </w:r>
      <w:r w:rsidR="00917CFD">
        <w:rPr>
          <w:lang w:val="en-GB"/>
        </w:rPr>
        <w:t>To begin, t</w:t>
      </w:r>
      <w:r w:rsidR="00972957">
        <w:rPr>
          <w:lang w:val="en-GB"/>
        </w:rPr>
        <w:t xml:space="preserve">he EU car battery value chain program contains more than subsidies. </w:t>
      </w:r>
      <w:r w:rsidR="00485F20">
        <w:rPr>
          <w:lang w:val="en-GB"/>
        </w:rPr>
        <w:t xml:space="preserve">The approved subsides are a result of the goals set out by the Commission in its 2019 report on the implementation of the Strategic Action Plan for Batteries. </w:t>
      </w:r>
      <w:r w:rsidR="002573C1">
        <w:rPr>
          <w:lang w:val="en-GB"/>
        </w:rPr>
        <w:t xml:space="preserve">The car battery industry project began to take shape when Commissioner </w:t>
      </w:r>
      <w:r w:rsidR="002573C1" w:rsidRPr="00972957">
        <w:rPr>
          <w:lang w:val="en-GB"/>
        </w:rPr>
        <w:t>Maroš Šefčovič</w:t>
      </w:r>
      <w:r w:rsidR="002573C1">
        <w:rPr>
          <w:lang w:val="en-GB"/>
        </w:rPr>
        <w:t xml:space="preserve"> established the European Battery Alliance (EBA250). The EBA250 project was launched in October 2017, a platform in which key industries, the Commission, the European Investment Bank (EIB), and Member States steer the scaling up of and innovation in the European car battery industry and serves to help fill the gaps in the European battery value chain. In turn, EBA250 group came into existence as a result of the Commission’s renewed EU Industrial Policy Strategy through which they seek to strengthen European value chains and innovative capacity, and stimulating environmentally friendly projects </w:t>
      </w:r>
      <w:r w:rsidR="002573C1" w:rsidRPr="00CE4192">
        <w:rPr>
          <w:noProof/>
          <w:lang w:val="en-GB"/>
        </w:rPr>
        <w:t>(Commission, 2020)</w:t>
      </w:r>
      <w:r w:rsidR="002573C1">
        <w:rPr>
          <w:lang w:val="en-GB"/>
        </w:rPr>
        <w:t>. A year after its inception the EBA250 group made a proposal for the car battery value chain project. The project was called the Strategic Action Plan on Batteries and serves as an annex to the Europe on the Move proposal.</w:t>
      </w:r>
    </w:p>
    <w:p w14:paraId="29B90BEE" w14:textId="75965348" w:rsidR="00972957" w:rsidRDefault="00564456" w:rsidP="00C71FE6">
      <w:pPr>
        <w:spacing w:line="360" w:lineRule="auto"/>
        <w:rPr>
          <w:lang w:val="en-GB"/>
        </w:rPr>
      </w:pPr>
      <w:r>
        <w:rPr>
          <w:lang w:val="en-GB"/>
        </w:rPr>
        <w:t xml:space="preserve">The Strategic Action Plan on Batteries contains the first concrete </w:t>
      </w:r>
      <w:r w:rsidR="00485F20">
        <w:rPr>
          <w:lang w:val="en-GB"/>
        </w:rPr>
        <w:t>plans</w:t>
      </w:r>
      <w:r>
        <w:rPr>
          <w:lang w:val="en-GB"/>
        </w:rPr>
        <w:t xml:space="preserve"> for the creation of an EU backed car battery value chain. This proposal includes a number of measures and goals for the EU to achieve in relation to enabling a competitive car battery industry within the EU. The project includes securing raw materials for production, create a car battery value chain in Europe, strengthen industry through innovation, increase worker skills, ensure the industry has a low carbon emission footprint, </w:t>
      </w:r>
      <w:r w:rsidR="00485F20">
        <w:rPr>
          <w:lang w:val="en-GB"/>
        </w:rPr>
        <w:t>and safeguard</w:t>
      </w:r>
      <w:r>
        <w:rPr>
          <w:lang w:val="en-GB"/>
        </w:rPr>
        <w:t xml:space="preserve"> the projects’ consistency in relation to other EU policies such as trade </w:t>
      </w:r>
      <w:r>
        <w:rPr>
          <w:noProof/>
          <w:lang w:val="en-US"/>
        </w:rPr>
        <w:t>(Commission, 2018)</w:t>
      </w:r>
      <w:r>
        <w:rPr>
          <w:lang w:val="en-GB"/>
        </w:rPr>
        <w:t xml:space="preserve">. </w:t>
      </w:r>
      <w:r w:rsidR="004066D3">
        <w:rPr>
          <w:lang w:val="en-GB"/>
        </w:rPr>
        <w:t>One year later the Commission provides even further details in an implementation report. T</w:t>
      </w:r>
      <w:r>
        <w:rPr>
          <w:lang w:val="en-GB"/>
        </w:rPr>
        <w:t xml:space="preserve">he Commission exclaims that this can be a key driver of EU industry competitiveness and leadership, especially car manufacturing. The regulator advises substantial investments for the estimated required 20-30 mega factories. It is stated that speed is of the essence, </w:t>
      </w:r>
      <w:r w:rsidR="00485F20">
        <w:rPr>
          <w:lang w:val="en-GB"/>
        </w:rPr>
        <w:t>and therefore</w:t>
      </w:r>
      <w:r>
        <w:rPr>
          <w:lang w:val="en-GB"/>
        </w:rPr>
        <w:t xml:space="preserve"> leveraging private investments is advised. </w:t>
      </w:r>
      <w:r w:rsidR="00485F20">
        <w:rPr>
          <w:lang w:val="en-GB"/>
        </w:rPr>
        <w:t>Leveraging investments through public financing is furthermore required due</w:t>
      </w:r>
      <w:r w:rsidR="004066D3">
        <w:rPr>
          <w:lang w:val="en-GB"/>
        </w:rPr>
        <w:t xml:space="preserve"> to the scale of the project</w:t>
      </w:r>
      <w:r w:rsidR="00485F20">
        <w:rPr>
          <w:lang w:val="en-GB"/>
        </w:rPr>
        <w:t xml:space="preserve"> </w:t>
      </w:r>
      <w:r w:rsidR="004066D3">
        <w:rPr>
          <w:lang w:val="en-GB"/>
        </w:rPr>
        <w:t>(</w:t>
      </w:r>
      <w:r w:rsidR="00485F20">
        <w:rPr>
          <w:lang w:val="en-GB"/>
        </w:rPr>
        <w:t>Commission,</w:t>
      </w:r>
      <w:r w:rsidR="004066D3">
        <w:rPr>
          <w:lang w:val="en-GB"/>
        </w:rPr>
        <w:t xml:space="preserve"> 2019). </w:t>
      </w:r>
    </w:p>
    <w:p w14:paraId="06FB4331" w14:textId="7B70C24D" w:rsidR="004066D3" w:rsidRDefault="004066D3" w:rsidP="00C71FE6">
      <w:pPr>
        <w:spacing w:line="360" w:lineRule="auto"/>
        <w:rPr>
          <w:lang w:val="en-GB"/>
        </w:rPr>
      </w:pPr>
      <w:r>
        <w:rPr>
          <w:lang w:val="en-GB"/>
        </w:rPr>
        <w:t xml:space="preserve">The report includes an explanation as to why the EU requires a strategic approach to batteries. Firstly, the project fits within the </w:t>
      </w:r>
      <w:r w:rsidR="007906F2">
        <w:rPr>
          <w:lang w:val="en-GB"/>
        </w:rPr>
        <w:t xml:space="preserve">EU’s long-term goal of a reaching a climate neutral economy. </w:t>
      </w:r>
      <w:r w:rsidR="0090366A">
        <w:rPr>
          <w:lang w:val="en-GB"/>
        </w:rPr>
        <w:t xml:space="preserve">Indeed, the current Commission under </w:t>
      </w:r>
      <w:r w:rsidR="00F16F9F">
        <w:rPr>
          <w:lang w:val="en-GB"/>
        </w:rPr>
        <w:t>Ursula</w:t>
      </w:r>
      <w:r w:rsidR="0090366A">
        <w:rPr>
          <w:lang w:val="en-GB"/>
        </w:rPr>
        <w:t xml:space="preserve"> von der Leyen augmented the post by introducing the New Green Deal, which states that no less than 25% of the long-term EU budget should be reserved for climate action </w:t>
      </w:r>
      <w:r w:rsidR="0090366A" w:rsidRPr="00CE4192">
        <w:rPr>
          <w:noProof/>
          <w:lang w:val="en-GB"/>
        </w:rPr>
        <w:t>(Commission, 2019)</w:t>
      </w:r>
      <w:r w:rsidR="0090366A">
        <w:rPr>
          <w:lang w:val="en-GB"/>
        </w:rPr>
        <w:t xml:space="preserve">. </w:t>
      </w:r>
      <w:r w:rsidR="007906F2">
        <w:rPr>
          <w:lang w:val="en-GB"/>
        </w:rPr>
        <w:t>On top of that, the project is expected to increase the EU’s economic output and create high value job opportunities, particularly for car manufacturers. Furthermore, the Commission is of the opinion that the EU if too dependent on imports of this crucial technology. The Commission seeks to prevent a technological dependence and reap th</w:t>
      </w:r>
      <w:r w:rsidR="00485F20">
        <w:rPr>
          <w:lang w:val="en-GB"/>
        </w:rPr>
        <w:t xml:space="preserve">e </w:t>
      </w:r>
      <w:r w:rsidR="00485F20">
        <w:rPr>
          <w:lang w:val="en-GB"/>
        </w:rPr>
        <w:lastRenderedPageBreak/>
        <w:t>rewards of the growing market</w:t>
      </w:r>
      <w:r w:rsidR="007906F2">
        <w:rPr>
          <w:lang w:val="en-GB"/>
        </w:rPr>
        <w:t xml:space="preserve">. </w:t>
      </w:r>
      <w:r w:rsidR="00436D54">
        <w:rPr>
          <w:lang w:val="en-GB"/>
        </w:rPr>
        <w:t xml:space="preserve">The Commission states that mining and processing facilities of necessary resources are currently concentrated in China. It proclaims the EU needs to become more self-reliant for political reasons and possibly also for ethical reasons in terms of mining practices abroad </w:t>
      </w:r>
      <w:r w:rsidR="00436D54">
        <w:rPr>
          <w:noProof/>
          <w:lang w:val="en-US"/>
        </w:rPr>
        <w:t>(Commission, 2019)</w:t>
      </w:r>
      <w:r w:rsidR="00436D54">
        <w:rPr>
          <w:lang w:val="en-GB"/>
        </w:rPr>
        <w:t xml:space="preserve">. </w:t>
      </w:r>
    </w:p>
    <w:p w14:paraId="1849DAA5" w14:textId="03005A5D" w:rsidR="00D83682" w:rsidRDefault="0054650F" w:rsidP="00C71FE6">
      <w:pPr>
        <w:spacing w:line="360" w:lineRule="auto"/>
        <w:rPr>
          <w:rFonts w:cstheme="minorHAnsi"/>
          <w:lang w:val="en-GB"/>
        </w:rPr>
      </w:pPr>
      <w:r>
        <w:rPr>
          <w:lang w:val="en-GB"/>
        </w:rPr>
        <w:t xml:space="preserve">In accordance with the battery strategy the EBA250 send the Commission a proposal for a project which included </w:t>
      </w:r>
      <w:r>
        <w:rPr>
          <w:rFonts w:cstheme="minorHAnsi"/>
          <w:lang w:val="en-GB"/>
        </w:rPr>
        <w:t xml:space="preserve">€3.2 billion of state aid. </w:t>
      </w:r>
      <w:r>
        <w:rPr>
          <w:lang w:val="en-GB"/>
        </w:rPr>
        <w:t xml:space="preserve">Under supervision of the Commission </w:t>
      </w:r>
      <w:r w:rsidRPr="00404F16">
        <w:rPr>
          <w:lang w:val="en-GB"/>
        </w:rPr>
        <w:t>Sweden, Finland, Poland, Belgium, Italy, France, and Germany</w:t>
      </w:r>
      <w:r>
        <w:rPr>
          <w:lang w:val="en-GB"/>
        </w:rPr>
        <w:t xml:space="preserve"> will work to produce a European car battery industry alongside 17 private companies </w:t>
      </w:r>
      <w:r w:rsidRPr="00CE4192">
        <w:rPr>
          <w:noProof/>
          <w:lang w:val="en-GB"/>
        </w:rPr>
        <w:t>(Commission, 2019)</w:t>
      </w:r>
      <w:r>
        <w:rPr>
          <w:lang w:val="en-GB"/>
        </w:rPr>
        <w:t xml:space="preserve">. Three months later the </w:t>
      </w:r>
      <w:r w:rsidR="00D83682">
        <w:rPr>
          <w:rFonts w:cstheme="minorHAnsi"/>
          <w:lang w:val="en-GB"/>
        </w:rPr>
        <w:t>Commission</w:t>
      </w:r>
      <w:r w:rsidR="002573C1">
        <w:rPr>
          <w:rFonts w:cstheme="minorHAnsi"/>
          <w:lang w:val="en-GB"/>
        </w:rPr>
        <w:t xml:space="preserve"> approved the </w:t>
      </w:r>
      <w:r>
        <w:rPr>
          <w:rFonts w:cstheme="minorHAnsi"/>
          <w:lang w:val="en-GB"/>
        </w:rPr>
        <w:t>proposal</w:t>
      </w:r>
      <w:r w:rsidR="00D83682">
        <w:rPr>
          <w:rFonts w:cstheme="minorHAnsi"/>
          <w:lang w:val="en-GB"/>
        </w:rPr>
        <w:t xml:space="preserve"> based on its assessment of the project through the Communication on Important Projects of Common European Interest (IPCEI). The IPCEI </w:t>
      </w:r>
      <w:r w:rsidR="008B320C">
        <w:rPr>
          <w:rFonts w:cstheme="minorHAnsi"/>
          <w:lang w:val="en-GB"/>
        </w:rPr>
        <w:t xml:space="preserve">communication </w:t>
      </w:r>
      <w:r w:rsidR="00D83682">
        <w:rPr>
          <w:rFonts w:cstheme="minorHAnsi"/>
          <w:lang w:val="en-GB"/>
        </w:rPr>
        <w:t>serves as a framework for article 107 3 (b) of the</w:t>
      </w:r>
      <w:r w:rsidR="000043BC">
        <w:rPr>
          <w:rFonts w:cstheme="minorHAnsi"/>
          <w:lang w:val="en-GB"/>
        </w:rPr>
        <w:t xml:space="preserve"> </w:t>
      </w:r>
      <w:r w:rsidR="00D83682">
        <w:rPr>
          <w:rFonts w:cstheme="minorHAnsi"/>
          <w:lang w:val="en-GB"/>
        </w:rPr>
        <w:t xml:space="preserve">Treaty on the </w:t>
      </w:r>
      <w:r w:rsidR="002F2BAE">
        <w:rPr>
          <w:rFonts w:cstheme="minorHAnsi"/>
          <w:lang w:val="en-GB"/>
        </w:rPr>
        <w:t>Functioning</w:t>
      </w:r>
      <w:r w:rsidR="00D83682">
        <w:rPr>
          <w:rFonts w:cstheme="minorHAnsi"/>
          <w:lang w:val="en-GB"/>
        </w:rPr>
        <w:t xml:space="preserve"> of the European Union (TFEU) which stipulates that that state aid may be permitted under </w:t>
      </w:r>
      <w:r w:rsidR="002573C1">
        <w:rPr>
          <w:rFonts w:cstheme="minorHAnsi"/>
          <w:lang w:val="en-GB"/>
        </w:rPr>
        <w:t>circumstances of market failure</w:t>
      </w:r>
      <w:r w:rsidR="00D83682">
        <w:rPr>
          <w:rFonts w:cstheme="minorHAnsi"/>
          <w:lang w:val="en-GB"/>
        </w:rPr>
        <w:t>. In short, the IPCEI allows Member States to fill the gaps of market failures which stem from the signific</w:t>
      </w:r>
      <w:r w:rsidR="00EC5B59">
        <w:rPr>
          <w:rFonts w:cstheme="minorHAnsi"/>
          <w:lang w:val="en-GB"/>
        </w:rPr>
        <w:t>ant risks a project may entail, thus stimulating private equity to join the investment (</w:t>
      </w:r>
      <w:r w:rsidR="002573C1">
        <w:rPr>
          <w:rFonts w:cstheme="minorHAnsi"/>
          <w:lang w:val="en-GB"/>
        </w:rPr>
        <w:t>Commission, 2019</w:t>
      </w:r>
      <w:r w:rsidR="00EC5B59">
        <w:rPr>
          <w:rFonts w:cstheme="minorHAnsi"/>
          <w:lang w:val="en-GB"/>
        </w:rPr>
        <w:t>). For a project to qualify for state aid approval it must adhere to five requirements in particular. First, the project must contribute to an EU objective. Second, it must involve multiple Member States. Third, it should include private investors. Fourth, the project is expected to generate p</w:t>
      </w:r>
      <w:r w:rsidR="000043BC">
        <w:rPr>
          <w:rFonts w:cstheme="minorHAnsi"/>
          <w:lang w:val="en-GB"/>
        </w:rPr>
        <w:t>os</w:t>
      </w:r>
      <w:r w:rsidR="00EC5B59">
        <w:rPr>
          <w:rFonts w:cstheme="minorHAnsi"/>
          <w:lang w:val="en-GB"/>
        </w:rPr>
        <w:t xml:space="preserve">itive </w:t>
      </w:r>
      <w:proofErr w:type="spellStart"/>
      <w:r w:rsidR="00EC5B59">
        <w:rPr>
          <w:rFonts w:cstheme="minorHAnsi"/>
          <w:lang w:val="en-GB"/>
        </w:rPr>
        <w:t>spillovers</w:t>
      </w:r>
      <w:proofErr w:type="spellEnd"/>
      <w:r w:rsidR="00EC5B59">
        <w:rPr>
          <w:rFonts w:cstheme="minorHAnsi"/>
          <w:lang w:val="en-GB"/>
        </w:rPr>
        <w:t xml:space="preserve"> throughout the EU. Fifth, </w:t>
      </w:r>
      <w:r w:rsidR="000043BC">
        <w:rPr>
          <w:rFonts w:cstheme="minorHAnsi"/>
          <w:lang w:val="en-GB"/>
        </w:rPr>
        <w:t>the goals ought to be highly ambitious. The Commission found that that the €3.2 billion aid checked all five boxes: Through the</w:t>
      </w:r>
      <w:r w:rsidR="002E6414">
        <w:rPr>
          <w:rFonts w:cstheme="minorHAnsi"/>
          <w:lang w:val="en-GB"/>
        </w:rPr>
        <w:t xml:space="preserve"> overarching</w:t>
      </w:r>
      <w:r w:rsidR="000043BC">
        <w:rPr>
          <w:rFonts w:cstheme="minorHAnsi"/>
          <w:lang w:val="en-GB"/>
        </w:rPr>
        <w:t xml:space="preserve"> EBA250</w:t>
      </w:r>
      <w:r w:rsidR="002E6414">
        <w:rPr>
          <w:rFonts w:cstheme="minorHAnsi"/>
          <w:lang w:val="en-GB"/>
        </w:rPr>
        <w:t xml:space="preserve"> group</w:t>
      </w:r>
      <w:r w:rsidR="000043BC">
        <w:rPr>
          <w:rFonts w:cstheme="minorHAnsi"/>
          <w:lang w:val="en-GB"/>
        </w:rPr>
        <w:t xml:space="preserve"> the aid coincides with an EU goal; Multiple Member States are party to the project in cooperation with private parties; The EU expects positive </w:t>
      </w:r>
      <w:proofErr w:type="spellStart"/>
      <w:r w:rsidR="000043BC">
        <w:rPr>
          <w:rFonts w:cstheme="minorHAnsi"/>
          <w:lang w:val="en-GB"/>
        </w:rPr>
        <w:t>spillovers</w:t>
      </w:r>
      <w:proofErr w:type="spellEnd"/>
      <w:r w:rsidR="000043BC">
        <w:rPr>
          <w:rFonts w:cstheme="minorHAnsi"/>
          <w:lang w:val="en-GB"/>
        </w:rPr>
        <w:t xml:space="preserve"> form the battery chain industry. Most importantly, the project is highly ambitious. Indeed, the Commission points out that a market failure is corrected through the aid as it recognizes car batteries as an ambitious and risky technology in which private act</w:t>
      </w:r>
      <w:r w:rsidR="002573C1">
        <w:rPr>
          <w:rFonts w:cstheme="minorHAnsi"/>
          <w:lang w:val="en-GB"/>
        </w:rPr>
        <w:t>ors are unlikely to invest</w:t>
      </w:r>
      <w:r w:rsidR="000043BC">
        <w:rPr>
          <w:rFonts w:cstheme="minorHAnsi"/>
          <w:lang w:val="en-GB"/>
        </w:rPr>
        <w:t xml:space="preserve">. </w:t>
      </w:r>
      <w:r w:rsidR="002E6414">
        <w:rPr>
          <w:rFonts w:cstheme="minorHAnsi"/>
          <w:lang w:val="en-GB"/>
        </w:rPr>
        <w:t xml:space="preserve">It is expected that the </w:t>
      </w:r>
      <w:r w:rsidR="002573C1">
        <w:rPr>
          <w:rFonts w:cstheme="minorHAnsi"/>
          <w:lang w:val="en-GB"/>
        </w:rPr>
        <w:t>€</w:t>
      </w:r>
      <w:r w:rsidR="002E6414">
        <w:rPr>
          <w:rFonts w:cstheme="minorHAnsi"/>
          <w:lang w:val="en-GB"/>
        </w:rPr>
        <w:t xml:space="preserve">3.2 billion will unlock </w:t>
      </w:r>
      <w:r w:rsidR="002573C1">
        <w:rPr>
          <w:rFonts w:cstheme="minorHAnsi"/>
          <w:lang w:val="en-GB"/>
        </w:rPr>
        <w:t>€</w:t>
      </w:r>
      <w:r w:rsidR="002E6414">
        <w:rPr>
          <w:rFonts w:cstheme="minorHAnsi"/>
          <w:lang w:val="en-GB"/>
        </w:rPr>
        <w:t>5 billion in private investments (</w:t>
      </w:r>
      <w:r w:rsidR="002573C1">
        <w:rPr>
          <w:rFonts w:cstheme="minorHAnsi"/>
          <w:lang w:val="en-GB"/>
        </w:rPr>
        <w:t>Commission, 2019</w:t>
      </w:r>
      <w:r w:rsidR="002E6414">
        <w:rPr>
          <w:rFonts w:cstheme="minorHAnsi"/>
          <w:lang w:val="en-GB"/>
        </w:rPr>
        <w:t xml:space="preserve">). </w:t>
      </w:r>
      <w:r w:rsidR="00C11502">
        <w:rPr>
          <w:rFonts w:cstheme="minorHAnsi"/>
          <w:lang w:val="en-GB"/>
        </w:rPr>
        <w:t xml:space="preserve">Overall, the Commission thus found that the subsidy is in line with EU state aid rules, that the amount is proportionate, necessary and does not distort competition. </w:t>
      </w:r>
    </w:p>
    <w:p w14:paraId="7CB834E4" w14:textId="7DAF076C" w:rsidR="00054A3B" w:rsidRDefault="001F1079" w:rsidP="00C71FE6">
      <w:pPr>
        <w:spacing w:line="360" w:lineRule="auto"/>
        <w:rPr>
          <w:lang w:val="en-GB"/>
        </w:rPr>
      </w:pPr>
      <w:r>
        <w:rPr>
          <w:lang w:val="en-GB"/>
        </w:rPr>
        <w:t xml:space="preserve">Directives supportive of the EBA250 project include the </w:t>
      </w:r>
      <w:r w:rsidRPr="00607C94">
        <w:rPr>
          <w:lang w:val="en-GB"/>
        </w:rPr>
        <w:t>Clean Vehicles Directive</w:t>
      </w:r>
      <w:r>
        <w:rPr>
          <w:lang w:val="en-GB"/>
        </w:rPr>
        <w:t xml:space="preserve"> and </w:t>
      </w:r>
      <w:r w:rsidRPr="00607C94">
        <w:rPr>
          <w:lang w:val="en-GB"/>
        </w:rPr>
        <w:t>Regulation on CO2</w:t>
      </w:r>
      <w:r>
        <w:rPr>
          <w:lang w:val="en-GB"/>
        </w:rPr>
        <w:t xml:space="preserve"> </w:t>
      </w:r>
      <w:r w:rsidRPr="00607C94">
        <w:rPr>
          <w:lang w:val="en-GB"/>
        </w:rPr>
        <w:t>emission standards</w:t>
      </w:r>
      <w:r>
        <w:rPr>
          <w:lang w:val="en-GB"/>
        </w:rPr>
        <w:t xml:space="preserve">, proposals aimed at stimulating green procurements for the state and lower emission standards for cars, respectively </w:t>
      </w:r>
      <w:r w:rsidR="002573C1">
        <w:rPr>
          <w:noProof/>
          <w:lang w:val="en-US"/>
        </w:rPr>
        <w:t>(Commission, 2019</w:t>
      </w:r>
      <w:r>
        <w:rPr>
          <w:noProof/>
          <w:lang w:val="en-US"/>
        </w:rPr>
        <w:t>)</w:t>
      </w:r>
      <w:r>
        <w:rPr>
          <w:lang w:val="en-GB"/>
        </w:rPr>
        <w:t>. The Commission states that the EBA250 encompasses a financing mechanisms in which the Member States, industry, and the European Investment Bank (EIB) work closely together.</w:t>
      </w:r>
      <w:r w:rsidR="00494DBD">
        <w:rPr>
          <w:lang w:val="en-GB"/>
        </w:rPr>
        <w:t xml:space="preserve"> Indeed, alongside the Member States’ aid the EIB expects to lend over </w:t>
      </w:r>
      <w:r w:rsidR="00494DBD">
        <w:rPr>
          <w:rFonts w:cstheme="minorHAnsi"/>
          <w:lang w:val="en-GB"/>
        </w:rPr>
        <w:t>€</w:t>
      </w:r>
      <w:r w:rsidR="00494DBD">
        <w:rPr>
          <w:lang w:val="en-GB"/>
        </w:rPr>
        <w:t>1 billion for car battery projects</w:t>
      </w:r>
      <w:r w:rsidR="00D83682">
        <w:rPr>
          <w:lang w:val="en-GB"/>
        </w:rPr>
        <w:t xml:space="preserve"> on top of the </w:t>
      </w:r>
      <w:r w:rsidR="00D83682">
        <w:rPr>
          <w:rFonts w:cstheme="minorHAnsi"/>
          <w:lang w:val="en-GB"/>
        </w:rPr>
        <w:t>€</w:t>
      </w:r>
      <w:r w:rsidR="00D83682">
        <w:rPr>
          <w:lang w:val="en-GB"/>
        </w:rPr>
        <w:t>1 billion it has already lend to project stake holders since 2010</w:t>
      </w:r>
      <w:r w:rsidR="00494DBD">
        <w:rPr>
          <w:lang w:val="en-GB"/>
        </w:rPr>
        <w:t>.</w:t>
      </w:r>
      <w:r w:rsidR="00D83682">
        <w:rPr>
          <w:lang w:val="en-GB"/>
        </w:rPr>
        <w:t xml:space="preserve"> </w:t>
      </w:r>
      <w:r w:rsidR="002E6414">
        <w:rPr>
          <w:rFonts w:cstheme="minorHAnsi"/>
          <w:lang w:val="en-GB"/>
        </w:rPr>
        <w:t xml:space="preserve">Commission Vice-President </w:t>
      </w:r>
      <w:r w:rsidR="002E6414" w:rsidRPr="00972957">
        <w:rPr>
          <w:lang w:val="en-GB"/>
        </w:rPr>
        <w:t>Maroš Šefčovič</w:t>
      </w:r>
      <w:r w:rsidR="002E6414">
        <w:rPr>
          <w:rFonts w:cstheme="minorHAnsi"/>
          <w:lang w:val="en-GB"/>
        </w:rPr>
        <w:t xml:space="preserve"> describes the EIB and </w:t>
      </w:r>
      <w:r w:rsidR="002E6414">
        <w:rPr>
          <w:rFonts w:cstheme="minorHAnsi"/>
          <w:lang w:val="en-GB"/>
        </w:rPr>
        <w:lastRenderedPageBreak/>
        <w:t>Member State investments as a leverage tool for increasing private financing of the project (EIB</w:t>
      </w:r>
      <w:r w:rsidR="002573C1">
        <w:rPr>
          <w:rFonts w:cstheme="minorHAnsi"/>
          <w:lang w:val="en-GB"/>
        </w:rPr>
        <w:t>,</w:t>
      </w:r>
      <w:r w:rsidR="002E6414">
        <w:rPr>
          <w:rFonts w:cstheme="minorHAnsi"/>
          <w:lang w:val="en-GB"/>
        </w:rPr>
        <w:t xml:space="preserve"> 2020).</w:t>
      </w:r>
    </w:p>
    <w:p w14:paraId="745AC032" w14:textId="00E87C57" w:rsidR="00002FC7" w:rsidRDefault="00E45808" w:rsidP="00C71FE6">
      <w:pPr>
        <w:spacing w:line="360" w:lineRule="auto"/>
        <w:rPr>
          <w:lang w:val="en-GB"/>
        </w:rPr>
      </w:pPr>
      <w:r>
        <w:rPr>
          <w:lang w:val="en-GB"/>
        </w:rPr>
        <w:t xml:space="preserve">Where initially particular attention went out to the technological aspect of the car battery project, the COVID-19 crisis added to the importance of </w:t>
      </w:r>
      <w:r w:rsidR="002E6414">
        <w:rPr>
          <w:lang w:val="en-GB"/>
        </w:rPr>
        <w:t>independent</w:t>
      </w:r>
      <w:r>
        <w:rPr>
          <w:lang w:val="en-GB"/>
        </w:rPr>
        <w:t xml:space="preserve"> EU production facilities. Both </w:t>
      </w:r>
      <w:r w:rsidR="00F16F9F">
        <w:rPr>
          <w:lang w:val="en-GB"/>
        </w:rPr>
        <w:t>C</w:t>
      </w:r>
      <w:r>
        <w:rPr>
          <w:lang w:val="en-GB"/>
        </w:rPr>
        <w:t xml:space="preserve">ommissioner </w:t>
      </w:r>
      <w:r w:rsidR="002E6414" w:rsidRPr="00972957">
        <w:rPr>
          <w:lang w:val="en-GB"/>
        </w:rPr>
        <w:t>Šefčovič</w:t>
      </w:r>
      <w:r>
        <w:rPr>
          <w:lang w:val="en-GB"/>
        </w:rPr>
        <w:t xml:space="preserve"> and the Vice-President of the EIB Andrew McDowell indicate that the pandemic distorted vital supply lines including in the European car battery industry. As such, they both emphasize the strategic value of an independent EU value chain, including for example lithium mining, as production of cars slowed down due to a disruption of components entering the EU from China </w:t>
      </w:r>
      <w:r w:rsidR="0027135E" w:rsidRPr="00E45808">
        <w:rPr>
          <w:noProof/>
          <w:lang w:val="en-US"/>
        </w:rPr>
        <w:t>(</w:t>
      </w:r>
      <w:r w:rsidR="0027135E">
        <w:rPr>
          <w:noProof/>
          <w:lang w:val="en-US"/>
        </w:rPr>
        <w:t>EIB</w:t>
      </w:r>
      <w:r w:rsidR="0027135E" w:rsidRPr="00E45808">
        <w:rPr>
          <w:noProof/>
          <w:lang w:val="en-US"/>
        </w:rPr>
        <w:t>, 2020)</w:t>
      </w:r>
      <w:r>
        <w:rPr>
          <w:lang w:val="en-GB"/>
        </w:rPr>
        <w:t xml:space="preserve">.   </w:t>
      </w:r>
    </w:p>
    <w:p w14:paraId="521F6D05" w14:textId="588C32FA" w:rsidR="008C41FA" w:rsidRDefault="00133AF0" w:rsidP="00C71FE6">
      <w:pPr>
        <w:spacing w:line="360" w:lineRule="auto"/>
        <w:rPr>
          <w:lang w:val="en-GB"/>
        </w:rPr>
      </w:pPr>
      <w:r>
        <w:rPr>
          <w:lang w:val="en-GB"/>
        </w:rPr>
        <w:t>In terms of state aid, b</w:t>
      </w:r>
      <w:r w:rsidR="008C41FA">
        <w:rPr>
          <w:lang w:val="en-GB"/>
        </w:rPr>
        <w:t xml:space="preserve">efore 2007, and before the crises, car manufacturers were subject to a separate law, rather than the all-encompassing Regional Aid Guidelines. This sector-specific framework for state aid to the motor vehicle industry was introduced in 1989 with the aim of imposing discipline and reducing the distortion of state aid, as opposed to the 1970s and 1980s when considerable amounts of state aid flowed toward car manufacturers. The Commission recognised dangers of market distortion particularly in the automotive sector as it was a highly globalised sector and competitive sector. Aid may incentivise less competitive behaviour which makes industries fall behind </w:t>
      </w:r>
      <w:r w:rsidR="008C41FA">
        <w:rPr>
          <w:noProof/>
          <w:lang w:val="en-US"/>
        </w:rPr>
        <w:t>(Commission, 2000)</w:t>
      </w:r>
      <w:r w:rsidR="008C41FA">
        <w:rPr>
          <w:lang w:val="en-GB"/>
        </w:rPr>
        <w:t xml:space="preserve">. A 1996 study of the framework led to a 1998 revision of the act. The study showed that during the period 1989-1996 ECU 5.8 billion (1 ECU = 1 Euro) and car manufacturers were operating with excess capacity since 1993 using only 80% of its total </w:t>
      </w:r>
      <w:r w:rsidR="008C41FA">
        <w:rPr>
          <w:noProof/>
          <w:lang w:val="en-US"/>
        </w:rPr>
        <w:t>(Commission, 1997)</w:t>
      </w:r>
      <w:r w:rsidR="008C41FA">
        <w:rPr>
          <w:lang w:val="en-GB"/>
        </w:rPr>
        <w:t>.</w:t>
      </w:r>
    </w:p>
    <w:p w14:paraId="73A6A4DB" w14:textId="051ABF85" w:rsidR="008C41FA" w:rsidRDefault="00850677" w:rsidP="00C71FE6">
      <w:pPr>
        <w:spacing w:line="360" w:lineRule="auto"/>
        <w:rPr>
          <w:lang w:val="en-GB"/>
        </w:rPr>
      </w:pPr>
      <w:r>
        <w:rPr>
          <w:lang w:val="en-GB"/>
        </w:rPr>
        <w:t>The 2007-2013</w:t>
      </w:r>
      <w:r w:rsidR="008C41FA">
        <w:rPr>
          <w:lang w:val="en-GB"/>
        </w:rPr>
        <w:t xml:space="preserve"> Regional Aid Guidelines replaced the Car framework which meant aid to car manufacturers no longer adhered to separate rules, but </w:t>
      </w:r>
      <w:r w:rsidR="00133AF0">
        <w:rPr>
          <w:lang w:val="en-GB"/>
        </w:rPr>
        <w:t>were</w:t>
      </w:r>
      <w:r w:rsidR="008C41FA">
        <w:rPr>
          <w:lang w:val="en-GB"/>
        </w:rPr>
        <w:t xml:space="preserve"> now included in the overall framework. That said, the Commission still considered the car industry as particularly important for job creation and other positive (i.e. R&amp;D) effects</w:t>
      </w:r>
      <w:r w:rsidR="00133AF0">
        <w:rPr>
          <w:lang w:val="en-GB"/>
        </w:rPr>
        <w:t>.</w:t>
      </w:r>
      <w:r w:rsidR="008C41FA">
        <w:rPr>
          <w:lang w:val="en-GB"/>
        </w:rPr>
        <w:t xml:space="preserve"> </w:t>
      </w:r>
      <w:r w:rsidR="00133AF0">
        <w:rPr>
          <w:lang w:val="en-GB"/>
        </w:rPr>
        <w:t>Though submitted to an in-depth investigation because they might have exceeded the threshold of company size within the market based on the Guidelines on Regional Aid 2007-2013, b</w:t>
      </w:r>
      <w:r w:rsidR="008C41FA">
        <w:rPr>
          <w:lang w:val="en-GB"/>
        </w:rPr>
        <w:t xml:space="preserve">etween 2007 and 2014 </w:t>
      </w:r>
      <w:r w:rsidR="008C41FA">
        <w:rPr>
          <w:rFonts w:cstheme="minorHAnsi"/>
          <w:lang w:val="en-GB"/>
        </w:rPr>
        <w:t>€</w:t>
      </w:r>
      <w:r w:rsidR="008C41FA">
        <w:rPr>
          <w:lang w:val="en-GB"/>
        </w:rPr>
        <w:t>1.8 billion in subsidies were approved for th</w:t>
      </w:r>
      <w:r w:rsidR="00133AF0">
        <w:rPr>
          <w:lang w:val="en-GB"/>
        </w:rPr>
        <w:t>e</w:t>
      </w:r>
      <w:r w:rsidR="008C41FA">
        <w:rPr>
          <w:lang w:val="en-GB"/>
        </w:rPr>
        <w:t xml:space="preserve"> </w:t>
      </w:r>
      <w:r w:rsidR="00133AF0">
        <w:rPr>
          <w:lang w:val="en-GB"/>
        </w:rPr>
        <w:t xml:space="preserve">car </w:t>
      </w:r>
      <w:r w:rsidR="008C41FA">
        <w:rPr>
          <w:lang w:val="en-GB"/>
        </w:rPr>
        <w:t xml:space="preserve">sector alone. Most subsidies were activated July 2011. </w:t>
      </w:r>
      <w:r w:rsidR="000C14C4">
        <w:rPr>
          <w:lang w:val="en-GB"/>
        </w:rPr>
        <w:t xml:space="preserve">In a 2014 report </w:t>
      </w:r>
      <w:r w:rsidR="008C41FA">
        <w:rPr>
          <w:lang w:val="en-GB"/>
        </w:rPr>
        <w:t>the Commission</w:t>
      </w:r>
      <w:r w:rsidR="000C14C4">
        <w:rPr>
          <w:lang w:val="en-GB"/>
        </w:rPr>
        <w:t xml:space="preserve"> stated that it</w:t>
      </w:r>
      <w:r w:rsidR="008C41FA">
        <w:rPr>
          <w:lang w:val="en-GB"/>
        </w:rPr>
        <w:t xml:space="preserve"> is of the opinion that the subsidies which resulted from the crisis led to overproduction, thus troubling the sector even more. </w:t>
      </w:r>
      <w:r w:rsidR="000C14C4">
        <w:rPr>
          <w:lang w:val="en-GB"/>
        </w:rPr>
        <w:t>The EC follows up on their claim stating</w:t>
      </w:r>
      <w:r w:rsidR="008C41FA">
        <w:rPr>
          <w:lang w:val="en-GB"/>
        </w:rPr>
        <w:t xml:space="preserve"> that the new Regional Aid Guidelines </w:t>
      </w:r>
      <w:r w:rsidR="00133AF0">
        <w:rPr>
          <w:lang w:val="en-GB"/>
        </w:rPr>
        <w:t xml:space="preserve">(2014-2020) </w:t>
      </w:r>
      <w:r w:rsidR="008C41FA">
        <w:rPr>
          <w:lang w:val="en-GB"/>
        </w:rPr>
        <w:t xml:space="preserve">will further prevent subsidy races and inefficient market structures </w:t>
      </w:r>
      <w:r w:rsidR="008C41FA" w:rsidRPr="00CE4192">
        <w:rPr>
          <w:noProof/>
          <w:lang w:val="en-GB"/>
        </w:rPr>
        <w:t>(Commission, 2014</w:t>
      </w:r>
      <w:r w:rsidR="008C41FA">
        <w:rPr>
          <w:noProof/>
          <w:lang w:val="en-GB"/>
        </w:rPr>
        <w:t>)</w:t>
      </w:r>
      <w:r w:rsidR="008C41FA">
        <w:rPr>
          <w:lang w:val="en-GB"/>
        </w:rPr>
        <w:t>.</w:t>
      </w:r>
    </w:p>
    <w:p w14:paraId="39F2E08E" w14:textId="4A5F3EF0" w:rsidR="008C41FA" w:rsidRDefault="00133AF0" w:rsidP="00C71FE6">
      <w:pPr>
        <w:spacing w:line="360" w:lineRule="auto"/>
        <w:rPr>
          <w:lang w:val="en-GB"/>
        </w:rPr>
      </w:pPr>
      <w:r>
        <w:rPr>
          <w:lang w:val="en-GB"/>
        </w:rPr>
        <w:t xml:space="preserve">The renewed Guidelines on Regional Aid which clarified TFEU 107 3 (b) for the period 2014-2020 -due to the COVID-19 crisis until June 2021 </w:t>
      </w:r>
      <w:r w:rsidRPr="00133AF0">
        <w:rPr>
          <w:noProof/>
          <w:lang w:val="en-US"/>
        </w:rPr>
        <w:t>(2020/C 224/02)</w:t>
      </w:r>
      <w:r>
        <w:rPr>
          <w:noProof/>
          <w:lang w:val="en-US"/>
        </w:rPr>
        <w:t xml:space="preserve">- </w:t>
      </w:r>
      <w:r>
        <w:rPr>
          <w:lang w:val="en-GB"/>
        </w:rPr>
        <w:t xml:space="preserve">was adopted as part of the 2012 State Aid </w:t>
      </w:r>
      <w:r>
        <w:rPr>
          <w:lang w:val="en-GB"/>
        </w:rPr>
        <w:lastRenderedPageBreak/>
        <w:t xml:space="preserve">Modernisation initiative (SAM) </w:t>
      </w:r>
      <w:r>
        <w:rPr>
          <w:noProof/>
          <w:lang w:val="en-US"/>
        </w:rPr>
        <w:t>(Commission, 2015)</w:t>
      </w:r>
      <w:r>
        <w:rPr>
          <w:lang w:val="en-GB"/>
        </w:rPr>
        <w:t>.</w:t>
      </w:r>
      <w:r>
        <w:rPr>
          <w:noProof/>
          <w:lang w:val="en-US"/>
        </w:rPr>
        <w:t xml:space="preserve"> </w:t>
      </w:r>
      <w:r w:rsidR="000A6C14">
        <w:rPr>
          <w:lang w:val="en-GB"/>
        </w:rPr>
        <w:t xml:space="preserve">With the introduction of SAM the Commission allowed for an easier application of state aid. The initiative also included the </w:t>
      </w:r>
      <w:r w:rsidR="000A6C14" w:rsidRPr="00D37434">
        <w:rPr>
          <w:lang w:val="en-GB"/>
        </w:rPr>
        <w:t>General Block Exemption Regulation</w:t>
      </w:r>
      <w:r w:rsidR="000A6C14">
        <w:rPr>
          <w:lang w:val="en-GB"/>
        </w:rPr>
        <w:t xml:space="preserve"> (GBER) which allowed Member States to implement their subsidies without prior notification of the Commission </w:t>
      </w:r>
      <w:r w:rsidR="000A6C14" w:rsidRPr="00CE4192">
        <w:rPr>
          <w:noProof/>
          <w:lang w:val="en-GB"/>
        </w:rPr>
        <w:t>(Commission, 2019)</w:t>
      </w:r>
      <w:r w:rsidR="000A6C14">
        <w:rPr>
          <w:lang w:val="en-GB"/>
        </w:rPr>
        <w:t xml:space="preserve">. A hurdle to initiate aid was removed, but the aid was still required to be proportional based on Commission standards. </w:t>
      </w:r>
      <w:r w:rsidR="00865D81">
        <w:rPr>
          <w:lang w:val="en-GB"/>
        </w:rPr>
        <w:t xml:space="preserve">The 2014-2020 Guidelines allow for green investments and investments in Europe’s most disadvantaged regions. The objective of the regional aid is to stimulate local development and create an equal playing field, though there exist some caveats. In broad terms, aid for development is allowed as long as the market-failure and advancement of common interest is well defined. Amounts of aid are allowed to go higher if it concerns research and development and environmental protection it states in the Guidelines on regional state aid 2014-2020 </w:t>
      </w:r>
      <w:r w:rsidR="00865D81" w:rsidRPr="00CE4192">
        <w:rPr>
          <w:noProof/>
          <w:lang w:val="en-US"/>
        </w:rPr>
        <w:t>(Commission, 2013)</w:t>
      </w:r>
      <w:r w:rsidR="00865D81">
        <w:rPr>
          <w:lang w:val="en-GB"/>
        </w:rPr>
        <w:t>.</w:t>
      </w:r>
    </w:p>
    <w:p w14:paraId="7A5422FC" w14:textId="77777777" w:rsidR="00865D81" w:rsidRDefault="00865D81" w:rsidP="00C71FE6">
      <w:pPr>
        <w:spacing w:line="360" w:lineRule="auto"/>
        <w:rPr>
          <w:lang w:val="en-GB"/>
        </w:rPr>
      </w:pPr>
      <w:r>
        <w:rPr>
          <w:lang w:val="en-GB"/>
        </w:rPr>
        <w:t xml:space="preserve">Beyond its frameworks on state aid the Commission pushed a new industrial agenda with </w:t>
      </w:r>
      <w:r w:rsidR="008C41FA">
        <w:rPr>
          <w:lang w:val="en-GB"/>
        </w:rPr>
        <w:t xml:space="preserve">its 2014 communication ‘The European Renaissance’. This communication -which followed up on the White Paper of 2012- urged Member States to increase their industrial share in GDP </w:t>
      </w:r>
      <w:r w:rsidR="008C41FA" w:rsidRPr="00CE4192">
        <w:rPr>
          <w:noProof/>
          <w:lang w:val="en-GB"/>
        </w:rPr>
        <w:t>(Commission, 2014)</w:t>
      </w:r>
      <w:r w:rsidR="008C41FA">
        <w:rPr>
          <w:lang w:val="en-GB"/>
        </w:rPr>
        <w:t xml:space="preserve">. In particular the Commission </w:t>
      </w:r>
      <w:r>
        <w:rPr>
          <w:lang w:val="en-GB"/>
        </w:rPr>
        <w:t>argues</w:t>
      </w:r>
      <w:r w:rsidR="008C41FA">
        <w:rPr>
          <w:lang w:val="en-GB"/>
        </w:rPr>
        <w:t xml:space="preserve"> that the EU is falling behind in innovation and is less competitive due to higher labour and energy prices. Therefore, The Commission set out to get industry as a percentage of GDP to 20% in 2020, compared to 15.1% in 2013. During the High Level industry Roundtable “Industry 2030” in 2019 individual experts and industrial representatives discussed trends and challenges in EU industry with the Commission </w:t>
      </w:r>
      <w:r w:rsidR="008C41FA" w:rsidRPr="00CE4192">
        <w:rPr>
          <w:noProof/>
          <w:lang w:val="en-GB"/>
        </w:rPr>
        <w:t>(Commission, 2019</w:t>
      </w:r>
      <w:r w:rsidR="008C41FA">
        <w:rPr>
          <w:noProof/>
          <w:lang w:val="en-GB"/>
        </w:rPr>
        <w:t>)</w:t>
      </w:r>
      <w:r w:rsidR="008C41FA">
        <w:rPr>
          <w:lang w:val="en-GB"/>
        </w:rPr>
        <w:t xml:space="preserve">. From the meetings the Commission concluded that policy should increase investments in six key value chains, among which clean vehicles, which would complement an earlier initiative on strengthening the value chain for batteries </w:t>
      </w:r>
      <w:r w:rsidR="008C41FA" w:rsidRPr="00CE4192">
        <w:rPr>
          <w:noProof/>
          <w:lang w:val="en-GB"/>
        </w:rPr>
        <w:t>(Commission, 2019</w:t>
      </w:r>
      <w:r w:rsidR="008C41FA">
        <w:rPr>
          <w:noProof/>
          <w:lang w:val="en-GB"/>
        </w:rPr>
        <w:t>)</w:t>
      </w:r>
      <w:r w:rsidR="008C41FA">
        <w:rPr>
          <w:lang w:val="en-GB"/>
        </w:rPr>
        <w:t>.</w:t>
      </w:r>
      <w:r w:rsidRPr="00865D81">
        <w:rPr>
          <w:lang w:val="en-GB"/>
        </w:rPr>
        <w:t xml:space="preserve"> </w:t>
      </w:r>
      <w:r>
        <w:rPr>
          <w:lang w:val="en-GB"/>
        </w:rPr>
        <w:t xml:space="preserve">Other Commission initiatives to increase competitiveness of the EU car industry is through harmonisation include the Common Technical Requirements Framework. The regulatory body argues that harmonisation reduces development costs and avoids performing administrative procedures multiple times </w:t>
      </w:r>
      <w:r>
        <w:rPr>
          <w:noProof/>
          <w:lang w:val="en-US"/>
        </w:rPr>
        <w:t>(Commission, 2020)</w:t>
      </w:r>
      <w:r>
        <w:rPr>
          <w:lang w:val="en-GB"/>
        </w:rPr>
        <w:t xml:space="preserve">. </w:t>
      </w:r>
    </w:p>
    <w:p w14:paraId="707797A3" w14:textId="1BAE2CAD" w:rsidR="00865D81" w:rsidRDefault="00865D81" w:rsidP="00C71FE6">
      <w:pPr>
        <w:spacing w:line="360" w:lineRule="auto"/>
        <w:rPr>
          <w:lang w:val="en-GB"/>
        </w:rPr>
      </w:pPr>
      <w:r>
        <w:rPr>
          <w:lang w:val="en-GB"/>
        </w:rPr>
        <w:t xml:space="preserve">Outside the approved project other car battery initiatives have sprouted throughout the EU. </w:t>
      </w:r>
      <w:r w:rsidR="002F1664">
        <w:rPr>
          <w:lang w:val="en-GB"/>
        </w:rPr>
        <w:t>In</w:t>
      </w:r>
      <w:r>
        <w:rPr>
          <w:lang w:val="en-GB"/>
        </w:rPr>
        <w:t xml:space="preserve"> 2018 Hungary reported a planned </w:t>
      </w:r>
      <w:r>
        <w:rPr>
          <w:rFonts w:cstheme="minorHAnsi"/>
          <w:lang w:val="en-GB"/>
        </w:rPr>
        <w:t>€</w:t>
      </w:r>
      <w:r>
        <w:rPr>
          <w:lang w:val="en-GB"/>
        </w:rPr>
        <w:t xml:space="preserve">103 million subsidy to aid in Samsung’s </w:t>
      </w:r>
      <w:r>
        <w:rPr>
          <w:rFonts w:cstheme="minorHAnsi"/>
          <w:lang w:val="en-GB"/>
        </w:rPr>
        <w:t>€</w:t>
      </w:r>
      <w:r>
        <w:rPr>
          <w:lang w:val="en-GB"/>
        </w:rPr>
        <w:t xml:space="preserve">1.2 billion investment. The aid is now under investigation of the Commission as </w:t>
      </w:r>
      <w:proofErr w:type="spellStart"/>
      <w:r>
        <w:rPr>
          <w:lang w:val="en-GB"/>
        </w:rPr>
        <w:t>Verstager</w:t>
      </w:r>
      <w:proofErr w:type="spellEnd"/>
      <w:r>
        <w:rPr>
          <w:lang w:val="en-GB"/>
        </w:rPr>
        <w:t xml:space="preserve"> explained that public investments should be reserved for moments when private investments need to be triggered in disadvantaged regions. She continue</w:t>
      </w:r>
      <w:r w:rsidR="002F1664">
        <w:rPr>
          <w:lang w:val="en-GB"/>
        </w:rPr>
        <w:t>d</w:t>
      </w:r>
      <w:r>
        <w:rPr>
          <w:lang w:val="en-GB"/>
        </w:rPr>
        <w:t xml:space="preserve"> that the EU wishes to prevent an unnecessary advantage given to the beneficiary and points at the prevention of distortion of competition in the Single Market </w:t>
      </w:r>
      <w:r w:rsidR="00791B35">
        <w:rPr>
          <w:noProof/>
          <w:lang w:val="en-US"/>
        </w:rPr>
        <w:t>(Commission, 2019)</w:t>
      </w:r>
      <w:r>
        <w:rPr>
          <w:lang w:val="en-GB"/>
        </w:rPr>
        <w:t xml:space="preserve">. </w:t>
      </w:r>
    </w:p>
    <w:p w14:paraId="26025CDE" w14:textId="1F929EAD" w:rsidR="00914B82" w:rsidRPr="00CD2496" w:rsidRDefault="00701566" w:rsidP="00C71FE6">
      <w:pPr>
        <w:spacing w:line="360" w:lineRule="auto"/>
        <w:rPr>
          <w:lang w:val="en-GB"/>
        </w:rPr>
      </w:pPr>
      <w:r w:rsidRPr="00417D48">
        <w:rPr>
          <w:lang w:val="en-GB"/>
        </w:rPr>
        <w:t xml:space="preserve">To clarify, the aid and regulation related to </w:t>
      </w:r>
      <w:r w:rsidR="00CD2496" w:rsidRPr="00417D48">
        <w:rPr>
          <w:lang w:val="en-GB"/>
        </w:rPr>
        <w:t>the cases</w:t>
      </w:r>
      <w:r w:rsidR="00237C82">
        <w:rPr>
          <w:lang w:val="en-GB"/>
        </w:rPr>
        <w:t xml:space="preserve"> described above are</w:t>
      </w:r>
      <w:r w:rsidRPr="00417D48">
        <w:rPr>
          <w:lang w:val="en-GB"/>
        </w:rPr>
        <w:t xml:space="preserve"> not crisis measures. The Commission stipulates a separate framework to (dis)approve state aid due to (economic) crises. The </w:t>
      </w:r>
      <w:r w:rsidRPr="00417D48">
        <w:rPr>
          <w:lang w:val="en-GB"/>
        </w:rPr>
        <w:lastRenderedPageBreak/>
        <w:t xml:space="preserve">framework most concerned with this function is </w:t>
      </w:r>
      <w:r w:rsidR="002F1664">
        <w:rPr>
          <w:lang w:val="en-GB"/>
        </w:rPr>
        <w:t>also part</w:t>
      </w:r>
      <w:r w:rsidRPr="00417D48">
        <w:rPr>
          <w:lang w:val="en-GB"/>
        </w:rPr>
        <w:t xml:space="preserve"> </w:t>
      </w:r>
      <w:r w:rsidR="002F1664">
        <w:rPr>
          <w:lang w:val="en-GB"/>
        </w:rPr>
        <w:t xml:space="preserve">TFEU 107 3 (b): This article contains a section to clarify aid during crisis and aid under “normal” circumstances. </w:t>
      </w:r>
      <w:r w:rsidR="002E3C51" w:rsidRPr="00417D48">
        <w:rPr>
          <w:lang w:val="en-GB"/>
        </w:rPr>
        <w:t>Th</w:t>
      </w:r>
      <w:r w:rsidR="002F1664">
        <w:rPr>
          <w:lang w:val="en-GB"/>
        </w:rPr>
        <w:t>e</w:t>
      </w:r>
      <w:r w:rsidR="002E3C51" w:rsidRPr="00417D48">
        <w:rPr>
          <w:lang w:val="en-GB"/>
        </w:rPr>
        <w:t xml:space="preserve"> section</w:t>
      </w:r>
      <w:r w:rsidR="002F1664">
        <w:rPr>
          <w:lang w:val="en-GB"/>
        </w:rPr>
        <w:t xml:space="preserve"> on crisis aid</w:t>
      </w:r>
      <w:r w:rsidR="002E3C51" w:rsidRPr="00417D48">
        <w:rPr>
          <w:lang w:val="en-GB"/>
        </w:rPr>
        <w:t xml:space="preserve"> revolves</w:t>
      </w:r>
      <w:r w:rsidR="002F1664">
        <w:rPr>
          <w:lang w:val="en-GB"/>
        </w:rPr>
        <w:t xml:space="preserve"> around</w:t>
      </w:r>
      <w:r w:rsidR="002E3C51" w:rsidRPr="00417D48">
        <w:rPr>
          <w:lang w:val="en-GB"/>
        </w:rPr>
        <w:t xml:space="preserve"> </w:t>
      </w:r>
      <w:r w:rsidR="00CD2496" w:rsidRPr="00417D48">
        <w:rPr>
          <w:lang w:val="en-GB"/>
        </w:rPr>
        <w:t>remedies for a serious disturbance in the economy</w:t>
      </w:r>
      <w:r w:rsidR="002E3C51" w:rsidRPr="00417D48">
        <w:rPr>
          <w:lang w:val="en-GB"/>
        </w:rPr>
        <w:t xml:space="preserve">, rather than projects of common interests, like the IPCEI stipulation does. </w:t>
      </w:r>
      <w:r w:rsidR="00CD2496" w:rsidRPr="00417D48">
        <w:rPr>
          <w:lang w:val="en-GB"/>
        </w:rPr>
        <w:t>A</w:t>
      </w:r>
      <w:r w:rsidRPr="00417D48">
        <w:rPr>
          <w:lang w:val="en-GB"/>
        </w:rPr>
        <w:t xml:space="preserve">pproved </w:t>
      </w:r>
      <w:r w:rsidR="00B757A7" w:rsidRPr="00417D48">
        <w:rPr>
          <w:lang w:val="en-GB"/>
        </w:rPr>
        <w:t>responses</w:t>
      </w:r>
      <w:r w:rsidRPr="00417D48">
        <w:rPr>
          <w:lang w:val="en-GB"/>
        </w:rPr>
        <w:t xml:space="preserve"> to the economic contractions following the double dip crisis </w:t>
      </w:r>
      <w:r w:rsidR="00B757A7" w:rsidRPr="00417D48">
        <w:rPr>
          <w:lang w:val="en-GB"/>
        </w:rPr>
        <w:t>include multiple Member States providing</w:t>
      </w:r>
      <w:r w:rsidRPr="00417D48">
        <w:rPr>
          <w:lang w:val="en-GB"/>
        </w:rPr>
        <w:t xml:space="preserve"> aid to the ailing car industries. Swedish bailout of Saab and Volvo amounted for </w:t>
      </w:r>
      <w:r w:rsidR="002F1664">
        <w:rPr>
          <w:rFonts w:cstheme="minorHAnsi"/>
          <w:lang w:val="en-GB"/>
        </w:rPr>
        <w:t>€</w:t>
      </w:r>
      <w:r w:rsidRPr="00417D48">
        <w:rPr>
          <w:lang w:val="en-GB"/>
        </w:rPr>
        <w:t>2.3</w:t>
      </w:r>
      <w:r w:rsidR="002F1664">
        <w:rPr>
          <w:lang w:val="en-GB"/>
        </w:rPr>
        <w:t xml:space="preserve"> billion</w:t>
      </w:r>
      <w:r w:rsidRPr="00417D48">
        <w:rPr>
          <w:lang w:val="en-GB"/>
        </w:rPr>
        <w:t xml:space="preserve"> </w:t>
      </w:r>
      <w:r w:rsidRPr="00417D48">
        <w:rPr>
          <w:noProof/>
          <w:lang w:val="en-GB"/>
        </w:rPr>
        <w:t>(Guardian, 2008</w:t>
      </w:r>
      <w:r w:rsidR="00CD2496" w:rsidRPr="00417D48">
        <w:rPr>
          <w:noProof/>
          <w:lang w:val="en-GB"/>
        </w:rPr>
        <w:t>; Commission N80/2008</w:t>
      </w:r>
      <w:r w:rsidRPr="00417D48">
        <w:rPr>
          <w:noProof/>
          <w:lang w:val="en-GB"/>
        </w:rPr>
        <w:t>)</w:t>
      </w:r>
      <w:r w:rsidRPr="00417D48">
        <w:rPr>
          <w:lang w:val="en-GB"/>
        </w:rPr>
        <w:t xml:space="preserve">, France provided </w:t>
      </w:r>
      <w:r w:rsidRPr="00417D48">
        <w:rPr>
          <w:rFonts w:cstheme="minorHAnsi"/>
          <w:lang w:val="en-GB"/>
        </w:rPr>
        <w:t>€</w:t>
      </w:r>
      <w:r w:rsidRPr="00417D48">
        <w:rPr>
          <w:lang w:val="en-GB"/>
        </w:rPr>
        <w:t xml:space="preserve">6 billion for its car industry </w:t>
      </w:r>
      <w:r w:rsidRPr="00417D48">
        <w:rPr>
          <w:noProof/>
          <w:lang w:val="en-GB"/>
        </w:rPr>
        <w:t>(Guardian, 2009)</w:t>
      </w:r>
      <w:r w:rsidRPr="00417D48">
        <w:rPr>
          <w:lang w:val="en-GB"/>
        </w:rPr>
        <w:t xml:space="preserve">, and Germany provided a car replacement subsidy stimulating sales </w:t>
      </w:r>
      <w:r w:rsidR="00E05491" w:rsidRPr="00E05491">
        <w:rPr>
          <w:noProof/>
          <w:lang w:val="en-GB"/>
        </w:rPr>
        <w:t>(</w:t>
      </w:r>
      <w:r w:rsidR="00E05491">
        <w:rPr>
          <w:noProof/>
          <w:lang w:val="en-GB"/>
        </w:rPr>
        <w:t>FD</w:t>
      </w:r>
      <w:r w:rsidR="00E05491" w:rsidRPr="00E05491">
        <w:rPr>
          <w:noProof/>
          <w:lang w:val="en-GB"/>
        </w:rPr>
        <w:t>, 2020)</w:t>
      </w:r>
      <w:r w:rsidRPr="00417D48">
        <w:rPr>
          <w:lang w:val="en-GB"/>
        </w:rPr>
        <w:t xml:space="preserve">. </w:t>
      </w:r>
      <w:r w:rsidR="00417D48" w:rsidRPr="00417D48">
        <w:rPr>
          <w:lang w:val="en-GB"/>
        </w:rPr>
        <w:t xml:space="preserve">The Commission approved aid under similar conditions during the COVID-19 crisis, allowing a €5 billion bailout of Renault by the French state as the COVID crisis forms a serious disturbance in the economy </w:t>
      </w:r>
      <w:sdt>
        <w:sdtPr>
          <w:rPr>
            <w:lang w:val="en-GB"/>
          </w:rPr>
          <w:id w:val="936408309"/>
          <w:citation/>
        </w:sdtPr>
        <w:sdtEndPr/>
        <w:sdtContent>
          <w:r w:rsidR="00417D48" w:rsidRPr="00417D48">
            <w:rPr>
              <w:lang w:val="en-GB"/>
            </w:rPr>
            <w:fldChar w:fldCharType="begin"/>
          </w:r>
          <w:r w:rsidR="00417D48" w:rsidRPr="00417D48">
            <w:rPr>
              <w:lang w:val="en-US"/>
            </w:rPr>
            <w:instrText xml:space="preserve"> CITATION 20220 \l 1033 </w:instrText>
          </w:r>
          <w:r w:rsidR="00417D48" w:rsidRPr="00417D48">
            <w:rPr>
              <w:lang w:val="en-GB"/>
            </w:rPr>
            <w:fldChar w:fldCharType="separate"/>
          </w:r>
          <w:r w:rsidR="0058607C">
            <w:rPr>
              <w:noProof/>
              <w:lang w:val="en-US"/>
            </w:rPr>
            <w:t>(2020/N, 2020)</w:t>
          </w:r>
          <w:r w:rsidR="00417D48" w:rsidRPr="00417D48">
            <w:rPr>
              <w:lang w:val="en-GB"/>
            </w:rPr>
            <w:fldChar w:fldCharType="end"/>
          </w:r>
        </w:sdtContent>
      </w:sdt>
      <w:r w:rsidR="002F1664">
        <w:rPr>
          <w:lang w:val="en-GB"/>
        </w:rPr>
        <w:t xml:space="preserve">. </w:t>
      </w:r>
    </w:p>
    <w:p w14:paraId="081E6882" w14:textId="77777777" w:rsidR="00914B82" w:rsidRPr="00CD2496" w:rsidRDefault="00914B82" w:rsidP="00C71FE6">
      <w:pPr>
        <w:spacing w:line="360" w:lineRule="auto"/>
        <w:rPr>
          <w:lang w:val="en-GB"/>
        </w:rPr>
      </w:pPr>
    </w:p>
    <w:p w14:paraId="36DB02B3" w14:textId="5402D532" w:rsidR="004E6305" w:rsidRDefault="004E6305" w:rsidP="00C71FE6">
      <w:pPr>
        <w:spacing w:line="360" w:lineRule="auto"/>
        <w:rPr>
          <w:lang w:val="en-GB"/>
        </w:rPr>
      </w:pPr>
      <w:r>
        <w:rPr>
          <w:lang w:val="en-GB"/>
        </w:rPr>
        <w:br w:type="page"/>
      </w:r>
    </w:p>
    <w:p w14:paraId="4D072A7F" w14:textId="2455EECD" w:rsidR="0098092A" w:rsidRDefault="000C4D41" w:rsidP="00C71FE6">
      <w:pPr>
        <w:spacing w:line="360" w:lineRule="auto"/>
        <w:rPr>
          <w:lang w:val="en-GB"/>
        </w:rPr>
      </w:pPr>
      <w:r>
        <w:rPr>
          <w:lang w:val="en-GB"/>
        </w:rPr>
        <w:lastRenderedPageBreak/>
        <w:t xml:space="preserve">The findings on the horizontal and vertical tendencies of EU industrial policy are here validated by means of the theorised causal mechanism. </w:t>
      </w:r>
      <w:r w:rsidR="000954D2" w:rsidRPr="000C4D41">
        <w:rPr>
          <w:i/>
          <w:lang w:val="en-GB"/>
        </w:rPr>
        <w:t>The EU experienced a crisis which opened up an opportunity to convert from horizontal to vertical policy</w:t>
      </w:r>
      <w:r>
        <w:rPr>
          <w:lang w:val="en-GB"/>
        </w:rPr>
        <w:t xml:space="preserve"> constitutes the first part of this mechanism. The EU did experience a number of crises over the last years. </w:t>
      </w:r>
      <w:r w:rsidR="00417D48" w:rsidRPr="00417D48">
        <w:rPr>
          <w:lang w:val="en-GB"/>
        </w:rPr>
        <w:t>Following the mortgage crisis in the US, financial turmoil affected EU business</w:t>
      </w:r>
      <w:r w:rsidR="00417D48">
        <w:rPr>
          <w:lang w:val="en-GB"/>
        </w:rPr>
        <w:t>es,</w:t>
      </w:r>
      <w:r w:rsidR="00417D48" w:rsidRPr="00417D48">
        <w:rPr>
          <w:lang w:val="en-GB"/>
        </w:rPr>
        <w:t xml:space="preserve"> too.</w:t>
      </w:r>
      <w:r w:rsidR="00417D48">
        <w:rPr>
          <w:i/>
          <w:lang w:val="en-GB"/>
        </w:rPr>
        <w:t xml:space="preserve"> </w:t>
      </w:r>
      <w:r w:rsidR="003A5DC3">
        <w:rPr>
          <w:lang w:val="en-GB"/>
        </w:rPr>
        <w:t xml:space="preserve">Europe was not prepared for the effects of the US originated Credit Crunch of 2007-2008 and the following EU Sovereign Debt crisis of 2010. GDP shrank 4% in 2009 in the EU and again, after a slight recovery, dropped 1% after 2010 </w:t>
      </w:r>
      <w:r w:rsidR="003A5DC3" w:rsidRPr="00CE4192">
        <w:rPr>
          <w:noProof/>
          <w:lang w:val="en-GB"/>
        </w:rPr>
        <w:t>(</w:t>
      </w:r>
      <w:r w:rsidR="003A5DC3">
        <w:rPr>
          <w:noProof/>
          <w:lang w:val="en-GB"/>
        </w:rPr>
        <w:t xml:space="preserve">World </w:t>
      </w:r>
      <w:r w:rsidR="003A5DC3" w:rsidRPr="00CE4192">
        <w:rPr>
          <w:noProof/>
          <w:lang w:val="en-GB"/>
        </w:rPr>
        <w:t>Bank, 2018</w:t>
      </w:r>
      <w:r w:rsidR="003A5DC3">
        <w:rPr>
          <w:noProof/>
          <w:lang w:val="en-GB"/>
        </w:rPr>
        <w:t>)</w:t>
      </w:r>
      <w:r w:rsidR="003A5DC3">
        <w:rPr>
          <w:lang w:val="en-GB"/>
        </w:rPr>
        <w:t xml:space="preserve">. Coincidentally, </w:t>
      </w:r>
      <w:r w:rsidR="00417D48">
        <w:rPr>
          <w:lang w:val="en-GB"/>
        </w:rPr>
        <w:t xml:space="preserve">EU </w:t>
      </w:r>
      <w:r w:rsidR="003A5DC3">
        <w:rPr>
          <w:lang w:val="en-GB"/>
        </w:rPr>
        <w:t xml:space="preserve">unemployment rates </w:t>
      </w:r>
      <w:r w:rsidR="00417D48">
        <w:rPr>
          <w:lang w:val="en-GB"/>
        </w:rPr>
        <w:t>experienced a similar movement</w:t>
      </w:r>
      <w:r w:rsidR="003A5DC3">
        <w:rPr>
          <w:lang w:val="en-GB"/>
        </w:rPr>
        <w:t xml:space="preserve">: </w:t>
      </w:r>
      <w:r w:rsidR="0098092A">
        <w:rPr>
          <w:lang w:val="en-GB"/>
        </w:rPr>
        <w:t>Unemployment increased</w:t>
      </w:r>
      <w:r w:rsidR="003A5DC3">
        <w:rPr>
          <w:lang w:val="en-GB"/>
        </w:rPr>
        <w:t xml:space="preserve"> 3 percentage points from 2007 to 2010, after which it dropped slightly, only to rise again with 2% from 2011 </w:t>
      </w:r>
      <w:r w:rsidR="0098092A">
        <w:rPr>
          <w:lang w:val="en-GB"/>
        </w:rPr>
        <w:t>until</w:t>
      </w:r>
      <w:r w:rsidR="003A5DC3">
        <w:rPr>
          <w:lang w:val="en-GB"/>
        </w:rPr>
        <w:t xml:space="preserve"> 2013 </w:t>
      </w:r>
      <w:r w:rsidR="003A5DC3" w:rsidRPr="00CE4192">
        <w:rPr>
          <w:noProof/>
          <w:lang w:val="en-GB"/>
        </w:rPr>
        <w:t>(Eurostat, 2020)</w:t>
      </w:r>
      <w:r w:rsidR="003A5DC3">
        <w:rPr>
          <w:lang w:val="en-GB"/>
        </w:rPr>
        <w:t xml:space="preserve">. The Commission dubbed the results of the Great Recession the sharpest contraction in the history of the EU </w:t>
      </w:r>
      <w:r w:rsidR="003A5DC3" w:rsidRPr="00CE4192">
        <w:rPr>
          <w:noProof/>
          <w:lang w:val="en-GB"/>
        </w:rPr>
        <w:t>(Commission, 2009)</w:t>
      </w:r>
      <w:r w:rsidR="003A5DC3">
        <w:rPr>
          <w:lang w:val="en-GB"/>
        </w:rPr>
        <w:t xml:space="preserve">. </w:t>
      </w:r>
      <w:r w:rsidR="003A5DC3" w:rsidRPr="00663B36">
        <w:rPr>
          <w:lang w:val="en-GB"/>
        </w:rPr>
        <w:t>Within the automotive industry the Great Recession</w:t>
      </w:r>
      <w:r w:rsidR="0098092A">
        <w:rPr>
          <w:lang w:val="en-GB"/>
        </w:rPr>
        <w:t>,</w:t>
      </w:r>
      <w:r w:rsidR="003A5DC3" w:rsidRPr="00663B36">
        <w:rPr>
          <w:lang w:val="en-GB"/>
        </w:rPr>
        <w:t xml:space="preserve"> combined with the Euro Crisis</w:t>
      </w:r>
      <w:r w:rsidR="0098092A">
        <w:rPr>
          <w:lang w:val="en-GB"/>
        </w:rPr>
        <w:t>,</w:t>
      </w:r>
      <w:r w:rsidR="003A5DC3" w:rsidRPr="00663B36">
        <w:rPr>
          <w:lang w:val="en-GB"/>
        </w:rPr>
        <w:t xml:space="preserve"> had dire consequences. Between 2007 and 2013 there was a sharp decrease of passenger car sales when new registrations dropped from 15 million to below 12 million, with pre-crisis sales levels only to be recovered in 2018 (ICCT, 2018). Accordingly, the amount of people employed in the car industry in the EU in 2007 amounted for 12.6 million people (EU25), it took until 2015 to reach an equal level of employment rates (ACEA, 2011</w:t>
      </w:r>
      <w:r w:rsidR="0098092A">
        <w:rPr>
          <w:lang w:val="en-GB"/>
        </w:rPr>
        <w:t xml:space="preserve">; </w:t>
      </w:r>
      <w:r w:rsidR="003A5DC3" w:rsidRPr="00663B36">
        <w:rPr>
          <w:lang w:val="en-GB"/>
        </w:rPr>
        <w:t xml:space="preserve">ACEA, 2019). </w:t>
      </w:r>
      <w:r w:rsidR="0098092A">
        <w:rPr>
          <w:lang w:val="en-GB"/>
        </w:rPr>
        <w:t xml:space="preserve">The </w:t>
      </w:r>
      <w:r w:rsidR="00C66CF0">
        <w:rPr>
          <w:lang w:val="en-GB"/>
        </w:rPr>
        <w:t>grim</w:t>
      </w:r>
      <w:r w:rsidR="0098092A">
        <w:rPr>
          <w:lang w:val="en-GB"/>
        </w:rPr>
        <w:t xml:space="preserve"> situation in the ca</w:t>
      </w:r>
      <w:r w:rsidR="00C66CF0">
        <w:rPr>
          <w:lang w:val="en-GB"/>
        </w:rPr>
        <w:t>r</w:t>
      </w:r>
      <w:r w:rsidR="0098092A">
        <w:rPr>
          <w:lang w:val="en-GB"/>
        </w:rPr>
        <w:t xml:space="preserve"> sector affected the whole (real) economy of the EU</w:t>
      </w:r>
      <w:r w:rsidR="00C66CF0">
        <w:rPr>
          <w:lang w:val="en-GB"/>
        </w:rPr>
        <w:t>,</w:t>
      </w:r>
      <w:r w:rsidR="0098092A">
        <w:rPr>
          <w:lang w:val="en-GB"/>
        </w:rPr>
        <w:t xml:space="preserve"> as i</w:t>
      </w:r>
      <w:r w:rsidR="0098092A" w:rsidRPr="00663B36">
        <w:rPr>
          <w:lang w:val="en-GB"/>
        </w:rPr>
        <w:t>n terms of economical weight the industry translates to representing 7% of total EU GDP (Commission, 2020).</w:t>
      </w:r>
      <w:r w:rsidR="0098092A" w:rsidRPr="0098092A">
        <w:rPr>
          <w:lang w:val="en-GB"/>
        </w:rPr>
        <w:t xml:space="preserve"> </w:t>
      </w:r>
      <w:r w:rsidR="0098092A" w:rsidRPr="00663B36">
        <w:rPr>
          <w:lang w:val="en-GB"/>
        </w:rPr>
        <w:t>People directly and indirectly employed by the car industry in the EU amount for 6.1% of all employment in the EU (ACEA, 2019).</w:t>
      </w:r>
      <w:r w:rsidR="0098092A">
        <w:rPr>
          <w:lang w:val="en-GB"/>
        </w:rPr>
        <w:t xml:space="preserve"> The effects of the crises appear to be far from over and will effect EU manufacturing far beyond: Over three-quarters of car executives agree that by 2030 only 5% of automotive production worldwide will occur in Western-Europe </w:t>
      </w:r>
      <w:sdt>
        <w:sdtPr>
          <w:rPr>
            <w:lang w:val="en-GB"/>
          </w:rPr>
          <w:id w:val="-1925634596"/>
          <w:citation/>
        </w:sdtPr>
        <w:sdtEndPr/>
        <w:sdtContent>
          <w:r w:rsidR="0098092A">
            <w:rPr>
              <w:lang w:val="en-GB"/>
            </w:rPr>
            <w:fldChar w:fldCharType="begin"/>
          </w:r>
          <w:r w:rsidR="0098092A" w:rsidRPr="00524221">
            <w:rPr>
              <w:lang w:val="en-GB"/>
            </w:rPr>
            <w:instrText xml:space="preserve"> CITATION KPM20 \l 1043 </w:instrText>
          </w:r>
          <w:r w:rsidR="0098092A">
            <w:rPr>
              <w:lang w:val="en-GB"/>
            </w:rPr>
            <w:fldChar w:fldCharType="separate"/>
          </w:r>
          <w:r w:rsidR="0058607C" w:rsidRPr="0058607C">
            <w:rPr>
              <w:noProof/>
              <w:lang w:val="en-GB"/>
            </w:rPr>
            <w:t>(KPMG, 2020)</w:t>
          </w:r>
          <w:r w:rsidR="0098092A">
            <w:rPr>
              <w:lang w:val="en-GB"/>
            </w:rPr>
            <w:fldChar w:fldCharType="end"/>
          </w:r>
        </w:sdtContent>
      </w:sdt>
      <w:r w:rsidR="0098092A">
        <w:rPr>
          <w:lang w:val="en-GB"/>
        </w:rPr>
        <w:t xml:space="preserve"> decreasing further still from 18% in 2010 and 15% in 2020 </w:t>
      </w:r>
      <w:r w:rsidR="0098092A" w:rsidRPr="00CE4192">
        <w:rPr>
          <w:noProof/>
          <w:lang w:val="en-GB"/>
        </w:rPr>
        <w:t>(</w:t>
      </w:r>
      <w:r w:rsidR="0098092A">
        <w:rPr>
          <w:noProof/>
          <w:lang w:val="en-GB"/>
        </w:rPr>
        <w:t>FD</w:t>
      </w:r>
      <w:r w:rsidR="0098092A" w:rsidRPr="00CE4192">
        <w:rPr>
          <w:noProof/>
          <w:lang w:val="en-GB"/>
        </w:rPr>
        <w:t>, 2020)</w:t>
      </w:r>
      <w:r w:rsidR="0098092A">
        <w:rPr>
          <w:lang w:val="en-GB"/>
        </w:rPr>
        <w:t>.</w:t>
      </w:r>
    </w:p>
    <w:p w14:paraId="196882BF" w14:textId="68C6E7E0" w:rsidR="00DD0CA0" w:rsidRPr="00DD0CA0" w:rsidRDefault="0098092A" w:rsidP="00C71FE6">
      <w:pPr>
        <w:spacing w:line="360" w:lineRule="auto"/>
        <w:rPr>
          <w:lang w:val="en-GB"/>
        </w:rPr>
      </w:pPr>
      <w:r>
        <w:rPr>
          <w:lang w:val="en-GB"/>
        </w:rPr>
        <w:t>Simultaneous with</w:t>
      </w:r>
      <w:r w:rsidR="00DD0CA0">
        <w:rPr>
          <w:lang w:val="en-GB"/>
        </w:rPr>
        <w:t xml:space="preserve"> the economic and financial malaise of the last decade</w:t>
      </w:r>
      <w:r>
        <w:rPr>
          <w:lang w:val="en-GB"/>
        </w:rPr>
        <w:t>,</w:t>
      </w:r>
      <w:r w:rsidR="00DD0CA0">
        <w:rPr>
          <w:lang w:val="en-GB"/>
        </w:rPr>
        <w:t xml:space="preserve"> environmental decay and income inequality also serve as critical issues which challenge the EU. The EU recognised the threat of climate change in ratifying the Paris Climate Accords </w:t>
      </w:r>
      <w:r w:rsidR="00DD0CA0" w:rsidRPr="00CE4192">
        <w:rPr>
          <w:noProof/>
          <w:lang w:val="en-GB"/>
        </w:rPr>
        <w:t>(</w:t>
      </w:r>
      <w:r w:rsidR="00DD0CA0">
        <w:rPr>
          <w:noProof/>
          <w:lang w:val="en-GB"/>
        </w:rPr>
        <w:t>UN</w:t>
      </w:r>
      <w:r w:rsidR="00DD0CA0" w:rsidRPr="00CE4192">
        <w:rPr>
          <w:noProof/>
          <w:lang w:val="en-GB"/>
        </w:rPr>
        <w:t>, 2015)</w:t>
      </w:r>
      <w:r w:rsidR="00DD0CA0">
        <w:rPr>
          <w:lang w:val="en-GB"/>
        </w:rPr>
        <w:t xml:space="preserve">. The effects of global warming certainly constitute a crisis as effects include more extreme weather, rising sea levels, and overall increased social and economic costs for the EU </w:t>
      </w:r>
      <w:r w:rsidR="00DD0CA0" w:rsidRPr="00CE4192">
        <w:rPr>
          <w:noProof/>
          <w:lang w:val="en-GB"/>
        </w:rPr>
        <w:t>(Commission, 2020)</w:t>
      </w:r>
      <w:r w:rsidR="00DD0CA0">
        <w:rPr>
          <w:lang w:val="en-GB"/>
        </w:rPr>
        <w:t xml:space="preserve">. Former Secretary of State (foreign affairs) Hillary Clinton claimed that increased shortage of water due to climate change in the Middle-East sparked another crisis, namely an influx of refugees in the EU </w:t>
      </w:r>
      <w:r w:rsidR="00DD0CA0" w:rsidRPr="00CE4192">
        <w:rPr>
          <w:noProof/>
          <w:lang w:val="en-GB"/>
        </w:rPr>
        <w:t>(</w:t>
      </w:r>
      <w:r w:rsidR="00DD0CA0">
        <w:rPr>
          <w:noProof/>
          <w:lang w:val="en-GB"/>
        </w:rPr>
        <w:t>CNN</w:t>
      </w:r>
      <w:r w:rsidR="00DD0CA0" w:rsidRPr="00CE4192">
        <w:rPr>
          <w:noProof/>
          <w:lang w:val="en-GB"/>
        </w:rPr>
        <w:t>, 2015)</w:t>
      </w:r>
      <w:r w:rsidR="00DD0CA0">
        <w:rPr>
          <w:lang w:val="en-GB"/>
        </w:rPr>
        <w:t xml:space="preserve">. Though the EU refugee crisis has fallen to the background, the UN in a </w:t>
      </w:r>
      <w:r w:rsidR="009542A1">
        <w:rPr>
          <w:lang w:val="en-GB"/>
        </w:rPr>
        <w:t xml:space="preserve">2019 </w:t>
      </w:r>
      <w:r w:rsidR="00DD0CA0">
        <w:rPr>
          <w:lang w:val="en-GB"/>
        </w:rPr>
        <w:t xml:space="preserve">report states that climate refugees will remain a dominant factor in migrations </w:t>
      </w:r>
      <w:sdt>
        <w:sdtPr>
          <w:rPr>
            <w:lang w:val="en-GB"/>
          </w:rPr>
          <w:id w:val="141633996"/>
          <w:citation/>
        </w:sdtPr>
        <w:sdtEndPr/>
        <w:sdtContent>
          <w:r w:rsidR="00DD0CA0">
            <w:rPr>
              <w:lang w:val="en-GB"/>
            </w:rPr>
            <w:fldChar w:fldCharType="begin"/>
          </w:r>
          <w:r w:rsidR="00DD0CA0" w:rsidRPr="001348A0">
            <w:rPr>
              <w:lang w:val="en-GB"/>
            </w:rPr>
            <w:instrText xml:space="preserve"> CITATION UNH19 \l 1043 </w:instrText>
          </w:r>
          <w:r w:rsidR="00DD0CA0">
            <w:rPr>
              <w:lang w:val="en-GB"/>
            </w:rPr>
            <w:fldChar w:fldCharType="separate"/>
          </w:r>
          <w:r w:rsidR="0058607C" w:rsidRPr="0058607C">
            <w:rPr>
              <w:noProof/>
              <w:lang w:val="en-GB"/>
            </w:rPr>
            <w:t>(UNHCR, 2019)</w:t>
          </w:r>
          <w:r w:rsidR="00DD0CA0">
            <w:rPr>
              <w:lang w:val="en-GB"/>
            </w:rPr>
            <w:fldChar w:fldCharType="end"/>
          </w:r>
        </w:sdtContent>
      </w:sdt>
      <w:r w:rsidR="00DD0CA0">
        <w:rPr>
          <w:lang w:val="en-GB"/>
        </w:rPr>
        <w:t xml:space="preserve">. In addition to global warming and a recession income inequality has increased significantly over the last 40 years within the EU </w:t>
      </w:r>
      <w:r w:rsidR="00DF09BE">
        <w:rPr>
          <w:lang w:val="en-GB"/>
        </w:rPr>
        <w:t xml:space="preserve">and perceived as a social crisis </w:t>
      </w:r>
      <w:r w:rsidR="00DD0CA0" w:rsidRPr="00CE4192">
        <w:rPr>
          <w:noProof/>
          <w:lang w:val="en-GB"/>
        </w:rPr>
        <w:t>(OECD, 2017)</w:t>
      </w:r>
      <w:r w:rsidR="00DD0CA0">
        <w:rPr>
          <w:lang w:val="en-GB"/>
        </w:rPr>
        <w:t xml:space="preserve">. In EU Member State the Netherlands the richest 10% of </w:t>
      </w:r>
      <w:r w:rsidR="00DD0CA0">
        <w:rPr>
          <w:lang w:val="en-GB"/>
        </w:rPr>
        <w:lastRenderedPageBreak/>
        <w:t>people own at least 67% of all the household wealth</w:t>
      </w:r>
      <w:r w:rsidR="0058607C">
        <w:rPr>
          <w:lang w:val="en-GB"/>
        </w:rPr>
        <w:t xml:space="preserve"> (CBS, 2020)</w:t>
      </w:r>
      <w:r w:rsidR="00DD0CA0">
        <w:rPr>
          <w:lang w:val="en-GB"/>
        </w:rPr>
        <w:t xml:space="preserve">. Overall in EU, the richest 20% earns 5.1 times more income than the poorest 20% </w:t>
      </w:r>
      <w:r w:rsidR="00DD0CA0" w:rsidRPr="00CE4192">
        <w:rPr>
          <w:noProof/>
          <w:lang w:val="en-GB"/>
        </w:rPr>
        <w:t>(Eurostat, 2019)</w:t>
      </w:r>
      <w:r w:rsidR="00DD0CA0">
        <w:rPr>
          <w:lang w:val="en-GB"/>
        </w:rPr>
        <w:t xml:space="preserve">. </w:t>
      </w:r>
      <w:r w:rsidR="00C66CF0">
        <w:rPr>
          <w:lang w:val="en-GB"/>
        </w:rPr>
        <w:t xml:space="preserve">OECD figures show that income from labour’s share of national income fell from 66.1% to 61.7% from 1990 to 2009, an indication that inequality increased as capital endowment is more concentrated than that of labour </w:t>
      </w:r>
      <w:r w:rsidR="00C66CF0" w:rsidRPr="00CE4192">
        <w:rPr>
          <w:noProof/>
          <w:lang w:val="en-GB"/>
        </w:rPr>
        <w:t>(OECD, 2015)</w:t>
      </w:r>
      <w:r w:rsidR="00C66CF0">
        <w:rPr>
          <w:lang w:val="en-GB"/>
        </w:rPr>
        <w:t xml:space="preserve">. </w:t>
      </w:r>
      <w:r w:rsidR="00DD0CA0">
        <w:rPr>
          <w:lang w:val="en-GB"/>
        </w:rPr>
        <w:t xml:space="preserve">Indeed, EU policy approves forms of state aid precisely because they aim to diminish (regional) discrepancies </w:t>
      </w:r>
      <w:r w:rsidR="00DD0CA0" w:rsidRPr="00CE4192">
        <w:rPr>
          <w:noProof/>
          <w:lang w:val="en-GB"/>
        </w:rPr>
        <w:t>(Commission, 2012</w:t>
      </w:r>
      <w:r w:rsidR="00DD0CA0">
        <w:rPr>
          <w:noProof/>
          <w:lang w:val="en-GB"/>
        </w:rPr>
        <w:t>)</w:t>
      </w:r>
      <w:r w:rsidR="00DD0CA0">
        <w:rPr>
          <w:lang w:val="en-GB"/>
        </w:rPr>
        <w:t xml:space="preserve">. </w:t>
      </w:r>
      <w:r w:rsidR="009542A1">
        <w:rPr>
          <w:lang w:val="en-GB"/>
        </w:rPr>
        <w:t>C</w:t>
      </w:r>
      <w:r w:rsidR="00DD0CA0">
        <w:rPr>
          <w:lang w:val="en-GB"/>
        </w:rPr>
        <w:t>ombatting regional inequality serves as one of the arguments for allowing state aid</w:t>
      </w:r>
      <w:r w:rsidR="000F29BA">
        <w:rPr>
          <w:lang w:val="en-GB"/>
        </w:rPr>
        <w:t xml:space="preserve"> within the regional aid guidelines</w:t>
      </w:r>
      <w:r w:rsidR="00C66CF0">
        <w:rPr>
          <w:lang w:val="en-GB"/>
        </w:rPr>
        <w:t xml:space="preserve"> </w:t>
      </w:r>
      <w:r w:rsidR="00C66CF0" w:rsidRPr="00C66CF0">
        <w:rPr>
          <w:noProof/>
          <w:lang w:val="en-GB"/>
        </w:rPr>
        <w:t>(Commission, 2013)</w:t>
      </w:r>
      <w:r w:rsidR="00DD0CA0">
        <w:rPr>
          <w:lang w:val="en-GB"/>
        </w:rPr>
        <w:t xml:space="preserve">. </w:t>
      </w:r>
    </w:p>
    <w:p w14:paraId="36DD0BD6" w14:textId="507C336F" w:rsidR="000954D2" w:rsidRPr="003A5DC3" w:rsidRDefault="003A5DC3" w:rsidP="00C71FE6">
      <w:pPr>
        <w:spacing w:line="360" w:lineRule="auto"/>
        <w:rPr>
          <w:i/>
          <w:lang w:val="en-GB"/>
        </w:rPr>
      </w:pPr>
      <w:r w:rsidRPr="003A5DC3">
        <w:rPr>
          <w:i/>
          <w:lang w:val="en-GB"/>
        </w:rPr>
        <w:t xml:space="preserve">   </w:t>
      </w:r>
      <w:r w:rsidR="000954D2" w:rsidRPr="003A5DC3">
        <w:rPr>
          <w:i/>
          <w:lang w:val="en-GB"/>
        </w:rPr>
        <w:br w:type="page"/>
      </w:r>
    </w:p>
    <w:p w14:paraId="57F84C2A" w14:textId="4073B632" w:rsidR="00215CC2" w:rsidRDefault="000C4D41" w:rsidP="00C71FE6">
      <w:pPr>
        <w:spacing w:line="360" w:lineRule="auto"/>
        <w:rPr>
          <w:lang w:val="en-US"/>
        </w:rPr>
      </w:pPr>
      <w:r>
        <w:rPr>
          <w:lang w:val="en-GB"/>
        </w:rPr>
        <w:lastRenderedPageBreak/>
        <w:t>Next step in the causal mechanism involves the creation of new coalitions. Here are portrayed multiple stakeholders who changed their position from favouring vertical to horizontal.</w:t>
      </w:r>
      <w:r w:rsidR="003F7671">
        <w:rPr>
          <w:lang w:val="en-GB"/>
        </w:rPr>
        <w:t xml:space="preserve"> In broader terms it also depicts shifts in preferences in terms of austerity, as it closely related to the manoeuvrability of state interventionism through subsidies and aid. </w:t>
      </w:r>
      <w:r w:rsidR="002D4255">
        <w:rPr>
          <w:lang w:val="en-GB"/>
        </w:rPr>
        <w:t xml:space="preserve">In 2019 Germany’s and France’s ministers of finance Altmaier and Le Maire, respectively, jointly asked for a more rigorous EU industrial Policy </w:t>
      </w:r>
      <w:sdt>
        <w:sdtPr>
          <w:rPr>
            <w:lang w:val="en-GB"/>
          </w:rPr>
          <w:id w:val="-31652321"/>
          <w:citation/>
        </w:sdtPr>
        <w:sdtEndPr/>
        <w:sdtContent>
          <w:r w:rsidR="002D4255">
            <w:rPr>
              <w:lang w:val="en-GB"/>
            </w:rPr>
            <w:fldChar w:fldCharType="begin"/>
          </w:r>
          <w:r w:rsidR="002D4255">
            <w:rPr>
              <w:lang w:val="en-GB"/>
            </w:rPr>
            <w:instrText xml:space="preserve">CITATION Alt19 \l 1043 </w:instrText>
          </w:r>
          <w:r w:rsidR="002D4255">
            <w:rPr>
              <w:lang w:val="en-GB"/>
            </w:rPr>
            <w:fldChar w:fldCharType="separate"/>
          </w:r>
          <w:r w:rsidR="0058607C" w:rsidRPr="0058607C">
            <w:rPr>
              <w:noProof/>
              <w:lang w:val="en-GB"/>
            </w:rPr>
            <w:t>(Altmaier &amp; Maire, 2019)</w:t>
          </w:r>
          <w:r w:rsidR="002D4255">
            <w:rPr>
              <w:lang w:val="en-GB"/>
            </w:rPr>
            <w:fldChar w:fldCharType="end"/>
          </w:r>
        </w:sdtContent>
      </w:sdt>
      <w:r w:rsidR="003F7671">
        <w:rPr>
          <w:lang w:val="en-GB"/>
        </w:rPr>
        <w:t>. Not everybody shared</w:t>
      </w:r>
      <w:r w:rsidR="002D4255">
        <w:rPr>
          <w:lang w:val="en-GB"/>
        </w:rPr>
        <w:t xml:space="preserve"> the enthusiasm: Question remains whether the industries chosen will prove to be winners. </w:t>
      </w:r>
      <w:proofErr w:type="spellStart"/>
      <w:r w:rsidR="002D4255">
        <w:rPr>
          <w:lang w:val="en-GB"/>
        </w:rPr>
        <w:t>Lannoo</w:t>
      </w:r>
      <w:proofErr w:type="spellEnd"/>
      <w:r w:rsidR="002D4255">
        <w:rPr>
          <w:lang w:val="en-GB"/>
        </w:rPr>
        <w:t xml:space="preserve"> of the European think tank CEPS pointed out that 12-13% of GDP was spent during the financial crisis, and it did not result in a rejuvenated system </w:t>
      </w:r>
      <w:r w:rsidR="002D4255" w:rsidRPr="00CE4192">
        <w:rPr>
          <w:noProof/>
          <w:lang w:val="en-GB"/>
        </w:rPr>
        <w:t>(</w:t>
      </w:r>
      <w:r w:rsidR="002D4255">
        <w:rPr>
          <w:noProof/>
          <w:lang w:val="en-GB"/>
        </w:rPr>
        <w:t>FD</w:t>
      </w:r>
      <w:r w:rsidR="002D4255" w:rsidRPr="00CE4192">
        <w:rPr>
          <w:noProof/>
          <w:lang w:val="en-GB"/>
        </w:rPr>
        <w:t xml:space="preserve"> , 2020)</w:t>
      </w:r>
      <w:r w:rsidR="002D4255">
        <w:rPr>
          <w:lang w:val="en-GB"/>
        </w:rPr>
        <w:t xml:space="preserve">. </w:t>
      </w:r>
      <w:r w:rsidR="00783084">
        <w:rPr>
          <w:lang w:val="en-GB"/>
        </w:rPr>
        <w:t xml:space="preserve">More specifically in regard to car batteries, even though the Commission has not yet concerned itself with the Berlin factory US manufacturer Tesla started constructing as of 2020, German minister of finance Peter </w:t>
      </w:r>
      <w:proofErr w:type="spellStart"/>
      <w:r w:rsidR="00783084">
        <w:rPr>
          <w:lang w:val="en-GB"/>
        </w:rPr>
        <w:t>Altmeier</w:t>
      </w:r>
      <w:proofErr w:type="spellEnd"/>
      <w:r w:rsidR="00783084">
        <w:rPr>
          <w:lang w:val="en-GB"/>
        </w:rPr>
        <w:t xml:space="preserve"> announced that the American company is welcome to apply for subsidies if they meet the criteria </w:t>
      </w:r>
      <w:r w:rsidR="00783084">
        <w:rPr>
          <w:noProof/>
          <w:lang w:val="en-US"/>
        </w:rPr>
        <w:t>(Politico, 2020)</w:t>
      </w:r>
      <w:r w:rsidR="00783084">
        <w:rPr>
          <w:lang w:val="en-GB"/>
        </w:rPr>
        <w:t>.</w:t>
      </w:r>
      <w:r w:rsidR="00783084" w:rsidRPr="00783084">
        <w:rPr>
          <w:lang w:val="en-GB"/>
        </w:rPr>
        <w:t xml:space="preserve"> </w:t>
      </w:r>
      <w:r w:rsidR="00A27CEC">
        <w:rPr>
          <w:lang w:val="en-GB"/>
        </w:rPr>
        <w:t xml:space="preserve">Earlier on, Germany also opted for vertical aid for a paper plant in an underdeveloped region near Hamburg. The Commission approved the aid with Commissioner Margrethe Vestager substantiated the approval by stating that public investments in less developed regions in Europe are important pillars local growth </w:t>
      </w:r>
      <w:r w:rsidR="00A27CEC" w:rsidRPr="00CE4192">
        <w:rPr>
          <w:noProof/>
          <w:lang w:val="en-GB"/>
        </w:rPr>
        <w:t>(Commission, 2016)</w:t>
      </w:r>
      <w:r w:rsidR="00A27CEC">
        <w:rPr>
          <w:lang w:val="en-GB"/>
        </w:rPr>
        <w:t>.</w:t>
      </w:r>
      <w:r w:rsidR="00215CC2">
        <w:rPr>
          <w:lang w:val="en-GB"/>
        </w:rPr>
        <w:t xml:space="preserve"> A turn to vertical industrial policy is backed by the EESC. They welcome the Commission steering the development of the car battery industry and deem it necessary. In their opinion report the Committee even states that the</w:t>
      </w:r>
      <w:r w:rsidR="00790B2E">
        <w:rPr>
          <w:lang w:val="en-GB"/>
        </w:rPr>
        <w:t>y</w:t>
      </w:r>
      <w:r w:rsidR="00215CC2">
        <w:rPr>
          <w:lang w:val="en-GB"/>
        </w:rPr>
        <w:t xml:space="preserve"> recognise the risk of “backing the wrong horse” through industrial policy, but are willing to take it. </w:t>
      </w:r>
      <w:r w:rsidR="00215CC2" w:rsidRPr="00FC2796">
        <w:rPr>
          <w:lang w:val="en-US"/>
        </w:rPr>
        <w:t>S</w:t>
      </w:r>
      <w:r w:rsidR="00215CC2">
        <w:rPr>
          <w:lang w:val="en-US"/>
        </w:rPr>
        <w:t>imultaneously, the EESC prefers the value chain methodology as it better suits circular thinking than the old sectoral approach (EESC, 2019: 6</w:t>
      </w:r>
      <w:r w:rsidR="00215CC2" w:rsidRPr="00FC2796">
        <w:rPr>
          <w:lang w:val="en-US"/>
        </w:rPr>
        <w:t xml:space="preserve">). </w:t>
      </w:r>
    </w:p>
    <w:p w14:paraId="39DDE775" w14:textId="26DC7C48" w:rsidR="002D4255" w:rsidRPr="00671B80" w:rsidRDefault="00783084" w:rsidP="00C71FE6">
      <w:pPr>
        <w:spacing w:line="360" w:lineRule="auto"/>
        <w:rPr>
          <w:i/>
          <w:lang w:val="en-GB"/>
        </w:rPr>
      </w:pPr>
      <w:r>
        <w:rPr>
          <w:lang w:val="en-GB"/>
        </w:rPr>
        <w:t xml:space="preserve">Apart from car batteries Member States also directly targeted other industries through vertical interventions. Germany, France and the Netherlands as they saved flight operators Lufthansa, Air France and KLM, respectively, under the condition that they work toward more environmentally friendly operations, among other things </w:t>
      </w:r>
      <w:r w:rsidRPr="00CE4192">
        <w:rPr>
          <w:noProof/>
          <w:lang w:val="en-GB"/>
        </w:rPr>
        <w:t>(</w:t>
      </w:r>
      <w:r>
        <w:rPr>
          <w:noProof/>
          <w:lang w:val="en-GB"/>
        </w:rPr>
        <w:t>FD</w:t>
      </w:r>
      <w:r w:rsidRPr="00CE4192">
        <w:rPr>
          <w:noProof/>
          <w:lang w:val="en-GB"/>
        </w:rPr>
        <w:t>, 2020)</w:t>
      </w:r>
      <w:r>
        <w:rPr>
          <w:lang w:val="en-GB"/>
        </w:rPr>
        <w:t xml:space="preserve">. Though these are interventions which resulted from the Corona virus, Dutch policy makers took increased interest in Air France-KLM already in 2019. Under the guise of securing the essential position KLM has in Dutch logistics, the state increased its holdings in the flight operator February 2019 </w:t>
      </w:r>
      <w:sdt>
        <w:sdtPr>
          <w:rPr>
            <w:lang w:val="en-GB"/>
          </w:rPr>
          <w:id w:val="-1759898809"/>
          <w:citation/>
        </w:sdtPr>
        <w:sdtEndPr/>
        <w:sdtContent>
          <w:r>
            <w:rPr>
              <w:lang w:val="en-GB"/>
            </w:rPr>
            <w:fldChar w:fldCharType="begin"/>
          </w:r>
          <w:r w:rsidRPr="00CB72A2">
            <w:rPr>
              <w:lang w:val="en-GB"/>
            </w:rPr>
            <w:instrText xml:space="preserve"> CITATION Rij19 \l 1043 </w:instrText>
          </w:r>
          <w:r>
            <w:rPr>
              <w:lang w:val="en-GB"/>
            </w:rPr>
            <w:fldChar w:fldCharType="separate"/>
          </w:r>
          <w:r w:rsidR="0058607C" w:rsidRPr="0058607C">
            <w:rPr>
              <w:noProof/>
              <w:lang w:val="en-GB"/>
            </w:rPr>
            <w:t>(Rijksoverheid, 2019)</w:t>
          </w:r>
          <w:r>
            <w:rPr>
              <w:lang w:val="en-GB"/>
            </w:rPr>
            <w:fldChar w:fldCharType="end"/>
          </w:r>
        </w:sdtContent>
      </w:sdt>
      <w:r>
        <w:rPr>
          <w:lang w:val="en-GB"/>
        </w:rPr>
        <w:t xml:space="preserve">. According to the Dutch government the indispensable role of KLM translates itself in the amount of jobs it creates, and which should be harboured. The state provided a similar logistics- and employment-argument in its explanation to Dutch Parliament on why it provided aid to shipbuilder IHC during the COVID-19 crisis </w:t>
      </w:r>
      <w:sdt>
        <w:sdtPr>
          <w:rPr>
            <w:lang w:val="en-GB"/>
          </w:rPr>
          <w:id w:val="1252938765"/>
          <w:citation/>
        </w:sdtPr>
        <w:sdtEndPr/>
        <w:sdtContent>
          <w:r>
            <w:rPr>
              <w:lang w:val="en-GB"/>
            </w:rPr>
            <w:fldChar w:fldCharType="begin"/>
          </w:r>
          <w:r w:rsidRPr="00227DFB">
            <w:rPr>
              <w:lang w:val="en-GB"/>
            </w:rPr>
            <w:instrText xml:space="preserve"> CITATION Wie20 \l 1043 </w:instrText>
          </w:r>
          <w:r>
            <w:rPr>
              <w:lang w:val="en-GB"/>
            </w:rPr>
            <w:fldChar w:fldCharType="separate"/>
          </w:r>
          <w:r w:rsidR="0058607C" w:rsidRPr="0058607C">
            <w:rPr>
              <w:noProof/>
              <w:lang w:val="en-GB"/>
            </w:rPr>
            <w:t>(Wiebes &amp; Vijlbrief, 2020)</w:t>
          </w:r>
          <w:r>
            <w:rPr>
              <w:lang w:val="en-GB"/>
            </w:rPr>
            <w:fldChar w:fldCharType="end"/>
          </w:r>
        </w:sdtContent>
      </w:sdt>
      <w:r>
        <w:rPr>
          <w:lang w:val="en-GB"/>
        </w:rPr>
        <w:t xml:space="preserve">. Other industrial aid does not fit the same picture. Additionally, July 2020 the Dutch state invested </w:t>
      </w:r>
      <w:r>
        <w:rPr>
          <w:rFonts w:cstheme="minorHAnsi"/>
          <w:lang w:val="en-GB"/>
        </w:rPr>
        <w:t>€</w:t>
      </w:r>
      <w:r>
        <w:rPr>
          <w:lang w:val="en-GB"/>
        </w:rPr>
        <w:t xml:space="preserve">20 million in tech-company Smart Photonics. The investment was presented as a part of the Corona measures packages, this public-private venture was however </w:t>
      </w:r>
      <w:r>
        <w:rPr>
          <w:lang w:val="en-GB"/>
        </w:rPr>
        <w:lastRenderedPageBreak/>
        <w:t>already under consideration in February 2019</w:t>
      </w:r>
      <w:r w:rsidR="006E7F2A" w:rsidRPr="006E7F2A">
        <w:rPr>
          <w:lang w:val="en-GB"/>
        </w:rPr>
        <w:t xml:space="preserve"> </w:t>
      </w:r>
      <w:sdt>
        <w:sdtPr>
          <w:rPr>
            <w:lang w:val="en-GB"/>
          </w:rPr>
          <w:id w:val="-1699608443"/>
          <w:citation/>
        </w:sdtPr>
        <w:sdtEndPr/>
        <w:sdtContent>
          <w:r w:rsidR="006E7F2A">
            <w:rPr>
              <w:lang w:val="en-GB"/>
            </w:rPr>
            <w:fldChar w:fldCharType="begin"/>
          </w:r>
          <w:r w:rsidR="006E7F2A" w:rsidRPr="00E868BD">
            <w:rPr>
              <w:lang w:val="en-GB"/>
            </w:rPr>
            <w:instrText xml:space="preserve"> CITATION Kei20 \l 1043 </w:instrText>
          </w:r>
          <w:r w:rsidR="006E7F2A">
            <w:rPr>
              <w:lang w:val="en-GB"/>
            </w:rPr>
            <w:fldChar w:fldCharType="separate"/>
          </w:r>
          <w:r w:rsidR="0058607C" w:rsidRPr="0058607C">
            <w:rPr>
              <w:noProof/>
              <w:lang w:val="en-GB"/>
            </w:rPr>
            <w:t>(Keijzer, 2020)</w:t>
          </w:r>
          <w:r w:rsidR="006E7F2A">
            <w:rPr>
              <w:lang w:val="en-GB"/>
            </w:rPr>
            <w:fldChar w:fldCharType="end"/>
          </w:r>
        </w:sdtContent>
      </w:sdt>
      <w:r>
        <w:rPr>
          <w:lang w:val="en-GB"/>
        </w:rPr>
        <w:t xml:space="preserve">. </w:t>
      </w:r>
      <w:r w:rsidR="00C276D0">
        <w:rPr>
          <w:lang w:val="en-GB"/>
        </w:rPr>
        <w:t xml:space="preserve">For reference, the Commission recognizes photonics as a Key Enabling Technology: An advanced technology which reserves significant growth potential for the EU </w:t>
      </w:r>
      <w:r w:rsidR="00C276D0" w:rsidRPr="004B5DA9">
        <w:rPr>
          <w:noProof/>
          <w:lang w:val="en-GB"/>
        </w:rPr>
        <w:t>(Commission, 2020)</w:t>
      </w:r>
      <w:r w:rsidR="00C276D0">
        <w:rPr>
          <w:lang w:val="en-GB"/>
        </w:rPr>
        <w:t xml:space="preserve">. </w:t>
      </w:r>
      <w:r w:rsidR="00641B07" w:rsidRPr="00641B07">
        <w:rPr>
          <w:rStyle w:val="js-about-item-abstr"/>
          <w:lang w:val="en-US"/>
        </w:rPr>
        <w:t xml:space="preserve">The </w:t>
      </w:r>
      <w:proofErr w:type="spellStart"/>
      <w:r w:rsidR="00641B07" w:rsidRPr="00641B07">
        <w:rPr>
          <w:rStyle w:val="js-about-item-abstr"/>
          <w:lang w:val="en-US"/>
        </w:rPr>
        <w:t>Organisation</w:t>
      </w:r>
      <w:proofErr w:type="spellEnd"/>
      <w:r w:rsidR="00641B07" w:rsidRPr="00641B07">
        <w:rPr>
          <w:rStyle w:val="js-about-item-abstr"/>
          <w:lang w:val="en-US"/>
        </w:rPr>
        <w:t xml:space="preserve"> for Economic Co-operation and Development (OECD) in a 2013 report recognize </w:t>
      </w:r>
      <w:r w:rsidR="00641B07">
        <w:rPr>
          <w:rStyle w:val="js-about-item-abstr"/>
          <w:lang w:val="en-US"/>
        </w:rPr>
        <w:t xml:space="preserve">the opportunities industrial policy might bring. However, the organization, to which many Member States are party, still prefers horizontal measures as otherwise one might risk rent-seeking behavior, government failure, and protectionism </w:t>
      </w:r>
      <w:r w:rsidR="00641B07">
        <w:rPr>
          <w:noProof/>
          <w:lang w:val="en-US"/>
        </w:rPr>
        <w:t>(Warwick, 2013)</w:t>
      </w:r>
      <w:r w:rsidR="00641B07">
        <w:rPr>
          <w:rStyle w:val="js-about-item-abstr"/>
          <w:lang w:val="en-US"/>
        </w:rPr>
        <w:t xml:space="preserve">. </w:t>
      </w:r>
      <w:r w:rsidR="00B06301">
        <w:rPr>
          <w:rStyle w:val="js-about-item-abstr"/>
          <w:lang w:val="en-US"/>
        </w:rPr>
        <w:t xml:space="preserve">Similarly, the otherwise reluctant UK Conservatists </w:t>
      </w:r>
      <w:r w:rsidR="00B06301" w:rsidRPr="00B06301">
        <w:rPr>
          <w:lang w:val="en-GB"/>
        </w:rPr>
        <w:t xml:space="preserve">embraced an interventionist state, but aim to rely primarily on horizontal investments. Under the slogan ‘Build </w:t>
      </w:r>
      <w:proofErr w:type="spellStart"/>
      <w:r w:rsidR="00B06301" w:rsidRPr="00B06301">
        <w:rPr>
          <w:lang w:val="en-GB"/>
        </w:rPr>
        <w:t>Build</w:t>
      </w:r>
      <w:proofErr w:type="spellEnd"/>
      <w:r w:rsidR="00B06301" w:rsidRPr="00B06301">
        <w:rPr>
          <w:lang w:val="en-GB"/>
        </w:rPr>
        <w:t xml:space="preserve"> </w:t>
      </w:r>
      <w:proofErr w:type="spellStart"/>
      <w:r w:rsidR="00B06301" w:rsidRPr="00B06301">
        <w:rPr>
          <w:lang w:val="en-GB"/>
        </w:rPr>
        <w:t>Build</w:t>
      </w:r>
      <w:proofErr w:type="spellEnd"/>
      <w:r w:rsidR="00B06301" w:rsidRPr="00B06301">
        <w:rPr>
          <w:lang w:val="en-GB"/>
        </w:rPr>
        <w:t xml:space="preserve">’ Prime-Minister Boris Johnson christened the investments in hospitals, infrastructure and schools a New Deal during in his Dudley address </w:t>
      </w:r>
      <w:r w:rsidR="00B06301" w:rsidRPr="00B06301">
        <w:rPr>
          <w:noProof/>
          <w:lang w:val="en-GB"/>
        </w:rPr>
        <w:t>(FD, 2020)</w:t>
      </w:r>
      <w:r w:rsidR="00B06301" w:rsidRPr="00B06301">
        <w:rPr>
          <w:lang w:val="en-GB"/>
        </w:rPr>
        <w:t xml:space="preserve">. Though this project may result from the COVID-19 economic contraction it should be noted that the 2019 Conservative Manifesto already contained the combination ‘new deal’ and announced </w:t>
      </w:r>
      <w:r w:rsidR="00B06301" w:rsidRPr="00B06301">
        <w:rPr>
          <w:rFonts w:cstheme="minorHAnsi"/>
          <w:lang w:val="en-GB"/>
        </w:rPr>
        <w:t>£</w:t>
      </w:r>
      <w:r w:rsidR="00B06301" w:rsidRPr="00B06301">
        <w:rPr>
          <w:lang w:val="en-GB"/>
        </w:rPr>
        <w:t xml:space="preserve">100 billion additional spending for infrastructure alone </w:t>
      </w:r>
      <w:sdt>
        <w:sdtPr>
          <w:rPr>
            <w:lang w:val="en-GB"/>
          </w:rPr>
          <w:id w:val="-1672875986"/>
          <w:citation/>
        </w:sdtPr>
        <w:sdtEndPr/>
        <w:sdtContent>
          <w:r w:rsidR="00B06301" w:rsidRPr="00B06301">
            <w:rPr>
              <w:lang w:val="en-GB"/>
            </w:rPr>
            <w:fldChar w:fldCharType="begin"/>
          </w:r>
          <w:r w:rsidR="00B06301" w:rsidRPr="00B06301">
            <w:rPr>
              <w:lang w:val="en-GB"/>
            </w:rPr>
            <w:instrText xml:space="preserve"> CITATION Con19 \l 1043 </w:instrText>
          </w:r>
          <w:r w:rsidR="00B06301" w:rsidRPr="00B06301">
            <w:rPr>
              <w:lang w:val="en-GB"/>
            </w:rPr>
            <w:fldChar w:fldCharType="separate"/>
          </w:r>
          <w:r w:rsidR="0058607C" w:rsidRPr="0058607C">
            <w:rPr>
              <w:noProof/>
              <w:lang w:val="en-GB"/>
            </w:rPr>
            <w:t>(Conservatists, 2019)</w:t>
          </w:r>
          <w:r w:rsidR="00B06301" w:rsidRPr="00B06301">
            <w:rPr>
              <w:lang w:val="en-GB"/>
            </w:rPr>
            <w:fldChar w:fldCharType="end"/>
          </w:r>
        </w:sdtContent>
      </w:sdt>
      <w:r w:rsidR="00B06301" w:rsidRPr="00B06301">
        <w:rPr>
          <w:lang w:val="en-GB"/>
        </w:rPr>
        <w:t>.</w:t>
      </w:r>
    </w:p>
    <w:p w14:paraId="735CB354" w14:textId="7FAC44F3" w:rsidR="002D4255" w:rsidRDefault="002D4255" w:rsidP="00C71FE6">
      <w:pPr>
        <w:spacing w:line="360" w:lineRule="auto"/>
        <w:rPr>
          <w:lang w:val="en-GB"/>
        </w:rPr>
      </w:pPr>
      <w:r>
        <w:rPr>
          <w:lang w:val="en-GB"/>
        </w:rPr>
        <w:t xml:space="preserve">Though vertical policy is not mentioned explicitly, </w:t>
      </w:r>
      <w:r w:rsidR="00783084">
        <w:rPr>
          <w:lang w:val="en-GB"/>
        </w:rPr>
        <w:t>most car EU car manufacturers agree with the Commission’s reasoning behind green mobility and the subsequent policy recommendations</w:t>
      </w:r>
      <w:r>
        <w:rPr>
          <w:lang w:val="en-GB"/>
        </w:rPr>
        <w:t xml:space="preserve">, though some hurdles remain. </w:t>
      </w:r>
      <w:r w:rsidR="00783084">
        <w:rPr>
          <w:lang w:val="en-GB"/>
        </w:rPr>
        <w:t>One such hurdle is the Corona crisis as</w:t>
      </w:r>
      <w:r>
        <w:rPr>
          <w:lang w:val="en-GB"/>
        </w:rPr>
        <w:t xml:space="preserve"> car associations ACEA, CLEPA, ETRMA, and CECRA send a joint letter to the Von der Leyen Commission seeking relaxation (adjustment to timing) of particular laws </w:t>
      </w:r>
      <w:sdt>
        <w:sdtPr>
          <w:rPr>
            <w:lang w:val="en-GB"/>
          </w:rPr>
          <w:id w:val="808747898"/>
          <w:citation/>
        </w:sdtPr>
        <w:sdtEndPr/>
        <w:sdtContent>
          <w:r>
            <w:rPr>
              <w:lang w:val="en-GB"/>
            </w:rPr>
            <w:fldChar w:fldCharType="begin"/>
          </w:r>
          <w:r w:rsidRPr="00B12F8C">
            <w:rPr>
              <w:lang w:val="en-US"/>
            </w:rPr>
            <w:instrText xml:space="preserve"> CITATION ACE20 \l 1043 </w:instrText>
          </w:r>
          <w:r>
            <w:rPr>
              <w:lang w:val="en-GB"/>
            </w:rPr>
            <w:fldChar w:fldCharType="separate"/>
          </w:r>
          <w:r w:rsidR="0058607C" w:rsidRPr="0058607C">
            <w:rPr>
              <w:noProof/>
              <w:lang w:val="en-US"/>
            </w:rPr>
            <w:t>(ACEA, CLEPA, ETRMA, &amp; CECRA, 2020)</w:t>
          </w:r>
          <w:r>
            <w:rPr>
              <w:lang w:val="en-GB"/>
            </w:rPr>
            <w:fldChar w:fldCharType="end"/>
          </w:r>
        </w:sdtContent>
      </w:sdt>
      <w:r>
        <w:rPr>
          <w:lang w:val="en-GB"/>
        </w:rPr>
        <w:t xml:space="preserve">. However, the car industry does not stand as one since BMW pleads that the EU should preserve its green goals, despite the crisis </w:t>
      </w:r>
      <w:r w:rsidRPr="00CE4192">
        <w:rPr>
          <w:noProof/>
          <w:lang w:val="en-GB"/>
        </w:rPr>
        <w:t>(</w:t>
      </w:r>
      <w:r>
        <w:rPr>
          <w:noProof/>
          <w:lang w:val="en-GB"/>
        </w:rPr>
        <w:t>FD</w:t>
      </w:r>
      <w:r w:rsidRPr="00CE4192">
        <w:rPr>
          <w:noProof/>
          <w:lang w:val="en-GB"/>
        </w:rPr>
        <w:t>, 2020)</w:t>
      </w:r>
      <w:r>
        <w:rPr>
          <w:lang w:val="en-GB"/>
        </w:rPr>
        <w:t xml:space="preserve">. </w:t>
      </w:r>
      <w:r w:rsidRPr="008F681F">
        <w:rPr>
          <w:lang w:val="en-GB"/>
        </w:rPr>
        <w:t xml:space="preserve">Julia </w:t>
      </w:r>
      <w:proofErr w:type="spellStart"/>
      <w:r w:rsidRPr="008F681F">
        <w:rPr>
          <w:lang w:val="en-GB"/>
        </w:rPr>
        <w:t>Poliscanova</w:t>
      </w:r>
      <w:proofErr w:type="spellEnd"/>
      <w:r>
        <w:rPr>
          <w:lang w:val="en-GB"/>
        </w:rPr>
        <w:t xml:space="preserve"> of the clean transport lobby group Transport &amp; Environment added that next to BMW, </w:t>
      </w:r>
      <w:proofErr w:type="spellStart"/>
      <w:r>
        <w:rPr>
          <w:lang w:val="en-GB"/>
        </w:rPr>
        <w:t>VolksWagen</w:t>
      </w:r>
      <w:proofErr w:type="spellEnd"/>
      <w:r>
        <w:rPr>
          <w:lang w:val="en-GB"/>
        </w:rPr>
        <w:t xml:space="preserve"> and Daimler claim roll-back of green policy is not needed and a crisis should not be used as an excuse to relax climate targets as means of support </w:t>
      </w:r>
      <w:r w:rsidRPr="00CE4192">
        <w:rPr>
          <w:noProof/>
          <w:lang w:val="en-US"/>
        </w:rPr>
        <w:t>(</w:t>
      </w:r>
      <w:r>
        <w:rPr>
          <w:noProof/>
          <w:lang w:val="en-US"/>
        </w:rPr>
        <w:t>Transport &amp; Environment</w:t>
      </w:r>
      <w:r w:rsidRPr="00CE4192">
        <w:rPr>
          <w:noProof/>
          <w:lang w:val="en-US"/>
        </w:rPr>
        <w:t>, 2020)</w:t>
      </w:r>
      <w:r>
        <w:rPr>
          <w:lang w:val="en-GB"/>
        </w:rPr>
        <w:t xml:space="preserve">. </w:t>
      </w:r>
    </w:p>
    <w:p w14:paraId="62FAF849" w14:textId="5113F35E" w:rsidR="00B06301" w:rsidRPr="009E00B3" w:rsidRDefault="002D4255" w:rsidP="00C71FE6">
      <w:pPr>
        <w:spacing w:line="360" w:lineRule="auto"/>
        <w:rPr>
          <w:i/>
          <w:lang w:val="en-GB"/>
        </w:rPr>
      </w:pPr>
      <w:r>
        <w:rPr>
          <w:lang w:val="en-GB"/>
        </w:rPr>
        <w:t>Regarding state fiscal stimuli more generally</w:t>
      </w:r>
      <w:r w:rsidR="00641B07">
        <w:rPr>
          <w:lang w:val="en-GB"/>
        </w:rPr>
        <w:t xml:space="preserve"> </w:t>
      </w:r>
      <w:r w:rsidR="009542A1">
        <w:rPr>
          <w:lang w:val="en-GB"/>
        </w:rPr>
        <w:t xml:space="preserve">international organisations such </w:t>
      </w:r>
      <w:r>
        <w:rPr>
          <w:lang w:val="en-GB"/>
        </w:rPr>
        <w:t>as</w:t>
      </w:r>
      <w:r w:rsidR="009542A1">
        <w:rPr>
          <w:lang w:val="en-GB"/>
        </w:rPr>
        <w:t xml:space="preserve"> the International Monetary Fund (IMF)</w:t>
      </w:r>
      <w:r w:rsidR="00641B07">
        <w:rPr>
          <w:lang w:val="en-GB"/>
        </w:rPr>
        <w:t xml:space="preserve"> appear to have made a turn around</w:t>
      </w:r>
      <w:r w:rsidR="009542A1">
        <w:rPr>
          <w:lang w:val="en-GB"/>
        </w:rPr>
        <w:t xml:space="preserve">. </w:t>
      </w:r>
      <w:r w:rsidR="00766A78">
        <w:rPr>
          <w:lang w:val="en-GB"/>
        </w:rPr>
        <w:t>Ten years ago the IMF advised policy makers to deter from fiscal stimuli in favour of fiscal consolidation</w:t>
      </w:r>
      <w:r w:rsidR="009542A1">
        <w:rPr>
          <w:lang w:val="en-GB"/>
        </w:rPr>
        <w:t>, meaning that the organisation preached austerity, rather than state aid</w:t>
      </w:r>
      <w:r w:rsidR="00766A78">
        <w:rPr>
          <w:lang w:val="en-GB"/>
        </w:rPr>
        <w:t xml:space="preserve"> </w:t>
      </w:r>
      <w:r w:rsidR="00766A78" w:rsidRPr="00CE4192">
        <w:rPr>
          <w:noProof/>
          <w:lang w:val="en-GB"/>
        </w:rPr>
        <w:t>(IMF, 2</w:t>
      </w:r>
      <w:r w:rsidR="00766A78">
        <w:rPr>
          <w:noProof/>
          <w:lang w:val="en-GB"/>
        </w:rPr>
        <w:t>0</w:t>
      </w:r>
      <w:r w:rsidR="00766A78" w:rsidRPr="00CE4192">
        <w:rPr>
          <w:noProof/>
          <w:lang w:val="en-GB"/>
        </w:rPr>
        <w:t>10</w:t>
      </w:r>
      <w:r w:rsidR="00766A78" w:rsidRPr="006E1607">
        <w:rPr>
          <w:noProof/>
          <w:lang w:val="en-GB"/>
        </w:rPr>
        <w:t>)</w:t>
      </w:r>
      <w:r w:rsidR="00661566">
        <w:rPr>
          <w:lang w:val="en-GB"/>
        </w:rPr>
        <w:t xml:space="preserve">. </w:t>
      </w:r>
      <w:r w:rsidR="00766A78" w:rsidRPr="006E1607">
        <w:rPr>
          <w:lang w:val="en-GB"/>
        </w:rPr>
        <w:t>The bi-annual report of May 2020</w:t>
      </w:r>
      <w:r w:rsidR="00641B07">
        <w:rPr>
          <w:lang w:val="en-GB"/>
        </w:rPr>
        <w:t>, on the other hand,</w:t>
      </w:r>
      <w:r w:rsidR="00766A78" w:rsidRPr="006E1607">
        <w:rPr>
          <w:lang w:val="en-GB"/>
        </w:rPr>
        <w:t xml:space="preserve"> included IMF policy advice encouraging countries to take advantage of the low interest rate and invest </w:t>
      </w:r>
      <w:r w:rsidR="00766A78">
        <w:rPr>
          <w:rFonts w:cstheme="minorHAnsi"/>
          <w:lang w:val="en-GB"/>
        </w:rPr>
        <w:t>€</w:t>
      </w:r>
      <w:r w:rsidR="00766A78" w:rsidRPr="006E1607">
        <w:rPr>
          <w:lang w:val="en-GB"/>
        </w:rPr>
        <w:t xml:space="preserve">20 trillion globally to spur the slow economic growth and stimulate environmental protection </w:t>
      </w:r>
      <w:r w:rsidR="00766A78" w:rsidRPr="006E1607">
        <w:rPr>
          <w:noProof/>
          <w:lang w:val="en-GB"/>
        </w:rPr>
        <w:t>(IMF, 2020)</w:t>
      </w:r>
      <w:r w:rsidR="00766A78">
        <w:rPr>
          <w:lang w:val="en-GB"/>
        </w:rPr>
        <w:t>. In 2010 the IMF deemed austerity programs best-practice for combatting cris</w:t>
      </w:r>
      <w:r w:rsidR="00661566">
        <w:rPr>
          <w:lang w:val="en-GB"/>
        </w:rPr>
        <w:t>e</w:t>
      </w:r>
      <w:r w:rsidR="00766A78">
        <w:rPr>
          <w:lang w:val="en-GB"/>
        </w:rPr>
        <w:t xml:space="preserve">s, now the IMF pleads that public spending should </w:t>
      </w:r>
      <w:r w:rsidR="00766A78" w:rsidRPr="00661566">
        <w:rPr>
          <w:i/>
          <w:lang w:val="en-GB"/>
        </w:rPr>
        <w:t>in</w:t>
      </w:r>
      <w:r w:rsidR="00766A78">
        <w:rPr>
          <w:lang w:val="en-GB"/>
        </w:rPr>
        <w:t xml:space="preserve">crease </w:t>
      </w:r>
      <w:r w:rsidR="00661566">
        <w:rPr>
          <w:lang w:val="en-GB"/>
        </w:rPr>
        <w:t>during</w:t>
      </w:r>
      <w:r w:rsidR="00766A78">
        <w:rPr>
          <w:lang w:val="en-GB"/>
        </w:rPr>
        <w:t xml:space="preserve"> crises. </w:t>
      </w:r>
      <w:r>
        <w:rPr>
          <w:lang w:val="en-GB"/>
        </w:rPr>
        <w:t>Within the EU Member State</w:t>
      </w:r>
      <w:r w:rsidR="00766A78">
        <w:rPr>
          <w:lang w:val="en-GB"/>
        </w:rPr>
        <w:t xml:space="preserve"> Germany, generally known for its budgetary discipline, appears to have accepted looser fiscal policy. Apart from a generous state aid package in response to corona, minister of foreign affairs Heiko Maas in April stated that the austerity measures of the troika in the wake of the Great </w:t>
      </w:r>
      <w:r w:rsidR="00766A78">
        <w:rPr>
          <w:lang w:val="en-GB"/>
        </w:rPr>
        <w:lastRenderedPageBreak/>
        <w:t xml:space="preserve">Recession and </w:t>
      </w:r>
      <w:proofErr w:type="spellStart"/>
      <w:r w:rsidR="00766A78">
        <w:rPr>
          <w:lang w:val="en-GB"/>
        </w:rPr>
        <w:t>Eurocrisis</w:t>
      </w:r>
      <w:proofErr w:type="spellEnd"/>
      <w:r w:rsidR="00766A78">
        <w:rPr>
          <w:lang w:val="en-GB"/>
        </w:rPr>
        <w:t xml:space="preserve"> were excessive and even compared them to torture devices </w:t>
      </w:r>
      <w:sdt>
        <w:sdtPr>
          <w:rPr>
            <w:lang w:val="en-GB"/>
          </w:rPr>
          <w:id w:val="-364210580"/>
          <w:citation/>
        </w:sdtPr>
        <w:sdtEndPr/>
        <w:sdtContent>
          <w:r w:rsidR="00766A78">
            <w:rPr>
              <w:lang w:val="en-GB"/>
            </w:rPr>
            <w:fldChar w:fldCharType="begin"/>
          </w:r>
          <w:r w:rsidR="00766A78" w:rsidRPr="00B558F6">
            <w:rPr>
              <w:lang w:val="en-US"/>
            </w:rPr>
            <w:instrText xml:space="preserve"> CITATION Hei20 \l 1043 </w:instrText>
          </w:r>
          <w:r w:rsidR="00766A78">
            <w:rPr>
              <w:lang w:val="en-GB"/>
            </w:rPr>
            <w:fldChar w:fldCharType="separate"/>
          </w:r>
          <w:r w:rsidR="0058607C" w:rsidRPr="0058607C">
            <w:rPr>
              <w:noProof/>
              <w:lang w:val="en-US"/>
            </w:rPr>
            <w:t>(Maas, 2020)</w:t>
          </w:r>
          <w:r w:rsidR="00766A78">
            <w:rPr>
              <w:lang w:val="en-GB"/>
            </w:rPr>
            <w:fldChar w:fldCharType="end"/>
          </w:r>
        </w:sdtContent>
      </w:sdt>
      <w:r w:rsidR="00766A78">
        <w:rPr>
          <w:lang w:val="en-GB"/>
        </w:rPr>
        <w:t xml:space="preserve">. On top of that Wolfgang Schäuble, ex-minister of finance, agreed that in light of the Corona-Crisis the EU should aid the Member States, though he also warned for the risks of increased debt in debtor Member States </w:t>
      </w:r>
      <w:r w:rsidR="00766A78" w:rsidRPr="00CE4192">
        <w:rPr>
          <w:noProof/>
          <w:lang w:val="en-GB"/>
        </w:rPr>
        <w:t>(</w:t>
      </w:r>
      <w:r w:rsidR="00766A78">
        <w:rPr>
          <w:noProof/>
          <w:lang w:val="en-GB"/>
        </w:rPr>
        <w:t>FD</w:t>
      </w:r>
      <w:r w:rsidR="00766A78" w:rsidRPr="00CE4192">
        <w:rPr>
          <w:noProof/>
          <w:lang w:val="en-GB"/>
        </w:rPr>
        <w:t>, 2020</w:t>
      </w:r>
      <w:r w:rsidR="00766A78">
        <w:rPr>
          <w:noProof/>
          <w:lang w:val="en-GB"/>
        </w:rPr>
        <w:t>)</w:t>
      </w:r>
      <w:r w:rsidR="00766A78">
        <w:rPr>
          <w:lang w:val="en-GB"/>
        </w:rPr>
        <w:t xml:space="preserve">. </w:t>
      </w:r>
      <w:r w:rsidR="00432F3A">
        <w:rPr>
          <w:lang w:val="en-GB"/>
        </w:rPr>
        <w:t xml:space="preserve">The European Central Bank </w:t>
      </w:r>
      <w:r w:rsidR="00B06301">
        <w:rPr>
          <w:lang w:val="en-GB"/>
        </w:rPr>
        <w:t>pointed out the EU manufacturing sector in particular.</w:t>
      </w:r>
      <w:r w:rsidR="00B06301" w:rsidRPr="00B06301">
        <w:rPr>
          <w:i/>
          <w:lang w:val="en-GB"/>
        </w:rPr>
        <w:t xml:space="preserve"> </w:t>
      </w:r>
      <w:r w:rsidR="00B06301" w:rsidRPr="00B06301">
        <w:rPr>
          <w:lang w:val="en-GB"/>
        </w:rPr>
        <w:t xml:space="preserve">In her 2019 opening address as head of the ECB Christine Lagarde pointed out that the European manufacturing sector is ailing and that Europe should increase public investments and innovate more in order to stay competitive </w:t>
      </w:r>
      <w:r w:rsidR="00B06301" w:rsidRPr="00B06301">
        <w:rPr>
          <w:noProof/>
          <w:lang w:val="en-GB"/>
        </w:rPr>
        <w:t>(ECB, 2019)</w:t>
      </w:r>
      <w:r w:rsidR="00B06301" w:rsidRPr="00B06301">
        <w:rPr>
          <w:lang w:val="en-GB"/>
        </w:rPr>
        <w:t>.</w:t>
      </w:r>
      <w:r w:rsidR="00B06301" w:rsidRPr="009E00B3">
        <w:rPr>
          <w:i/>
          <w:lang w:val="en-GB"/>
        </w:rPr>
        <w:t xml:space="preserve"> </w:t>
      </w:r>
    </w:p>
    <w:p w14:paraId="30BE98DD" w14:textId="02B43012" w:rsidR="000F29BA" w:rsidRDefault="00123B00" w:rsidP="00C71FE6">
      <w:pPr>
        <w:spacing w:line="360" w:lineRule="auto"/>
        <w:rPr>
          <w:lang w:val="en-GB"/>
        </w:rPr>
      </w:pPr>
      <w:r>
        <w:rPr>
          <w:lang w:val="en-GB"/>
        </w:rPr>
        <w:t xml:space="preserve">In terms of global value chains, a subject closely related to the battery value chain project, opinions appear to have diverted from a standard neoclassical approach. During the COVID-pandemic Member of European Parliament </w:t>
      </w:r>
      <w:r w:rsidRPr="002212FD">
        <w:rPr>
          <w:lang w:val="en-GB"/>
        </w:rPr>
        <w:t xml:space="preserve">Anna-Michelle </w:t>
      </w:r>
      <w:proofErr w:type="spellStart"/>
      <w:r w:rsidRPr="002212FD">
        <w:rPr>
          <w:lang w:val="en-GB"/>
        </w:rPr>
        <w:t>Asimakopoulou</w:t>
      </w:r>
      <w:proofErr w:type="spellEnd"/>
      <w:r w:rsidRPr="002212FD">
        <w:rPr>
          <w:lang w:val="en-GB"/>
        </w:rPr>
        <w:t xml:space="preserve"> </w:t>
      </w:r>
      <w:r>
        <w:rPr>
          <w:lang w:val="en-GB"/>
        </w:rPr>
        <w:t xml:space="preserve">of the EPP added that reshoring of industries would make the EU less susceptible to supply chain disruption, though MEP Barry Andrews of Renew Europe rebutted that mere diversification of suppliers would suffice </w:t>
      </w:r>
      <w:r w:rsidRPr="001311BF">
        <w:rPr>
          <w:noProof/>
          <w:lang w:val="en-GB"/>
        </w:rPr>
        <w:t>(</w:t>
      </w:r>
      <w:r>
        <w:rPr>
          <w:noProof/>
          <w:lang w:val="en-GB"/>
        </w:rPr>
        <w:t>Euranet Plus</w:t>
      </w:r>
      <w:r w:rsidRPr="001311BF">
        <w:rPr>
          <w:noProof/>
          <w:lang w:val="en-GB"/>
        </w:rPr>
        <w:t>, 2020)</w:t>
      </w:r>
      <w:r>
        <w:rPr>
          <w:lang w:val="en-GB"/>
        </w:rPr>
        <w:t xml:space="preserve">. The creation of a local EU battery industry coincides with World Bank research on global value chains and. A 2019 research finds that increased economic- and political uncertainty decreased value added by global value chains </w:t>
      </w:r>
      <w:r w:rsidRPr="00CE4192">
        <w:rPr>
          <w:noProof/>
          <w:lang w:val="en-GB"/>
        </w:rPr>
        <w:t>(</w:t>
      </w:r>
      <w:r>
        <w:rPr>
          <w:noProof/>
          <w:lang w:val="en-GB"/>
        </w:rPr>
        <w:t xml:space="preserve">World </w:t>
      </w:r>
      <w:r w:rsidRPr="00CE4192">
        <w:rPr>
          <w:noProof/>
          <w:lang w:val="en-GB"/>
        </w:rPr>
        <w:t>Bank, 2019)</w:t>
      </w:r>
      <w:r>
        <w:rPr>
          <w:lang w:val="en-GB"/>
        </w:rPr>
        <w:t xml:space="preserve">. Earlier World Bank research suggests that GVC add to productivity growth, with a 10% increase in GVC leading to a 1.7% increase in production. Incidentally, wages could rise 11% to 14% as a result of the productivity increase </w:t>
      </w:r>
      <w:r w:rsidRPr="00CE4192">
        <w:rPr>
          <w:noProof/>
          <w:lang w:val="en-GB"/>
        </w:rPr>
        <w:t>(</w:t>
      </w:r>
      <w:r>
        <w:rPr>
          <w:noProof/>
          <w:lang w:val="en-GB"/>
        </w:rPr>
        <w:t xml:space="preserve">World </w:t>
      </w:r>
      <w:r w:rsidRPr="00CE4192">
        <w:rPr>
          <w:noProof/>
          <w:lang w:val="en-GB"/>
        </w:rPr>
        <w:t>Bank, 2017)</w:t>
      </w:r>
      <w:r>
        <w:rPr>
          <w:lang w:val="en-GB"/>
        </w:rPr>
        <w:t xml:space="preserve">. The OECD in their preliminary economic outlook report of 2020 concurs as the international organisation also expects to see diminished GVC in favour of local production, hurting global efficiency </w:t>
      </w:r>
      <w:r w:rsidRPr="00CE4192">
        <w:rPr>
          <w:noProof/>
          <w:lang w:val="en-GB"/>
        </w:rPr>
        <w:t>(OECD, 2020)</w:t>
      </w:r>
      <w:r>
        <w:rPr>
          <w:lang w:val="en-GB"/>
        </w:rPr>
        <w:t xml:space="preserve">. The same report recognizes, however, that EU car manufacturers in particular are less vulnerable to foreign supply disruptions </w:t>
      </w:r>
      <w:r w:rsidRPr="00CE4192">
        <w:rPr>
          <w:noProof/>
          <w:lang w:val="en-GB"/>
        </w:rPr>
        <w:t>(OECD, 2020)</w:t>
      </w:r>
      <w:r>
        <w:rPr>
          <w:lang w:val="en-GB"/>
        </w:rPr>
        <w:t xml:space="preserve">. During the presentation of the 2020 economic outlook report, head economist Laurence Boone implored production to divert from ‘just in time’ to ‘just in case’ </w:t>
      </w:r>
      <w:r w:rsidRPr="00CE4192">
        <w:rPr>
          <w:noProof/>
          <w:lang w:val="en-GB"/>
        </w:rPr>
        <w:t>(</w:t>
      </w:r>
      <w:r>
        <w:rPr>
          <w:noProof/>
          <w:lang w:val="en-GB"/>
        </w:rPr>
        <w:t>Boone</w:t>
      </w:r>
      <w:r w:rsidRPr="00CE4192">
        <w:rPr>
          <w:noProof/>
          <w:lang w:val="en-GB"/>
        </w:rPr>
        <w:t>, 2020)</w:t>
      </w:r>
      <w:r>
        <w:rPr>
          <w:lang w:val="en-GB"/>
        </w:rPr>
        <w:t>, effectively hedging against the acknowledged instabilities of GVC and overseas trade, though increased trade should still be part of the solution. Based on research spanning 23 value chains consultancy McKinsey finds that globalisation reached a</w:t>
      </w:r>
      <w:r w:rsidR="00BF1500">
        <w:rPr>
          <w:lang w:val="en-GB"/>
        </w:rPr>
        <w:t xml:space="preserve"> turning point just after 2005 -</w:t>
      </w:r>
      <w:r>
        <w:rPr>
          <w:lang w:val="en-GB"/>
        </w:rPr>
        <w:t xml:space="preserve">though the Great Recession does obscure some trends. GVC as a percentage of global trade output decreased more than 5% from 2007 to 2017. In particular, European and Asian automotive and electronics companies become increasingly regionally concentrated </w:t>
      </w:r>
      <w:sdt>
        <w:sdtPr>
          <w:rPr>
            <w:lang w:val="en-GB"/>
          </w:rPr>
          <w:id w:val="1134065979"/>
          <w:citation/>
        </w:sdtPr>
        <w:sdtEndPr/>
        <w:sdtContent>
          <w:r>
            <w:rPr>
              <w:lang w:val="en-GB"/>
            </w:rPr>
            <w:fldChar w:fldCharType="begin"/>
          </w:r>
          <w:r>
            <w:rPr>
              <w:lang w:val="en-GB"/>
            </w:rPr>
            <w:instrText xml:space="preserve">CITATION McK19 \l 1043 </w:instrText>
          </w:r>
          <w:r>
            <w:rPr>
              <w:lang w:val="en-GB"/>
            </w:rPr>
            <w:fldChar w:fldCharType="separate"/>
          </w:r>
          <w:r w:rsidR="0058607C" w:rsidRPr="0058607C">
            <w:rPr>
              <w:noProof/>
              <w:lang w:val="en-GB"/>
            </w:rPr>
            <w:t>(McKinsey, 2019)</w:t>
          </w:r>
          <w:r>
            <w:rPr>
              <w:lang w:val="en-GB"/>
            </w:rPr>
            <w:fldChar w:fldCharType="end"/>
          </w:r>
        </w:sdtContent>
      </w:sdt>
      <w:r>
        <w:rPr>
          <w:lang w:val="en-GB"/>
        </w:rPr>
        <w:t xml:space="preserve">. Labour costs play a smaller role as low-wage countries work their way up and automation processes undermine the capital-advantage of low wages. Accordingly, credit rating agency Moody’s expects a shift in global integration as economies reorganise due to supply-chain disruptions </w:t>
      </w:r>
      <w:sdt>
        <w:sdtPr>
          <w:rPr>
            <w:lang w:val="en-GB"/>
          </w:rPr>
          <w:id w:val="-182826447"/>
          <w:citation/>
        </w:sdtPr>
        <w:sdtEndPr/>
        <w:sdtContent>
          <w:r>
            <w:rPr>
              <w:lang w:val="en-GB"/>
            </w:rPr>
            <w:fldChar w:fldCharType="begin"/>
          </w:r>
          <w:r w:rsidRPr="0072377D">
            <w:rPr>
              <w:lang w:val="en-GB"/>
            </w:rPr>
            <w:instrText xml:space="preserve"> CITATION Moo20 \l 1043 </w:instrText>
          </w:r>
          <w:r>
            <w:rPr>
              <w:lang w:val="en-GB"/>
            </w:rPr>
            <w:fldChar w:fldCharType="separate"/>
          </w:r>
          <w:r w:rsidR="0058607C" w:rsidRPr="0058607C">
            <w:rPr>
              <w:noProof/>
              <w:lang w:val="en-GB"/>
            </w:rPr>
            <w:t>(Moody's, 2020)</w:t>
          </w:r>
          <w:r>
            <w:rPr>
              <w:lang w:val="en-GB"/>
            </w:rPr>
            <w:fldChar w:fldCharType="end"/>
          </w:r>
        </w:sdtContent>
      </w:sdt>
      <w:r>
        <w:rPr>
          <w:lang w:val="en-GB"/>
        </w:rPr>
        <w:t xml:space="preserve">. </w:t>
      </w:r>
      <w:proofErr w:type="spellStart"/>
      <w:r>
        <w:rPr>
          <w:lang w:val="en-GB"/>
        </w:rPr>
        <w:t>Cefic</w:t>
      </w:r>
      <w:proofErr w:type="spellEnd"/>
      <w:r>
        <w:rPr>
          <w:lang w:val="en-GB"/>
        </w:rPr>
        <w:t xml:space="preserve"> -representing the European chemical industry and party to EBA250- in a manifesto on industrial policy points out the necessity of internalising important value chains, adding that these chains should compete globally. Additionally, the chemical council stresses </w:t>
      </w:r>
      <w:r>
        <w:rPr>
          <w:lang w:val="en-GB"/>
        </w:rPr>
        <w:lastRenderedPageBreak/>
        <w:t xml:space="preserve">the importance investments in innovation for competitiveness </w:t>
      </w:r>
      <w:sdt>
        <w:sdtPr>
          <w:rPr>
            <w:lang w:val="en-GB"/>
          </w:rPr>
          <w:id w:val="552654231"/>
          <w:citation/>
        </w:sdtPr>
        <w:sdtEndPr/>
        <w:sdtContent>
          <w:r>
            <w:rPr>
              <w:lang w:val="en-GB"/>
            </w:rPr>
            <w:fldChar w:fldCharType="begin"/>
          </w:r>
          <w:r w:rsidRPr="003B534B">
            <w:rPr>
              <w:lang w:val="en-GB"/>
            </w:rPr>
            <w:instrText xml:space="preserve"> CITATION Cef18 \l 1043 </w:instrText>
          </w:r>
          <w:r>
            <w:rPr>
              <w:lang w:val="en-GB"/>
            </w:rPr>
            <w:fldChar w:fldCharType="separate"/>
          </w:r>
          <w:r w:rsidR="0058607C" w:rsidRPr="0058607C">
            <w:rPr>
              <w:noProof/>
              <w:lang w:val="en-GB"/>
            </w:rPr>
            <w:t>(Cefic, 2018)</w:t>
          </w:r>
          <w:r>
            <w:rPr>
              <w:lang w:val="en-GB"/>
            </w:rPr>
            <w:fldChar w:fldCharType="end"/>
          </w:r>
        </w:sdtContent>
      </w:sdt>
      <w:r>
        <w:rPr>
          <w:lang w:val="en-GB"/>
        </w:rPr>
        <w:t>.</w:t>
      </w:r>
      <w:r w:rsidR="002726E9">
        <w:rPr>
          <w:lang w:val="en-GB"/>
        </w:rPr>
        <w:t xml:space="preserve"> Indeed, in a response to the Commission 2012 communication on ‘</w:t>
      </w:r>
      <w:r w:rsidR="002726E9" w:rsidRPr="00B33AE2">
        <w:rPr>
          <w:i/>
          <w:lang w:val="en-GB"/>
        </w:rPr>
        <w:t>A Stronger European Industry for Growth and Economic Recovery</w:t>
      </w:r>
      <w:r w:rsidR="002726E9">
        <w:rPr>
          <w:lang w:val="en-GB"/>
        </w:rPr>
        <w:t xml:space="preserve">’ </w:t>
      </w:r>
      <w:r w:rsidR="002726E9" w:rsidRPr="00CE4192">
        <w:rPr>
          <w:noProof/>
          <w:lang w:val="en-GB"/>
        </w:rPr>
        <w:t>(Commission, 2012)</w:t>
      </w:r>
      <w:r w:rsidR="002726E9">
        <w:rPr>
          <w:noProof/>
          <w:lang w:val="en-GB"/>
        </w:rPr>
        <w:t>,</w:t>
      </w:r>
      <w:r w:rsidR="002726E9">
        <w:rPr>
          <w:lang w:val="en-GB"/>
        </w:rPr>
        <w:t xml:space="preserve"> EU Parliament expected the proposals of renewed industrial policy to stimulate reshoring to the EU </w:t>
      </w:r>
      <w:sdt>
        <w:sdtPr>
          <w:rPr>
            <w:lang w:val="en-GB"/>
          </w:rPr>
          <w:id w:val="1212770706"/>
          <w:citation/>
        </w:sdtPr>
        <w:sdtEndPr/>
        <w:sdtContent>
          <w:r w:rsidR="002726E9">
            <w:rPr>
              <w:lang w:val="en-GB"/>
            </w:rPr>
            <w:fldChar w:fldCharType="begin"/>
          </w:r>
          <w:r w:rsidR="002726E9" w:rsidRPr="003B534B">
            <w:rPr>
              <w:lang w:val="en-GB"/>
            </w:rPr>
            <w:instrText xml:space="preserve"> CITATION EPR14 \l 1043 </w:instrText>
          </w:r>
          <w:r w:rsidR="002726E9">
            <w:rPr>
              <w:lang w:val="en-GB"/>
            </w:rPr>
            <w:fldChar w:fldCharType="separate"/>
          </w:r>
          <w:r w:rsidR="0058607C" w:rsidRPr="0058607C">
            <w:rPr>
              <w:noProof/>
              <w:lang w:val="en-GB"/>
            </w:rPr>
            <w:t>(EPRS, 2014)</w:t>
          </w:r>
          <w:r w:rsidR="002726E9">
            <w:rPr>
              <w:lang w:val="en-GB"/>
            </w:rPr>
            <w:fldChar w:fldCharType="end"/>
          </w:r>
        </w:sdtContent>
      </w:sdt>
      <w:r w:rsidR="002726E9">
        <w:rPr>
          <w:lang w:val="en-GB"/>
        </w:rPr>
        <w:t xml:space="preserve">. The paper continues that the lower cost rationale of global value chains is deteriorating as wages in China have risen </w:t>
      </w:r>
      <w:sdt>
        <w:sdtPr>
          <w:rPr>
            <w:lang w:val="en-GB"/>
          </w:rPr>
          <w:id w:val="2102139824"/>
          <w:citation/>
        </w:sdtPr>
        <w:sdtEndPr/>
        <w:sdtContent>
          <w:r w:rsidR="002726E9">
            <w:rPr>
              <w:lang w:val="en-GB"/>
            </w:rPr>
            <w:fldChar w:fldCharType="begin"/>
          </w:r>
          <w:r w:rsidR="002726E9" w:rsidRPr="001311BF">
            <w:rPr>
              <w:lang w:val="en-GB"/>
            </w:rPr>
            <w:instrText xml:space="preserve"> CITATION EPR14 \l 1043 </w:instrText>
          </w:r>
          <w:r w:rsidR="002726E9">
            <w:rPr>
              <w:lang w:val="en-GB"/>
            </w:rPr>
            <w:fldChar w:fldCharType="separate"/>
          </w:r>
          <w:r w:rsidR="0058607C" w:rsidRPr="0058607C">
            <w:rPr>
              <w:noProof/>
              <w:lang w:val="en-GB"/>
            </w:rPr>
            <w:t>(EPRS, 2014)</w:t>
          </w:r>
          <w:r w:rsidR="002726E9">
            <w:rPr>
              <w:lang w:val="en-GB"/>
            </w:rPr>
            <w:fldChar w:fldCharType="end"/>
          </w:r>
        </w:sdtContent>
      </w:sdt>
      <w:r w:rsidR="000F29BA">
        <w:rPr>
          <w:lang w:val="en-GB"/>
        </w:rPr>
        <w:t>.</w:t>
      </w:r>
    </w:p>
    <w:p w14:paraId="55A4C4C8" w14:textId="77777777" w:rsidR="000F29BA" w:rsidRDefault="000F29BA" w:rsidP="00C71FE6">
      <w:pPr>
        <w:spacing w:line="360" w:lineRule="auto"/>
        <w:rPr>
          <w:lang w:val="en-GB"/>
        </w:rPr>
      </w:pPr>
      <w:r>
        <w:rPr>
          <w:lang w:val="en-GB"/>
        </w:rPr>
        <w:br w:type="page"/>
      </w:r>
    </w:p>
    <w:p w14:paraId="52F7695D" w14:textId="72BC9023" w:rsidR="00A6590C" w:rsidRPr="00C912F6" w:rsidRDefault="003F7671" w:rsidP="00C71FE6">
      <w:pPr>
        <w:spacing w:line="360" w:lineRule="auto"/>
        <w:rPr>
          <w:lang w:val="en-GB"/>
        </w:rPr>
      </w:pPr>
      <w:r w:rsidRPr="00432F3A">
        <w:rPr>
          <w:lang w:val="en-GB"/>
        </w:rPr>
        <w:lastRenderedPageBreak/>
        <w:t xml:space="preserve">A paradigm shift does not develop in a vacuum: An ideational shift spills over into other policy areas. This constitutes the third INUS cause in the mechanism: </w:t>
      </w:r>
      <w:r w:rsidR="00432F3A" w:rsidRPr="00432F3A">
        <w:rPr>
          <w:lang w:val="en-GB"/>
        </w:rPr>
        <w:t>Aside from a horizontal to vertical shift in industrial policy, similar shifts materialised in other policy areas</w:t>
      </w:r>
      <w:r>
        <w:rPr>
          <w:lang w:val="en-GB"/>
        </w:rPr>
        <w:t xml:space="preserve">. Considered here are foreign policy, trade, and finance, respectively. </w:t>
      </w:r>
      <w:r w:rsidR="00A6590C">
        <w:rPr>
          <w:lang w:val="en-GB"/>
        </w:rPr>
        <w:t>Due to the global implication of industry, industrial policy has a particular impact on foreign policy. In accordance with the World Bank report on GVCs industrial policy goes beyond economics and enters the realm of politics. Throughout Europe stake-holders point at the rise of China and US competition, rather than applying for economic efficiency. T</w:t>
      </w:r>
      <w:r w:rsidR="00A6590C" w:rsidRPr="00C912F6">
        <w:rPr>
          <w:lang w:val="en-GB"/>
        </w:rPr>
        <w:t xml:space="preserve">he Dutch effort to finance its photonics industry went beyond procuring investments building upon the Commission’s goal to develop green technologies. Rather, the investment was a means to preserve the innovative industry for the Member State and, in particular, thwart Chinese efforts to obtain new technologies. For unlike the recent Dutch airline aid which protected airline jobs and essential infrastructure, the main argument of the secretary of state concerned preserving essential technologies for the Netherlands </w:t>
      </w:r>
      <w:sdt>
        <w:sdtPr>
          <w:rPr>
            <w:lang w:val="en-GB"/>
          </w:rPr>
          <w:id w:val="-1742324009"/>
          <w:citation/>
        </w:sdtPr>
        <w:sdtEndPr/>
        <w:sdtContent>
          <w:r w:rsidR="00A6590C" w:rsidRPr="00C912F6">
            <w:rPr>
              <w:lang w:val="en-GB"/>
            </w:rPr>
            <w:fldChar w:fldCharType="begin"/>
          </w:r>
          <w:r w:rsidR="00A6590C" w:rsidRPr="00C912F6">
            <w:rPr>
              <w:lang w:val="en-US"/>
            </w:rPr>
            <w:instrText xml:space="preserve"> CITATION Kei20 \l 1033 </w:instrText>
          </w:r>
          <w:r w:rsidR="00A6590C" w:rsidRPr="00C912F6">
            <w:rPr>
              <w:lang w:val="en-GB"/>
            </w:rPr>
            <w:fldChar w:fldCharType="separate"/>
          </w:r>
          <w:r w:rsidR="0058607C">
            <w:rPr>
              <w:noProof/>
              <w:lang w:val="en-US"/>
            </w:rPr>
            <w:t>(Keijzer, 2020)</w:t>
          </w:r>
          <w:r w:rsidR="00A6590C" w:rsidRPr="00C912F6">
            <w:rPr>
              <w:lang w:val="en-GB"/>
            </w:rPr>
            <w:fldChar w:fldCharType="end"/>
          </w:r>
        </w:sdtContent>
      </w:sdt>
      <w:r w:rsidR="00A6590C" w:rsidRPr="00C912F6">
        <w:rPr>
          <w:lang w:val="en-GB"/>
        </w:rPr>
        <w:t xml:space="preserve">. Such precautionary MS investments in key technologies fit the on-going discussion within the EU on protecting national champions from foreign, mainly US and Chinese, capital. In an April 2020 interview with the Financial Times EU Commissioner Vestager urged Member States to increase their shares in vital companies to prevent foreign take-overs </w:t>
      </w:r>
      <w:r w:rsidR="00A6590C" w:rsidRPr="00C912F6">
        <w:rPr>
          <w:noProof/>
          <w:lang w:val="en-GB"/>
        </w:rPr>
        <w:t>(Financial Times, 2020)</w:t>
      </w:r>
      <w:r w:rsidR="00A6590C" w:rsidRPr="00C912F6">
        <w:rPr>
          <w:lang w:val="en-GB"/>
        </w:rPr>
        <w:t xml:space="preserve">. The reaction might have been provoked due to COVID-19 contractions, as insolvable companies searched for investors. However, already in 2019 Altmaier presented the German National Industrial Strategy 2030, in which he states that they aim to protect strategically important industries and revise the notion of state aid </w:t>
      </w:r>
      <w:r w:rsidR="00A6590C" w:rsidRPr="00C912F6">
        <w:rPr>
          <w:noProof/>
          <w:lang w:val="en-GB"/>
        </w:rPr>
        <w:t>(Bundesministerium, 2019)</w:t>
      </w:r>
      <w:r w:rsidR="00A6590C" w:rsidRPr="00C912F6">
        <w:rPr>
          <w:lang w:val="en-GB"/>
        </w:rPr>
        <w:t xml:space="preserve">. </w:t>
      </w:r>
    </w:p>
    <w:p w14:paraId="7A0E7612" w14:textId="51B743AF" w:rsidR="009F4340" w:rsidRDefault="005B1743" w:rsidP="00C71FE6">
      <w:pPr>
        <w:spacing w:line="360" w:lineRule="auto"/>
        <w:rPr>
          <w:lang w:val="en-GB"/>
        </w:rPr>
      </w:pPr>
      <w:r>
        <w:rPr>
          <w:lang w:val="en-GB"/>
        </w:rPr>
        <w:t xml:space="preserve">As a result of the EUs new perception of China and other competing economies the Commission has proposed alterations to competition policy, which is closely </w:t>
      </w:r>
      <w:r w:rsidRPr="00C912F6">
        <w:rPr>
          <w:lang w:val="en-GB"/>
        </w:rPr>
        <w:t xml:space="preserve">related to the </w:t>
      </w:r>
      <w:r>
        <w:rPr>
          <w:lang w:val="en-GB"/>
        </w:rPr>
        <w:t>industrial framework</w:t>
      </w:r>
      <w:r w:rsidRPr="00C912F6">
        <w:rPr>
          <w:lang w:val="en-GB"/>
        </w:rPr>
        <w:t xml:space="preserve">, or as former DG of Competition </w:t>
      </w:r>
      <w:r w:rsidRPr="00C912F6">
        <w:rPr>
          <w:lang w:val="en-US"/>
        </w:rPr>
        <w:t xml:space="preserve">Alexander </w:t>
      </w:r>
      <w:proofErr w:type="spellStart"/>
      <w:r w:rsidRPr="00C912F6">
        <w:rPr>
          <w:lang w:val="en-US"/>
        </w:rPr>
        <w:t>Italianer</w:t>
      </w:r>
      <w:proofErr w:type="spellEnd"/>
      <w:r w:rsidRPr="00C912F6">
        <w:rPr>
          <w:lang w:val="en-US"/>
        </w:rPr>
        <w:t xml:space="preserve"> exclaimed</w:t>
      </w:r>
      <w:r>
        <w:rPr>
          <w:lang w:val="en-US"/>
        </w:rPr>
        <w:t>:</w:t>
      </w:r>
      <w:r w:rsidRPr="00C912F6">
        <w:rPr>
          <w:lang w:val="en-US"/>
        </w:rPr>
        <w:t xml:space="preserve"> </w:t>
      </w:r>
      <w:r>
        <w:rPr>
          <w:lang w:val="en-US"/>
        </w:rPr>
        <w:t>T</w:t>
      </w:r>
      <w:r w:rsidRPr="00C912F6">
        <w:rPr>
          <w:lang w:val="en-US"/>
        </w:rPr>
        <w:t xml:space="preserve">hey are mutually reinforcing </w:t>
      </w:r>
      <w:sdt>
        <w:sdtPr>
          <w:rPr>
            <w:lang w:val="en-US"/>
          </w:rPr>
          <w:id w:val="2050106539"/>
          <w:citation/>
        </w:sdtPr>
        <w:sdtEndPr/>
        <w:sdtContent>
          <w:r w:rsidRPr="00C912F6">
            <w:rPr>
              <w:lang w:val="en-US"/>
            </w:rPr>
            <w:fldChar w:fldCharType="begin"/>
          </w:r>
          <w:r w:rsidRPr="00C912F6">
            <w:rPr>
              <w:lang w:val="en-US"/>
            </w:rPr>
            <w:instrText xml:space="preserve"> CITATION Ita10 \l 1033 </w:instrText>
          </w:r>
          <w:r w:rsidRPr="00C912F6">
            <w:rPr>
              <w:lang w:val="en-US"/>
            </w:rPr>
            <w:fldChar w:fldCharType="separate"/>
          </w:r>
          <w:r w:rsidR="0058607C">
            <w:rPr>
              <w:noProof/>
              <w:lang w:val="en-US"/>
            </w:rPr>
            <w:t>(Italianer, 2010)</w:t>
          </w:r>
          <w:r w:rsidRPr="00C912F6">
            <w:rPr>
              <w:lang w:val="en-US"/>
            </w:rPr>
            <w:fldChar w:fldCharType="end"/>
          </w:r>
        </w:sdtContent>
      </w:sdt>
      <w:r w:rsidRPr="00C912F6">
        <w:rPr>
          <w:lang w:val="en-US"/>
        </w:rPr>
        <w:t>.</w:t>
      </w:r>
      <w:r w:rsidR="00A6590C">
        <w:rPr>
          <w:lang w:val="en-GB"/>
        </w:rPr>
        <w:t xml:space="preserve"> </w:t>
      </w:r>
      <w:r w:rsidR="009F4340" w:rsidRPr="00C912F6">
        <w:rPr>
          <w:lang w:val="en-GB"/>
        </w:rPr>
        <w:t xml:space="preserve">In a move toward self-reliance EU Chief of Foreign Affairs </w:t>
      </w:r>
      <w:proofErr w:type="spellStart"/>
      <w:r w:rsidR="009F4340" w:rsidRPr="00C912F6">
        <w:rPr>
          <w:lang w:val="en-GB"/>
        </w:rPr>
        <w:t>Josep</w:t>
      </w:r>
      <w:proofErr w:type="spellEnd"/>
      <w:r w:rsidR="009F4340" w:rsidRPr="00C912F6">
        <w:rPr>
          <w:lang w:val="en-GB"/>
        </w:rPr>
        <w:t xml:space="preserve"> </w:t>
      </w:r>
      <w:proofErr w:type="spellStart"/>
      <w:r w:rsidR="009F4340" w:rsidRPr="00C912F6">
        <w:rPr>
          <w:lang w:val="en-GB"/>
        </w:rPr>
        <w:t>Borrel</w:t>
      </w:r>
      <w:proofErr w:type="spellEnd"/>
      <w:r w:rsidR="009F4340" w:rsidRPr="00C912F6">
        <w:rPr>
          <w:lang w:val="en-GB"/>
        </w:rPr>
        <w:t xml:space="preserve"> announced that the time has come for the EU to set its own values and not be instrumentalised by the other powers, in particular China and the US </w:t>
      </w:r>
      <w:r w:rsidR="009F4340" w:rsidRPr="00C912F6">
        <w:rPr>
          <w:noProof/>
          <w:lang w:val="en-GB"/>
        </w:rPr>
        <w:t>(Guardian, 2020)</w:t>
      </w:r>
      <w:r w:rsidR="009F4340" w:rsidRPr="00C912F6">
        <w:rPr>
          <w:lang w:val="en-GB"/>
        </w:rPr>
        <w:t>. Along the same lines, EU Commissioner for Competition</w:t>
      </w:r>
      <w:r w:rsidR="00702A67" w:rsidRPr="00C912F6">
        <w:rPr>
          <w:lang w:val="en-GB"/>
        </w:rPr>
        <w:t xml:space="preserve"> </w:t>
      </w:r>
      <w:proofErr w:type="spellStart"/>
      <w:r w:rsidR="00702A67" w:rsidRPr="00C912F6">
        <w:rPr>
          <w:lang w:val="en-GB"/>
        </w:rPr>
        <w:t>Verstager</w:t>
      </w:r>
      <w:proofErr w:type="spellEnd"/>
      <w:r w:rsidR="009F4340" w:rsidRPr="00C912F6">
        <w:rPr>
          <w:lang w:val="en-GB"/>
        </w:rPr>
        <w:t xml:space="preserve"> urged Member States to take on stock in vital companies so as to prevent take-overs from state subsidized companies from China </w:t>
      </w:r>
      <w:r w:rsidR="009F4340" w:rsidRPr="00C912F6">
        <w:rPr>
          <w:noProof/>
          <w:lang w:val="en-GB"/>
        </w:rPr>
        <w:t>(FD, 2020)</w:t>
      </w:r>
      <w:r w:rsidR="009F4340" w:rsidRPr="00C912F6">
        <w:rPr>
          <w:lang w:val="en-GB"/>
        </w:rPr>
        <w:t xml:space="preserve">. In line with </w:t>
      </w:r>
      <w:proofErr w:type="spellStart"/>
      <w:r w:rsidR="009F4340" w:rsidRPr="00C912F6">
        <w:rPr>
          <w:lang w:val="en-GB"/>
        </w:rPr>
        <w:t>Borrel’s</w:t>
      </w:r>
      <w:proofErr w:type="spellEnd"/>
      <w:r w:rsidR="009F4340" w:rsidRPr="00C912F6">
        <w:rPr>
          <w:lang w:val="en-GB"/>
        </w:rPr>
        <w:t xml:space="preserve"> statement, </w:t>
      </w:r>
      <w:r w:rsidR="00C276D0" w:rsidRPr="00C912F6">
        <w:rPr>
          <w:lang w:val="en-GB"/>
        </w:rPr>
        <w:t>t</w:t>
      </w:r>
      <w:r w:rsidR="009F4340" w:rsidRPr="00C912F6">
        <w:rPr>
          <w:lang w:val="en-GB"/>
        </w:rPr>
        <w:t xml:space="preserve">he Commission adopted a white paper with the intention to bar foreign take-overs if the aggressor is subsidized through state aid </w:t>
      </w:r>
      <w:r w:rsidR="009F4340" w:rsidRPr="00C912F6">
        <w:rPr>
          <w:noProof/>
          <w:lang w:val="en-GB"/>
        </w:rPr>
        <w:t>(Commission, 2020)</w:t>
      </w:r>
      <w:r w:rsidR="009F4340" w:rsidRPr="00C912F6">
        <w:rPr>
          <w:lang w:val="en-GB"/>
        </w:rPr>
        <w:t xml:space="preserve">. The white paper includes that the protective idea is an extension of the New Industrial Strategy and green transition. Though China is not explicitly named, the proposal predominantly affects companies operating from the People’s Republic </w:t>
      </w:r>
      <w:r w:rsidR="009F4340" w:rsidRPr="00C912F6">
        <w:rPr>
          <w:noProof/>
          <w:lang w:val="en-GB"/>
        </w:rPr>
        <w:t>(FD, 2020</w:t>
      </w:r>
      <w:r w:rsidR="009F4340" w:rsidRPr="00C912F6">
        <w:rPr>
          <w:lang w:val="en-GB"/>
        </w:rPr>
        <w:t xml:space="preserve">). </w:t>
      </w:r>
      <w:r w:rsidR="009F4340" w:rsidRPr="00A6590C">
        <w:rPr>
          <w:lang w:val="en-GB"/>
        </w:rPr>
        <w:t xml:space="preserve">Not only the Commission emphasizes EU competition with China, private companies adhere to the idea as well. Transport and Environment group in a May 2020 report explicitly state e-mobility </w:t>
      </w:r>
      <w:r w:rsidR="009F4340" w:rsidRPr="00A6590C">
        <w:rPr>
          <w:lang w:val="en-GB"/>
        </w:rPr>
        <w:lastRenderedPageBreak/>
        <w:t xml:space="preserve">investment figures compared to China, with the EU leading in 2019 with 3.5 times more investments than China </w:t>
      </w:r>
      <w:r w:rsidR="009F4340" w:rsidRPr="00A6590C">
        <w:rPr>
          <w:noProof/>
          <w:lang w:val="en-GB"/>
        </w:rPr>
        <w:t>(Transport &amp; Environment, 2020)</w:t>
      </w:r>
      <w:r w:rsidR="009F4340" w:rsidRPr="00A6590C">
        <w:rPr>
          <w:lang w:val="en-GB"/>
        </w:rPr>
        <w:t xml:space="preserve">. Indeed, </w:t>
      </w:r>
      <w:proofErr w:type="spellStart"/>
      <w:r w:rsidR="009F4340" w:rsidRPr="00A6590C">
        <w:rPr>
          <w:lang w:val="en-GB"/>
        </w:rPr>
        <w:t>Francesko</w:t>
      </w:r>
      <w:proofErr w:type="spellEnd"/>
      <w:r w:rsidR="009F4340" w:rsidRPr="00A6590C">
        <w:rPr>
          <w:lang w:val="en-GB"/>
        </w:rPr>
        <w:t xml:space="preserve"> </w:t>
      </w:r>
      <w:proofErr w:type="spellStart"/>
      <w:r w:rsidR="009F4340" w:rsidRPr="00A6590C">
        <w:rPr>
          <w:lang w:val="en-GB"/>
        </w:rPr>
        <w:t>Starace</w:t>
      </w:r>
      <w:proofErr w:type="spellEnd"/>
      <w:r w:rsidR="009F4340" w:rsidRPr="00A6590C">
        <w:rPr>
          <w:lang w:val="en-GB"/>
        </w:rPr>
        <w:t xml:space="preserve"> of Italian energy company Enel –p</w:t>
      </w:r>
      <w:r w:rsidR="00C276D0" w:rsidRPr="00A6590C">
        <w:rPr>
          <w:lang w:val="en-GB"/>
        </w:rPr>
        <w:t>art of EBA250- proclaimed</w:t>
      </w:r>
      <w:r w:rsidR="009F4340" w:rsidRPr="00A6590C">
        <w:rPr>
          <w:lang w:val="en-GB"/>
        </w:rPr>
        <w:t xml:space="preserve"> that the EU has the opportunity to become global leader in the car battery industry as even China holds no solidified position yet </w:t>
      </w:r>
      <w:r w:rsidR="00C276D0" w:rsidRPr="00A6590C">
        <w:rPr>
          <w:noProof/>
          <w:lang w:val="en-GB"/>
        </w:rPr>
        <w:t>(FD</w:t>
      </w:r>
      <w:r w:rsidR="009F4340" w:rsidRPr="00A6590C">
        <w:rPr>
          <w:noProof/>
          <w:lang w:val="en-GB"/>
        </w:rPr>
        <w:t>, 2020</w:t>
      </w:r>
      <w:r w:rsidR="009F4340" w:rsidRPr="00A6590C">
        <w:rPr>
          <w:lang w:val="en-GB"/>
        </w:rPr>
        <w:t>).</w:t>
      </w:r>
      <w:r w:rsidR="009F4340" w:rsidRPr="00C912F6">
        <w:rPr>
          <w:lang w:val="en-GB"/>
        </w:rPr>
        <w:t xml:space="preserve"> </w:t>
      </w:r>
      <w:r w:rsidR="008C1532">
        <w:rPr>
          <w:lang w:val="en-GB"/>
        </w:rPr>
        <w:t xml:space="preserve">The European Economic and Social Committee does not concur. Rather, it feels China is far ahead it proposes the EU focusses on high environmental standards and should channel this to consumers indicating the superior product rather than having the superior price (EESC, 2019: 4, 7). </w:t>
      </w:r>
    </w:p>
    <w:p w14:paraId="2D965C05" w14:textId="0B5F86C6" w:rsidR="009F4340" w:rsidRDefault="000E3D8F" w:rsidP="00C71FE6">
      <w:pPr>
        <w:spacing w:line="360" w:lineRule="auto"/>
        <w:rPr>
          <w:lang w:val="en-GB"/>
        </w:rPr>
      </w:pPr>
      <w:r>
        <w:rPr>
          <w:lang w:val="en-GB"/>
        </w:rPr>
        <w:t xml:space="preserve">Outside of industrial policy the EU directly intervened in its financial sectors during the Great Financial Crisis. In response EU Member States saved a number of banks through subsidies. The EU Commission approved these temporary state subsidies which amounted to </w:t>
      </w:r>
      <w:r>
        <w:rPr>
          <w:rFonts w:cstheme="minorHAnsi"/>
          <w:lang w:val="en-GB"/>
        </w:rPr>
        <w:t>€</w:t>
      </w:r>
      <w:r>
        <w:rPr>
          <w:lang w:val="en-GB"/>
        </w:rPr>
        <w:t xml:space="preserve">4.5 trillion toward 2011 </w:t>
      </w:r>
      <w:r w:rsidRPr="00CE4192">
        <w:rPr>
          <w:noProof/>
          <w:lang w:val="en-GB"/>
        </w:rPr>
        <w:t>(Commission, 2010)</w:t>
      </w:r>
      <w:r>
        <w:rPr>
          <w:lang w:val="en-GB"/>
        </w:rPr>
        <w:t>.</w:t>
      </w:r>
      <w:r w:rsidR="00253835">
        <w:rPr>
          <w:lang w:val="en-GB"/>
        </w:rPr>
        <w:t xml:space="preserve"> The</w:t>
      </w:r>
      <w:r>
        <w:rPr>
          <w:lang w:val="en-GB"/>
        </w:rPr>
        <w:t xml:space="preserve"> amounts of financing required </w:t>
      </w:r>
      <w:r w:rsidR="00253835">
        <w:rPr>
          <w:lang w:val="en-GB"/>
        </w:rPr>
        <w:t xml:space="preserve">pushed </w:t>
      </w:r>
      <w:r>
        <w:rPr>
          <w:lang w:val="en-GB"/>
        </w:rPr>
        <w:t xml:space="preserve">Member States </w:t>
      </w:r>
      <w:r w:rsidR="00253835">
        <w:rPr>
          <w:lang w:val="en-GB"/>
        </w:rPr>
        <w:t>into debt which had to</w:t>
      </w:r>
      <w:r w:rsidR="00121CF8">
        <w:rPr>
          <w:lang w:val="en-GB"/>
        </w:rPr>
        <w:t xml:space="preserve"> be</w:t>
      </w:r>
      <w:r w:rsidR="00253835">
        <w:rPr>
          <w:lang w:val="en-GB"/>
        </w:rPr>
        <w:t xml:space="preserve"> </w:t>
      </w:r>
      <w:r w:rsidR="00121CF8">
        <w:rPr>
          <w:lang w:val="en-GB"/>
        </w:rPr>
        <w:t>refinanced</w:t>
      </w:r>
      <w:r w:rsidR="00253835">
        <w:rPr>
          <w:lang w:val="en-GB"/>
        </w:rPr>
        <w:t xml:space="preserve">. The ECB fulfilled this role as it served as a </w:t>
      </w:r>
      <w:r w:rsidR="00253835" w:rsidRPr="000F29BA">
        <w:rPr>
          <w:lang w:val="en-GB"/>
        </w:rPr>
        <w:t>lender of last resort</w:t>
      </w:r>
      <w:r w:rsidR="00253835">
        <w:rPr>
          <w:lang w:val="en-GB"/>
        </w:rPr>
        <w:t xml:space="preserve"> and through a process of quantitative easing indirectly acquired Member State bonds alongside other financial </w:t>
      </w:r>
      <w:r w:rsidR="00121CF8">
        <w:rPr>
          <w:lang w:val="en-GB"/>
        </w:rPr>
        <w:t>assets.</w:t>
      </w:r>
      <w:r w:rsidR="000B2DC7">
        <w:rPr>
          <w:lang w:val="en-GB"/>
        </w:rPr>
        <w:t xml:space="preserve"> </w:t>
      </w:r>
      <w:r w:rsidR="00253835">
        <w:rPr>
          <w:lang w:val="en-GB"/>
        </w:rPr>
        <w:t xml:space="preserve">  </w:t>
      </w:r>
      <w:r w:rsidR="000B2DC7">
        <w:rPr>
          <w:lang w:val="en-GB"/>
        </w:rPr>
        <w:t xml:space="preserve">Though these acts are considered to be monetary as the main goal is to stabilise inflation, some recognise ECB policy as moving toward fiscal stimulation. </w:t>
      </w:r>
      <w:r w:rsidR="005B1743">
        <w:rPr>
          <w:lang w:val="en-GB"/>
        </w:rPr>
        <w:t>Indeed, s</w:t>
      </w:r>
      <w:r w:rsidR="002726E9">
        <w:rPr>
          <w:lang w:val="en-GB"/>
        </w:rPr>
        <w:t xml:space="preserve">tate subsidies for industry require capital and as </w:t>
      </w:r>
      <w:r w:rsidR="005B1743">
        <w:rPr>
          <w:lang w:val="en-GB"/>
        </w:rPr>
        <w:t>a</w:t>
      </w:r>
      <w:r w:rsidR="009F4340">
        <w:rPr>
          <w:lang w:val="en-GB"/>
        </w:rPr>
        <w:t xml:space="preserve"> June 2020 Bank for International Settlements report foresees a new economic landscape with high public debts. The Basel based institute recognises that the divide between fiscal and monetary policy has watered down due to central banks’ positions in public debt </w:t>
      </w:r>
      <w:sdt>
        <w:sdtPr>
          <w:rPr>
            <w:lang w:val="en-GB"/>
          </w:rPr>
          <w:id w:val="1643002366"/>
          <w:citation/>
        </w:sdtPr>
        <w:sdtEndPr/>
        <w:sdtContent>
          <w:r w:rsidR="009F4340">
            <w:rPr>
              <w:lang w:val="en-GB"/>
            </w:rPr>
            <w:fldChar w:fldCharType="begin"/>
          </w:r>
          <w:r w:rsidR="009F4340" w:rsidRPr="0001010F">
            <w:rPr>
              <w:lang w:val="en-GB"/>
            </w:rPr>
            <w:instrText xml:space="preserve"> CITATION BIS20 \l 1043 </w:instrText>
          </w:r>
          <w:r w:rsidR="009F4340">
            <w:rPr>
              <w:lang w:val="en-GB"/>
            </w:rPr>
            <w:fldChar w:fldCharType="separate"/>
          </w:r>
          <w:r w:rsidR="0058607C" w:rsidRPr="0058607C">
            <w:rPr>
              <w:noProof/>
              <w:lang w:val="en-GB"/>
            </w:rPr>
            <w:t>(BIS, 2020)</w:t>
          </w:r>
          <w:r w:rsidR="009F4340">
            <w:rPr>
              <w:lang w:val="en-GB"/>
            </w:rPr>
            <w:fldChar w:fldCharType="end"/>
          </w:r>
        </w:sdtContent>
      </w:sdt>
      <w:r w:rsidR="009F4340">
        <w:rPr>
          <w:lang w:val="en-GB"/>
        </w:rPr>
        <w:t>. Though current interventions are not labelled as such, the BIS warn</w:t>
      </w:r>
      <w:r w:rsidR="00313FE3">
        <w:rPr>
          <w:lang w:val="en-GB"/>
        </w:rPr>
        <w:t>ed</w:t>
      </w:r>
      <w:r w:rsidR="009F4340">
        <w:rPr>
          <w:lang w:val="en-GB"/>
        </w:rPr>
        <w:t xml:space="preserve"> for central banks directly financing government debt. The German </w:t>
      </w:r>
      <w:proofErr w:type="spellStart"/>
      <w:r w:rsidR="009F4340">
        <w:rPr>
          <w:lang w:val="en-GB"/>
        </w:rPr>
        <w:t>Bundesverfassungsgericht</w:t>
      </w:r>
      <w:proofErr w:type="spellEnd"/>
      <w:r w:rsidR="000B2DC7">
        <w:rPr>
          <w:lang w:val="en-GB"/>
        </w:rPr>
        <w:t xml:space="preserve"> went one step further and</w:t>
      </w:r>
      <w:r w:rsidR="009F4340">
        <w:rPr>
          <w:lang w:val="en-GB"/>
        </w:rPr>
        <w:t xml:space="preserve"> judged that the quantitative program of the ECB exceeded its mandate. The verdict included that the PSPP significantly impacts Member States’ fiscal policy and the effects are disproportionate </w:t>
      </w:r>
      <w:sdt>
        <w:sdtPr>
          <w:rPr>
            <w:lang w:val="en-GB"/>
          </w:rPr>
          <w:id w:val="363725782"/>
          <w:citation/>
        </w:sdtPr>
        <w:sdtEndPr/>
        <w:sdtContent>
          <w:r w:rsidR="009F4340">
            <w:rPr>
              <w:lang w:val="en-GB"/>
            </w:rPr>
            <w:fldChar w:fldCharType="begin"/>
          </w:r>
          <w:r w:rsidR="009F4340" w:rsidRPr="00182025">
            <w:rPr>
              <w:lang w:val="en-GB"/>
            </w:rPr>
            <w:instrText xml:space="preserve"> CITATION Bun20 \l 1043 </w:instrText>
          </w:r>
          <w:r w:rsidR="009F4340">
            <w:rPr>
              <w:lang w:val="en-GB"/>
            </w:rPr>
            <w:fldChar w:fldCharType="separate"/>
          </w:r>
          <w:r w:rsidR="0058607C" w:rsidRPr="0058607C">
            <w:rPr>
              <w:noProof/>
              <w:lang w:val="en-GB"/>
            </w:rPr>
            <w:t>(Bundesverfassungsgericht, 2020)</w:t>
          </w:r>
          <w:r w:rsidR="009F4340">
            <w:rPr>
              <w:lang w:val="en-GB"/>
            </w:rPr>
            <w:fldChar w:fldCharType="end"/>
          </w:r>
        </w:sdtContent>
      </w:sdt>
      <w:r w:rsidR="009F4340">
        <w:rPr>
          <w:lang w:val="en-GB"/>
        </w:rPr>
        <w:t xml:space="preserve">. </w:t>
      </w:r>
      <w:r w:rsidR="00AC2BFD">
        <w:rPr>
          <w:lang w:val="en-GB"/>
        </w:rPr>
        <w:t>That said,</w:t>
      </w:r>
      <w:r w:rsidR="009F4340">
        <w:rPr>
          <w:lang w:val="en-GB"/>
        </w:rPr>
        <w:t xml:space="preserve"> in terms of enabling higher government spending, popularity of the Modern Monetary Theory (MMT) is growing </w:t>
      </w:r>
      <w:r w:rsidR="009F4340">
        <w:rPr>
          <w:noProof/>
          <w:lang w:val="en-US"/>
        </w:rPr>
        <w:t>(Forbes, 2020)</w:t>
      </w:r>
      <w:r w:rsidR="009F4340">
        <w:rPr>
          <w:lang w:val="en-GB"/>
        </w:rPr>
        <w:t xml:space="preserve">. </w:t>
      </w:r>
    </w:p>
    <w:p w14:paraId="2AE5EBC0" w14:textId="77777777" w:rsidR="000B2DC7" w:rsidRDefault="000B2DC7" w:rsidP="00C71FE6">
      <w:pPr>
        <w:spacing w:line="360" w:lineRule="auto"/>
        <w:rPr>
          <w:lang w:val="en-GB"/>
        </w:rPr>
      </w:pPr>
    </w:p>
    <w:p w14:paraId="6EC81D3B" w14:textId="5ED4CAC7" w:rsidR="00215CC2" w:rsidRDefault="00215CC2" w:rsidP="00C71FE6">
      <w:pPr>
        <w:spacing w:line="360" w:lineRule="auto"/>
        <w:rPr>
          <w:lang w:val="en-GB"/>
        </w:rPr>
      </w:pPr>
      <w:r>
        <w:rPr>
          <w:lang w:val="en-GB"/>
        </w:rPr>
        <w:br w:type="page"/>
      </w:r>
    </w:p>
    <w:p w14:paraId="0A6AA3B6" w14:textId="6DB9B133" w:rsidR="000954D2" w:rsidRPr="000954D2" w:rsidRDefault="00E654C5" w:rsidP="00C71FE6">
      <w:pPr>
        <w:spacing w:line="360" w:lineRule="auto"/>
        <w:rPr>
          <w:lang w:val="en-GB"/>
        </w:rPr>
      </w:pPr>
      <w:r>
        <w:rPr>
          <w:lang w:val="en-GB"/>
        </w:rPr>
        <w:lastRenderedPageBreak/>
        <w:t>Finally, the mechanism exclaims that a shift normally coincides with the opinion of the masses. This begs the question whether t</w:t>
      </w:r>
      <w:r w:rsidR="000954D2">
        <w:rPr>
          <w:lang w:val="en-GB"/>
        </w:rPr>
        <w:t>he EU experienced demands from the masses that correspond to the shift fro</w:t>
      </w:r>
      <w:r>
        <w:rPr>
          <w:lang w:val="en-GB"/>
        </w:rPr>
        <w:t>m horizontal to vertical policy? The Commission reasoning behind the car battery project exists of multiple arguments. Though not all point</w:t>
      </w:r>
      <w:r w:rsidR="00432F3A">
        <w:rPr>
          <w:lang w:val="en-GB"/>
        </w:rPr>
        <w:t>s</w:t>
      </w:r>
      <w:r>
        <w:rPr>
          <w:lang w:val="en-GB"/>
        </w:rPr>
        <w:t xml:space="preserve"> </w:t>
      </w:r>
      <w:r w:rsidR="00432F3A">
        <w:rPr>
          <w:lang w:val="en-GB"/>
        </w:rPr>
        <w:t xml:space="preserve">concern the general population, the notion that the project affects the environment is very much a pressing issue among the masses. </w:t>
      </w:r>
      <w:r w:rsidR="000954D2" w:rsidRPr="000954D2">
        <w:rPr>
          <w:lang w:val="en-GB"/>
        </w:rPr>
        <w:t xml:space="preserve">One particular example is the Dutch </w:t>
      </w:r>
      <w:proofErr w:type="spellStart"/>
      <w:r w:rsidR="000954D2" w:rsidRPr="000954D2">
        <w:rPr>
          <w:lang w:val="en-GB"/>
        </w:rPr>
        <w:t>Urgenda</w:t>
      </w:r>
      <w:proofErr w:type="spellEnd"/>
      <w:r w:rsidR="000954D2" w:rsidRPr="000954D2">
        <w:rPr>
          <w:lang w:val="en-GB"/>
        </w:rPr>
        <w:t xml:space="preserve"> sentence in which a collaboration of citizens and NGO St. </w:t>
      </w:r>
      <w:proofErr w:type="spellStart"/>
      <w:r w:rsidR="000954D2" w:rsidRPr="000954D2">
        <w:rPr>
          <w:lang w:val="en-GB"/>
        </w:rPr>
        <w:t>Urgenda</w:t>
      </w:r>
      <w:proofErr w:type="spellEnd"/>
      <w:r w:rsidR="000954D2" w:rsidRPr="000954D2">
        <w:rPr>
          <w:lang w:val="en-GB"/>
        </w:rPr>
        <w:t xml:space="preserve"> sued the Dutch state for negligence in terms of green policy. As a result the Dutch government is forced to limit greenhouse emissions with 25% by the end of 2020 relative to 1990 </w:t>
      </w:r>
      <w:r w:rsidR="000954D2" w:rsidRPr="000954D2">
        <w:rPr>
          <w:noProof/>
          <w:lang w:val="en-GB"/>
        </w:rPr>
        <w:t xml:space="preserve">(Hoge Raad, 2019. </w:t>
      </w:r>
      <w:r w:rsidR="000954D2" w:rsidRPr="000954D2">
        <w:rPr>
          <w:lang w:val="en-GB"/>
        </w:rPr>
        <w:t xml:space="preserve">Thus the government is forced into interventionism if it wishes to adhere to the verdict. Outside the courts, on the streets, the public also urges the state to invest more in green policy. For one, environmental activist Greta Thunberg in a reaction to the proposed EU Green Deal proclaimed that the budget is not for reaching enough </w:t>
      </w:r>
      <w:sdt>
        <w:sdtPr>
          <w:rPr>
            <w:lang w:val="en-GB"/>
          </w:rPr>
          <w:id w:val="-1059942092"/>
          <w:citation/>
        </w:sdtPr>
        <w:sdtEndPr/>
        <w:sdtContent>
          <w:r w:rsidR="000954D2" w:rsidRPr="000954D2">
            <w:rPr>
              <w:lang w:val="en-GB"/>
            </w:rPr>
            <w:fldChar w:fldCharType="begin"/>
          </w:r>
          <w:r w:rsidR="000954D2" w:rsidRPr="000954D2">
            <w:rPr>
              <w:lang w:val="en-GB"/>
            </w:rPr>
            <w:instrText xml:space="preserve"> CITATION BBC20 \l 1043 </w:instrText>
          </w:r>
          <w:r w:rsidR="000954D2" w:rsidRPr="000954D2">
            <w:rPr>
              <w:lang w:val="en-GB"/>
            </w:rPr>
            <w:fldChar w:fldCharType="separate"/>
          </w:r>
          <w:r w:rsidR="0058607C" w:rsidRPr="0058607C">
            <w:rPr>
              <w:noProof/>
              <w:lang w:val="en-GB"/>
            </w:rPr>
            <w:t>(BBC, 2020)</w:t>
          </w:r>
          <w:r w:rsidR="000954D2" w:rsidRPr="000954D2">
            <w:rPr>
              <w:lang w:val="en-GB"/>
            </w:rPr>
            <w:fldChar w:fldCharType="end"/>
          </w:r>
        </w:sdtContent>
      </w:sdt>
      <w:r w:rsidR="000954D2" w:rsidRPr="000954D2">
        <w:rPr>
          <w:lang w:val="en-GB"/>
        </w:rPr>
        <w:t xml:space="preserve">. Apart from the youthful activist who explicitly claims the EU budget on climate change should be higher, across Europe environmental protests erupted during the early months of 2019 </w:t>
      </w:r>
      <w:r w:rsidR="000954D2" w:rsidRPr="000954D2">
        <w:rPr>
          <w:noProof/>
          <w:lang w:val="en-GB"/>
        </w:rPr>
        <w:t>(Guardian, 2019)</w:t>
      </w:r>
      <w:r w:rsidR="000954D2" w:rsidRPr="000954D2">
        <w:rPr>
          <w:lang w:val="en-GB"/>
        </w:rPr>
        <w:t xml:space="preserve">. Apart from addressing climate change to satisfy the young climate protestors, the renaissance of EU industrial policy also appeases those fighting for jobs and equality. The gilets jaunes movement which spread from France to other parts of Europe in their list of demands implored policy makers to protect them from French industries offshoring in order to preserve jobs and innovation </w:t>
      </w:r>
      <w:r w:rsidR="000954D2" w:rsidRPr="000954D2">
        <w:rPr>
          <w:noProof/>
          <w:lang w:val="en-GB"/>
        </w:rPr>
        <w:t>(Le Monde, 2018)</w:t>
      </w:r>
      <w:r w:rsidR="000954D2" w:rsidRPr="000954D2">
        <w:rPr>
          <w:lang w:val="en-GB"/>
        </w:rPr>
        <w:t xml:space="preserve">. </w:t>
      </w:r>
    </w:p>
    <w:p w14:paraId="42905250" w14:textId="0DDB1F9B" w:rsidR="00637A84" w:rsidRDefault="00812443" w:rsidP="00C71FE6">
      <w:pPr>
        <w:spacing w:line="360" w:lineRule="auto"/>
        <w:rPr>
          <w:lang w:val="en-GB"/>
        </w:rPr>
        <w:sectPr w:rsidR="00637A84">
          <w:headerReference w:type="default" r:id="rId14"/>
          <w:pgSz w:w="11906" w:h="16838"/>
          <w:pgMar w:top="1417" w:right="1417" w:bottom="1417" w:left="1417" w:header="708" w:footer="708" w:gutter="0"/>
          <w:cols w:space="708"/>
          <w:docGrid w:linePitch="360"/>
        </w:sectPr>
      </w:pPr>
      <w:r>
        <w:rPr>
          <w:lang w:val="en-GB"/>
        </w:rPr>
        <w:t xml:space="preserve">As part of the car battery value chain Portugal plans to expand its lithium mines’ output –Lithium being one of the main resources required in producing batteries. Part of the population has, however, rejected the idea as the increased mining would have a negative impact on the environment </w:t>
      </w:r>
      <w:r>
        <w:rPr>
          <w:noProof/>
          <w:lang w:val="en-US"/>
        </w:rPr>
        <w:t>(Reuters, 2020)</w:t>
      </w:r>
      <w:r>
        <w:rPr>
          <w:lang w:val="en-GB"/>
        </w:rPr>
        <w:t xml:space="preserve">.  </w:t>
      </w:r>
      <w:r w:rsidR="00616AD2">
        <w:rPr>
          <w:lang w:val="en-GB"/>
        </w:rPr>
        <w:t xml:space="preserve">In its reaction to the Commission’s implementation proposal of April 2019 the European Economic and Social Committee recognizes the impact of mining on the environments. The EESC continues its statement pointing out that the European population have serious reservations concerning local mining which leads to a principle of “Not </w:t>
      </w:r>
      <w:proofErr w:type="gramStart"/>
      <w:r w:rsidR="00616AD2">
        <w:rPr>
          <w:lang w:val="en-GB"/>
        </w:rPr>
        <w:t>In</w:t>
      </w:r>
      <w:proofErr w:type="gramEnd"/>
      <w:r w:rsidR="00616AD2">
        <w:rPr>
          <w:lang w:val="en-GB"/>
        </w:rPr>
        <w:t xml:space="preserve"> My Back Yard” </w:t>
      </w:r>
      <w:r w:rsidR="00E654C5">
        <w:rPr>
          <w:noProof/>
          <w:lang w:val="en-GB"/>
        </w:rPr>
        <w:t>(EESC</w:t>
      </w:r>
      <w:r w:rsidR="00E654C5" w:rsidRPr="00E654C5">
        <w:rPr>
          <w:noProof/>
          <w:lang w:val="en-GB"/>
        </w:rPr>
        <w:t>, 2019</w:t>
      </w:r>
      <w:r w:rsidR="00E654C5">
        <w:rPr>
          <w:noProof/>
          <w:lang w:val="en-GB"/>
        </w:rPr>
        <w:t>: 10</w:t>
      </w:r>
      <w:r w:rsidR="00E654C5" w:rsidRPr="00E654C5">
        <w:rPr>
          <w:noProof/>
          <w:lang w:val="en-GB"/>
        </w:rPr>
        <w:t>)</w:t>
      </w:r>
      <w:r w:rsidR="00616AD2">
        <w:rPr>
          <w:lang w:val="en-GB"/>
        </w:rPr>
        <w:t xml:space="preserve">. </w:t>
      </w:r>
    </w:p>
    <w:p w14:paraId="3C7162CE" w14:textId="586AFC75" w:rsidR="007D67AA" w:rsidRDefault="009E00B3" w:rsidP="00C71FE6">
      <w:pPr>
        <w:spacing w:line="360" w:lineRule="auto"/>
        <w:rPr>
          <w:lang w:val="en-GB"/>
        </w:rPr>
      </w:pPr>
      <w:r>
        <w:rPr>
          <w:lang w:val="en-GB"/>
        </w:rPr>
        <w:lastRenderedPageBreak/>
        <w:t xml:space="preserve">This paper set out to answer the question </w:t>
      </w:r>
      <w:r w:rsidRPr="00123CD3">
        <w:rPr>
          <w:i/>
          <w:lang w:val="en-GB"/>
        </w:rPr>
        <w:t>Why did the EU approve subsidies for a car battery alliance and does it constitute a paradigm shift in EU industrial policy</w:t>
      </w:r>
      <w:r>
        <w:rPr>
          <w:i/>
          <w:lang w:val="en-GB"/>
        </w:rPr>
        <w:t xml:space="preserve">? </w:t>
      </w:r>
      <w:r w:rsidR="00034638">
        <w:rPr>
          <w:lang w:val="en-GB"/>
        </w:rPr>
        <w:t xml:space="preserve">As the question contains two parts it was divided as such. </w:t>
      </w:r>
      <w:r w:rsidR="00195604">
        <w:rPr>
          <w:lang w:val="en-GB"/>
        </w:rPr>
        <w:t>Consider</w:t>
      </w:r>
      <w:r w:rsidR="00237C82">
        <w:rPr>
          <w:lang w:val="en-GB"/>
        </w:rPr>
        <w:t xml:space="preserve"> first the opening hypothesis:</w:t>
      </w:r>
      <w:r w:rsidR="00034638">
        <w:rPr>
          <w:lang w:val="en-GB"/>
        </w:rPr>
        <w:t xml:space="preserve"> </w:t>
      </w:r>
      <w:r w:rsidR="00237C82">
        <w:rPr>
          <w:lang w:val="en-GB"/>
        </w:rPr>
        <w:t>I</w:t>
      </w:r>
      <w:r w:rsidR="00237C82" w:rsidRPr="00237C82">
        <w:rPr>
          <w:lang w:val="en-GB"/>
        </w:rPr>
        <w:t>n approving MS subsidies to the car battery industry the European Commission experienced a shift from horizontal to vertical industrial policy.</w:t>
      </w:r>
      <w:r w:rsidR="00237C82">
        <w:rPr>
          <w:lang w:val="en-GB"/>
        </w:rPr>
        <w:t xml:space="preserve"> </w:t>
      </w:r>
      <w:r w:rsidR="00034638">
        <w:rPr>
          <w:lang w:val="en-GB"/>
        </w:rPr>
        <w:t xml:space="preserve">The empirical data gathered shows that for one, the approved subsidy adheres to this papers’ notion of vertical industrial policy. Indeed, the Member States with approval of the Commission picked a particular sector, particular firms even, to subsidize. Instead of than creating an equal playing field, as would be the case in horizontal policy, </w:t>
      </w:r>
      <w:r w:rsidR="00195604">
        <w:rPr>
          <w:lang w:val="en-GB"/>
        </w:rPr>
        <w:t>certain</w:t>
      </w:r>
      <w:r w:rsidR="00034638">
        <w:rPr>
          <w:lang w:val="en-GB"/>
        </w:rPr>
        <w:t xml:space="preserve"> actors receive</w:t>
      </w:r>
      <w:r w:rsidR="00195604">
        <w:rPr>
          <w:lang w:val="en-GB"/>
        </w:rPr>
        <w:t>d</w:t>
      </w:r>
      <w:r w:rsidR="00034638">
        <w:rPr>
          <w:lang w:val="en-GB"/>
        </w:rPr>
        <w:t xml:space="preserve"> an advantage. The market is not left to its own devises in o</w:t>
      </w:r>
      <w:r w:rsidR="00195604">
        <w:rPr>
          <w:lang w:val="en-GB"/>
        </w:rPr>
        <w:t>ptimising allocation of capital;</w:t>
      </w:r>
      <w:r w:rsidR="00034638">
        <w:rPr>
          <w:lang w:val="en-GB"/>
        </w:rPr>
        <w:t xml:space="preserve"> the state fulfilled this role. That said, there exists a hint of horizontal policy to the car battery project in the Commission’s explanation. After all, the project received the go ahead as the Commission </w:t>
      </w:r>
      <w:r w:rsidR="00195604">
        <w:rPr>
          <w:lang w:val="en-GB"/>
        </w:rPr>
        <w:t xml:space="preserve">argued </w:t>
      </w:r>
      <w:r w:rsidR="00D24882">
        <w:rPr>
          <w:lang w:val="en-GB"/>
        </w:rPr>
        <w:t>that due to the nature of this 4</w:t>
      </w:r>
      <w:r w:rsidR="00D24882" w:rsidRPr="00D24882">
        <w:rPr>
          <w:vertAlign w:val="superscript"/>
          <w:lang w:val="en-GB"/>
        </w:rPr>
        <w:t>th</w:t>
      </w:r>
      <w:r w:rsidR="00D24882">
        <w:rPr>
          <w:lang w:val="en-GB"/>
        </w:rPr>
        <w:t xml:space="preserve"> generation technology it will create spill over effects beyond the car manufacturing sector, thus making the investments appear less discriminatory. Does this action, combined with its rhetoric, break with previous Commission policy? </w:t>
      </w:r>
      <w:r w:rsidR="00237C82">
        <w:rPr>
          <w:lang w:val="en-GB"/>
        </w:rPr>
        <w:t>The customised car framework of the period 1989-200</w:t>
      </w:r>
      <w:r w:rsidR="00850677">
        <w:rPr>
          <w:lang w:val="en-GB"/>
        </w:rPr>
        <w:t>6</w:t>
      </w:r>
      <w:r w:rsidR="00237C82">
        <w:rPr>
          <w:lang w:val="en-GB"/>
        </w:rPr>
        <w:t xml:space="preserve"> did not prevent </w:t>
      </w:r>
      <w:r w:rsidR="00237C82">
        <w:rPr>
          <w:rFonts w:cstheme="minorHAnsi"/>
          <w:lang w:val="en-GB"/>
        </w:rPr>
        <w:t>€</w:t>
      </w:r>
      <w:r w:rsidR="00237C82">
        <w:rPr>
          <w:lang w:val="en-GB"/>
        </w:rPr>
        <w:t>5</w:t>
      </w:r>
      <w:r w:rsidR="00195604">
        <w:rPr>
          <w:lang w:val="en-GB"/>
        </w:rPr>
        <w:t>.</w:t>
      </w:r>
      <w:r w:rsidR="00237C82">
        <w:rPr>
          <w:lang w:val="en-GB"/>
        </w:rPr>
        <w:t xml:space="preserve">8 billion being </w:t>
      </w:r>
      <w:r w:rsidR="00195604">
        <w:rPr>
          <w:lang w:val="en-GB"/>
        </w:rPr>
        <w:t>spent</w:t>
      </w:r>
      <w:r w:rsidR="00237C82">
        <w:rPr>
          <w:lang w:val="en-GB"/>
        </w:rPr>
        <w:t xml:space="preserve"> on aid to the sector, even though the Commission specifically referred to the wasteful and market distortive practices of the 70s and 80s which this framework was to rectify. </w:t>
      </w:r>
      <w:r w:rsidR="00195604">
        <w:rPr>
          <w:lang w:val="en-GB"/>
        </w:rPr>
        <w:t>Again,</w:t>
      </w:r>
      <w:r w:rsidR="00850677">
        <w:rPr>
          <w:lang w:val="en-GB"/>
        </w:rPr>
        <w:t xml:space="preserve"> after the sector became part of the all-encompassing Regional Aid Guidelines 2007-2013 it received </w:t>
      </w:r>
      <w:r w:rsidR="00195604">
        <w:rPr>
          <w:rFonts w:cstheme="minorHAnsi"/>
          <w:lang w:val="en-GB"/>
        </w:rPr>
        <w:t>€1.</w:t>
      </w:r>
      <w:r w:rsidR="00850677">
        <w:rPr>
          <w:rFonts w:cstheme="minorHAnsi"/>
          <w:lang w:val="en-GB"/>
        </w:rPr>
        <w:t>8</w:t>
      </w:r>
      <w:r w:rsidR="00850677">
        <w:rPr>
          <w:lang w:val="en-GB"/>
        </w:rPr>
        <w:t xml:space="preserve"> billion in subsidies. Mind you, this amount does not include the </w:t>
      </w:r>
      <w:r w:rsidR="00850677">
        <w:rPr>
          <w:i/>
          <w:lang w:val="en-GB"/>
        </w:rPr>
        <w:t>crisis</w:t>
      </w:r>
      <w:r w:rsidR="00850677">
        <w:rPr>
          <w:lang w:val="en-GB"/>
        </w:rPr>
        <w:t xml:space="preserve"> aid it received during the recession. This history of localised car manufacturer aid efforts lead to the answer that there has not occurred a shift from horizontal to vertical policy, as </w:t>
      </w:r>
      <w:r w:rsidR="007D67AA">
        <w:rPr>
          <w:lang w:val="en-GB"/>
        </w:rPr>
        <w:t xml:space="preserve">policy appeared to be vertical beforehand. </w:t>
      </w:r>
    </w:p>
    <w:p w14:paraId="47C19797" w14:textId="1543A36B" w:rsidR="00790B2E" w:rsidRDefault="005918ED" w:rsidP="00C71FE6">
      <w:pPr>
        <w:spacing w:line="360" w:lineRule="auto"/>
        <w:rPr>
          <w:lang w:val="en-GB"/>
        </w:rPr>
      </w:pPr>
      <w:r>
        <w:rPr>
          <w:lang w:val="en-GB"/>
        </w:rPr>
        <w:t xml:space="preserve">Hypothesis 2 dealt with the first causes in the mechanism: </w:t>
      </w:r>
      <w:r w:rsidRPr="005918ED">
        <w:rPr>
          <w:lang w:val="en-GB"/>
        </w:rPr>
        <w:t>The EU experienced a crisis which opened up an opportunity to convert from horizontal to vertical policy.</w:t>
      </w:r>
      <w:r>
        <w:rPr>
          <w:lang w:val="en-GB"/>
        </w:rPr>
        <w:t xml:space="preserve"> The EU most certainly experienced an economic crisis. Contractions resulting from the Great Financial Crisis and Euro Crisis hit car manufacturers hard and due to its sheer size also affected the EU economy as a whole. Did this open up gaps for new policy, though? In terms of aid provided it to car manufacturers across Member States, these interventions were approved based on a crisis framework subject to TFEU 107 3 (b). </w:t>
      </w:r>
      <w:r w:rsidR="00085A0E" w:rsidRPr="00900F43">
        <w:rPr>
          <w:lang w:val="en-GB"/>
        </w:rPr>
        <w:t>Though a gap was filled</w:t>
      </w:r>
      <w:r w:rsidR="0033479E" w:rsidRPr="00900F43">
        <w:rPr>
          <w:lang w:val="en-GB"/>
        </w:rPr>
        <w:t>,</w:t>
      </w:r>
      <w:r w:rsidR="00085A0E" w:rsidRPr="00900F43">
        <w:rPr>
          <w:lang w:val="en-GB"/>
        </w:rPr>
        <w:t xml:space="preserve"> these measures were only temporary, thus coinciding with Braun’s emergency phase, except that these measures were not institutionalised in the long run.</w:t>
      </w:r>
      <w:r w:rsidR="00085A0E">
        <w:rPr>
          <w:lang w:val="en-GB"/>
        </w:rPr>
        <w:t xml:space="preserve"> Indeed, an institutionalised framework for aid already existed under a separate</w:t>
      </w:r>
      <w:r w:rsidR="00085A0E" w:rsidRPr="00085A0E">
        <w:rPr>
          <w:lang w:val="en-GB"/>
        </w:rPr>
        <w:t xml:space="preserve"> </w:t>
      </w:r>
      <w:r w:rsidR="00085A0E">
        <w:rPr>
          <w:lang w:val="en-GB"/>
        </w:rPr>
        <w:t xml:space="preserve">TFEU 107 3 (b) framework in the form of the Regional Aid Guidelines. These guidelines, rather than referring to economic crisis situations, address market failures stemming from environmental decay and regional inequality. Though both could be considered crises, it can be hard to refer to them as shocks, as </w:t>
      </w:r>
      <w:r w:rsidR="0033479E">
        <w:rPr>
          <w:lang w:val="en-GB"/>
        </w:rPr>
        <w:t>their</w:t>
      </w:r>
      <w:r w:rsidR="00085A0E">
        <w:rPr>
          <w:lang w:val="en-GB"/>
        </w:rPr>
        <w:t xml:space="preserve"> </w:t>
      </w:r>
      <w:r w:rsidR="0033479E">
        <w:rPr>
          <w:lang w:val="en-GB"/>
        </w:rPr>
        <w:t>effects</w:t>
      </w:r>
      <w:r w:rsidR="00085A0E">
        <w:rPr>
          <w:lang w:val="en-GB"/>
        </w:rPr>
        <w:t xml:space="preserve"> may appear to be incremental, instead of complete shifts. </w:t>
      </w:r>
      <w:r w:rsidR="00790B2E">
        <w:rPr>
          <w:lang w:val="en-GB"/>
        </w:rPr>
        <w:t>Indeed, c</w:t>
      </w:r>
      <w:r w:rsidR="00085A0E">
        <w:rPr>
          <w:lang w:val="en-GB"/>
        </w:rPr>
        <w:t xml:space="preserve">ar manufacturing aid under the </w:t>
      </w:r>
      <w:r w:rsidR="00085A0E">
        <w:rPr>
          <w:lang w:val="en-GB"/>
        </w:rPr>
        <w:lastRenderedPageBreak/>
        <w:t xml:space="preserve">guise of leveraging </w:t>
      </w:r>
      <w:r w:rsidR="00790B2E">
        <w:rPr>
          <w:lang w:val="en-GB"/>
        </w:rPr>
        <w:t>investments in innovation existed as far back as 1989</w:t>
      </w:r>
      <w:r w:rsidR="0033479E">
        <w:rPr>
          <w:lang w:val="en-GB"/>
        </w:rPr>
        <w:t>,</w:t>
      </w:r>
      <w:r w:rsidR="00790B2E">
        <w:rPr>
          <w:lang w:val="en-GB"/>
        </w:rPr>
        <w:t xml:space="preserve"> right after policy makers decided to break with state sponsored production. That said, though a gap may not have been filled in response to the economic crisis, a new narrative did gain momentum as a result of the environmental crisis.</w:t>
      </w:r>
    </w:p>
    <w:p w14:paraId="5A2A47C8" w14:textId="6AD2D4DD" w:rsidR="00A2284C" w:rsidRDefault="00682AC6" w:rsidP="00C71FE6">
      <w:pPr>
        <w:spacing w:line="360" w:lineRule="auto"/>
        <w:rPr>
          <w:lang w:val="en-GB"/>
        </w:rPr>
      </w:pPr>
      <w:r>
        <w:rPr>
          <w:lang w:val="en-GB"/>
        </w:rPr>
        <w:t xml:space="preserve">The narrative of green investments and subsidies that serve equality of regions within the EU are on the minds of </w:t>
      </w:r>
      <w:r w:rsidR="0033479E">
        <w:rPr>
          <w:lang w:val="en-GB"/>
        </w:rPr>
        <w:t>multiple</w:t>
      </w:r>
      <w:r>
        <w:rPr>
          <w:lang w:val="en-GB"/>
        </w:rPr>
        <w:t xml:space="preserve"> stakeholder</w:t>
      </w:r>
      <w:r w:rsidR="0033479E">
        <w:rPr>
          <w:lang w:val="en-GB"/>
        </w:rPr>
        <w:t>s</w:t>
      </w:r>
      <w:r>
        <w:rPr>
          <w:lang w:val="en-GB"/>
        </w:rPr>
        <w:t>, leading to the third hypothesis</w:t>
      </w:r>
      <w:r w:rsidR="0033479E">
        <w:rPr>
          <w:lang w:val="en-GB"/>
        </w:rPr>
        <w:t>.</w:t>
      </w:r>
      <w:r>
        <w:rPr>
          <w:lang w:val="en-GB"/>
        </w:rPr>
        <w:t xml:space="preserve"> </w:t>
      </w:r>
      <w:r w:rsidRPr="001F6B86">
        <w:rPr>
          <w:lang w:val="en-GB"/>
        </w:rPr>
        <w:t>After 2008</w:t>
      </w:r>
      <w:r w:rsidR="0033479E">
        <w:rPr>
          <w:lang w:val="en-GB"/>
        </w:rPr>
        <w:t>, a number of influential</w:t>
      </w:r>
      <w:r w:rsidRPr="001F6B86">
        <w:rPr>
          <w:lang w:val="en-GB"/>
        </w:rPr>
        <w:t xml:space="preserve"> stakeholders changed positions from supporting horizontal policy to supporting vertical policy.</w:t>
      </w:r>
      <w:r>
        <w:rPr>
          <w:lang w:val="en-GB"/>
        </w:rPr>
        <w:t xml:space="preserve"> </w:t>
      </w:r>
      <w:r w:rsidR="0033479E">
        <w:rPr>
          <w:lang w:val="en-GB"/>
        </w:rPr>
        <w:t>The</w:t>
      </w:r>
      <w:r w:rsidR="00A2284C">
        <w:rPr>
          <w:lang w:val="en-GB"/>
        </w:rPr>
        <w:t xml:space="preserve"> ECB, Germany, and France support more state investments in manufacturing. Especially for the ECB and Germany this acts as an actual shift. European institutions such as </w:t>
      </w:r>
      <w:r w:rsidR="00001929">
        <w:rPr>
          <w:lang w:val="en-GB"/>
        </w:rPr>
        <w:t xml:space="preserve">Parliament, the EECS and think-tank CEPS </w:t>
      </w:r>
      <w:r w:rsidR="00A2284C">
        <w:rPr>
          <w:lang w:val="en-GB"/>
        </w:rPr>
        <w:t>do</w:t>
      </w:r>
      <w:r w:rsidR="00001929">
        <w:rPr>
          <w:lang w:val="en-GB"/>
        </w:rPr>
        <w:t xml:space="preserve"> see a future in more vertical policy</w:t>
      </w:r>
      <w:r w:rsidR="00A2284C">
        <w:rPr>
          <w:lang w:val="en-GB"/>
        </w:rPr>
        <w:t>, though they prefer it</w:t>
      </w:r>
      <w:r w:rsidR="00001929">
        <w:rPr>
          <w:lang w:val="en-GB"/>
        </w:rPr>
        <w:t xml:space="preserve"> in the form of government centrally orchestrating a project. </w:t>
      </w:r>
      <w:r w:rsidR="00FE21F5">
        <w:rPr>
          <w:lang w:val="en-GB"/>
        </w:rPr>
        <w:t xml:space="preserve">EP and the EECS recognise the added value of a </w:t>
      </w:r>
      <w:r w:rsidR="005775E7">
        <w:rPr>
          <w:lang w:val="en-GB"/>
        </w:rPr>
        <w:t xml:space="preserve">centralised party, i.e. the Commission, </w:t>
      </w:r>
      <w:r w:rsidR="0033479E">
        <w:rPr>
          <w:lang w:val="en-GB"/>
        </w:rPr>
        <w:t>in</w:t>
      </w:r>
      <w:r w:rsidR="00A2284C">
        <w:rPr>
          <w:lang w:val="en-GB"/>
        </w:rPr>
        <w:t xml:space="preserve"> </w:t>
      </w:r>
      <w:r w:rsidR="005775E7">
        <w:rPr>
          <w:lang w:val="en-GB"/>
        </w:rPr>
        <w:t>value chain project</w:t>
      </w:r>
      <w:r w:rsidR="00A2284C">
        <w:rPr>
          <w:lang w:val="en-GB"/>
        </w:rPr>
        <w:t>s</w:t>
      </w:r>
      <w:r w:rsidR="0033479E">
        <w:rPr>
          <w:lang w:val="en-GB"/>
        </w:rPr>
        <w:t xml:space="preserve"> in particular</w:t>
      </w:r>
      <w:r w:rsidR="005775E7">
        <w:rPr>
          <w:lang w:val="en-GB"/>
        </w:rPr>
        <w:t xml:space="preserve">. Firstly, a value chain comes closer to a horizontal measure, as it implications beyond one sector. Second, increased attention goes out to the weaknesses of </w:t>
      </w:r>
      <w:r w:rsidR="0033479E" w:rsidRPr="0033479E">
        <w:rPr>
          <w:i/>
          <w:lang w:val="en-GB"/>
        </w:rPr>
        <w:t>global</w:t>
      </w:r>
      <w:r w:rsidR="0033479E">
        <w:rPr>
          <w:lang w:val="en-GB"/>
        </w:rPr>
        <w:t xml:space="preserve"> value chains</w:t>
      </w:r>
      <w:r w:rsidR="005775E7">
        <w:rPr>
          <w:lang w:val="en-GB"/>
        </w:rPr>
        <w:t xml:space="preserve">, in particular disruption. The COVID-19 pandemic </w:t>
      </w:r>
      <w:r w:rsidR="0033479E">
        <w:rPr>
          <w:lang w:val="en-GB"/>
        </w:rPr>
        <w:t>fuelled the argument</w:t>
      </w:r>
      <w:r w:rsidR="005775E7">
        <w:rPr>
          <w:lang w:val="en-GB"/>
        </w:rPr>
        <w:t xml:space="preserve"> as supply chains were disrupted due to countries world-wide entering in lock-downs. That said, the localisation process of value chains commenced as early as 2005, COVID merely seems to push the momentum. </w:t>
      </w:r>
      <w:r w:rsidR="00A2284C">
        <w:rPr>
          <w:lang w:val="en-GB"/>
        </w:rPr>
        <w:t xml:space="preserve">It becomes apparent that significant actors have changed their position on vertical to horizontal policy and state aid in general. It is no surprise that Keynesian theorists such as Krugman propose higher government spending </w:t>
      </w:r>
      <w:sdt>
        <w:sdtPr>
          <w:rPr>
            <w:lang w:val="en-GB"/>
          </w:rPr>
          <w:id w:val="795112095"/>
          <w:citation/>
        </w:sdtPr>
        <w:sdtEndPr/>
        <w:sdtContent>
          <w:r w:rsidR="00A2284C">
            <w:rPr>
              <w:lang w:val="en-GB"/>
            </w:rPr>
            <w:fldChar w:fldCharType="begin"/>
          </w:r>
          <w:r w:rsidR="00A2284C" w:rsidRPr="009D3FFE">
            <w:rPr>
              <w:lang w:val="en-GB"/>
            </w:rPr>
            <w:instrText xml:space="preserve"> CITATION Kru20 \l 1043 </w:instrText>
          </w:r>
          <w:r w:rsidR="00A2284C">
            <w:rPr>
              <w:lang w:val="en-GB"/>
            </w:rPr>
            <w:fldChar w:fldCharType="separate"/>
          </w:r>
          <w:r w:rsidR="0058607C" w:rsidRPr="0058607C">
            <w:rPr>
              <w:noProof/>
              <w:lang w:val="en-GB"/>
            </w:rPr>
            <w:t>(Krugman P. , 2020)</w:t>
          </w:r>
          <w:r w:rsidR="00A2284C">
            <w:rPr>
              <w:lang w:val="en-GB"/>
            </w:rPr>
            <w:fldChar w:fldCharType="end"/>
          </w:r>
        </w:sdtContent>
      </w:sdt>
      <w:r w:rsidR="00A2284C">
        <w:rPr>
          <w:lang w:val="en-GB"/>
        </w:rPr>
        <w:t xml:space="preserve">, but his team has apparently grown. Stake holders previously devoted to austerity such as the ECB, German government, and even Conservatists now are less opposed to higher spending. </w:t>
      </w:r>
    </w:p>
    <w:p w14:paraId="0EB84F80" w14:textId="14CFF296" w:rsidR="005775E7" w:rsidRDefault="004E449A" w:rsidP="00C71FE6">
      <w:pPr>
        <w:spacing w:line="360" w:lineRule="auto"/>
        <w:rPr>
          <w:lang w:val="en-GB"/>
        </w:rPr>
      </w:pPr>
      <w:r>
        <w:rPr>
          <w:lang w:val="en-GB"/>
        </w:rPr>
        <w:t xml:space="preserve">Political instability can be recognised along other policy fields as well, which fits in with the fourth hypothesis: </w:t>
      </w:r>
      <w:r w:rsidRPr="001F6B86">
        <w:rPr>
          <w:lang w:val="en-GB"/>
        </w:rPr>
        <w:t>Aside from shifting in terms of industrial policy, similar</w:t>
      </w:r>
      <w:r w:rsidR="00A2284C">
        <w:rPr>
          <w:lang w:val="en-GB"/>
        </w:rPr>
        <w:t xml:space="preserve"> were</w:t>
      </w:r>
      <w:r w:rsidRPr="001F6B86">
        <w:rPr>
          <w:lang w:val="en-GB"/>
        </w:rPr>
        <w:t xml:space="preserve"> </w:t>
      </w:r>
      <w:r w:rsidR="00A2284C">
        <w:rPr>
          <w:lang w:val="en-GB"/>
        </w:rPr>
        <w:t>alterations</w:t>
      </w:r>
      <w:r w:rsidRPr="001F6B86">
        <w:rPr>
          <w:lang w:val="en-GB"/>
        </w:rPr>
        <w:t xml:space="preserve"> in other policy areas.</w:t>
      </w:r>
      <w:r>
        <w:rPr>
          <w:lang w:val="en-GB"/>
        </w:rPr>
        <w:t xml:space="preserve"> EU foreign policy appears to have shifted away from a liberal understanding toward a more realist one</w:t>
      </w:r>
      <w:r w:rsidR="00E14ABC">
        <w:rPr>
          <w:lang w:val="en-GB"/>
        </w:rPr>
        <w:t xml:space="preserve"> as cooperation turns into a zero-sum-game</w:t>
      </w:r>
      <w:r>
        <w:rPr>
          <w:lang w:val="en-GB"/>
        </w:rPr>
        <w:t>. The Commission and its Member States showed disinterest in optimal allocation of capital through the free market and turned to protectionist measures as they fear local technologies falling in</w:t>
      </w:r>
      <w:r w:rsidR="00E14ABC">
        <w:rPr>
          <w:lang w:val="en-GB"/>
        </w:rPr>
        <w:t xml:space="preserve">to the wrong hands, China in particular. Carbon emission tariffs, foreign investment barriers, exclusion of particular companies, all point at a more inward oriented EU. Aside from industrial and foreign policy, fiscal policy also experienced some alterations. In a turn away from austerity, both Germany, the ECB, and the IMF, previously staunch monetarists, have become less rigged in terms of fiscal disciple. </w:t>
      </w:r>
      <w:r w:rsidR="00AC2BFD">
        <w:rPr>
          <w:lang w:val="en-GB"/>
        </w:rPr>
        <w:t xml:space="preserve">As such, they provide more room for states to directly intervene through costly subsidies. That said, not all are enthusiastic about certain measures as the BIS and </w:t>
      </w:r>
      <w:proofErr w:type="spellStart"/>
      <w:r w:rsidR="00AC2BFD">
        <w:rPr>
          <w:lang w:val="en-GB"/>
        </w:rPr>
        <w:t>Bundesverfassungsgericht</w:t>
      </w:r>
      <w:proofErr w:type="spellEnd"/>
      <w:r w:rsidR="00AC2BFD">
        <w:rPr>
          <w:lang w:val="en-GB"/>
        </w:rPr>
        <w:t xml:space="preserve"> fear the fiscal space created by the ECB may directly finance debt and may be disproportionally large, respectively. </w:t>
      </w:r>
      <w:r w:rsidR="00AC2BFD">
        <w:rPr>
          <w:lang w:val="en-GB"/>
        </w:rPr>
        <w:lastRenderedPageBreak/>
        <w:t xml:space="preserve">Though critical voices are heard, increased government spending, and increased government debt gains traction as Modern Monetary Theory grows in popularity. </w:t>
      </w:r>
      <w:r w:rsidR="00900F43">
        <w:rPr>
          <w:lang w:val="en-GB"/>
        </w:rPr>
        <w:t xml:space="preserve">Coincidentally, </w:t>
      </w:r>
      <w:proofErr w:type="spellStart"/>
      <w:r w:rsidR="00900F43">
        <w:rPr>
          <w:lang w:val="en-GB"/>
        </w:rPr>
        <w:t>Andreoni</w:t>
      </w:r>
      <w:proofErr w:type="spellEnd"/>
      <w:r w:rsidR="00900F43">
        <w:rPr>
          <w:lang w:val="en-GB"/>
        </w:rPr>
        <w:t xml:space="preserve"> and Chang see more room for risky industrial investments currently due to the cheap money currently available. </w:t>
      </w:r>
    </w:p>
    <w:p w14:paraId="57EF8178" w14:textId="2B3AB543" w:rsidR="00AC2BFD" w:rsidRPr="00AC2BFD" w:rsidRDefault="00AC2BFD" w:rsidP="00C71FE6">
      <w:pPr>
        <w:spacing w:line="360" w:lineRule="auto"/>
        <w:rPr>
          <w:lang w:val="en-GB"/>
        </w:rPr>
      </w:pPr>
      <w:r>
        <w:rPr>
          <w:lang w:val="en-GB"/>
        </w:rPr>
        <w:t xml:space="preserve">Finally, the last hypothesis relates to the INUS cause on public support of the new paradigm. The most striking example in which the masses </w:t>
      </w:r>
      <w:r>
        <w:rPr>
          <w:i/>
          <w:lang w:val="en-GB"/>
        </w:rPr>
        <w:t>indirectly</w:t>
      </w:r>
      <w:r>
        <w:rPr>
          <w:lang w:val="en-GB"/>
        </w:rPr>
        <w:t xml:space="preserve"> support the vertical industrial policy is in environmental protests. As the Commission argues the car batte</w:t>
      </w:r>
      <w:r w:rsidR="00896DE8">
        <w:rPr>
          <w:lang w:val="en-GB"/>
        </w:rPr>
        <w:t xml:space="preserve">ry project builds toward decreased emissions in the EU the masses should agree with the program. However, the value chain requires mining to increase, which actually led to disagreements. More direct support of the new policy could be extracted from the </w:t>
      </w:r>
      <w:proofErr w:type="spellStart"/>
      <w:r w:rsidR="00896DE8">
        <w:rPr>
          <w:lang w:val="en-GB"/>
        </w:rPr>
        <w:t>Gillets</w:t>
      </w:r>
      <w:proofErr w:type="spellEnd"/>
      <w:r w:rsidR="00896DE8">
        <w:rPr>
          <w:lang w:val="en-GB"/>
        </w:rPr>
        <w:t xml:space="preserve"> Jaunes who request the state to </w:t>
      </w:r>
      <w:proofErr w:type="spellStart"/>
      <w:r w:rsidR="00896DE8">
        <w:rPr>
          <w:lang w:val="en-GB"/>
        </w:rPr>
        <w:t>reshore</w:t>
      </w:r>
      <w:proofErr w:type="spellEnd"/>
      <w:r w:rsidR="00896DE8">
        <w:rPr>
          <w:lang w:val="en-GB"/>
        </w:rPr>
        <w:t xml:space="preserve"> manufacturing jobs. Overall, support seems to be divided, but more importantly vertical versus horizontal industrial policy may not be a concern for the majority of voters. </w:t>
      </w:r>
    </w:p>
    <w:p w14:paraId="501CCFC6" w14:textId="72C39AC8" w:rsidR="002C1854" w:rsidRDefault="002C1854" w:rsidP="00C71FE6">
      <w:pPr>
        <w:spacing w:line="360" w:lineRule="auto"/>
        <w:rPr>
          <w:lang w:val="en-GB"/>
        </w:rPr>
      </w:pPr>
      <w:r>
        <w:rPr>
          <w:lang w:val="en-GB"/>
        </w:rPr>
        <w:t xml:space="preserve">All five hypotheses combined led to the conclusive answer on the question </w:t>
      </w:r>
      <w:r w:rsidR="00A92549" w:rsidRPr="00A92549">
        <w:rPr>
          <w:lang w:val="en-GB"/>
        </w:rPr>
        <w:t>Why did the EU approve subsidies for a car battery alliance and does it constitute a paradigm shift in EU industrial policy?</w:t>
      </w:r>
      <w:r w:rsidR="00A92549">
        <w:rPr>
          <w:i/>
          <w:lang w:val="en-GB"/>
        </w:rPr>
        <w:t xml:space="preserve"> </w:t>
      </w:r>
      <w:r w:rsidR="00A92549">
        <w:rPr>
          <w:lang w:val="en-GB"/>
        </w:rPr>
        <w:t xml:space="preserve">There has been no paradigm shift from horizontal to vertical policy: Vertical policy was already in place, it merely operated under a different form. </w:t>
      </w:r>
      <w:r>
        <w:rPr>
          <w:lang w:val="en-GB"/>
        </w:rPr>
        <w:t xml:space="preserve">It corresponds to the findings of </w:t>
      </w:r>
      <w:proofErr w:type="spellStart"/>
      <w:r>
        <w:rPr>
          <w:lang w:val="en-GB"/>
        </w:rPr>
        <w:t>Andreoni</w:t>
      </w:r>
      <w:proofErr w:type="spellEnd"/>
      <w:r>
        <w:rPr>
          <w:lang w:val="en-GB"/>
        </w:rPr>
        <w:t xml:space="preserve"> and Chang who recognise no shift in EU industrial policy; it merely existed under a different name up until 2008. </w:t>
      </w:r>
      <w:r w:rsidR="00A92549">
        <w:rPr>
          <w:lang w:val="en-GB"/>
        </w:rPr>
        <w:t xml:space="preserve">The new format, however, does seem to indicate a new narrative in the reasoning behind it. </w:t>
      </w:r>
      <w:r w:rsidR="00BE204B">
        <w:rPr>
          <w:lang w:val="en-GB"/>
        </w:rPr>
        <w:t xml:space="preserve">It matches with </w:t>
      </w:r>
      <w:proofErr w:type="spellStart"/>
      <w:r w:rsidR="00BE204B">
        <w:rPr>
          <w:lang w:val="en-GB"/>
        </w:rPr>
        <w:t>Bofinger</w:t>
      </w:r>
      <w:proofErr w:type="spellEnd"/>
      <w:r w:rsidR="00BE204B">
        <w:rPr>
          <w:lang w:val="en-GB"/>
        </w:rPr>
        <w:t>, who speaks of a shift in beliefs of German policy makers around 2018, which has not yet materialised</w:t>
      </w:r>
      <w:r>
        <w:rPr>
          <w:lang w:val="en-GB"/>
        </w:rPr>
        <w:t>.</w:t>
      </w:r>
      <w:r w:rsidR="00BE204B">
        <w:rPr>
          <w:lang w:val="en-GB"/>
        </w:rPr>
        <w:t xml:space="preserve"> </w:t>
      </w:r>
      <w:r>
        <w:rPr>
          <w:lang w:val="en-GB"/>
        </w:rPr>
        <w:t xml:space="preserve">Change of narrative can be found in the Commission’s perception of market failures. </w:t>
      </w:r>
      <w:r w:rsidR="00E87999">
        <w:rPr>
          <w:lang w:val="en-GB"/>
        </w:rPr>
        <w:t xml:space="preserve">The battery projects approval is partly based on the recognition of uncertainty in this sector. State leveraging controls for the failure, the Commission states, confirming the work of </w:t>
      </w:r>
      <w:proofErr w:type="spellStart"/>
      <w:r w:rsidR="00E87999">
        <w:rPr>
          <w:lang w:val="en-GB"/>
        </w:rPr>
        <w:t>Mazzucato</w:t>
      </w:r>
      <w:proofErr w:type="spellEnd"/>
      <w:r w:rsidR="00E87999">
        <w:rPr>
          <w:lang w:val="en-GB"/>
        </w:rPr>
        <w:t xml:space="preserve">. </w:t>
      </w:r>
      <w:r w:rsidR="00A92549">
        <w:rPr>
          <w:lang w:val="en-GB"/>
        </w:rPr>
        <w:t>Rather than a paradigm shift, it may be dubbed an incremental change.</w:t>
      </w:r>
      <w:r>
        <w:rPr>
          <w:lang w:val="en-GB"/>
        </w:rPr>
        <w:t xml:space="preserve"> In terms of Hall’s order of shifts it creates a peculiar situation as the hierarchy of goals appears to shift, but the instruments do not. Indeed, competition with China and the ensuing self-dependency has come to the forefront of late, as well as green goals. </w:t>
      </w:r>
    </w:p>
    <w:p w14:paraId="3DBE6D43" w14:textId="20E754A6" w:rsidR="00900F43" w:rsidRDefault="00BE204B" w:rsidP="00C71FE6">
      <w:pPr>
        <w:spacing w:line="360" w:lineRule="auto"/>
        <w:rPr>
          <w:lang w:val="en-GB"/>
        </w:rPr>
      </w:pPr>
      <w:r>
        <w:rPr>
          <w:lang w:val="en-GB"/>
        </w:rPr>
        <w:t>Following the mechanism</w:t>
      </w:r>
      <w:r w:rsidR="00A92549">
        <w:rPr>
          <w:lang w:val="en-GB"/>
        </w:rPr>
        <w:t xml:space="preserve">, there was no crisis which acted as a shock and opened up a gap for new policy. The Great Financial Crisis and Euro Crisis were indeed economic shocks, but resulted in a temporary framework which existed alongside the institutionalised framework. </w:t>
      </w:r>
      <w:r w:rsidR="0034448C">
        <w:rPr>
          <w:lang w:val="en-GB"/>
        </w:rPr>
        <w:t>Buch-Hansen and Wigger found a similar mechanism at work</w:t>
      </w:r>
      <w:r w:rsidR="00E87999">
        <w:rPr>
          <w:lang w:val="en-GB"/>
        </w:rPr>
        <w:t xml:space="preserve"> in the field of finance, where</w:t>
      </w:r>
      <w:r w:rsidR="0034448C">
        <w:rPr>
          <w:lang w:val="en-GB"/>
        </w:rPr>
        <w:t xml:space="preserve"> </w:t>
      </w:r>
      <w:r w:rsidR="00E87999">
        <w:rPr>
          <w:lang w:val="en-GB"/>
        </w:rPr>
        <w:t xml:space="preserve">a </w:t>
      </w:r>
      <w:r w:rsidR="0034448C">
        <w:rPr>
          <w:lang w:val="en-GB"/>
        </w:rPr>
        <w:t>policy shift</w:t>
      </w:r>
      <w:r w:rsidR="00E87999">
        <w:rPr>
          <w:lang w:val="en-GB"/>
        </w:rPr>
        <w:t xml:space="preserve"> following the Great Recession</w:t>
      </w:r>
      <w:r w:rsidR="0034448C">
        <w:rPr>
          <w:lang w:val="en-GB"/>
        </w:rPr>
        <w:t xml:space="preserve"> was merely temporary and therefore not complete. </w:t>
      </w:r>
      <w:r w:rsidR="00570076">
        <w:rPr>
          <w:lang w:val="en-GB"/>
        </w:rPr>
        <w:t xml:space="preserve">Second, other stake-holders do approve of vertical measures, but </w:t>
      </w:r>
      <w:r w:rsidR="00E87999">
        <w:rPr>
          <w:lang w:val="en-GB"/>
        </w:rPr>
        <w:t>not out of economic crisis rhetoric</w:t>
      </w:r>
      <w:r w:rsidR="00570076">
        <w:rPr>
          <w:lang w:val="en-GB"/>
        </w:rPr>
        <w:t xml:space="preserve">. Member States subsidized particular firms </w:t>
      </w:r>
      <w:r w:rsidR="00E87999">
        <w:rPr>
          <w:lang w:val="en-GB"/>
        </w:rPr>
        <w:t>in the hope of preventing</w:t>
      </w:r>
      <w:r w:rsidR="00317F06">
        <w:rPr>
          <w:lang w:val="en-GB"/>
        </w:rPr>
        <w:t xml:space="preserve"> foreign take-overs and</w:t>
      </w:r>
      <w:r w:rsidR="00E87999">
        <w:rPr>
          <w:lang w:val="en-GB"/>
        </w:rPr>
        <w:t xml:space="preserve"> over</w:t>
      </w:r>
      <w:r w:rsidR="00317F06">
        <w:rPr>
          <w:lang w:val="en-GB"/>
        </w:rPr>
        <w:t xml:space="preserve"> fear of supply chain disruption. These measures were perhaps the result of a shift in other policy areas, such as foreign affairs. </w:t>
      </w:r>
      <w:r w:rsidR="00317F06">
        <w:rPr>
          <w:lang w:val="en-GB"/>
        </w:rPr>
        <w:lastRenderedPageBreak/>
        <w:t xml:space="preserve">Indeed, the COVID pandemic may have proved to be the shock to create space for a realist paradigm, which affects the Commission’s take on industrial policy. </w:t>
      </w:r>
      <w:r w:rsidR="008C34C3">
        <w:rPr>
          <w:lang w:val="en-GB"/>
        </w:rPr>
        <w:t>The masses can find themselves in this narrative as a part of the populace turns against globalisation. Still others support the policy out of a more altruistic cause, though even as the Commission has the best intentions in mind it can still count on resistance. Thus, none of the INUS factors are fully present, indicating a paradigm shift would be unlikely. The most convincing link in the mechanism is the support of vertical policy form other actors. However, their support appears to follow a different mechanism as it results fr</w:t>
      </w:r>
      <w:r w:rsidR="00900F43">
        <w:rPr>
          <w:lang w:val="en-GB"/>
        </w:rPr>
        <w:t xml:space="preserve">om a crisis in foreign policy. </w:t>
      </w:r>
      <w:r w:rsidR="00121CF8">
        <w:rPr>
          <w:lang w:val="en-GB"/>
        </w:rPr>
        <w:t xml:space="preserve">The Commission’s industrial policy acts as </w:t>
      </w:r>
      <w:r w:rsidR="00E05491">
        <w:rPr>
          <w:lang w:val="en-GB"/>
        </w:rPr>
        <w:t>an intense proxy war</w:t>
      </w:r>
      <w:r w:rsidR="00121CF8">
        <w:rPr>
          <w:lang w:val="en-GB"/>
        </w:rPr>
        <w:t xml:space="preserve"> in a greater play in international economics. Rather than requiring investments for the environments sake, </w:t>
      </w:r>
      <w:r w:rsidR="00C71FE6">
        <w:rPr>
          <w:lang w:val="en-GB"/>
        </w:rPr>
        <w:t xml:space="preserve">the EU seeks more to be independent. In it the state creates its own fortune, not adhering to the stalemate of fixed comparative advantages. It seems to usher in a new era of realism in which neoliberal free market doctrine has to make way for protectionism, disguised as environmental, infant industry measures. </w:t>
      </w:r>
    </w:p>
    <w:p w14:paraId="3D7B10F4" w14:textId="33EB2678" w:rsidR="00002FC7" w:rsidRDefault="0081574C" w:rsidP="00C71FE6">
      <w:pPr>
        <w:spacing w:line="360" w:lineRule="auto"/>
        <w:rPr>
          <w:lang w:val="en-GB"/>
        </w:rPr>
      </w:pPr>
      <w:r>
        <w:rPr>
          <w:lang w:val="en-GB"/>
        </w:rPr>
        <w:t xml:space="preserve">Though the theorised mechanism seems to coincide with the empirics, some shortcomings ought to be addressed. Firstly, not all INUS causes are particularly measurable. The subject at hand, for example, does not translate particularly well to popular opinion. The average voter may not be concerned with industrial measures, and if they are it remains to be seen whether they differentiate between vertical and horizontal policy. Furthermore, particularly in light of this paper, </w:t>
      </w:r>
      <w:r w:rsidR="00C71FE6">
        <w:rPr>
          <w:lang w:val="en-GB"/>
        </w:rPr>
        <w:t>increased</w:t>
      </w:r>
      <w:r>
        <w:rPr>
          <w:lang w:val="en-GB"/>
        </w:rPr>
        <w:t xml:space="preserve"> attention should go out to shifts in other policy areas. Incomplete research may lead to lacking context, which in turn falsely indicates a shift (or not). One such example is that a shift may have been observed as a result of the recapitalisation of banks during the recession, when upon closer inspection it appears not to be so. Though previous research provides validation, updated empirics help even more. </w:t>
      </w:r>
      <w:r w:rsidR="00874178">
        <w:rPr>
          <w:lang w:val="en-GB"/>
        </w:rPr>
        <w:t>Updated empirics are particularly relevant for further research on the case at hand. At the time of writing the COVID-19 pandemic is far from over, as are the economic contraction resulting from a global lock-down. The full implication</w:t>
      </w:r>
      <w:r w:rsidR="000F29BA">
        <w:rPr>
          <w:lang w:val="en-GB"/>
        </w:rPr>
        <w:t>s</w:t>
      </w:r>
      <w:r w:rsidR="00874178">
        <w:rPr>
          <w:lang w:val="en-GB"/>
        </w:rPr>
        <w:t xml:space="preserve"> of the crisis remain to be seen. </w:t>
      </w:r>
    </w:p>
    <w:p w14:paraId="1C5F6235" w14:textId="77777777" w:rsidR="00121CF8" w:rsidRDefault="00121CF8" w:rsidP="00C71FE6">
      <w:pPr>
        <w:spacing w:line="360" w:lineRule="auto"/>
        <w:rPr>
          <w:lang w:val="en-GB"/>
        </w:rPr>
        <w:sectPr w:rsidR="00121CF8">
          <w:headerReference w:type="default" r:id="rId15"/>
          <w:pgSz w:w="11906" w:h="16838"/>
          <w:pgMar w:top="1417" w:right="1417" w:bottom="1417" w:left="1417" w:header="708" w:footer="708" w:gutter="0"/>
          <w:cols w:space="708"/>
          <w:docGrid w:linePitch="360"/>
        </w:sectPr>
      </w:pPr>
    </w:p>
    <w:sdt>
      <w:sdtPr>
        <w:rPr>
          <w:rFonts w:asciiTheme="minorHAnsi" w:eastAsiaTheme="minorHAnsi" w:hAnsiTheme="minorHAnsi" w:cstheme="minorBidi"/>
          <w:b w:val="0"/>
          <w:bCs w:val="0"/>
          <w:color w:val="auto"/>
          <w:sz w:val="22"/>
          <w:szCs w:val="22"/>
          <w:lang w:val="nl-NL" w:eastAsia="en-US"/>
        </w:rPr>
        <w:id w:val="381064360"/>
        <w:docPartObj>
          <w:docPartGallery w:val="Bibliographies"/>
          <w:docPartUnique/>
        </w:docPartObj>
      </w:sdtPr>
      <w:sdtEndPr/>
      <w:sdtContent>
        <w:p w14:paraId="757B56F1" w14:textId="2CF69914" w:rsidR="00F40E8B" w:rsidRDefault="00F40E8B" w:rsidP="00C71FE6">
          <w:pPr>
            <w:pStyle w:val="Heading1"/>
            <w:spacing w:line="360" w:lineRule="auto"/>
          </w:pPr>
          <w:r>
            <w:t>Bibliography</w:t>
          </w:r>
        </w:p>
        <w:sdt>
          <w:sdtPr>
            <w:id w:val="111145805"/>
            <w:bibliography/>
          </w:sdtPr>
          <w:sdtEndPr/>
          <w:sdtContent>
            <w:p w14:paraId="00DCC40C" w14:textId="77777777" w:rsidR="0058607C" w:rsidRDefault="00F40E8B" w:rsidP="0058607C">
              <w:pPr>
                <w:pStyle w:val="Bibliography"/>
                <w:ind w:left="720" w:hanging="720"/>
                <w:rPr>
                  <w:noProof/>
                  <w:lang w:val="en-US"/>
                </w:rPr>
              </w:pPr>
              <w:r>
                <w:fldChar w:fldCharType="begin"/>
              </w:r>
              <w:r w:rsidRPr="00F40E8B">
                <w:rPr>
                  <w:lang w:val="en-GB"/>
                </w:rPr>
                <w:instrText xml:space="preserve"> BIBLIOGRAPHY </w:instrText>
              </w:r>
              <w:r>
                <w:fldChar w:fldCharType="separate"/>
              </w:r>
              <w:r w:rsidR="0058607C">
                <w:rPr>
                  <w:noProof/>
                  <w:lang w:val="en-US"/>
                </w:rPr>
                <w:t xml:space="preserve">2020/N. (2020). </w:t>
              </w:r>
              <w:r w:rsidR="0058607C">
                <w:rPr>
                  <w:i/>
                  <w:iCs/>
                  <w:noProof/>
                  <w:lang w:val="en-US"/>
                </w:rPr>
                <w:t>Aide d’État SA.57134(2020/N) –France - COVID 19 : Aide sous forme de garanties de prêts au profit du groupe Renault .</w:t>
              </w:r>
              <w:r w:rsidR="0058607C">
                <w:rPr>
                  <w:noProof/>
                  <w:lang w:val="en-US"/>
                </w:rPr>
                <w:t xml:space="preserve"> Brussels: European Commission.</w:t>
              </w:r>
            </w:p>
            <w:p w14:paraId="3059BF27" w14:textId="77777777" w:rsidR="0058607C" w:rsidRDefault="0058607C" w:rsidP="0058607C">
              <w:pPr>
                <w:pStyle w:val="Bibliography"/>
                <w:ind w:left="720" w:hanging="720"/>
                <w:rPr>
                  <w:noProof/>
                  <w:lang w:val="en-US"/>
                </w:rPr>
              </w:pPr>
              <w:r>
                <w:rPr>
                  <w:noProof/>
                  <w:lang w:val="en-US"/>
                </w:rPr>
                <w:t xml:space="preserve">ACEA. (2014). </w:t>
              </w:r>
              <w:r>
                <w:rPr>
                  <w:i/>
                  <w:iCs/>
                  <w:noProof/>
                  <w:lang w:val="en-US"/>
                </w:rPr>
                <w:t>Key Figures.</w:t>
              </w:r>
              <w:r>
                <w:rPr>
                  <w:noProof/>
                  <w:lang w:val="en-US"/>
                </w:rPr>
                <w:t xml:space="preserve"> Retrieved June 2020, from Acea: https://www.acea.be/uploads/statistic_documents/POCKET_GUIDE_13_26.pdf</w:t>
              </w:r>
            </w:p>
            <w:p w14:paraId="7E06F6E2" w14:textId="77777777" w:rsidR="0058607C" w:rsidRDefault="0058607C" w:rsidP="0058607C">
              <w:pPr>
                <w:pStyle w:val="Bibliography"/>
                <w:ind w:left="720" w:hanging="720"/>
                <w:rPr>
                  <w:noProof/>
                  <w:lang w:val="en-US"/>
                </w:rPr>
              </w:pPr>
              <w:r>
                <w:rPr>
                  <w:noProof/>
                  <w:lang w:val="en-US"/>
                </w:rPr>
                <w:t xml:space="preserve">ACEA. (2019, May 4). </w:t>
              </w:r>
              <w:r>
                <w:rPr>
                  <w:i/>
                  <w:iCs/>
                  <w:noProof/>
                  <w:lang w:val="en-US"/>
                </w:rPr>
                <w:t>Employment Trends</w:t>
              </w:r>
              <w:r>
                <w:rPr>
                  <w:noProof/>
                  <w:lang w:val="en-US"/>
                </w:rPr>
                <w:t>. Retrieved May 15, 2020, from ACEA: https://www.acea.be/statistics/tag/category/employment-trends</w:t>
              </w:r>
            </w:p>
            <w:p w14:paraId="6C3A3EE3" w14:textId="77777777" w:rsidR="0058607C" w:rsidRDefault="0058607C" w:rsidP="0058607C">
              <w:pPr>
                <w:pStyle w:val="Bibliography"/>
                <w:ind w:left="720" w:hanging="720"/>
                <w:rPr>
                  <w:noProof/>
                  <w:lang w:val="en-US"/>
                </w:rPr>
              </w:pPr>
              <w:r>
                <w:rPr>
                  <w:noProof/>
                  <w:lang w:val="en-US"/>
                </w:rPr>
                <w:t xml:space="preserve">ACEA, CLEPA, ETRMA, &amp; CECRA. (2020, March 25). </w:t>
              </w:r>
              <w:r>
                <w:rPr>
                  <w:i/>
                  <w:iCs/>
                  <w:noProof/>
                  <w:lang w:val="en-US"/>
                </w:rPr>
                <w:t>COVID-19 Auto sector letter von der Leyen.</w:t>
              </w:r>
              <w:r>
                <w:rPr>
                  <w:noProof/>
                  <w:lang w:val="en-US"/>
                </w:rPr>
                <w:t xml:space="preserve"> Retrieved from Acea: https://www.acea.be/uploads/news_documents/COVID19_auto_sector_letter_Von_der_Leyen.pdf</w:t>
              </w:r>
            </w:p>
            <w:p w14:paraId="118B7996" w14:textId="77777777" w:rsidR="0058607C" w:rsidRPr="0058607C" w:rsidRDefault="0058607C" w:rsidP="0058607C">
              <w:pPr>
                <w:pStyle w:val="Bibliography"/>
                <w:ind w:left="720" w:hanging="720"/>
                <w:rPr>
                  <w:noProof/>
                </w:rPr>
              </w:pPr>
              <w:r>
                <w:rPr>
                  <w:noProof/>
                  <w:lang w:val="en-US"/>
                </w:rPr>
                <w:t xml:space="preserve">Altmaier, P., &amp; Maire, B. (2019). </w:t>
              </w:r>
              <w:r>
                <w:rPr>
                  <w:i/>
                  <w:iCs/>
                  <w:noProof/>
                  <w:lang w:val="en-US"/>
                </w:rPr>
                <w:t>A Franco-German Manifesto for a European industrial policy fit for the 21st Century.</w:t>
              </w:r>
              <w:r>
                <w:rPr>
                  <w:noProof/>
                  <w:lang w:val="en-US"/>
                </w:rPr>
                <w:t xml:space="preserve"> </w:t>
              </w:r>
              <w:r w:rsidRPr="0058607C">
                <w:rPr>
                  <w:noProof/>
                </w:rPr>
                <w:t>Berlin, Paris: Bunderministerium für Wirtschaft und Energie; Minestère de l'Économie et des Finance.</w:t>
              </w:r>
            </w:p>
            <w:p w14:paraId="2EC4315B" w14:textId="77777777" w:rsidR="0058607C" w:rsidRDefault="0058607C" w:rsidP="0058607C">
              <w:pPr>
                <w:pStyle w:val="Bibliography"/>
                <w:ind w:left="720" w:hanging="720"/>
                <w:rPr>
                  <w:noProof/>
                  <w:lang w:val="en-US"/>
                </w:rPr>
              </w:pPr>
              <w:r>
                <w:rPr>
                  <w:noProof/>
                  <w:lang w:val="en-US"/>
                </w:rPr>
                <w:t xml:space="preserve">Andreoni, A., &amp; Chang, H. (2016). Industrial policy and the future of manufacturing. </w:t>
              </w:r>
              <w:r>
                <w:rPr>
                  <w:i/>
                  <w:iCs/>
                  <w:noProof/>
                  <w:lang w:val="en-US"/>
                </w:rPr>
                <w:t>Economia e Politica Industriale</w:t>
              </w:r>
              <w:r>
                <w:rPr>
                  <w:noProof/>
                  <w:lang w:val="en-US"/>
                </w:rPr>
                <w:t>, 491-502.</w:t>
              </w:r>
            </w:p>
            <w:p w14:paraId="37A63CF0" w14:textId="77777777" w:rsidR="0058607C" w:rsidRDefault="0058607C" w:rsidP="0058607C">
              <w:pPr>
                <w:pStyle w:val="Bibliography"/>
                <w:ind w:left="720" w:hanging="720"/>
                <w:rPr>
                  <w:noProof/>
                  <w:lang w:val="en-US"/>
                </w:rPr>
              </w:pPr>
              <w:r>
                <w:rPr>
                  <w:noProof/>
                  <w:lang w:val="en-US"/>
                </w:rPr>
                <w:t xml:space="preserve">Andreoni, A., &amp; Chang, H. (2019). The political economy of industrial policy: Structural interdependencies, policy alignment and conflict management. </w:t>
              </w:r>
              <w:r>
                <w:rPr>
                  <w:i/>
                  <w:iCs/>
                  <w:noProof/>
                  <w:lang w:val="en-US"/>
                </w:rPr>
                <w:t>Structural Change and Economic Dynamics</w:t>
              </w:r>
              <w:r>
                <w:rPr>
                  <w:noProof/>
                  <w:lang w:val="en-US"/>
                </w:rPr>
                <w:t>, 136-150.</w:t>
              </w:r>
            </w:p>
            <w:p w14:paraId="7F7C8499" w14:textId="77777777" w:rsidR="0058607C" w:rsidRDefault="0058607C" w:rsidP="0058607C">
              <w:pPr>
                <w:pStyle w:val="Bibliography"/>
                <w:ind w:left="720" w:hanging="720"/>
                <w:rPr>
                  <w:noProof/>
                  <w:lang w:val="en-US"/>
                </w:rPr>
              </w:pPr>
              <w:r>
                <w:rPr>
                  <w:noProof/>
                  <w:lang w:val="en-US"/>
                </w:rPr>
                <w:t xml:space="preserve">Andreoni, A., &amp; Chang, H. (2020). Industrial Policy in the 21st Century. </w:t>
              </w:r>
              <w:r>
                <w:rPr>
                  <w:i/>
                  <w:iCs/>
                  <w:noProof/>
                  <w:lang w:val="en-US"/>
                </w:rPr>
                <w:t>Development and Change</w:t>
              </w:r>
              <w:r>
                <w:rPr>
                  <w:noProof/>
                  <w:lang w:val="en-US"/>
                </w:rPr>
                <w:t>, 324-351.</w:t>
              </w:r>
            </w:p>
            <w:p w14:paraId="66F7D15F" w14:textId="77777777" w:rsidR="0058607C" w:rsidRDefault="0058607C" w:rsidP="0058607C">
              <w:pPr>
                <w:pStyle w:val="Bibliography"/>
                <w:ind w:left="720" w:hanging="720"/>
                <w:rPr>
                  <w:noProof/>
                  <w:lang w:val="en-US"/>
                </w:rPr>
              </w:pPr>
              <w:r>
                <w:rPr>
                  <w:noProof/>
                  <w:lang w:val="en-US"/>
                </w:rPr>
                <w:t xml:space="preserve">Bailey, D., &amp; Tomlinson, P. (2017). Back to the Future? UK Industrial Policy After the Great Financial Crisis. </w:t>
              </w:r>
              <w:r>
                <w:rPr>
                  <w:i/>
                  <w:iCs/>
                  <w:noProof/>
                  <w:lang w:val="en-US"/>
                </w:rPr>
                <w:t>International Papers in Political Economy</w:t>
              </w:r>
              <w:r>
                <w:rPr>
                  <w:noProof/>
                  <w:lang w:val="en-US"/>
                </w:rPr>
                <w:t>, 221-264.</w:t>
              </w:r>
            </w:p>
            <w:p w14:paraId="4C282A03" w14:textId="77777777" w:rsidR="0058607C" w:rsidRDefault="0058607C" w:rsidP="0058607C">
              <w:pPr>
                <w:pStyle w:val="Bibliography"/>
                <w:ind w:left="720" w:hanging="720"/>
                <w:rPr>
                  <w:noProof/>
                  <w:lang w:val="en-US"/>
                </w:rPr>
              </w:pPr>
              <w:r>
                <w:rPr>
                  <w:noProof/>
                  <w:lang w:val="en-US"/>
                </w:rPr>
                <w:t xml:space="preserve">Bailey, D., Coffey, D., Gavris, M., &amp; Thornley, C. (2019). Industrial policy, place and democracy. </w:t>
              </w:r>
              <w:r>
                <w:rPr>
                  <w:i/>
                  <w:iCs/>
                  <w:noProof/>
                  <w:lang w:val="en-US"/>
                </w:rPr>
                <w:t>Cambridge Journal of Regions, Economy and Society</w:t>
              </w:r>
              <w:r>
                <w:rPr>
                  <w:noProof/>
                  <w:lang w:val="en-US"/>
                </w:rPr>
                <w:t>, 327–345.</w:t>
              </w:r>
            </w:p>
            <w:p w14:paraId="3BE0A2A3" w14:textId="77777777" w:rsidR="0058607C" w:rsidRDefault="0058607C" w:rsidP="0058607C">
              <w:pPr>
                <w:pStyle w:val="Bibliography"/>
                <w:ind w:left="720" w:hanging="720"/>
                <w:rPr>
                  <w:noProof/>
                  <w:lang w:val="en-US"/>
                </w:rPr>
              </w:pPr>
              <w:r>
                <w:rPr>
                  <w:noProof/>
                  <w:lang w:val="en-US"/>
                </w:rPr>
                <w:t xml:space="preserve">Bank, E. I. (2020, May 19). </w:t>
              </w:r>
              <w:r>
                <w:rPr>
                  <w:i/>
                  <w:iCs/>
                  <w:noProof/>
                  <w:lang w:val="en-US"/>
                </w:rPr>
                <w:t>EIB reaffirms commitment to a European battery industry to boost green recovery</w:t>
              </w:r>
              <w:r>
                <w:rPr>
                  <w:noProof/>
                  <w:lang w:val="en-US"/>
                </w:rPr>
                <w:t>. Retrieved August 10, 202, from EIB: https://www.eib.org/en/press/all/2020-121-eib-reaffirms-commitment-to-a-european-battery-industry-to-boost-green-recovery</w:t>
              </w:r>
            </w:p>
            <w:p w14:paraId="33CC101F" w14:textId="77777777" w:rsidR="0058607C" w:rsidRPr="0058607C" w:rsidRDefault="0058607C" w:rsidP="0058607C">
              <w:pPr>
                <w:pStyle w:val="Bibliography"/>
                <w:ind w:left="720" w:hanging="720"/>
                <w:rPr>
                  <w:noProof/>
                </w:rPr>
              </w:pPr>
              <w:r w:rsidRPr="0058607C">
                <w:rPr>
                  <w:noProof/>
                </w:rPr>
                <w:t xml:space="preserve">Bardt, H., Schmidt, C., Bofinger, P., Belitz, H., Gornig, M., &amp; Aiginger, K. (2019). Industriepolitik – ineffi zienter staatlicher Eingriff oder zukunftsweisende Option? </w:t>
              </w:r>
              <w:r w:rsidRPr="0058607C">
                <w:rPr>
                  <w:i/>
                  <w:iCs/>
                  <w:noProof/>
                </w:rPr>
                <w:t>Leibniz-Informationszentrum Wirtschaft</w:t>
              </w:r>
              <w:r w:rsidRPr="0058607C">
                <w:rPr>
                  <w:noProof/>
                </w:rPr>
                <w:t>, 1-19.</w:t>
              </w:r>
            </w:p>
            <w:p w14:paraId="369344FC" w14:textId="77777777" w:rsidR="0058607C" w:rsidRDefault="0058607C" w:rsidP="0058607C">
              <w:pPr>
                <w:pStyle w:val="Bibliography"/>
                <w:ind w:left="720" w:hanging="720"/>
                <w:rPr>
                  <w:noProof/>
                  <w:lang w:val="en-US"/>
                </w:rPr>
              </w:pPr>
              <w:r>
                <w:rPr>
                  <w:noProof/>
                  <w:lang w:val="en-US"/>
                </w:rPr>
                <w:t xml:space="preserve">BBC. (2020, March 4). </w:t>
              </w:r>
              <w:r>
                <w:rPr>
                  <w:i/>
                  <w:iCs/>
                  <w:noProof/>
                  <w:lang w:val="en-US"/>
                </w:rPr>
                <w:t>Greta Thunberg brands EU's new climate law 'surrender'</w:t>
              </w:r>
              <w:r>
                <w:rPr>
                  <w:noProof/>
                  <w:lang w:val="en-US"/>
                </w:rPr>
                <w:t>. Retrieved July 2, 2020, from BBC: https://www.bbc.com/news/world-europe-51736134</w:t>
              </w:r>
            </w:p>
            <w:p w14:paraId="4ACA5B93" w14:textId="77777777" w:rsidR="0058607C" w:rsidRDefault="0058607C" w:rsidP="0058607C">
              <w:pPr>
                <w:pStyle w:val="Bibliography"/>
                <w:ind w:left="720" w:hanging="720"/>
                <w:rPr>
                  <w:noProof/>
                  <w:lang w:val="en-US"/>
                </w:rPr>
              </w:pPr>
              <w:r>
                <w:rPr>
                  <w:noProof/>
                  <w:lang w:val="en-US"/>
                </w:rPr>
                <w:t xml:space="preserve">Beach, D., &amp; Pedersen, R. (2013). </w:t>
              </w:r>
              <w:r>
                <w:rPr>
                  <w:i/>
                  <w:iCs/>
                  <w:noProof/>
                  <w:lang w:val="en-US"/>
                </w:rPr>
                <w:t>Process-Tracing Methods.</w:t>
              </w:r>
              <w:r>
                <w:rPr>
                  <w:noProof/>
                  <w:lang w:val="en-US"/>
                </w:rPr>
                <w:t xml:space="preserve"> Ann Arbor: University of Michigan.</w:t>
              </w:r>
            </w:p>
            <w:p w14:paraId="5028030C" w14:textId="77777777" w:rsidR="0058607C" w:rsidRDefault="0058607C" w:rsidP="0058607C">
              <w:pPr>
                <w:pStyle w:val="Bibliography"/>
                <w:ind w:left="720" w:hanging="720"/>
                <w:rPr>
                  <w:noProof/>
                  <w:lang w:val="en-US"/>
                </w:rPr>
              </w:pPr>
              <w:r>
                <w:rPr>
                  <w:noProof/>
                  <w:lang w:val="en-US"/>
                </w:rPr>
                <w:t xml:space="preserve">Benoit, K. (2004). Models of electoral system change. </w:t>
              </w:r>
              <w:r>
                <w:rPr>
                  <w:i/>
                  <w:iCs/>
                  <w:noProof/>
                  <w:lang w:val="en-US"/>
                </w:rPr>
                <w:t>Electoral Studies</w:t>
              </w:r>
              <w:r>
                <w:rPr>
                  <w:noProof/>
                  <w:lang w:val="en-US"/>
                </w:rPr>
                <w:t>, 363-389.</w:t>
              </w:r>
            </w:p>
            <w:p w14:paraId="2A09CBBC" w14:textId="77777777" w:rsidR="0058607C" w:rsidRDefault="0058607C" w:rsidP="0058607C">
              <w:pPr>
                <w:pStyle w:val="Bibliography"/>
                <w:ind w:left="720" w:hanging="720"/>
                <w:rPr>
                  <w:noProof/>
                  <w:lang w:val="en-US"/>
                </w:rPr>
              </w:pPr>
              <w:r>
                <w:rPr>
                  <w:noProof/>
                  <w:lang w:val="en-US"/>
                </w:rPr>
                <w:t xml:space="preserve">Berman, S. (2001). Review: Ideas, Norms, and Culture in Political Analysis. </w:t>
              </w:r>
              <w:r>
                <w:rPr>
                  <w:i/>
                  <w:iCs/>
                  <w:noProof/>
                  <w:lang w:val="en-US"/>
                </w:rPr>
                <w:t>Comparative Politics</w:t>
              </w:r>
              <w:r>
                <w:rPr>
                  <w:noProof/>
                  <w:lang w:val="en-US"/>
                </w:rPr>
                <w:t>, 231-250.</w:t>
              </w:r>
            </w:p>
            <w:p w14:paraId="54D9C61C" w14:textId="77777777" w:rsidR="0058607C" w:rsidRDefault="0058607C" w:rsidP="0058607C">
              <w:pPr>
                <w:pStyle w:val="Bibliography"/>
                <w:ind w:left="720" w:hanging="720"/>
                <w:rPr>
                  <w:noProof/>
                  <w:lang w:val="en-US"/>
                </w:rPr>
              </w:pPr>
              <w:r>
                <w:rPr>
                  <w:noProof/>
                  <w:lang w:val="en-US"/>
                </w:rPr>
                <w:lastRenderedPageBreak/>
                <w:t xml:space="preserve">Berman, S. (2013). Ideational Theorizing in the Social Sciences since "Policy Paradigms, Social Learning, And the State". </w:t>
              </w:r>
              <w:r>
                <w:rPr>
                  <w:i/>
                  <w:iCs/>
                  <w:noProof/>
                  <w:lang w:val="en-US"/>
                </w:rPr>
                <w:t>Governance: An INternational Journal of Policy, Administration, and Institutions</w:t>
              </w:r>
              <w:r>
                <w:rPr>
                  <w:noProof/>
                  <w:lang w:val="en-US"/>
                </w:rPr>
                <w:t>, 217-237.</w:t>
              </w:r>
            </w:p>
            <w:p w14:paraId="4191FFB5" w14:textId="77777777" w:rsidR="0058607C" w:rsidRDefault="0058607C" w:rsidP="0058607C">
              <w:pPr>
                <w:pStyle w:val="Bibliography"/>
                <w:ind w:left="720" w:hanging="720"/>
                <w:rPr>
                  <w:noProof/>
                  <w:lang w:val="en-US"/>
                </w:rPr>
              </w:pPr>
              <w:r>
                <w:rPr>
                  <w:noProof/>
                  <w:lang w:val="en-US"/>
                </w:rPr>
                <w:t xml:space="preserve">BIS. (2020). </w:t>
              </w:r>
              <w:r>
                <w:rPr>
                  <w:i/>
                  <w:iCs/>
                  <w:noProof/>
                  <w:lang w:val="en-US"/>
                </w:rPr>
                <w:t>Annual Economic Report.</w:t>
              </w:r>
              <w:r>
                <w:rPr>
                  <w:noProof/>
                  <w:lang w:val="en-US"/>
                </w:rPr>
                <w:t xml:space="preserve"> Basel: Bank for International Settlements .</w:t>
              </w:r>
            </w:p>
            <w:p w14:paraId="190B8CF0" w14:textId="77777777" w:rsidR="0058607C" w:rsidRDefault="0058607C" w:rsidP="0058607C">
              <w:pPr>
                <w:pStyle w:val="Bibliography"/>
                <w:ind w:left="720" w:hanging="720"/>
                <w:rPr>
                  <w:noProof/>
                  <w:lang w:val="en-US"/>
                </w:rPr>
              </w:pPr>
              <w:r>
                <w:rPr>
                  <w:noProof/>
                  <w:lang w:val="en-US"/>
                </w:rPr>
                <w:t xml:space="preserve">Blyth, M. (2013). Paradigms and Paradox: The Politics of Economic Ideas in Two Moments of Crisis. </w:t>
              </w:r>
              <w:r>
                <w:rPr>
                  <w:i/>
                  <w:iCs/>
                  <w:noProof/>
                  <w:lang w:val="en-US"/>
                </w:rPr>
                <w:t>Governance</w:t>
              </w:r>
              <w:r>
                <w:rPr>
                  <w:noProof/>
                  <w:lang w:val="en-US"/>
                </w:rPr>
                <w:t>, 197-215.</w:t>
              </w:r>
            </w:p>
            <w:p w14:paraId="6B2A7FEB" w14:textId="77777777" w:rsidR="0058607C" w:rsidRDefault="0058607C" w:rsidP="0058607C">
              <w:pPr>
                <w:pStyle w:val="Bibliography"/>
                <w:ind w:left="720" w:hanging="720"/>
                <w:rPr>
                  <w:noProof/>
                  <w:lang w:val="en-US"/>
                </w:rPr>
              </w:pPr>
              <w:r>
                <w:rPr>
                  <w:noProof/>
                  <w:lang w:val="en-US"/>
                </w:rPr>
                <w:t xml:space="preserve">Boswell, C., &amp; Hampshire, J. (2017). Ideas and agency in immigration policy: A discursive institutionalist approach. </w:t>
              </w:r>
              <w:r>
                <w:rPr>
                  <w:i/>
                  <w:iCs/>
                  <w:noProof/>
                  <w:lang w:val="en-US"/>
                </w:rPr>
                <w:t>European Journal of Political Research</w:t>
              </w:r>
              <w:r>
                <w:rPr>
                  <w:noProof/>
                  <w:lang w:val="en-US"/>
                </w:rPr>
                <w:t>, 133-150.</w:t>
              </w:r>
            </w:p>
            <w:p w14:paraId="587A4511" w14:textId="77777777" w:rsidR="0058607C" w:rsidRDefault="0058607C" w:rsidP="0058607C">
              <w:pPr>
                <w:pStyle w:val="Bibliography"/>
                <w:ind w:left="720" w:hanging="720"/>
                <w:rPr>
                  <w:noProof/>
                  <w:lang w:val="en-US"/>
                </w:rPr>
              </w:pPr>
              <w:r>
                <w:rPr>
                  <w:noProof/>
                  <w:lang w:val="en-US"/>
                </w:rPr>
                <w:t xml:space="preserve">Braun, B. (2015). Preparedness, Crisis Management and Policy Change: The Euro Area at the Critical Juncture of 2008–2013. </w:t>
              </w:r>
              <w:r>
                <w:rPr>
                  <w:i/>
                  <w:iCs/>
                  <w:noProof/>
                  <w:lang w:val="en-US"/>
                </w:rPr>
                <w:t>British Journal of Politics and International Relations</w:t>
              </w:r>
              <w:r>
                <w:rPr>
                  <w:noProof/>
                  <w:lang w:val="en-US"/>
                </w:rPr>
                <w:t>, 419-441.</w:t>
              </w:r>
            </w:p>
            <w:p w14:paraId="65B89030" w14:textId="77777777" w:rsidR="0058607C" w:rsidRDefault="0058607C" w:rsidP="0058607C">
              <w:pPr>
                <w:pStyle w:val="Bibliography"/>
                <w:ind w:left="720" w:hanging="720"/>
                <w:rPr>
                  <w:noProof/>
                  <w:lang w:val="en-US"/>
                </w:rPr>
              </w:pPr>
              <w:r>
                <w:rPr>
                  <w:noProof/>
                  <w:lang w:val="en-US"/>
                </w:rPr>
                <w:t xml:space="preserve">Buch-Hansen, H. (2018). The Prerequisites for a Degrowth Paradigm Shift: Insights from Critical Political Economy. </w:t>
              </w:r>
              <w:r>
                <w:rPr>
                  <w:i/>
                  <w:iCs/>
                  <w:noProof/>
                  <w:lang w:val="en-US"/>
                </w:rPr>
                <w:t>Ecological Economics</w:t>
              </w:r>
              <w:r>
                <w:rPr>
                  <w:noProof/>
                  <w:lang w:val="en-US"/>
                </w:rPr>
                <w:t>, 157-163.</w:t>
              </w:r>
            </w:p>
            <w:p w14:paraId="74807AAB" w14:textId="77777777" w:rsidR="0058607C" w:rsidRDefault="0058607C" w:rsidP="0058607C">
              <w:pPr>
                <w:pStyle w:val="Bibliography"/>
                <w:ind w:left="720" w:hanging="720"/>
                <w:rPr>
                  <w:noProof/>
                  <w:lang w:val="en-US"/>
                </w:rPr>
              </w:pPr>
              <w:r>
                <w:rPr>
                  <w:noProof/>
                  <w:lang w:val="en-US"/>
                </w:rPr>
                <w:t xml:space="preserve">Bundesverfassungsgericht. (2020, May 5). </w:t>
              </w:r>
              <w:r>
                <w:rPr>
                  <w:i/>
                  <w:iCs/>
                  <w:noProof/>
                  <w:lang w:val="en-US"/>
                </w:rPr>
                <w:t>ECB decisions on the Public Sector Purchase Programme exceed EU competences</w:t>
              </w:r>
              <w:r>
                <w:rPr>
                  <w:noProof/>
                  <w:lang w:val="en-US"/>
                </w:rPr>
                <w:t>. Retrieved July 2, 2020, from Bundesverfassungsgericht: https://www.bundesverfassungsgericht.de/SharedDocs/Pressemitteilungen/EN/2020/bvg20-032.html</w:t>
              </w:r>
            </w:p>
            <w:p w14:paraId="7FEEEE46" w14:textId="77777777" w:rsidR="0058607C" w:rsidRDefault="0058607C" w:rsidP="0058607C">
              <w:pPr>
                <w:pStyle w:val="Bibliography"/>
                <w:ind w:left="720" w:hanging="720"/>
                <w:rPr>
                  <w:noProof/>
                  <w:lang w:val="en-US"/>
                </w:rPr>
              </w:pPr>
              <w:r>
                <w:rPr>
                  <w:noProof/>
                  <w:lang w:val="en-US"/>
                </w:rPr>
                <w:t xml:space="preserve">Carrington, D. (2019, March 19). </w:t>
              </w:r>
              <w:r>
                <w:rPr>
                  <w:i/>
                  <w:iCs/>
                  <w:noProof/>
                  <w:lang w:val="en-US"/>
                </w:rPr>
                <w:t>School climate strikes: 1.4 million people took part, say campaigners</w:t>
              </w:r>
              <w:r>
                <w:rPr>
                  <w:noProof/>
                  <w:lang w:val="en-US"/>
                </w:rPr>
                <w:t>. Retrieved June 27, 2020, from The Guardian: https://www.theguardian.com/environment/2019/mar/19/school-climate-strikes-more-than-1-million-took-part-say-campaigners-greta-thunberg</w:t>
              </w:r>
            </w:p>
            <w:p w14:paraId="0C37F2E3" w14:textId="77777777" w:rsidR="0058607C" w:rsidRDefault="0058607C" w:rsidP="0058607C">
              <w:pPr>
                <w:pStyle w:val="Bibliography"/>
                <w:ind w:left="720" w:hanging="720"/>
                <w:rPr>
                  <w:noProof/>
                  <w:lang w:val="en-US"/>
                </w:rPr>
              </w:pPr>
              <w:r>
                <w:rPr>
                  <w:noProof/>
                  <w:lang w:val="en-US"/>
                </w:rPr>
                <w:t xml:space="preserve">Carstensen, M., &amp; Matthijs, M. (2018). Of paradigms and power: British economic policy making since Thatcher. </w:t>
              </w:r>
              <w:r>
                <w:rPr>
                  <w:i/>
                  <w:iCs/>
                  <w:noProof/>
                  <w:lang w:val="en-US"/>
                </w:rPr>
                <w:t>Governance</w:t>
              </w:r>
              <w:r>
                <w:rPr>
                  <w:noProof/>
                  <w:lang w:val="en-US"/>
                </w:rPr>
                <w:t>, 431-447.</w:t>
              </w:r>
            </w:p>
            <w:p w14:paraId="596DA0E4" w14:textId="77777777" w:rsidR="0058607C" w:rsidRDefault="0058607C" w:rsidP="0058607C">
              <w:pPr>
                <w:pStyle w:val="Bibliography"/>
                <w:ind w:left="720" w:hanging="720"/>
                <w:rPr>
                  <w:noProof/>
                  <w:lang w:val="en-US"/>
                </w:rPr>
              </w:pPr>
              <w:r>
                <w:rPr>
                  <w:noProof/>
                  <w:lang w:val="en-US"/>
                </w:rPr>
                <w:t xml:space="preserve">Carstensen, M., &amp; Röper, N. (2019). Invasion From Within: Ideas, Power, and the Transmission of Institutional Logics Between Policy Domains. </w:t>
              </w:r>
              <w:r>
                <w:rPr>
                  <w:i/>
                  <w:iCs/>
                  <w:noProof/>
                  <w:lang w:val="en-US"/>
                </w:rPr>
                <w:t>Comparative Political Studies</w:t>
              </w:r>
              <w:r>
                <w:rPr>
                  <w:noProof/>
                  <w:lang w:val="en-US"/>
                </w:rPr>
                <w:t>, 1328-1363.</w:t>
              </w:r>
            </w:p>
            <w:p w14:paraId="5DC22E08" w14:textId="77777777" w:rsidR="0058607C" w:rsidRDefault="0058607C" w:rsidP="0058607C">
              <w:pPr>
                <w:pStyle w:val="Bibliography"/>
                <w:ind w:left="720" w:hanging="720"/>
                <w:rPr>
                  <w:noProof/>
                  <w:lang w:val="en-US"/>
                </w:rPr>
              </w:pPr>
              <w:r>
                <w:rPr>
                  <w:noProof/>
                  <w:lang w:val="en-US"/>
                </w:rPr>
                <w:t xml:space="preserve">Carstensen, M., &amp; Schmidt, V. (2016). Power through, over and in ideas: Conceptualizing ideational power in discursive institutionalism. </w:t>
              </w:r>
              <w:r>
                <w:rPr>
                  <w:i/>
                  <w:iCs/>
                  <w:noProof/>
                  <w:lang w:val="en-US"/>
                </w:rPr>
                <w:t>Journal of European Public Policy</w:t>
              </w:r>
              <w:r>
                <w:rPr>
                  <w:noProof/>
                  <w:lang w:val="en-US"/>
                </w:rPr>
                <w:t>, 318-337.</w:t>
              </w:r>
            </w:p>
            <w:p w14:paraId="7D6CD5A0" w14:textId="77777777" w:rsidR="0058607C" w:rsidRDefault="0058607C" w:rsidP="0058607C">
              <w:pPr>
                <w:pStyle w:val="Bibliography"/>
                <w:ind w:left="720" w:hanging="720"/>
                <w:rPr>
                  <w:noProof/>
                  <w:lang w:val="en-US"/>
                </w:rPr>
              </w:pPr>
              <w:r>
                <w:rPr>
                  <w:noProof/>
                  <w:lang w:val="en-US"/>
                </w:rPr>
                <w:t xml:space="preserve">CBS. (2020). </w:t>
              </w:r>
              <w:r>
                <w:rPr>
                  <w:i/>
                  <w:iCs/>
                  <w:noProof/>
                  <w:lang w:val="en-US"/>
                </w:rPr>
                <w:t>Materiële welvaart in Nederland 2020.</w:t>
              </w:r>
              <w:r>
                <w:rPr>
                  <w:noProof/>
                  <w:lang w:val="en-US"/>
                </w:rPr>
                <w:t xml:space="preserve"> Den Haag: CBS.</w:t>
              </w:r>
            </w:p>
            <w:p w14:paraId="534C4A78" w14:textId="77777777" w:rsidR="0058607C" w:rsidRDefault="0058607C" w:rsidP="0058607C">
              <w:pPr>
                <w:pStyle w:val="Bibliography"/>
                <w:ind w:left="720" w:hanging="720"/>
                <w:rPr>
                  <w:noProof/>
                  <w:lang w:val="en-US"/>
                </w:rPr>
              </w:pPr>
              <w:r>
                <w:rPr>
                  <w:noProof/>
                  <w:lang w:val="en-US"/>
                </w:rPr>
                <w:t xml:space="preserve">Cefic. (2018). </w:t>
              </w:r>
              <w:r>
                <w:rPr>
                  <w:i/>
                  <w:iCs/>
                  <w:noProof/>
                  <w:lang w:val="en-US"/>
                </w:rPr>
                <w:t>Cefic Manifesto for a competitive Europe.</w:t>
              </w:r>
              <w:r>
                <w:rPr>
                  <w:noProof/>
                  <w:lang w:val="en-US"/>
                </w:rPr>
                <w:t xml:space="preserve"> Brussels: Cefic.</w:t>
              </w:r>
            </w:p>
            <w:p w14:paraId="30D1B470" w14:textId="77777777" w:rsidR="0058607C" w:rsidRDefault="0058607C" w:rsidP="0058607C">
              <w:pPr>
                <w:pStyle w:val="Bibliography"/>
                <w:ind w:left="720" w:hanging="720"/>
                <w:rPr>
                  <w:noProof/>
                  <w:lang w:val="en-US"/>
                </w:rPr>
              </w:pPr>
              <w:r>
                <w:rPr>
                  <w:noProof/>
                  <w:lang w:val="en-US"/>
                </w:rPr>
                <w:t xml:space="preserve">Coates, D. (2015). Industrial Policy: International Experiences. In D. Bailey, K. Cowling, &amp; P. Tomlinson, </w:t>
              </w:r>
              <w:r>
                <w:rPr>
                  <w:i/>
                  <w:iCs/>
                  <w:noProof/>
                  <w:lang w:val="en-US"/>
                </w:rPr>
                <w:t>New Perspectives on Industrial Policy for a Modern Britain</w:t>
              </w:r>
              <w:r>
                <w:rPr>
                  <w:noProof/>
                  <w:lang w:val="en-US"/>
                </w:rPr>
                <w:t xml:space="preserve"> (pp. 41-59). Oxford: Oxford University Press.</w:t>
              </w:r>
            </w:p>
            <w:p w14:paraId="7803F42A" w14:textId="77777777" w:rsidR="0058607C" w:rsidRDefault="0058607C" w:rsidP="0058607C">
              <w:pPr>
                <w:pStyle w:val="Bibliography"/>
                <w:ind w:left="720" w:hanging="720"/>
                <w:rPr>
                  <w:noProof/>
                  <w:lang w:val="en-US"/>
                </w:rPr>
              </w:pPr>
              <w:r>
                <w:rPr>
                  <w:noProof/>
                  <w:lang w:val="en-US"/>
                </w:rPr>
                <w:t xml:space="preserve">Commission, E. (1997, July 15). </w:t>
              </w:r>
              <w:r>
                <w:rPr>
                  <w:i/>
                  <w:iCs/>
                  <w:noProof/>
                  <w:lang w:val="en-US"/>
                </w:rPr>
                <w:t>Monitoring state aid to the motor vehicle industry: new rules for the period 1998-2000</w:t>
              </w:r>
              <w:r>
                <w:rPr>
                  <w:noProof/>
                  <w:lang w:val="en-US"/>
                </w:rPr>
                <w:t>. Retrieved from EC Commission: https://ec.europa.eu/commission/presscorner/detail/en/IP_97_662</w:t>
              </w:r>
            </w:p>
            <w:p w14:paraId="4ABAFA66" w14:textId="77777777" w:rsidR="0058607C" w:rsidRDefault="0058607C" w:rsidP="0058607C">
              <w:pPr>
                <w:pStyle w:val="Bibliography"/>
                <w:ind w:left="720" w:hanging="720"/>
                <w:rPr>
                  <w:noProof/>
                  <w:lang w:val="en-US"/>
                </w:rPr>
              </w:pPr>
              <w:r>
                <w:rPr>
                  <w:noProof/>
                  <w:lang w:val="en-US"/>
                </w:rPr>
                <w:t xml:space="preserve">Commission, E. (2000, June 13). </w:t>
              </w:r>
              <w:r>
                <w:rPr>
                  <w:i/>
                  <w:iCs/>
                  <w:noProof/>
                  <w:lang w:val="en-US"/>
                </w:rPr>
                <w:t>Commission extends the period of validity of the existing car framework State aid rules to the automobile industry</w:t>
              </w:r>
              <w:r>
                <w:rPr>
                  <w:noProof/>
                  <w:lang w:val="en-US"/>
                </w:rPr>
                <w:t>. Retrieved from Europe EC: https://ec.europa.eu/commission/presscorner/detail/en/IP_00_604</w:t>
              </w:r>
            </w:p>
            <w:p w14:paraId="022500BD" w14:textId="77777777" w:rsidR="0058607C" w:rsidRDefault="0058607C" w:rsidP="0058607C">
              <w:pPr>
                <w:pStyle w:val="Bibliography"/>
                <w:ind w:left="720" w:hanging="720"/>
                <w:rPr>
                  <w:noProof/>
                  <w:lang w:val="en-US"/>
                </w:rPr>
              </w:pPr>
              <w:r>
                <w:rPr>
                  <w:noProof/>
                  <w:lang w:val="en-US"/>
                </w:rPr>
                <w:t xml:space="preserve">Commission, E. (2009). </w:t>
              </w:r>
              <w:r>
                <w:rPr>
                  <w:i/>
                  <w:iCs/>
                  <w:noProof/>
                  <w:lang w:val="en-US"/>
                </w:rPr>
                <w:t>Economic Crisis in Europe: Causes, Consequences and Responses.</w:t>
              </w:r>
              <w:r>
                <w:rPr>
                  <w:noProof/>
                  <w:lang w:val="en-US"/>
                </w:rPr>
                <w:t xml:space="preserve"> Brussels: European Commission.</w:t>
              </w:r>
            </w:p>
            <w:p w14:paraId="6099F26E" w14:textId="77777777" w:rsidR="0058607C" w:rsidRDefault="0058607C" w:rsidP="0058607C">
              <w:pPr>
                <w:pStyle w:val="Bibliography"/>
                <w:ind w:left="720" w:hanging="720"/>
                <w:rPr>
                  <w:noProof/>
                  <w:lang w:val="en-US"/>
                </w:rPr>
              </w:pPr>
              <w:r>
                <w:rPr>
                  <w:noProof/>
                  <w:lang w:val="en-US"/>
                </w:rPr>
                <w:lastRenderedPageBreak/>
                <w:t xml:space="preserve">Commission, E. (2010). </w:t>
              </w:r>
              <w:r>
                <w:rPr>
                  <w:i/>
                  <w:iCs/>
                  <w:noProof/>
                  <w:lang w:val="en-US"/>
                </w:rPr>
                <w:t>State aid: Scoreboard shows continued trend towards less and better targeted aid despite crisis related.</w:t>
              </w:r>
              <w:r>
                <w:rPr>
                  <w:noProof/>
                  <w:lang w:val="en-US"/>
                </w:rPr>
                <w:t xml:space="preserve"> Brussels: European Commission.</w:t>
              </w:r>
            </w:p>
            <w:p w14:paraId="0CF64068" w14:textId="77777777" w:rsidR="0058607C" w:rsidRDefault="0058607C" w:rsidP="0058607C">
              <w:pPr>
                <w:pStyle w:val="Bibliography"/>
                <w:ind w:left="720" w:hanging="720"/>
                <w:rPr>
                  <w:noProof/>
                  <w:lang w:val="en-US"/>
                </w:rPr>
              </w:pPr>
              <w:r>
                <w:rPr>
                  <w:noProof/>
                  <w:lang w:val="en-US"/>
                </w:rPr>
                <w:t xml:space="preserve">Commission, E. (2012). </w:t>
              </w:r>
              <w:r>
                <w:rPr>
                  <w:i/>
                  <w:iCs/>
                  <w:noProof/>
                  <w:lang w:val="en-US"/>
                </w:rPr>
                <w:t>Communication from the Commission to the European Parliament, The Council, The European Social and Economic Committee and the Committee of Regions.</w:t>
              </w:r>
              <w:r>
                <w:rPr>
                  <w:noProof/>
                  <w:lang w:val="en-US"/>
                </w:rPr>
                <w:t xml:space="preserve"> Brussels: European Commission.</w:t>
              </w:r>
            </w:p>
            <w:p w14:paraId="5E11831D" w14:textId="77777777" w:rsidR="0058607C" w:rsidRDefault="0058607C" w:rsidP="0058607C">
              <w:pPr>
                <w:pStyle w:val="Bibliography"/>
                <w:ind w:left="720" w:hanging="720"/>
                <w:rPr>
                  <w:noProof/>
                  <w:lang w:val="en-US"/>
                </w:rPr>
              </w:pPr>
              <w:r>
                <w:rPr>
                  <w:noProof/>
                  <w:lang w:val="en-US"/>
                </w:rPr>
                <w:t xml:space="preserve">Commission, E. (2012). </w:t>
              </w:r>
              <w:r>
                <w:rPr>
                  <w:i/>
                  <w:iCs/>
                  <w:noProof/>
                  <w:lang w:val="en-US"/>
                </w:rPr>
                <w:t>Treaty on functioning of the European Union.</w:t>
              </w:r>
              <w:r>
                <w:rPr>
                  <w:noProof/>
                  <w:lang w:val="en-US"/>
                </w:rPr>
                <w:t xml:space="preserve"> Brussels: European Commission.</w:t>
              </w:r>
            </w:p>
            <w:p w14:paraId="60DFC540" w14:textId="77777777" w:rsidR="0058607C" w:rsidRDefault="0058607C" w:rsidP="0058607C">
              <w:pPr>
                <w:pStyle w:val="Bibliography"/>
                <w:ind w:left="720" w:hanging="720"/>
                <w:rPr>
                  <w:noProof/>
                  <w:lang w:val="en-US"/>
                </w:rPr>
              </w:pPr>
              <w:r>
                <w:rPr>
                  <w:noProof/>
                  <w:lang w:val="en-US"/>
                </w:rPr>
                <w:t xml:space="preserve">Commission, E. (2013). </w:t>
              </w:r>
              <w:r>
                <w:rPr>
                  <w:i/>
                  <w:iCs/>
                  <w:noProof/>
                  <w:lang w:val="en-US"/>
                </w:rPr>
                <w:t>Guidelines on regional State aid for 2014-2020.</w:t>
              </w:r>
              <w:r>
                <w:rPr>
                  <w:noProof/>
                  <w:lang w:val="en-US"/>
                </w:rPr>
                <w:t xml:space="preserve"> Brussels: Commission.</w:t>
              </w:r>
            </w:p>
            <w:p w14:paraId="039F20AA" w14:textId="77777777" w:rsidR="0058607C" w:rsidRDefault="0058607C" w:rsidP="0058607C">
              <w:pPr>
                <w:pStyle w:val="Bibliography"/>
                <w:ind w:left="720" w:hanging="720"/>
                <w:rPr>
                  <w:noProof/>
                  <w:lang w:val="en-US"/>
                </w:rPr>
              </w:pPr>
              <w:r>
                <w:rPr>
                  <w:noProof/>
                  <w:lang w:val="en-US"/>
                </w:rPr>
                <w:t xml:space="preserve">Commission, E. (2013). </w:t>
              </w:r>
              <w:r>
                <w:rPr>
                  <w:i/>
                  <w:iCs/>
                  <w:noProof/>
                  <w:lang w:val="en-US"/>
                </w:rPr>
                <w:t>State aid: Commission adopts Guidelines on regional aid for 2014-2020.</w:t>
              </w:r>
              <w:r>
                <w:rPr>
                  <w:noProof/>
                  <w:lang w:val="en-US"/>
                </w:rPr>
                <w:t xml:space="preserve"> Brussels: European Commission.</w:t>
              </w:r>
            </w:p>
            <w:p w14:paraId="0AB4C944" w14:textId="77777777" w:rsidR="0058607C" w:rsidRDefault="0058607C" w:rsidP="0058607C">
              <w:pPr>
                <w:pStyle w:val="Bibliography"/>
                <w:ind w:left="720" w:hanging="720"/>
                <w:rPr>
                  <w:noProof/>
                  <w:lang w:val="en-US"/>
                </w:rPr>
              </w:pPr>
              <w:r>
                <w:rPr>
                  <w:noProof/>
                  <w:lang w:val="en-US"/>
                </w:rPr>
                <w:t xml:space="preserve">Commission, E. (2014). </w:t>
              </w:r>
              <w:r>
                <w:rPr>
                  <w:i/>
                  <w:iCs/>
                  <w:noProof/>
                  <w:lang w:val="en-US"/>
                </w:rPr>
                <w:t>Member States need to act to boost European industry.</w:t>
              </w:r>
              <w:r>
                <w:rPr>
                  <w:noProof/>
                  <w:lang w:val="en-US"/>
                </w:rPr>
                <w:t xml:space="preserve"> Brussels: European Commission.</w:t>
              </w:r>
            </w:p>
            <w:p w14:paraId="5499EF52" w14:textId="77777777" w:rsidR="0058607C" w:rsidRDefault="0058607C" w:rsidP="0058607C">
              <w:pPr>
                <w:pStyle w:val="Bibliography"/>
                <w:ind w:left="720" w:hanging="720"/>
                <w:rPr>
                  <w:noProof/>
                  <w:lang w:val="en-US"/>
                </w:rPr>
              </w:pPr>
              <w:r>
                <w:rPr>
                  <w:noProof/>
                  <w:lang w:val="en-US"/>
                </w:rPr>
                <w:t xml:space="preserve">Commission, E. (2014). </w:t>
              </w:r>
              <w:r>
                <w:rPr>
                  <w:i/>
                  <w:iCs/>
                  <w:noProof/>
                  <w:lang w:val="en-US"/>
                </w:rPr>
                <w:t>State aid in the automotive sector: an overview.</w:t>
              </w:r>
              <w:r>
                <w:rPr>
                  <w:noProof/>
                  <w:lang w:val="en-US"/>
                </w:rPr>
                <w:t xml:space="preserve"> Brussels: European Commission.</w:t>
              </w:r>
            </w:p>
            <w:p w14:paraId="307F10C8" w14:textId="77777777" w:rsidR="0058607C" w:rsidRDefault="0058607C" w:rsidP="0058607C">
              <w:pPr>
                <w:pStyle w:val="Bibliography"/>
                <w:ind w:left="720" w:hanging="720"/>
                <w:rPr>
                  <w:noProof/>
                  <w:lang w:val="en-US"/>
                </w:rPr>
              </w:pPr>
              <w:r>
                <w:rPr>
                  <w:noProof/>
                  <w:lang w:val="en-US"/>
                </w:rPr>
                <w:t xml:space="preserve">Commission, E. (2015, June 3). </w:t>
              </w:r>
              <w:r>
                <w:rPr>
                  <w:i/>
                  <w:iCs/>
                  <w:noProof/>
                  <w:lang w:val="en-US"/>
                </w:rPr>
                <w:t>State Aid Modernisation (SAM) and its implementation</w:t>
              </w:r>
              <w:r>
                <w:rPr>
                  <w:noProof/>
                  <w:lang w:val="en-US"/>
                </w:rPr>
                <w:t>. Retrieved from EC Europa: https://ec.europa.eu/competition/state_aid/modernisation/index_en.html</w:t>
              </w:r>
            </w:p>
            <w:p w14:paraId="15B38307" w14:textId="77777777" w:rsidR="0058607C" w:rsidRDefault="0058607C" w:rsidP="0058607C">
              <w:pPr>
                <w:pStyle w:val="Bibliography"/>
                <w:ind w:left="720" w:hanging="720"/>
                <w:rPr>
                  <w:noProof/>
                  <w:lang w:val="en-US"/>
                </w:rPr>
              </w:pPr>
              <w:r>
                <w:rPr>
                  <w:noProof/>
                  <w:lang w:val="en-US"/>
                </w:rPr>
                <w:t xml:space="preserve">Commission, E. (2016). </w:t>
              </w:r>
              <w:r>
                <w:rPr>
                  <w:i/>
                  <w:iCs/>
                  <w:noProof/>
                  <w:lang w:val="en-US"/>
                </w:rPr>
                <w:t>State aid: Commission approves German investment aid to paper manufacturer Hamburger Rieger and opens investigation into German aid to polymer processer REHAU.</w:t>
              </w:r>
              <w:r>
                <w:rPr>
                  <w:noProof/>
                  <w:lang w:val="en-US"/>
                </w:rPr>
                <w:t xml:space="preserve"> Brussels: European Commission.</w:t>
              </w:r>
            </w:p>
            <w:p w14:paraId="22B66A21" w14:textId="77777777" w:rsidR="0058607C" w:rsidRDefault="0058607C" w:rsidP="0058607C">
              <w:pPr>
                <w:pStyle w:val="Bibliography"/>
                <w:ind w:left="720" w:hanging="720"/>
                <w:rPr>
                  <w:noProof/>
                  <w:lang w:val="en-US"/>
                </w:rPr>
              </w:pPr>
              <w:r>
                <w:rPr>
                  <w:noProof/>
                  <w:lang w:val="en-US"/>
                </w:rPr>
                <w:t xml:space="preserve">Commission, E. (2018). </w:t>
              </w:r>
              <w:r>
                <w:rPr>
                  <w:i/>
                  <w:iCs/>
                  <w:noProof/>
                  <w:lang w:val="en-US"/>
                </w:rPr>
                <w:t>Europe on the Move, Anex 2.</w:t>
              </w:r>
              <w:r>
                <w:rPr>
                  <w:noProof/>
                  <w:lang w:val="en-US"/>
                </w:rPr>
                <w:t xml:space="preserve"> Brussels: European Commission.</w:t>
              </w:r>
            </w:p>
            <w:p w14:paraId="4B122B83" w14:textId="77777777" w:rsidR="0058607C" w:rsidRDefault="0058607C" w:rsidP="0058607C">
              <w:pPr>
                <w:pStyle w:val="Bibliography"/>
                <w:ind w:left="720" w:hanging="720"/>
                <w:rPr>
                  <w:noProof/>
                  <w:lang w:val="en-US"/>
                </w:rPr>
              </w:pPr>
              <w:r>
                <w:rPr>
                  <w:noProof/>
                  <w:lang w:val="en-US"/>
                </w:rPr>
                <w:t xml:space="preserve">Commission, E. (2019). </w:t>
              </w:r>
              <w:r>
                <w:rPr>
                  <w:i/>
                  <w:iCs/>
                  <w:noProof/>
                  <w:lang w:val="en-US"/>
                </w:rPr>
                <w:t>A vision for the European industry until 2030.</w:t>
              </w:r>
              <w:r>
                <w:rPr>
                  <w:noProof/>
                  <w:lang w:val="en-US"/>
                </w:rPr>
                <w:t xml:space="preserve"> Brussels: European Commission.</w:t>
              </w:r>
            </w:p>
            <w:p w14:paraId="131C0AEC" w14:textId="77777777" w:rsidR="0058607C" w:rsidRDefault="0058607C" w:rsidP="0058607C">
              <w:pPr>
                <w:pStyle w:val="Bibliography"/>
                <w:ind w:left="720" w:hanging="720"/>
                <w:rPr>
                  <w:noProof/>
                  <w:lang w:val="en-US"/>
                </w:rPr>
              </w:pPr>
              <w:r>
                <w:rPr>
                  <w:noProof/>
                  <w:lang w:val="en-US"/>
                </w:rPr>
                <w:t xml:space="preserve">Commission, E. (2019, Februari 17). </w:t>
              </w:r>
              <w:r>
                <w:rPr>
                  <w:i/>
                  <w:iCs/>
                  <w:noProof/>
                  <w:lang w:val="en-US"/>
                </w:rPr>
                <w:t xml:space="preserve">European Commission announces the Key Strategic Value Chains </w:t>
              </w:r>
              <w:r>
                <w:rPr>
                  <w:noProof/>
                  <w:lang w:val="en-US"/>
                </w:rPr>
                <w:t>. Retrieved June 16, 2020, from EC Europa: https://s3platform.jrc.ec.europa.eu/-/european-commission-announces-the-key-strategic-value-chains</w:t>
              </w:r>
            </w:p>
            <w:p w14:paraId="35DBBA67" w14:textId="77777777" w:rsidR="0058607C" w:rsidRDefault="0058607C" w:rsidP="0058607C">
              <w:pPr>
                <w:pStyle w:val="Bibliography"/>
                <w:ind w:left="720" w:hanging="720"/>
                <w:rPr>
                  <w:noProof/>
                  <w:lang w:val="en-US"/>
                </w:rPr>
              </w:pPr>
              <w:r>
                <w:rPr>
                  <w:noProof/>
                  <w:lang w:val="en-US"/>
                </w:rPr>
                <w:t xml:space="preserve">Commission, E. (2019, June 25). </w:t>
              </w:r>
              <w:r>
                <w:rPr>
                  <w:i/>
                  <w:iCs/>
                  <w:noProof/>
                  <w:lang w:val="en-US"/>
                </w:rPr>
                <w:t>High Level Industrial Roundtable "Industry 2030"</w:t>
              </w:r>
              <w:r>
                <w:rPr>
                  <w:noProof/>
                  <w:lang w:val="en-US"/>
                </w:rPr>
                <w:t>. Retrieved May 24, 2020, from EC Europa: https://ec.europa.eu/transparency/regexpert/index.cfm?do=groupDetail.groupDetail&amp;groupID=3572&amp;news=1</w:t>
              </w:r>
            </w:p>
            <w:p w14:paraId="498AE3E0" w14:textId="77777777" w:rsidR="0058607C" w:rsidRDefault="0058607C" w:rsidP="0058607C">
              <w:pPr>
                <w:pStyle w:val="Bibliography"/>
                <w:ind w:left="720" w:hanging="720"/>
                <w:rPr>
                  <w:noProof/>
                  <w:lang w:val="en-US"/>
                </w:rPr>
              </w:pPr>
              <w:r>
                <w:rPr>
                  <w:noProof/>
                  <w:lang w:val="en-US"/>
                </w:rPr>
                <w:t xml:space="preserve">Commission, E. (2019). </w:t>
              </w:r>
              <w:r>
                <w:rPr>
                  <w:i/>
                  <w:iCs/>
                  <w:noProof/>
                  <w:lang w:val="en-US"/>
                </w:rPr>
                <w:t>On the Implementation of the Strategic Action Plan on Batteries: Building a Strategic Battery Value Chain in Europe.</w:t>
              </w:r>
              <w:r>
                <w:rPr>
                  <w:noProof/>
                  <w:lang w:val="en-US"/>
                </w:rPr>
                <w:t xml:space="preserve"> Brussels: European Commission.</w:t>
              </w:r>
            </w:p>
            <w:p w14:paraId="7054D5C6" w14:textId="77777777" w:rsidR="0058607C" w:rsidRDefault="0058607C" w:rsidP="0058607C">
              <w:pPr>
                <w:pStyle w:val="Bibliography"/>
                <w:ind w:left="720" w:hanging="720"/>
                <w:rPr>
                  <w:noProof/>
                  <w:lang w:val="en-US"/>
                </w:rPr>
              </w:pPr>
              <w:r>
                <w:rPr>
                  <w:noProof/>
                  <w:lang w:val="en-US"/>
                </w:rPr>
                <w:t xml:space="preserve">Commission, E. (2019). </w:t>
              </w:r>
              <w:r>
                <w:rPr>
                  <w:i/>
                  <w:iCs/>
                  <w:noProof/>
                  <w:lang w:val="en-US"/>
                </w:rPr>
                <w:t>Report on the Implementation of the Strategic Action Plan on Batteries: Building a Strategic Battery Value Chain in Europe.</w:t>
              </w:r>
              <w:r>
                <w:rPr>
                  <w:noProof/>
                  <w:lang w:val="en-US"/>
                </w:rPr>
                <w:t xml:space="preserve"> Brussels: European Commission.</w:t>
              </w:r>
            </w:p>
            <w:p w14:paraId="0199FF20" w14:textId="77777777" w:rsidR="0058607C" w:rsidRDefault="0058607C" w:rsidP="0058607C">
              <w:pPr>
                <w:pStyle w:val="Bibliography"/>
                <w:ind w:left="720" w:hanging="720"/>
                <w:rPr>
                  <w:noProof/>
                  <w:lang w:val="en-US"/>
                </w:rPr>
              </w:pPr>
              <w:r>
                <w:rPr>
                  <w:noProof/>
                  <w:lang w:val="en-US"/>
                </w:rPr>
                <w:t xml:space="preserve">Commission, E. (2019). </w:t>
              </w:r>
              <w:r>
                <w:rPr>
                  <w:i/>
                  <w:iCs/>
                  <w:noProof/>
                  <w:lang w:val="en-US"/>
                </w:rPr>
                <w:t>State aid: Commission approves €3.2 billion public support by seven Member States for a pan-European research and innovation project in all segments of the battery value chain.</w:t>
              </w:r>
              <w:r>
                <w:rPr>
                  <w:noProof/>
                  <w:lang w:val="en-US"/>
                </w:rPr>
                <w:t xml:space="preserve"> Brussels: European Commission.</w:t>
              </w:r>
            </w:p>
            <w:p w14:paraId="0BDD1B36" w14:textId="77777777" w:rsidR="0058607C" w:rsidRDefault="0058607C" w:rsidP="0058607C">
              <w:pPr>
                <w:pStyle w:val="Bibliography"/>
                <w:ind w:left="720" w:hanging="720"/>
                <w:rPr>
                  <w:noProof/>
                  <w:lang w:val="en-US"/>
                </w:rPr>
              </w:pPr>
              <w:r>
                <w:rPr>
                  <w:noProof/>
                  <w:lang w:val="en-US"/>
                </w:rPr>
                <w:t xml:space="preserve">Commission, E. (2019, October 14). </w:t>
              </w:r>
              <w:r>
                <w:rPr>
                  <w:i/>
                  <w:iCs/>
                  <w:noProof/>
                  <w:lang w:val="en-US"/>
                </w:rPr>
                <w:t>State aid: Commission opens investigation into proposed public support for Samsung plant in Hungary</w:t>
              </w:r>
              <w:r>
                <w:rPr>
                  <w:noProof/>
                  <w:lang w:val="en-US"/>
                </w:rPr>
                <w:t>. Retrieved from EC Europa: https://ec.europa.eu/commission/presscorner/detail/en/IP_19_6078</w:t>
              </w:r>
            </w:p>
            <w:p w14:paraId="3C699D04" w14:textId="77777777" w:rsidR="0058607C" w:rsidRDefault="0058607C" w:rsidP="0058607C">
              <w:pPr>
                <w:pStyle w:val="Bibliography"/>
                <w:ind w:left="720" w:hanging="720"/>
                <w:rPr>
                  <w:noProof/>
                  <w:lang w:val="en-US"/>
                </w:rPr>
              </w:pPr>
              <w:r>
                <w:rPr>
                  <w:noProof/>
                  <w:lang w:val="en-US"/>
                </w:rPr>
                <w:t xml:space="preserve">Commission, E. (2020). </w:t>
              </w:r>
              <w:r>
                <w:rPr>
                  <w:i/>
                  <w:iCs/>
                  <w:noProof/>
                  <w:lang w:val="en-US"/>
                </w:rPr>
                <w:t>A new Industrial Strategy for a globally competitive, green and digital Europe.</w:t>
              </w:r>
              <w:r>
                <w:rPr>
                  <w:noProof/>
                  <w:lang w:val="en-US"/>
                </w:rPr>
                <w:t xml:space="preserve"> Brussels: European Commission.</w:t>
              </w:r>
            </w:p>
            <w:p w14:paraId="3AB982D9" w14:textId="77777777" w:rsidR="0058607C" w:rsidRDefault="0058607C" w:rsidP="0058607C">
              <w:pPr>
                <w:pStyle w:val="Bibliography"/>
                <w:ind w:left="720" w:hanging="720"/>
                <w:rPr>
                  <w:noProof/>
                  <w:lang w:val="en-US"/>
                </w:rPr>
              </w:pPr>
              <w:r>
                <w:rPr>
                  <w:noProof/>
                  <w:lang w:val="en-US"/>
                </w:rPr>
                <w:lastRenderedPageBreak/>
                <w:t xml:space="preserve">Commission, E. (2020, July 5). </w:t>
              </w:r>
              <w:r>
                <w:rPr>
                  <w:i/>
                  <w:iCs/>
                  <w:noProof/>
                  <w:lang w:val="en-US"/>
                </w:rPr>
                <w:t>Automotive industry</w:t>
              </w:r>
              <w:r>
                <w:rPr>
                  <w:noProof/>
                  <w:lang w:val="en-US"/>
                </w:rPr>
                <w:t>. Retrieved from EC Commission: https://ec.europa.eu/growth/sectors/automotive_en</w:t>
              </w:r>
            </w:p>
            <w:p w14:paraId="79DD9FA3" w14:textId="77777777" w:rsidR="0058607C" w:rsidRDefault="0058607C" w:rsidP="0058607C">
              <w:pPr>
                <w:pStyle w:val="Bibliography"/>
                <w:ind w:left="720" w:hanging="720"/>
                <w:rPr>
                  <w:noProof/>
                  <w:lang w:val="en-US"/>
                </w:rPr>
              </w:pPr>
              <w:r>
                <w:rPr>
                  <w:noProof/>
                  <w:lang w:val="en-US"/>
                </w:rPr>
                <w:t xml:space="preserve">Commission, E. (2020). </w:t>
              </w:r>
              <w:r>
                <w:rPr>
                  <w:i/>
                  <w:iCs/>
                  <w:noProof/>
                  <w:lang w:val="en-US"/>
                </w:rPr>
                <w:t>Automotive industry</w:t>
              </w:r>
              <w:r>
                <w:rPr>
                  <w:noProof/>
                  <w:lang w:val="en-US"/>
                </w:rPr>
                <w:t>. Retrieved May 15, 2020, from EC Europa: https://ec.europa.eu/growth/sectors/automotive_en</w:t>
              </w:r>
            </w:p>
            <w:p w14:paraId="46422421" w14:textId="77777777" w:rsidR="0058607C" w:rsidRDefault="0058607C" w:rsidP="0058607C">
              <w:pPr>
                <w:pStyle w:val="Bibliography"/>
                <w:ind w:left="720" w:hanging="720"/>
                <w:rPr>
                  <w:noProof/>
                  <w:lang w:val="en-US"/>
                </w:rPr>
              </w:pPr>
              <w:r>
                <w:rPr>
                  <w:noProof/>
                  <w:lang w:val="en-US"/>
                </w:rPr>
                <w:t xml:space="preserve">Commission, E. (2020). </w:t>
              </w:r>
              <w:r>
                <w:rPr>
                  <w:i/>
                  <w:iCs/>
                  <w:noProof/>
                  <w:lang w:val="en-US"/>
                </w:rPr>
                <w:t>Climate change consequences</w:t>
              </w:r>
              <w:r>
                <w:rPr>
                  <w:noProof/>
                  <w:lang w:val="en-US"/>
                </w:rPr>
                <w:t>. Retrieved May 11, 2020, from EC Europa: https://ec.europa.eu/clima/change/consequences_en</w:t>
              </w:r>
            </w:p>
            <w:p w14:paraId="7270DFD3" w14:textId="77777777" w:rsidR="0058607C" w:rsidRDefault="0058607C" w:rsidP="0058607C">
              <w:pPr>
                <w:pStyle w:val="Bibliography"/>
                <w:ind w:left="720" w:hanging="720"/>
                <w:rPr>
                  <w:noProof/>
                  <w:lang w:val="en-US"/>
                </w:rPr>
              </w:pPr>
              <w:r>
                <w:rPr>
                  <w:noProof/>
                  <w:lang w:val="en-US"/>
                </w:rPr>
                <w:t xml:space="preserve">Commission, E. (2020, March 4). </w:t>
              </w:r>
              <w:r>
                <w:rPr>
                  <w:i/>
                  <w:iCs/>
                  <w:noProof/>
                  <w:lang w:val="en-US"/>
                </w:rPr>
                <w:t>EU Green Deal (carbon border adjustment mechanism)</w:t>
              </w:r>
              <w:r>
                <w:rPr>
                  <w:noProof/>
                  <w:lang w:val="en-US"/>
                </w:rPr>
                <w:t>. Retrieved from EC Europea: https://ec.europa.eu/info/law/better-regulation/have-your-say/initiatives/12228-Carbon-Border-Adjustment-Mechanism</w:t>
              </w:r>
            </w:p>
            <w:p w14:paraId="6F4799AF" w14:textId="77777777" w:rsidR="0058607C" w:rsidRDefault="0058607C" w:rsidP="0058607C">
              <w:pPr>
                <w:pStyle w:val="Bibliography"/>
                <w:ind w:left="720" w:hanging="720"/>
                <w:rPr>
                  <w:noProof/>
                  <w:lang w:val="en-US"/>
                </w:rPr>
              </w:pPr>
              <w:r>
                <w:rPr>
                  <w:noProof/>
                  <w:lang w:val="en-US"/>
                </w:rPr>
                <w:t xml:space="preserve">Committee, E. E. (2019). </w:t>
              </w:r>
              <w:r>
                <w:rPr>
                  <w:i/>
                  <w:iCs/>
                  <w:noProof/>
                  <w:lang w:val="en-US"/>
                </w:rPr>
                <w:t>Opinion on Strategic Action Plan on Batteries.</w:t>
              </w:r>
              <w:r>
                <w:rPr>
                  <w:noProof/>
                  <w:lang w:val="en-US"/>
                </w:rPr>
                <w:t xml:space="preserve"> Brussels: EESC.</w:t>
              </w:r>
            </w:p>
            <w:p w14:paraId="28DFCE7B" w14:textId="77777777" w:rsidR="0058607C" w:rsidRDefault="0058607C" w:rsidP="0058607C">
              <w:pPr>
                <w:pStyle w:val="Bibliography"/>
                <w:ind w:left="720" w:hanging="720"/>
                <w:rPr>
                  <w:noProof/>
                  <w:lang w:val="en-US"/>
                </w:rPr>
              </w:pPr>
              <w:r>
                <w:rPr>
                  <w:noProof/>
                  <w:lang w:val="en-US"/>
                </w:rPr>
                <w:t xml:space="preserve">Connolly, K. (2009, January 27). </w:t>
              </w:r>
              <w:r>
                <w:rPr>
                  <w:i/>
                  <w:iCs/>
                  <w:noProof/>
                  <w:lang w:val="en-US"/>
                </w:rPr>
                <w:t>Germany approves €50bn stimulus package</w:t>
              </w:r>
              <w:r>
                <w:rPr>
                  <w:noProof/>
                  <w:lang w:val="en-US"/>
                </w:rPr>
                <w:t>. Retrieved May 14, 2020, from The Guardian: https://www.theguardian.com/world/2009/jan/27/germany-europe</w:t>
              </w:r>
            </w:p>
            <w:p w14:paraId="2D00FA8F" w14:textId="77777777" w:rsidR="0058607C" w:rsidRDefault="0058607C" w:rsidP="0058607C">
              <w:pPr>
                <w:pStyle w:val="Bibliography"/>
                <w:ind w:left="720" w:hanging="720"/>
                <w:rPr>
                  <w:noProof/>
                  <w:lang w:val="en-US"/>
                </w:rPr>
              </w:pPr>
              <w:r>
                <w:rPr>
                  <w:noProof/>
                  <w:lang w:val="en-US"/>
                </w:rPr>
                <w:t xml:space="preserve">Conservatists. (2019). </w:t>
              </w:r>
              <w:r>
                <w:rPr>
                  <w:i/>
                  <w:iCs/>
                  <w:noProof/>
                  <w:lang w:val="en-US"/>
                </w:rPr>
                <w:t>The Conservatists and Unionist Party Manifesto 2019.</w:t>
              </w:r>
              <w:r>
                <w:rPr>
                  <w:noProof/>
                  <w:lang w:val="en-US"/>
                </w:rPr>
                <w:t xml:space="preserve"> London: Conservatists.</w:t>
              </w:r>
            </w:p>
            <w:p w14:paraId="19990A6E" w14:textId="77777777" w:rsidR="0058607C" w:rsidRDefault="0058607C" w:rsidP="0058607C">
              <w:pPr>
                <w:pStyle w:val="Bibliography"/>
                <w:ind w:left="720" w:hanging="720"/>
                <w:rPr>
                  <w:noProof/>
                  <w:lang w:val="en-US"/>
                </w:rPr>
              </w:pPr>
              <w:r>
                <w:rPr>
                  <w:noProof/>
                  <w:lang w:val="en-US"/>
                </w:rPr>
                <w:t xml:space="preserve">Cox, R. (1987). </w:t>
              </w:r>
              <w:r>
                <w:rPr>
                  <w:i/>
                  <w:iCs/>
                  <w:noProof/>
                  <w:lang w:val="en-US"/>
                </w:rPr>
                <w:t>Production, Power and World Order.</w:t>
              </w:r>
              <w:r>
                <w:rPr>
                  <w:noProof/>
                  <w:lang w:val="en-US"/>
                </w:rPr>
                <w:t xml:space="preserve"> New York: Columbia University Press.</w:t>
              </w:r>
            </w:p>
            <w:p w14:paraId="1F31E692" w14:textId="77777777" w:rsidR="0058607C" w:rsidRDefault="0058607C" w:rsidP="0058607C">
              <w:pPr>
                <w:pStyle w:val="Bibliography"/>
                <w:ind w:left="720" w:hanging="720"/>
                <w:rPr>
                  <w:noProof/>
                  <w:lang w:val="en-US"/>
                </w:rPr>
              </w:pPr>
              <w:r>
                <w:rPr>
                  <w:noProof/>
                  <w:lang w:val="en-US"/>
                </w:rPr>
                <w:t xml:space="preserve">Damgé, M., Durand, A., Vaudaro, M., Baruch, J., &amp; Breteau, P. (2018, December 10). </w:t>
              </w:r>
              <w:r>
                <w:rPr>
                  <w:i/>
                  <w:iCs/>
                  <w:noProof/>
                  <w:lang w:val="en-US"/>
                </w:rPr>
                <w:t>Sur un axe de Mélenchon à Le Pen, où se situent les revendications des « gilets jaunes » ?</w:t>
              </w:r>
              <w:r>
                <w:rPr>
                  <w:noProof/>
                  <w:lang w:val="en-US"/>
                </w:rPr>
                <w:t xml:space="preserve"> Retrieved July 2, 2020, from Le Monde: https://www.lemonde.fr/les-decodeurs/article/2018/12/04/sur-un-axe-de-melenchon-a-le-pen-ou-se-situent-les-revendications-des-gilets-jaunes_5392592_4355770.html</w:t>
              </w:r>
            </w:p>
            <w:p w14:paraId="586722E3" w14:textId="77777777" w:rsidR="0058607C" w:rsidRDefault="0058607C" w:rsidP="0058607C">
              <w:pPr>
                <w:pStyle w:val="Bibliography"/>
                <w:ind w:left="720" w:hanging="720"/>
                <w:rPr>
                  <w:noProof/>
                  <w:lang w:val="en-US"/>
                </w:rPr>
              </w:pPr>
              <w:r w:rsidRPr="0058607C">
                <w:rPr>
                  <w:noProof/>
                </w:rPr>
                <w:t xml:space="preserve">Eder, J., Schneider, E., Kulke, R., &amp; König, C. (2018). </w:t>
              </w:r>
              <w:r>
                <w:rPr>
                  <w:noProof/>
                  <w:lang w:val="en-US"/>
                </w:rPr>
                <w:t xml:space="preserve">From Mainstream to Progressive Industrial Policy. </w:t>
              </w:r>
              <w:r>
                <w:rPr>
                  <w:i/>
                  <w:iCs/>
                  <w:noProof/>
                  <w:lang w:val="en-US"/>
                </w:rPr>
                <w:t>Journal für Entwicklungspolitik</w:t>
              </w:r>
              <w:r>
                <w:rPr>
                  <w:noProof/>
                  <w:lang w:val="en-US"/>
                </w:rPr>
                <w:t>, 4-14.</w:t>
              </w:r>
            </w:p>
            <w:p w14:paraId="07B252FB" w14:textId="77777777" w:rsidR="0058607C" w:rsidRDefault="0058607C" w:rsidP="0058607C">
              <w:pPr>
                <w:pStyle w:val="Bibliography"/>
                <w:ind w:left="720" w:hanging="720"/>
                <w:rPr>
                  <w:noProof/>
                  <w:lang w:val="en-US"/>
                </w:rPr>
              </w:pPr>
              <w:r>
                <w:rPr>
                  <w:noProof/>
                  <w:lang w:val="en-US"/>
                </w:rPr>
                <w:t xml:space="preserve">EPRS. (2014). </w:t>
              </w:r>
              <w:r>
                <w:rPr>
                  <w:i/>
                  <w:iCs/>
                  <w:noProof/>
                  <w:lang w:val="en-US"/>
                </w:rPr>
                <w:t>Reshoring of EU manufacturing .</w:t>
              </w:r>
              <w:r>
                <w:rPr>
                  <w:noProof/>
                  <w:lang w:val="en-US"/>
                </w:rPr>
                <w:t xml:space="preserve"> Brussels: EPRS.</w:t>
              </w:r>
            </w:p>
            <w:p w14:paraId="5F262BF7" w14:textId="77777777" w:rsidR="0058607C" w:rsidRDefault="0058607C" w:rsidP="0058607C">
              <w:pPr>
                <w:pStyle w:val="Bibliography"/>
                <w:ind w:left="720" w:hanging="720"/>
                <w:rPr>
                  <w:noProof/>
                  <w:lang w:val="en-US"/>
                </w:rPr>
              </w:pPr>
              <w:r>
                <w:rPr>
                  <w:noProof/>
                  <w:lang w:val="en-US"/>
                </w:rPr>
                <w:t xml:space="preserve">Epstein, G., &amp; Crotty, J. (2013). How big is too big? On the social efficiency of the financial sector in the United States. In J. Wicks-Lim, &amp; R. Pollin, </w:t>
              </w:r>
              <w:r>
                <w:rPr>
                  <w:i/>
                  <w:iCs/>
                  <w:noProof/>
                  <w:lang w:val="en-US"/>
                </w:rPr>
                <w:t>Capitalism on Trial</w:t>
              </w:r>
              <w:r>
                <w:rPr>
                  <w:noProof/>
                  <w:lang w:val="en-US"/>
                </w:rPr>
                <w:t xml:space="preserve"> (pp. 293-310). The Lypiatts: Edward Elgar Publishing Limited.</w:t>
              </w:r>
            </w:p>
            <w:p w14:paraId="56719931" w14:textId="77777777" w:rsidR="0058607C" w:rsidRDefault="0058607C" w:rsidP="0058607C">
              <w:pPr>
                <w:pStyle w:val="Bibliography"/>
                <w:ind w:left="720" w:hanging="720"/>
                <w:rPr>
                  <w:noProof/>
                  <w:lang w:val="en-US"/>
                </w:rPr>
              </w:pPr>
              <w:r>
                <w:rPr>
                  <w:noProof/>
                  <w:lang w:val="en-US"/>
                </w:rPr>
                <w:t xml:space="preserve">Ghose, A. (2014). </w:t>
              </w:r>
              <w:r>
                <w:rPr>
                  <w:i/>
                  <w:iCs/>
                  <w:noProof/>
                  <w:lang w:val="en-US"/>
                </w:rPr>
                <w:t>‘India’s Services–led Growth’. HD Working Papers Series 01/2014.</w:t>
              </w:r>
              <w:r>
                <w:rPr>
                  <w:noProof/>
                  <w:lang w:val="en-US"/>
                </w:rPr>
                <w:t xml:space="preserve"> 2014: Institute for Human Development.</w:t>
              </w:r>
            </w:p>
            <w:p w14:paraId="5F0ECD4F" w14:textId="77777777" w:rsidR="0058607C" w:rsidRDefault="0058607C" w:rsidP="0058607C">
              <w:pPr>
                <w:pStyle w:val="Bibliography"/>
                <w:ind w:left="720" w:hanging="720"/>
                <w:rPr>
                  <w:noProof/>
                  <w:lang w:val="en-US"/>
                </w:rPr>
              </w:pPr>
              <w:r>
                <w:rPr>
                  <w:noProof/>
                  <w:lang w:val="en-US"/>
                </w:rPr>
                <w:t xml:space="preserve">Goncalves, S. (2020, April 30). </w:t>
              </w:r>
              <w:r>
                <w:rPr>
                  <w:i/>
                  <w:iCs/>
                  <w:noProof/>
                  <w:lang w:val="en-US"/>
                </w:rPr>
                <w:t>Reuters</w:t>
              </w:r>
              <w:r>
                <w:rPr>
                  <w:noProof/>
                  <w:lang w:val="en-US"/>
                </w:rPr>
                <w:t>. Retrieved from Portugal plans new hydrogen plant in post-coronavirus 'green' future: https://www.reuters.com/article/us-health-coronavirus-portugal-energy-idUSKBN22C1T2</w:t>
              </w:r>
            </w:p>
            <w:p w14:paraId="55E727BD" w14:textId="77777777" w:rsidR="0058607C" w:rsidRDefault="0058607C" w:rsidP="0058607C">
              <w:pPr>
                <w:pStyle w:val="Bibliography"/>
                <w:ind w:left="720" w:hanging="720"/>
                <w:rPr>
                  <w:noProof/>
                  <w:lang w:val="en-US"/>
                </w:rPr>
              </w:pPr>
              <w:r>
                <w:rPr>
                  <w:noProof/>
                  <w:lang w:val="en-US"/>
                </w:rPr>
                <w:t xml:space="preserve">Goodhart, C., &amp; Schoenmaker, D. (1995). Should the functions of monetary policy and banking supervision be separated? </w:t>
              </w:r>
              <w:r>
                <w:rPr>
                  <w:i/>
                  <w:iCs/>
                  <w:noProof/>
                  <w:lang w:val="en-US"/>
                </w:rPr>
                <w:t>Oxford Economic Papers</w:t>
              </w:r>
              <w:r>
                <w:rPr>
                  <w:noProof/>
                  <w:lang w:val="en-US"/>
                </w:rPr>
                <w:t>, 539–560.</w:t>
              </w:r>
            </w:p>
            <w:p w14:paraId="1FEC67E9" w14:textId="77777777" w:rsidR="0058607C" w:rsidRDefault="0058607C" w:rsidP="0058607C">
              <w:pPr>
                <w:pStyle w:val="Bibliography"/>
                <w:ind w:left="720" w:hanging="720"/>
                <w:rPr>
                  <w:noProof/>
                  <w:lang w:val="en-US"/>
                </w:rPr>
              </w:pPr>
              <w:r>
                <w:rPr>
                  <w:noProof/>
                  <w:lang w:val="en-US"/>
                </w:rPr>
                <w:t xml:space="preserve">Gordon, D., Edwards, D., &amp; Reich, M. (1982). </w:t>
              </w:r>
              <w:r>
                <w:rPr>
                  <w:i/>
                  <w:iCs/>
                  <w:noProof/>
                  <w:lang w:val="en-US"/>
                </w:rPr>
                <w:t>Segmented Works, Divided Workers.</w:t>
              </w:r>
              <w:r>
                <w:rPr>
                  <w:noProof/>
                  <w:lang w:val="en-US"/>
                </w:rPr>
                <w:t xml:space="preserve"> Cambridge: Cambridge University Press.</w:t>
              </w:r>
            </w:p>
            <w:p w14:paraId="4B5B1ED9" w14:textId="77777777" w:rsidR="0058607C" w:rsidRDefault="0058607C" w:rsidP="0058607C">
              <w:pPr>
                <w:pStyle w:val="Bibliography"/>
                <w:ind w:left="720" w:hanging="720"/>
                <w:rPr>
                  <w:noProof/>
                  <w:lang w:val="en-US"/>
                </w:rPr>
              </w:pPr>
              <w:r>
                <w:rPr>
                  <w:noProof/>
                  <w:lang w:val="en-US"/>
                </w:rPr>
                <w:t xml:space="preserve">Hall, P. (1993). Policy Paradigms, Social Learning, and the State: The Case of Economic Policymaking in Britain. </w:t>
              </w:r>
              <w:r>
                <w:rPr>
                  <w:i/>
                  <w:iCs/>
                  <w:noProof/>
                  <w:lang w:val="en-US"/>
                </w:rPr>
                <w:t>Comparative Politics</w:t>
              </w:r>
              <w:r>
                <w:rPr>
                  <w:noProof/>
                  <w:lang w:val="en-US"/>
                </w:rPr>
                <w:t>, 275-296.</w:t>
              </w:r>
            </w:p>
            <w:p w14:paraId="01BB566F" w14:textId="77777777" w:rsidR="0058607C" w:rsidRDefault="0058607C" w:rsidP="0058607C">
              <w:pPr>
                <w:pStyle w:val="Bibliography"/>
                <w:ind w:left="720" w:hanging="720"/>
                <w:rPr>
                  <w:noProof/>
                  <w:lang w:val="en-US"/>
                </w:rPr>
              </w:pPr>
              <w:r>
                <w:rPr>
                  <w:noProof/>
                  <w:lang w:val="en-US"/>
                </w:rPr>
                <w:t xml:space="preserve">Hall, P. (2013). Brother, Can You Paradigm? </w:t>
              </w:r>
              <w:r>
                <w:rPr>
                  <w:i/>
                  <w:iCs/>
                  <w:noProof/>
                  <w:lang w:val="en-US"/>
                </w:rPr>
                <w:t>Governance: An International Journal of Policy, Administration, and Institutions</w:t>
              </w:r>
              <w:r>
                <w:rPr>
                  <w:noProof/>
                  <w:lang w:val="en-US"/>
                </w:rPr>
                <w:t>, 189-192.</w:t>
              </w:r>
            </w:p>
            <w:p w14:paraId="0AEF8D82" w14:textId="77777777" w:rsidR="0058607C" w:rsidRDefault="0058607C" w:rsidP="0058607C">
              <w:pPr>
                <w:pStyle w:val="Bibliography"/>
                <w:ind w:left="720" w:hanging="720"/>
                <w:rPr>
                  <w:noProof/>
                  <w:lang w:val="en-US"/>
                </w:rPr>
              </w:pPr>
              <w:r>
                <w:rPr>
                  <w:noProof/>
                  <w:lang w:val="en-US"/>
                </w:rPr>
                <w:lastRenderedPageBreak/>
                <w:t xml:space="preserve">Hall, P. A., &amp; Taylor, R. C. (1996). Political Science and the Three New Institutionalisms. </w:t>
              </w:r>
              <w:r>
                <w:rPr>
                  <w:i/>
                  <w:iCs/>
                  <w:noProof/>
                  <w:lang w:val="en-US"/>
                </w:rPr>
                <w:t>Political Studies</w:t>
              </w:r>
              <w:r>
                <w:rPr>
                  <w:noProof/>
                  <w:lang w:val="en-US"/>
                </w:rPr>
                <w:t>, 936-957.</w:t>
              </w:r>
            </w:p>
            <w:p w14:paraId="23147C03" w14:textId="77777777" w:rsidR="0058607C" w:rsidRDefault="0058607C" w:rsidP="0058607C">
              <w:pPr>
                <w:pStyle w:val="Bibliography"/>
                <w:ind w:left="720" w:hanging="720"/>
                <w:rPr>
                  <w:noProof/>
                  <w:lang w:val="en-US"/>
                </w:rPr>
              </w:pPr>
              <w:r>
                <w:rPr>
                  <w:noProof/>
                  <w:lang w:val="en-US"/>
                </w:rPr>
                <w:t xml:space="preserve">Hall, P. A., &amp; Taylor, R. C. (1998). The Potential of Historical Institutionalism: a Response to Hay and Wincott. </w:t>
              </w:r>
              <w:r>
                <w:rPr>
                  <w:i/>
                  <w:iCs/>
                  <w:noProof/>
                  <w:lang w:val="en-US"/>
                </w:rPr>
                <w:t>Political Studies</w:t>
              </w:r>
              <w:r>
                <w:rPr>
                  <w:noProof/>
                  <w:lang w:val="en-US"/>
                </w:rPr>
                <w:t>, 958-962.</w:t>
              </w:r>
            </w:p>
            <w:p w14:paraId="63E64A02" w14:textId="77777777" w:rsidR="0058607C" w:rsidRPr="0058607C" w:rsidRDefault="0058607C" w:rsidP="0058607C">
              <w:pPr>
                <w:pStyle w:val="Bibliography"/>
                <w:ind w:left="720" w:hanging="720"/>
                <w:rPr>
                  <w:noProof/>
                </w:rPr>
              </w:pPr>
              <w:r>
                <w:rPr>
                  <w:noProof/>
                  <w:lang w:val="en-US"/>
                </w:rPr>
                <w:t xml:space="preserve">Harvey, D. (2014). </w:t>
              </w:r>
              <w:r>
                <w:rPr>
                  <w:i/>
                  <w:iCs/>
                  <w:noProof/>
                  <w:lang w:val="en-US"/>
                </w:rPr>
                <w:t>Seventeen Contradictions and the End of Capitalism.</w:t>
              </w:r>
              <w:r>
                <w:rPr>
                  <w:noProof/>
                  <w:lang w:val="en-US"/>
                </w:rPr>
                <w:t xml:space="preserve"> </w:t>
              </w:r>
              <w:r w:rsidRPr="0058607C">
                <w:rPr>
                  <w:noProof/>
                </w:rPr>
                <w:t>London: Profile Books.</w:t>
              </w:r>
            </w:p>
            <w:p w14:paraId="14B211E6" w14:textId="77777777" w:rsidR="0058607C" w:rsidRPr="0058607C" w:rsidRDefault="0058607C" w:rsidP="0058607C">
              <w:pPr>
                <w:pStyle w:val="Bibliography"/>
                <w:ind w:left="720" w:hanging="720"/>
                <w:rPr>
                  <w:noProof/>
                </w:rPr>
              </w:pPr>
              <w:r w:rsidRPr="0058607C">
                <w:rPr>
                  <w:noProof/>
                </w:rPr>
                <w:t xml:space="preserve">Hekking, H. (2020, May 30). Europees Herstelpakket moet van industrie een groene voorloper maken. </w:t>
              </w:r>
              <w:r w:rsidRPr="0058607C">
                <w:rPr>
                  <w:i/>
                  <w:iCs/>
                  <w:noProof/>
                </w:rPr>
                <w:t>Financieel Dagblad</w:t>
              </w:r>
              <w:r w:rsidRPr="0058607C">
                <w:rPr>
                  <w:noProof/>
                </w:rPr>
                <w:t>.</w:t>
              </w:r>
            </w:p>
            <w:p w14:paraId="0E655436" w14:textId="77777777" w:rsidR="0058607C" w:rsidRPr="0058607C" w:rsidRDefault="0058607C" w:rsidP="0058607C">
              <w:pPr>
                <w:pStyle w:val="Bibliography"/>
                <w:ind w:left="720" w:hanging="720"/>
                <w:rPr>
                  <w:noProof/>
                </w:rPr>
              </w:pPr>
              <w:r w:rsidRPr="0058607C">
                <w:rPr>
                  <w:noProof/>
                </w:rPr>
                <w:t xml:space="preserve">Hekking, H. D. (2020, May 30). Groene kickstart voor de Europese industrie. </w:t>
              </w:r>
              <w:r w:rsidRPr="0058607C">
                <w:rPr>
                  <w:i/>
                  <w:iCs/>
                  <w:noProof/>
                </w:rPr>
                <w:t>Financieel Dagblad</w:t>
              </w:r>
              <w:r w:rsidRPr="0058607C">
                <w:rPr>
                  <w:noProof/>
                </w:rPr>
                <w:t>.</w:t>
              </w:r>
            </w:p>
            <w:p w14:paraId="605C632C" w14:textId="77777777" w:rsidR="0058607C" w:rsidRDefault="0058607C" w:rsidP="0058607C">
              <w:pPr>
                <w:pStyle w:val="Bibliography"/>
                <w:ind w:left="720" w:hanging="720"/>
                <w:rPr>
                  <w:noProof/>
                  <w:lang w:val="en-US"/>
                </w:rPr>
              </w:pPr>
              <w:r w:rsidRPr="0058607C">
                <w:rPr>
                  <w:noProof/>
                </w:rPr>
                <w:t xml:space="preserve">Hekking, H., &amp; Segenhout, J. (2020, May 30). Nieuwe auto kopen: straks met steun? </w:t>
              </w:r>
              <w:r>
                <w:rPr>
                  <w:i/>
                  <w:iCs/>
                  <w:noProof/>
                  <w:lang w:val="en-US"/>
                </w:rPr>
                <w:t>Financieel Dagblad</w:t>
              </w:r>
              <w:r>
                <w:rPr>
                  <w:noProof/>
                  <w:lang w:val="en-US"/>
                </w:rPr>
                <w:t>.</w:t>
              </w:r>
            </w:p>
            <w:p w14:paraId="53557ABB" w14:textId="77777777" w:rsidR="0058607C" w:rsidRDefault="0058607C" w:rsidP="0058607C">
              <w:pPr>
                <w:pStyle w:val="Bibliography"/>
                <w:ind w:left="720" w:hanging="720"/>
                <w:rPr>
                  <w:noProof/>
                  <w:lang w:val="en-US"/>
                </w:rPr>
              </w:pPr>
              <w:r>
                <w:rPr>
                  <w:noProof/>
                  <w:lang w:val="en-US"/>
                </w:rPr>
                <w:t xml:space="preserve">Hieminga, G., &amp; Spakman, T. (2020). </w:t>
              </w:r>
              <w:r>
                <w:rPr>
                  <w:i/>
                  <w:iCs/>
                  <w:noProof/>
                  <w:lang w:val="en-US"/>
                </w:rPr>
                <w:t>EU carbon border tax: Unnecessary for now but still a good idea.</w:t>
              </w:r>
              <w:r>
                <w:rPr>
                  <w:noProof/>
                  <w:lang w:val="en-US"/>
                </w:rPr>
                <w:t xml:space="preserve"> Amsterdam: ING.</w:t>
              </w:r>
            </w:p>
            <w:p w14:paraId="1152396B" w14:textId="77777777" w:rsidR="0058607C" w:rsidRDefault="0058607C" w:rsidP="0058607C">
              <w:pPr>
                <w:pStyle w:val="Bibliography"/>
                <w:ind w:left="720" w:hanging="720"/>
                <w:rPr>
                  <w:noProof/>
                  <w:lang w:val="en-US"/>
                </w:rPr>
              </w:pPr>
              <w:r>
                <w:rPr>
                  <w:noProof/>
                  <w:lang w:val="en-US"/>
                </w:rPr>
                <w:t xml:space="preserve">Hogan, J. (2019). The Critical Juncture Concept’s Evolving Capacity to Explain Policy Change. </w:t>
              </w:r>
              <w:r>
                <w:rPr>
                  <w:i/>
                  <w:iCs/>
                  <w:noProof/>
                  <w:lang w:val="en-US"/>
                </w:rPr>
                <w:t>European Policy Analysis</w:t>
              </w:r>
              <w:r>
                <w:rPr>
                  <w:noProof/>
                  <w:lang w:val="en-US"/>
                </w:rPr>
                <w:t>, 170-189.</w:t>
              </w:r>
            </w:p>
            <w:p w14:paraId="1A717D6A" w14:textId="77777777" w:rsidR="0058607C" w:rsidRDefault="0058607C" w:rsidP="0058607C">
              <w:pPr>
                <w:pStyle w:val="Bibliography"/>
                <w:ind w:left="720" w:hanging="720"/>
                <w:rPr>
                  <w:noProof/>
                  <w:lang w:val="en-US"/>
                </w:rPr>
              </w:pPr>
              <w:r>
                <w:rPr>
                  <w:noProof/>
                  <w:lang w:val="en-US"/>
                </w:rPr>
                <w:t xml:space="preserve">ICCT. (2018). </w:t>
              </w:r>
              <w:r>
                <w:rPr>
                  <w:i/>
                  <w:iCs/>
                  <w:noProof/>
                  <w:lang w:val="en-US"/>
                </w:rPr>
                <w:t>European Vehicle Market Statistics.</w:t>
              </w:r>
              <w:r>
                <w:rPr>
                  <w:noProof/>
                  <w:lang w:val="en-US"/>
                </w:rPr>
                <w:t xml:space="preserve"> Berlin: ICCT.</w:t>
              </w:r>
            </w:p>
            <w:p w14:paraId="0EE50030" w14:textId="77777777" w:rsidR="0058607C" w:rsidRDefault="0058607C" w:rsidP="0058607C">
              <w:pPr>
                <w:pStyle w:val="Bibliography"/>
                <w:ind w:left="720" w:hanging="720"/>
                <w:rPr>
                  <w:noProof/>
                  <w:lang w:val="en-US"/>
                </w:rPr>
              </w:pPr>
              <w:r>
                <w:rPr>
                  <w:noProof/>
                  <w:lang w:val="en-US"/>
                </w:rPr>
                <w:t xml:space="preserve">Italianer, A. (2010, June 9). </w:t>
              </w:r>
              <w:r>
                <w:rPr>
                  <w:i/>
                  <w:iCs/>
                  <w:noProof/>
                  <w:lang w:val="en-US"/>
                </w:rPr>
                <w:t>Competition Policy in support of the EU 2020 policy objectives .</w:t>
              </w:r>
              <w:r>
                <w:rPr>
                  <w:noProof/>
                  <w:lang w:val="en-US"/>
                </w:rPr>
                <w:t xml:space="preserve"> Retrieved from EC Europa: https://ec.europa.eu/competition/speeches/text/sp2010_05_en.pdf</w:t>
              </w:r>
            </w:p>
            <w:p w14:paraId="0244D927" w14:textId="77777777" w:rsidR="0058607C" w:rsidRDefault="0058607C" w:rsidP="0058607C">
              <w:pPr>
                <w:pStyle w:val="Bibliography"/>
                <w:ind w:left="720" w:hanging="720"/>
                <w:rPr>
                  <w:noProof/>
                  <w:lang w:val="en-US"/>
                </w:rPr>
              </w:pPr>
              <w:r>
                <w:rPr>
                  <w:noProof/>
                  <w:lang w:val="en-US"/>
                </w:rPr>
                <w:t xml:space="preserve">Katznelson, I. (2003). Periodization and Preferences: Reflection on Purposive Action in Comparative Historical Social Science. In J. Mahoney, &amp; D. Rueschemeyer, </w:t>
              </w:r>
              <w:r>
                <w:rPr>
                  <w:i/>
                  <w:iCs/>
                  <w:noProof/>
                  <w:lang w:val="en-US"/>
                </w:rPr>
                <w:t xml:space="preserve">Comparative Historical Analysis in the Social Sciences </w:t>
              </w:r>
              <w:r>
                <w:rPr>
                  <w:noProof/>
                  <w:lang w:val="en-US"/>
                </w:rPr>
                <w:t>(pp. 270-301). Cambridge: Cambridge University Press.</w:t>
              </w:r>
            </w:p>
            <w:p w14:paraId="264B6AFC" w14:textId="77777777" w:rsidR="0058607C" w:rsidRPr="0058607C" w:rsidRDefault="0058607C" w:rsidP="0058607C">
              <w:pPr>
                <w:pStyle w:val="Bibliography"/>
                <w:ind w:left="720" w:hanging="720"/>
                <w:rPr>
                  <w:noProof/>
                </w:rPr>
              </w:pPr>
              <w:r>
                <w:rPr>
                  <w:noProof/>
                  <w:lang w:val="en-US"/>
                </w:rPr>
                <w:t xml:space="preserve">Katznelson, I. (2009). Strong Theory, Complex History. In M. Lichbach, &amp; A. Zuckerman, </w:t>
              </w:r>
              <w:r>
                <w:rPr>
                  <w:i/>
                  <w:iCs/>
                  <w:noProof/>
                  <w:lang w:val="en-US"/>
                </w:rPr>
                <w:t>Comparative Politics: Rationality, Culture, and Structure</w:t>
              </w:r>
              <w:r>
                <w:rPr>
                  <w:noProof/>
                  <w:lang w:val="en-US"/>
                </w:rPr>
                <w:t xml:space="preserve"> (pp. 96-116). </w:t>
              </w:r>
              <w:r w:rsidRPr="0058607C">
                <w:rPr>
                  <w:noProof/>
                </w:rPr>
                <w:t>Cambridge: Cambridge University Press.</w:t>
              </w:r>
            </w:p>
            <w:p w14:paraId="365419C5" w14:textId="77777777" w:rsidR="0058607C" w:rsidRPr="0058607C" w:rsidRDefault="0058607C" w:rsidP="0058607C">
              <w:pPr>
                <w:pStyle w:val="Bibliography"/>
                <w:ind w:left="720" w:hanging="720"/>
                <w:rPr>
                  <w:noProof/>
                </w:rPr>
              </w:pPr>
              <w:r w:rsidRPr="0058607C">
                <w:rPr>
                  <w:noProof/>
                </w:rPr>
                <w:t xml:space="preserve">Keijzer, M. (2020). </w:t>
              </w:r>
              <w:r w:rsidRPr="0058607C">
                <w:rPr>
                  <w:i/>
                  <w:iCs/>
                  <w:noProof/>
                </w:rPr>
                <w:t>Financiering van het bedrijf Smart Photonics.</w:t>
              </w:r>
              <w:r w:rsidRPr="0058607C">
                <w:rPr>
                  <w:noProof/>
                </w:rPr>
                <w:t xml:space="preserve"> Den Haag: Ministerie van Economische Zaken en Klimaat.</w:t>
              </w:r>
            </w:p>
            <w:p w14:paraId="536D6B57" w14:textId="77777777" w:rsidR="0058607C" w:rsidRDefault="0058607C" w:rsidP="0058607C">
              <w:pPr>
                <w:pStyle w:val="Bibliography"/>
                <w:ind w:left="720" w:hanging="720"/>
                <w:rPr>
                  <w:noProof/>
                  <w:lang w:val="en-US"/>
                </w:rPr>
              </w:pPr>
              <w:r w:rsidRPr="0058607C">
                <w:rPr>
                  <w:noProof/>
                </w:rPr>
                <w:t xml:space="preserve">Kelton, S. (2020). </w:t>
              </w:r>
              <w:r>
                <w:rPr>
                  <w:i/>
                  <w:iCs/>
                  <w:noProof/>
                  <w:lang w:val="en-US"/>
                </w:rPr>
                <w:t>The Deficit Myth.</w:t>
              </w:r>
              <w:r>
                <w:rPr>
                  <w:noProof/>
                  <w:lang w:val="en-US"/>
                </w:rPr>
                <w:t xml:space="preserve"> London: John Murray.</w:t>
              </w:r>
            </w:p>
            <w:p w14:paraId="27BBBB1A" w14:textId="77777777" w:rsidR="0058607C" w:rsidRPr="0058607C" w:rsidRDefault="0058607C" w:rsidP="0058607C">
              <w:pPr>
                <w:pStyle w:val="Bibliography"/>
                <w:ind w:left="720" w:hanging="720"/>
                <w:rPr>
                  <w:noProof/>
                </w:rPr>
              </w:pPr>
              <w:r>
                <w:rPr>
                  <w:noProof/>
                  <w:lang w:val="en-US"/>
                </w:rPr>
                <w:t xml:space="preserve">Keynes, J. (1978). The End of Laissez-faire. In E. Johnson, &amp; D. Moggridge, </w:t>
              </w:r>
              <w:r>
                <w:rPr>
                  <w:i/>
                  <w:iCs/>
                  <w:noProof/>
                  <w:lang w:val="en-US"/>
                </w:rPr>
                <w:t xml:space="preserve">The Collected Writings of John Maynard Keynes, Vol. </w:t>
              </w:r>
              <w:r w:rsidRPr="0058607C">
                <w:rPr>
                  <w:i/>
                  <w:iCs/>
                  <w:noProof/>
                </w:rPr>
                <w:t>IX</w:t>
              </w:r>
              <w:r w:rsidRPr="0058607C">
                <w:rPr>
                  <w:noProof/>
                </w:rPr>
                <w:t xml:space="preserve"> (pp. 272-294). Cambridge: Royal Economic Society.</w:t>
              </w:r>
            </w:p>
            <w:p w14:paraId="6805ADC2" w14:textId="77777777" w:rsidR="0058607C" w:rsidRPr="0058607C" w:rsidRDefault="0058607C" w:rsidP="0058607C">
              <w:pPr>
                <w:pStyle w:val="Bibliography"/>
                <w:ind w:left="720" w:hanging="720"/>
                <w:rPr>
                  <w:noProof/>
                </w:rPr>
              </w:pPr>
              <w:r w:rsidRPr="0058607C">
                <w:rPr>
                  <w:noProof/>
                </w:rPr>
                <w:t xml:space="preserve">Knoop, B. (2020, April 20). Nederland blijft open voor zaken, maar wil kritischer zijn. </w:t>
              </w:r>
              <w:r w:rsidRPr="0058607C">
                <w:rPr>
                  <w:i/>
                  <w:iCs/>
                  <w:noProof/>
                </w:rPr>
                <w:t>Financieel Dagblad</w:t>
              </w:r>
              <w:r w:rsidRPr="0058607C">
                <w:rPr>
                  <w:noProof/>
                </w:rPr>
                <w:t>.</w:t>
              </w:r>
            </w:p>
            <w:p w14:paraId="3CE7D919" w14:textId="77777777" w:rsidR="0058607C" w:rsidRDefault="0058607C" w:rsidP="0058607C">
              <w:pPr>
                <w:pStyle w:val="Bibliography"/>
                <w:ind w:left="720" w:hanging="720"/>
                <w:rPr>
                  <w:noProof/>
                  <w:lang w:val="en-US"/>
                </w:rPr>
              </w:pPr>
              <w:r w:rsidRPr="0058607C">
                <w:rPr>
                  <w:noProof/>
                </w:rPr>
                <w:t xml:space="preserve">Knoop, B., &amp; Woudt, J. (2020, June 27). Krijgen we ooit ons geld terug? </w:t>
              </w:r>
              <w:r>
                <w:rPr>
                  <w:i/>
                  <w:iCs/>
                  <w:noProof/>
                  <w:lang w:val="en-US"/>
                </w:rPr>
                <w:t>Financieel Dagblad</w:t>
              </w:r>
              <w:r>
                <w:rPr>
                  <w:noProof/>
                  <w:lang w:val="en-US"/>
                </w:rPr>
                <w:t>, pp. 1-3.</w:t>
              </w:r>
            </w:p>
            <w:p w14:paraId="258063F5" w14:textId="77777777" w:rsidR="0058607C" w:rsidRDefault="0058607C" w:rsidP="0058607C">
              <w:pPr>
                <w:pStyle w:val="Bibliography"/>
                <w:ind w:left="720" w:hanging="720"/>
                <w:rPr>
                  <w:noProof/>
                  <w:lang w:val="en-US"/>
                </w:rPr>
              </w:pPr>
              <w:r>
                <w:rPr>
                  <w:noProof/>
                  <w:lang w:val="en-US"/>
                </w:rPr>
                <w:t xml:space="preserve">KPMG. (2020). </w:t>
              </w:r>
              <w:r>
                <w:rPr>
                  <w:i/>
                  <w:iCs/>
                  <w:noProof/>
                  <w:lang w:val="en-US"/>
                </w:rPr>
                <w:t>Global Automotive Executive Survey 2020.</w:t>
              </w:r>
              <w:r>
                <w:rPr>
                  <w:noProof/>
                  <w:lang w:val="en-US"/>
                </w:rPr>
                <w:t xml:space="preserve"> Amstelveen: KPMG.</w:t>
              </w:r>
            </w:p>
            <w:p w14:paraId="4987799B" w14:textId="77777777" w:rsidR="0058607C" w:rsidRDefault="0058607C" w:rsidP="0058607C">
              <w:pPr>
                <w:pStyle w:val="Bibliography"/>
                <w:ind w:left="720" w:hanging="720"/>
                <w:rPr>
                  <w:noProof/>
                  <w:lang w:val="en-US"/>
                </w:rPr>
              </w:pPr>
              <w:r>
                <w:rPr>
                  <w:noProof/>
                  <w:lang w:val="en-US"/>
                </w:rPr>
                <w:t xml:space="preserve">Krugman, P. (2020, April 1). Notes on the Coronacoma (Wonkish). </w:t>
              </w:r>
              <w:r>
                <w:rPr>
                  <w:i/>
                  <w:iCs/>
                  <w:noProof/>
                  <w:lang w:val="en-US"/>
                </w:rPr>
                <w:t>New York Times</w:t>
              </w:r>
              <w:r>
                <w:rPr>
                  <w:noProof/>
                  <w:lang w:val="en-US"/>
                </w:rPr>
                <w:t>.</w:t>
              </w:r>
            </w:p>
            <w:p w14:paraId="6D5113B6" w14:textId="77777777" w:rsidR="0058607C" w:rsidRDefault="0058607C" w:rsidP="0058607C">
              <w:pPr>
                <w:pStyle w:val="Bibliography"/>
                <w:ind w:left="720" w:hanging="720"/>
                <w:rPr>
                  <w:noProof/>
                  <w:lang w:val="en-US"/>
                </w:rPr>
              </w:pPr>
              <w:r>
                <w:rPr>
                  <w:noProof/>
                  <w:lang w:val="en-US"/>
                </w:rPr>
                <w:t xml:space="preserve">Krugman, P., Obstfeld, M., &amp; Melitz, M. (2018). </w:t>
              </w:r>
              <w:r>
                <w:rPr>
                  <w:i/>
                  <w:iCs/>
                  <w:noProof/>
                  <w:lang w:val="en-US"/>
                </w:rPr>
                <w:t>International Economics, Theory and policy.</w:t>
              </w:r>
              <w:r>
                <w:rPr>
                  <w:noProof/>
                  <w:lang w:val="en-US"/>
                </w:rPr>
                <w:t xml:space="preserve"> Harlow: Pearson.</w:t>
              </w:r>
            </w:p>
            <w:p w14:paraId="5A6E163E" w14:textId="77777777" w:rsidR="0058607C" w:rsidRDefault="0058607C" w:rsidP="0058607C">
              <w:pPr>
                <w:pStyle w:val="Bibliography"/>
                <w:ind w:left="720" w:hanging="720"/>
                <w:rPr>
                  <w:noProof/>
                  <w:lang w:val="en-US"/>
                </w:rPr>
              </w:pPr>
              <w:r>
                <w:rPr>
                  <w:noProof/>
                  <w:lang w:val="en-US"/>
                </w:rPr>
                <w:t xml:space="preserve">Levy, J. (2017). The return of the state? France’s response to the financial and economic crisis. </w:t>
              </w:r>
              <w:r>
                <w:rPr>
                  <w:i/>
                  <w:iCs/>
                  <w:noProof/>
                  <w:lang w:val="en-US"/>
                </w:rPr>
                <w:t>Comparative European Politics</w:t>
              </w:r>
              <w:r>
                <w:rPr>
                  <w:noProof/>
                  <w:lang w:val="en-US"/>
                </w:rPr>
                <w:t>, 604-627.</w:t>
              </w:r>
            </w:p>
            <w:p w14:paraId="4C581C5E" w14:textId="77777777" w:rsidR="0058607C" w:rsidRDefault="0058607C" w:rsidP="0058607C">
              <w:pPr>
                <w:pStyle w:val="Bibliography"/>
                <w:ind w:left="720" w:hanging="720"/>
                <w:rPr>
                  <w:noProof/>
                  <w:lang w:val="en-US"/>
                </w:rPr>
              </w:pPr>
              <w:r>
                <w:rPr>
                  <w:noProof/>
                  <w:lang w:val="en-US"/>
                </w:rPr>
                <w:lastRenderedPageBreak/>
                <w:t xml:space="preserve">Lewis, N. (2020, July 10). </w:t>
              </w:r>
              <w:r>
                <w:rPr>
                  <w:i/>
                  <w:iCs/>
                  <w:noProof/>
                  <w:lang w:val="en-US"/>
                </w:rPr>
                <w:t>“Modern Monetary Theory” Goes Mainstream</w:t>
              </w:r>
              <w:r>
                <w:rPr>
                  <w:noProof/>
                  <w:lang w:val="en-US"/>
                </w:rPr>
                <w:t>. Retrieved from Forbes: https://www.forbes.com/sites/nathanlewis/2020/07/10/modern-monetary-theory-goes-mainstream/#1eb20fe521e5</w:t>
              </w:r>
            </w:p>
            <w:p w14:paraId="6B4525CD" w14:textId="77777777" w:rsidR="0058607C" w:rsidRDefault="0058607C" w:rsidP="0058607C">
              <w:pPr>
                <w:pStyle w:val="Bibliography"/>
                <w:ind w:left="720" w:hanging="720"/>
                <w:rPr>
                  <w:noProof/>
                  <w:lang w:val="en-US"/>
                </w:rPr>
              </w:pPr>
              <w:r>
                <w:rPr>
                  <w:noProof/>
                  <w:lang w:val="en-US"/>
                </w:rPr>
                <w:t xml:space="preserve">Lieberman, R. (2007). Private power and American bureaucracy: The EEOC and civil rights enforcement. </w:t>
              </w:r>
              <w:r>
                <w:rPr>
                  <w:i/>
                  <w:iCs/>
                  <w:noProof/>
                  <w:lang w:val="en-US"/>
                </w:rPr>
                <w:t>Presented at the Annual Meeting of the American Political Science Association</w:t>
              </w:r>
              <w:r>
                <w:rPr>
                  <w:noProof/>
                  <w:lang w:val="en-US"/>
                </w:rPr>
                <w:t>.</w:t>
              </w:r>
            </w:p>
            <w:p w14:paraId="56C819A4" w14:textId="77777777" w:rsidR="0058607C" w:rsidRDefault="0058607C" w:rsidP="0058607C">
              <w:pPr>
                <w:pStyle w:val="Bibliography"/>
                <w:ind w:left="720" w:hanging="720"/>
                <w:rPr>
                  <w:noProof/>
                  <w:lang w:val="en-US"/>
                </w:rPr>
              </w:pPr>
              <w:r>
                <w:rPr>
                  <w:noProof/>
                  <w:lang w:val="en-US"/>
                </w:rPr>
                <w:t xml:space="preserve">Lieberman, R. C. (2002). Ideas, Institutions, and Political Order: Explaining Political Change. </w:t>
              </w:r>
              <w:r>
                <w:rPr>
                  <w:i/>
                  <w:iCs/>
                  <w:noProof/>
                  <w:lang w:val="en-US"/>
                </w:rPr>
                <w:t>American Political Science Review</w:t>
              </w:r>
              <w:r>
                <w:rPr>
                  <w:noProof/>
                  <w:lang w:val="en-US"/>
                </w:rPr>
                <w:t>, 697-712.</w:t>
              </w:r>
            </w:p>
            <w:p w14:paraId="558C7F45" w14:textId="77777777" w:rsidR="0058607C" w:rsidRDefault="0058607C" w:rsidP="0058607C">
              <w:pPr>
                <w:pStyle w:val="Bibliography"/>
                <w:ind w:left="720" w:hanging="720"/>
                <w:rPr>
                  <w:noProof/>
                  <w:lang w:val="en-US"/>
                </w:rPr>
              </w:pPr>
              <w:r>
                <w:rPr>
                  <w:noProof/>
                  <w:lang w:val="en-US"/>
                </w:rPr>
                <w:t>Maas, H. (2020, April 11). Das ist gelebte EU-Solidarität. (C. Hoffmann, &amp; C. Schult, Interviewers)</w:t>
              </w:r>
            </w:p>
            <w:p w14:paraId="09FB59FA" w14:textId="77777777" w:rsidR="0058607C" w:rsidRDefault="0058607C" w:rsidP="0058607C">
              <w:pPr>
                <w:pStyle w:val="Bibliography"/>
                <w:ind w:left="720" w:hanging="720"/>
                <w:rPr>
                  <w:noProof/>
                  <w:lang w:val="en-US"/>
                </w:rPr>
              </w:pPr>
              <w:r>
                <w:rPr>
                  <w:noProof/>
                  <w:lang w:val="en-US"/>
                </w:rPr>
                <w:t xml:space="preserve">Mackintosh, S. (2015). Crises and Paradigm Shift: A Response to Critics. </w:t>
              </w:r>
              <w:r>
                <w:rPr>
                  <w:i/>
                  <w:iCs/>
                  <w:noProof/>
                  <w:lang w:val="en-US"/>
                </w:rPr>
                <w:t>The Political Quarterly</w:t>
              </w:r>
              <w:r>
                <w:rPr>
                  <w:noProof/>
                  <w:lang w:val="en-US"/>
                </w:rPr>
                <w:t>, 3-6.</w:t>
              </w:r>
            </w:p>
            <w:p w14:paraId="0AB7927B" w14:textId="77777777" w:rsidR="0058607C" w:rsidRDefault="0058607C" w:rsidP="0058607C">
              <w:pPr>
                <w:pStyle w:val="Bibliography"/>
                <w:ind w:left="720" w:hanging="720"/>
                <w:rPr>
                  <w:noProof/>
                  <w:lang w:val="en-US"/>
                </w:rPr>
              </w:pPr>
              <w:r>
                <w:rPr>
                  <w:noProof/>
                  <w:lang w:val="en-US"/>
                </w:rPr>
                <w:t xml:space="preserve">Mahoney, J. (2000). Path dependence in historical sociology. </w:t>
              </w:r>
              <w:r>
                <w:rPr>
                  <w:i/>
                  <w:iCs/>
                  <w:noProof/>
                  <w:lang w:val="en-US"/>
                </w:rPr>
                <w:t>Theory and Society</w:t>
              </w:r>
              <w:r>
                <w:rPr>
                  <w:noProof/>
                  <w:lang w:val="en-US"/>
                </w:rPr>
                <w:t>, 507-548.</w:t>
              </w:r>
            </w:p>
            <w:p w14:paraId="3F7B372D" w14:textId="77777777" w:rsidR="0058607C" w:rsidRDefault="0058607C" w:rsidP="0058607C">
              <w:pPr>
                <w:pStyle w:val="Bibliography"/>
                <w:ind w:left="720" w:hanging="720"/>
                <w:rPr>
                  <w:noProof/>
                  <w:lang w:val="en-US"/>
                </w:rPr>
              </w:pPr>
              <w:r>
                <w:rPr>
                  <w:noProof/>
                  <w:lang w:val="en-US"/>
                </w:rPr>
                <w:t xml:space="preserve">Mahoney, J. (2015). Process Tracing and Historical Explanation. </w:t>
              </w:r>
              <w:r>
                <w:rPr>
                  <w:i/>
                  <w:iCs/>
                  <w:noProof/>
                  <w:lang w:val="en-US"/>
                </w:rPr>
                <w:t>Security Studies</w:t>
              </w:r>
              <w:r>
                <w:rPr>
                  <w:noProof/>
                  <w:lang w:val="en-US"/>
                </w:rPr>
                <w:t>, 200-218.</w:t>
              </w:r>
            </w:p>
            <w:p w14:paraId="75007F8D" w14:textId="77777777" w:rsidR="0058607C" w:rsidRDefault="0058607C" w:rsidP="0058607C">
              <w:pPr>
                <w:pStyle w:val="Bibliography"/>
                <w:ind w:left="720" w:hanging="720"/>
                <w:rPr>
                  <w:noProof/>
                  <w:lang w:val="en-US"/>
                </w:rPr>
              </w:pPr>
              <w:r>
                <w:rPr>
                  <w:noProof/>
                  <w:lang w:val="en-US"/>
                </w:rPr>
                <w:t xml:space="preserve">Mahoney, J., &amp; Thelen, K. (2010). </w:t>
              </w:r>
              <w:r>
                <w:rPr>
                  <w:i/>
                  <w:iCs/>
                  <w:noProof/>
                  <w:lang w:val="en-US"/>
                </w:rPr>
                <w:t>Explaining Institutional Change.</w:t>
              </w:r>
              <w:r>
                <w:rPr>
                  <w:noProof/>
                  <w:lang w:val="en-US"/>
                </w:rPr>
                <w:t xml:space="preserve"> New York: Cambridge University Press.</w:t>
              </w:r>
            </w:p>
            <w:p w14:paraId="2F2A4BFE" w14:textId="77777777" w:rsidR="0058607C" w:rsidRDefault="0058607C" w:rsidP="0058607C">
              <w:pPr>
                <w:pStyle w:val="Bibliography"/>
                <w:ind w:left="720" w:hanging="720"/>
                <w:rPr>
                  <w:noProof/>
                  <w:lang w:val="en-US"/>
                </w:rPr>
              </w:pPr>
              <w:r>
                <w:rPr>
                  <w:noProof/>
                  <w:lang w:val="en-US"/>
                </w:rPr>
                <w:t xml:space="preserve">Mathiason, N. (2008, December 14). </w:t>
              </w:r>
              <w:r>
                <w:rPr>
                  <w:i/>
                  <w:iCs/>
                  <w:noProof/>
                  <w:lang w:val="en-US"/>
                </w:rPr>
                <w:t>40,000 car jobs at risk, says union</w:t>
              </w:r>
              <w:r>
                <w:rPr>
                  <w:noProof/>
                  <w:lang w:val="en-US"/>
                </w:rPr>
                <w:t>. Retrieved May 14, 2020, from The Guardian: https://www.theguardian.com/business/2008/dec/14/automotive-trade-unions</w:t>
              </w:r>
            </w:p>
            <w:p w14:paraId="04B22E36" w14:textId="77777777" w:rsidR="0058607C" w:rsidRDefault="0058607C" w:rsidP="0058607C">
              <w:pPr>
                <w:pStyle w:val="Bibliography"/>
                <w:ind w:left="720" w:hanging="720"/>
                <w:rPr>
                  <w:noProof/>
                  <w:lang w:val="en-US"/>
                </w:rPr>
              </w:pPr>
              <w:r>
                <w:rPr>
                  <w:noProof/>
                  <w:lang w:val="en-US"/>
                </w:rPr>
                <w:t xml:space="preserve">Matthijs, M. (2012). </w:t>
              </w:r>
              <w:r>
                <w:rPr>
                  <w:i/>
                  <w:iCs/>
                  <w:noProof/>
                  <w:lang w:val="en-US"/>
                </w:rPr>
                <w:t>Ideas and Economic Crises in Britain from Attlee to Blair (1945–2005).</w:t>
              </w:r>
              <w:r>
                <w:rPr>
                  <w:noProof/>
                  <w:lang w:val="en-US"/>
                </w:rPr>
                <w:t xml:space="preserve"> Abingdon: Routledge.</w:t>
              </w:r>
            </w:p>
            <w:p w14:paraId="42A3866A" w14:textId="77777777" w:rsidR="0058607C" w:rsidRDefault="0058607C" w:rsidP="0058607C">
              <w:pPr>
                <w:pStyle w:val="Bibliography"/>
                <w:ind w:left="720" w:hanging="720"/>
                <w:rPr>
                  <w:noProof/>
                  <w:lang w:val="en-US"/>
                </w:rPr>
              </w:pPr>
              <w:r>
                <w:rPr>
                  <w:noProof/>
                  <w:lang w:val="en-US"/>
                </w:rPr>
                <w:t xml:space="preserve">Mazzucato, M. (2013). </w:t>
              </w:r>
              <w:r>
                <w:rPr>
                  <w:i/>
                  <w:iCs/>
                  <w:noProof/>
                  <w:lang w:val="en-US"/>
                </w:rPr>
                <w:t>The Entrepeneurial State: Debunking Public vs. Private Sector Myths.</w:t>
              </w:r>
              <w:r>
                <w:rPr>
                  <w:noProof/>
                  <w:lang w:val="en-US"/>
                </w:rPr>
                <w:t xml:space="preserve"> London: Anthem Press.</w:t>
              </w:r>
            </w:p>
            <w:p w14:paraId="16685E36" w14:textId="77777777" w:rsidR="0058607C" w:rsidRDefault="0058607C" w:rsidP="0058607C">
              <w:pPr>
                <w:pStyle w:val="Bibliography"/>
                <w:ind w:left="720" w:hanging="720"/>
                <w:rPr>
                  <w:noProof/>
                  <w:lang w:val="en-US"/>
                </w:rPr>
              </w:pPr>
              <w:r>
                <w:rPr>
                  <w:noProof/>
                  <w:lang w:val="en-US"/>
                </w:rPr>
                <w:t xml:space="preserve">McKinsey. (2019). </w:t>
              </w:r>
              <w:r>
                <w:rPr>
                  <w:i/>
                  <w:iCs/>
                  <w:noProof/>
                  <w:lang w:val="en-US"/>
                </w:rPr>
                <w:t>Globalisation in Transition: The Future of Trade and Value Chains.</w:t>
              </w:r>
              <w:r>
                <w:rPr>
                  <w:noProof/>
                  <w:lang w:val="en-US"/>
                </w:rPr>
                <w:t xml:space="preserve"> Brussels: McKinsey &amp; Company.</w:t>
              </w:r>
            </w:p>
            <w:p w14:paraId="3CF2FEF5" w14:textId="77777777" w:rsidR="0058607C" w:rsidRDefault="0058607C" w:rsidP="0058607C">
              <w:pPr>
                <w:pStyle w:val="Bibliography"/>
                <w:ind w:left="720" w:hanging="720"/>
                <w:rPr>
                  <w:noProof/>
                  <w:lang w:val="en-US"/>
                </w:rPr>
              </w:pPr>
              <w:r>
                <w:rPr>
                  <w:noProof/>
                  <w:lang w:val="en-US"/>
                </w:rPr>
                <w:t xml:space="preserve">Moody's. (2020). </w:t>
              </w:r>
              <w:r>
                <w:rPr>
                  <w:i/>
                  <w:iCs/>
                  <w:noProof/>
                  <w:lang w:val="en-US"/>
                </w:rPr>
                <w:t>Global Macro Outlook 2020-21 (April 2020 Update).</w:t>
              </w:r>
              <w:r>
                <w:rPr>
                  <w:noProof/>
                  <w:lang w:val="en-US"/>
                </w:rPr>
                <w:t xml:space="preserve"> Moody's.</w:t>
              </w:r>
            </w:p>
            <w:p w14:paraId="512BBF77" w14:textId="77777777" w:rsidR="0058607C" w:rsidRDefault="0058607C" w:rsidP="0058607C">
              <w:pPr>
                <w:pStyle w:val="Bibliography"/>
                <w:ind w:left="720" w:hanging="720"/>
                <w:rPr>
                  <w:noProof/>
                  <w:lang w:val="en-US"/>
                </w:rPr>
              </w:pPr>
              <w:r>
                <w:rPr>
                  <w:noProof/>
                  <w:lang w:val="en-US"/>
                </w:rPr>
                <w:t xml:space="preserve">Pierson, P. (2004). </w:t>
              </w:r>
              <w:r>
                <w:rPr>
                  <w:i/>
                  <w:iCs/>
                  <w:noProof/>
                  <w:lang w:val="en-US"/>
                </w:rPr>
                <w:t>Politics in Time: History, Institutions, and Social Analysis.</w:t>
              </w:r>
              <w:r>
                <w:rPr>
                  <w:noProof/>
                  <w:lang w:val="en-US"/>
                </w:rPr>
                <w:t xml:space="preserve"> Princeton: Princeton University Press.</w:t>
              </w:r>
            </w:p>
            <w:p w14:paraId="165D167E" w14:textId="77777777" w:rsidR="0058607C" w:rsidRDefault="0058607C" w:rsidP="0058607C">
              <w:pPr>
                <w:pStyle w:val="Bibliography"/>
                <w:ind w:left="720" w:hanging="720"/>
                <w:rPr>
                  <w:noProof/>
                  <w:lang w:val="en-US"/>
                </w:rPr>
              </w:pPr>
              <w:r>
                <w:rPr>
                  <w:noProof/>
                  <w:lang w:val="en-US"/>
                </w:rPr>
                <w:t xml:space="preserve">Pitelis, C. (2015). DIP-ly Speaking: Debunking Ten Myths, and a Business Strategy-Informed Developmental Industrial Policy. In D. Bailey, K. Cowling, &amp; P. Tomlinson, </w:t>
              </w:r>
              <w:r>
                <w:rPr>
                  <w:i/>
                  <w:iCs/>
                  <w:noProof/>
                  <w:lang w:val="en-US"/>
                </w:rPr>
                <w:t>New Perspectives on industrial Policy for a Modern Britain</w:t>
              </w:r>
              <w:r>
                <w:rPr>
                  <w:noProof/>
                  <w:lang w:val="en-US"/>
                </w:rPr>
                <w:t xml:space="preserve"> (pp. 17-40). Oxford: Oxford University Press.</w:t>
              </w:r>
            </w:p>
            <w:p w14:paraId="0C34A696" w14:textId="77777777" w:rsidR="0058607C" w:rsidRDefault="0058607C" w:rsidP="0058607C">
              <w:pPr>
                <w:pStyle w:val="Bibliography"/>
                <w:ind w:left="720" w:hanging="720"/>
                <w:rPr>
                  <w:noProof/>
                  <w:lang w:val="en-US"/>
                </w:rPr>
              </w:pPr>
              <w:r>
                <w:rPr>
                  <w:noProof/>
                  <w:lang w:val="en-US"/>
                </w:rPr>
                <w:t xml:space="preserve">Renwick, A. (2010). Elite-mass interaction: comparative analysis. In A. Renwick, </w:t>
              </w:r>
              <w:r>
                <w:rPr>
                  <w:i/>
                  <w:iCs/>
                  <w:noProof/>
                  <w:lang w:val="en-US"/>
                </w:rPr>
                <w:t>The Politics of Electoral Reform</w:t>
              </w:r>
              <w:r>
                <w:rPr>
                  <w:noProof/>
                  <w:lang w:val="en-US"/>
                </w:rPr>
                <w:t xml:space="preserve"> (pp. 210-238). Cambridge: Cambridge University Press.</w:t>
              </w:r>
            </w:p>
            <w:p w14:paraId="5AE76E8E" w14:textId="77777777" w:rsidR="0058607C" w:rsidRDefault="0058607C" w:rsidP="0058607C">
              <w:pPr>
                <w:pStyle w:val="Bibliography"/>
                <w:ind w:left="720" w:hanging="720"/>
                <w:rPr>
                  <w:noProof/>
                  <w:lang w:val="en-US"/>
                </w:rPr>
              </w:pPr>
              <w:r w:rsidRPr="0058607C">
                <w:rPr>
                  <w:noProof/>
                </w:rPr>
                <w:t xml:space="preserve">Rijksoverheid. (2019, February 26). </w:t>
              </w:r>
              <w:r w:rsidRPr="0058607C">
                <w:rPr>
                  <w:i/>
                  <w:iCs/>
                  <w:noProof/>
                </w:rPr>
                <w:t>Nederlandse staat koopt 12,68% van de aandelen in Air France-KLM</w:t>
              </w:r>
              <w:r w:rsidRPr="0058607C">
                <w:rPr>
                  <w:noProof/>
                </w:rPr>
                <w:t xml:space="preserve">. </w:t>
              </w:r>
              <w:r>
                <w:rPr>
                  <w:noProof/>
                  <w:lang w:val="en-US"/>
                </w:rPr>
                <w:t>Retrieved July 2, 2020, from Rijksoverheid: https://www.rijksoverheid.nl/actueel/nieuws/2019/02/26/nederlandse-staat-koopt-1268-van-de-aandelen-in-air-france-klm</w:t>
              </w:r>
            </w:p>
            <w:p w14:paraId="7B8921E9" w14:textId="77777777" w:rsidR="0058607C" w:rsidRDefault="0058607C" w:rsidP="0058607C">
              <w:pPr>
                <w:pStyle w:val="Bibliography"/>
                <w:ind w:left="720" w:hanging="720"/>
                <w:rPr>
                  <w:noProof/>
                  <w:lang w:val="en-US"/>
                </w:rPr>
              </w:pPr>
              <w:r>
                <w:rPr>
                  <w:noProof/>
                  <w:lang w:val="en-US"/>
                </w:rPr>
                <w:t xml:space="preserve">Riksbank, S. (2020, July 1). </w:t>
              </w:r>
              <w:r>
                <w:rPr>
                  <w:i/>
                  <w:iCs/>
                  <w:noProof/>
                  <w:lang w:val="en-US"/>
                </w:rPr>
                <w:t>Further measures to alleviate the economic consequences of the pandemic</w:t>
              </w:r>
              <w:r>
                <w:rPr>
                  <w:noProof/>
                  <w:lang w:val="en-US"/>
                </w:rPr>
                <w:t>. Retrieved July 2, 2020, from Riksbank: https://www.riksbank.se/en-gb/press-and-published/notices-and-press-releases/press-releases/2020/further-measures-to-alleviate-the-economic-consequences-of-the-pandemic/</w:t>
              </w:r>
            </w:p>
            <w:p w14:paraId="56E6F02A" w14:textId="77777777" w:rsidR="0058607C" w:rsidRDefault="0058607C" w:rsidP="0058607C">
              <w:pPr>
                <w:pStyle w:val="Bibliography"/>
                <w:ind w:left="720" w:hanging="720"/>
                <w:rPr>
                  <w:noProof/>
                  <w:lang w:val="en-US"/>
                </w:rPr>
              </w:pPr>
              <w:r>
                <w:rPr>
                  <w:noProof/>
                  <w:lang w:val="en-US"/>
                </w:rPr>
                <w:lastRenderedPageBreak/>
                <w:t xml:space="preserve">Rodrik, D. (2011). Comments on “New Structural Economics” by Justin Yifu Lin. </w:t>
              </w:r>
              <w:r>
                <w:rPr>
                  <w:i/>
                  <w:iCs/>
                  <w:noProof/>
                  <w:lang w:val="en-US"/>
                </w:rPr>
                <w:t>The World Bank Research Observer</w:t>
              </w:r>
              <w:r>
                <w:rPr>
                  <w:noProof/>
                  <w:lang w:val="en-US"/>
                </w:rPr>
                <w:t>, 227-229.</w:t>
              </w:r>
            </w:p>
            <w:p w14:paraId="7498534C" w14:textId="77777777" w:rsidR="0058607C" w:rsidRDefault="0058607C" w:rsidP="0058607C">
              <w:pPr>
                <w:pStyle w:val="Bibliography"/>
                <w:ind w:left="720" w:hanging="720"/>
                <w:rPr>
                  <w:noProof/>
                  <w:lang w:val="en-US"/>
                </w:rPr>
              </w:pPr>
              <w:r>
                <w:rPr>
                  <w:noProof/>
                  <w:lang w:val="en-US"/>
                </w:rPr>
                <w:t xml:space="preserve">Rosenberg, N. (1976). </w:t>
              </w:r>
              <w:r>
                <w:rPr>
                  <w:i/>
                  <w:iCs/>
                  <w:noProof/>
                  <w:lang w:val="en-US"/>
                </w:rPr>
                <w:t>Perspectives on Technology.</w:t>
              </w:r>
              <w:r>
                <w:rPr>
                  <w:noProof/>
                  <w:lang w:val="en-US"/>
                </w:rPr>
                <w:t xml:space="preserve"> Cambridge: Cambridge University Press.</w:t>
              </w:r>
            </w:p>
            <w:p w14:paraId="12C074DC" w14:textId="77777777" w:rsidR="0058607C" w:rsidRPr="0058607C" w:rsidRDefault="0058607C" w:rsidP="0058607C">
              <w:pPr>
                <w:pStyle w:val="Bibliography"/>
                <w:ind w:left="720" w:hanging="720"/>
                <w:rPr>
                  <w:noProof/>
                </w:rPr>
              </w:pPr>
              <w:r>
                <w:rPr>
                  <w:noProof/>
                  <w:lang w:val="en-US"/>
                </w:rPr>
                <w:t xml:space="preserve">Sachverständigenrat. </w:t>
              </w:r>
              <w:r w:rsidRPr="0058607C">
                <w:rPr>
                  <w:noProof/>
                </w:rPr>
                <w:t xml:space="preserve">(2009). </w:t>
              </w:r>
              <w:r w:rsidRPr="0058607C">
                <w:rPr>
                  <w:i/>
                  <w:iCs/>
                  <w:noProof/>
                </w:rPr>
                <w:t>Die Zukunft nicht aufs Spiel setzen.</w:t>
              </w:r>
              <w:r w:rsidRPr="0058607C">
                <w:rPr>
                  <w:noProof/>
                </w:rPr>
                <w:t xml:space="preserve"> Paderborn: Sachverständigenrat zur Begutachtung der gestamtwirtschaftlichen Entwickelung.</w:t>
              </w:r>
            </w:p>
            <w:p w14:paraId="7C4FE546" w14:textId="77777777" w:rsidR="0058607C" w:rsidRDefault="0058607C" w:rsidP="0058607C">
              <w:pPr>
                <w:pStyle w:val="Bibliography"/>
                <w:ind w:left="720" w:hanging="720"/>
                <w:rPr>
                  <w:noProof/>
                  <w:lang w:val="en-US"/>
                </w:rPr>
              </w:pPr>
              <w:r w:rsidRPr="0058607C">
                <w:rPr>
                  <w:noProof/>
                </w:rPr>
                <w:t xml:space="preserve">Schiffers, M. (2020, June 17). Brussel gaat valse concurrentie door Chinese staatsbedrijven te lijf. </w:t>
              </w:r>
              <w:r>
                <w:rPr>
                  <w:i/>
                  <w:iCs/>
                  <w:noProof/>
                  <w:lang w:val="en-US"/>
                </w:rPr>
                <w:t>Financieel Dagblad</w:t>
              </w:r>
              <w:r>
                <w:rPr>
                  <w:noProof/>
                  <w:lang w:val="en-US"/>
                </w:rPr>
                <w:t>.</w:t>
              </w:r>
            </w:p>
            <w:p w14:paraId="201BA7F7" w14:textId="77777777" w:rsidR="0058607C" w:rsidRDefault="0058607C" w:rsidP="0058607C">
              <w:pPr>
                <w:pStyle w:val="Bibliography"/>
                <w:ind w:left="720" w:hanging="720"/>
                <w:rPr>
                  <w:noProof/>
                  <w:lang w:val="en-US"/>
                </w:rPr>
              </w:pPr>
              <w:r>
                <w:rPr>
                  <w:noProof/>
                  <w:lang w:val="en-US"/>
                </w:rPr>
                <w:t xml:space="preserve">Schmidt, V. (2008). Discursive Institutionalism: The Explanatory Power of Ideas and Discourse. </w:t>
              </w:r>
              <w:r>
                <w:rPr>
                  <w:i/>
                  <w:iCs/>
                  <w:noProof/>
                  <w:lang w:val="en-US"/>
                </w:rPr>
                <w:t>Annual Review of Political Science</w:t>
              </w:r>
              <w:r>
                <w:rPr>
                  <w:noProof/>
                  <w:lang w:val="en-US"/>
                </w:rPr>
                <w:t>, 303-326.</w:t>
              </w:r>
            </w:p>
            <w:p w14:paraId="60077A2E" w14:textId="77777777" w:rsidR="0058607C" w:rsidRDefault="0058607C" w:rsidP="0058607C">
              <w:pPr>
                <w:pStyle w:val="Bibliography"/>
                <w:ind w:left="720" w:hanging="720"/>
                <w:rPr>
                  <w:noProof/>
                  <w:lang w:val="en-US"/>
                </w:rPr>
              </w:pPr>
              <w:r>
                <w:rPr>
                  <w:noProof/>
                  <w:lang w:val="en-US"/>
                </w:rPr>
                <w:t xml:space="preserve">Scott, M., &amp; Posaner, J. (2020, July 26). </w:t>
              </w:r>
              <w:r>
                <w:rPr>
                  <w:i/>
                  <w:iCs/>
                  <w:noProof/>
                  <w:lang w:val="en-US"/>
                </w:rPr>
                <w:t>Europe’s big battery bet</w:t>
              </w:r>
              <w:r>
                <w:rPr>
                  <w:noProof/>
                  <w:lang w:val="en-US"/>
                </w:rPr>
                <w:t>. Retrieved from Politico: https://www.politico.eu/article/europe-battery-electric-tesla-china/</w:t>
              </w:r>
            </w:p>
            <w:p w14:paraId="19E7338B" w14:textId="77777777" w:rsidR="0058607C" w:rsidRPr="0058607C" w:rsidRDefault="0058607C" w:rsidP="0058607C">
              <w:pPr>
                <w:pStyle w:val="Bibliography"/>
                <w:ind w:left="720" w:hanging="720"/>
                <w:rPr>
                  <w:noProof/>
                </w:rPr>
              </w:pPr>
              <w:r w:rsidRPr="0058607C">
                <w:rPr>
                  <w:noProof/>
                </w:rPr>
                <w:t xml:space="preserve">Segenhout, J. (2020, June 18). Voor autohoofdstad Born breken hachelijke tijden aan. </w:t>
              </w:r>
              <w:r w:rsidRPr="0058607C">
                <w:rPr>
                  <w:i/>
                  <w:iCs/>
                  <w:noProof/>
                </w:rPr>
                <w:t>Financieel Dagblad</w:t>
              </w:r>
              <w:r w:rsidRPr="0058607C">
                <w:rPr>
                  <w:noProof/>
                </w:rPr>
                <w:t>.</w:t>
              </w:r>
            </w:p>
            <w:p w14:paraId="55B12680" w14:textId="77777777" w:rsidR="0058607C" w:rsidRDefault="0058607C" w:rsidP="0058607C">
              <w:pPr>
                <w:pStyle w:val="Bibliography"/>
                <w:ind w:left="720" w:hanging="720"/>
                <w:rPr>
                  <w:noProof/>
                  <w:lang w:val="en-US"/>
                </w:rPr>
              </w:pPr>
              <w:r w:rsidRPr="0058607C">
                <w:rPr>
                  <w:noProof/>
                </w:rPr>
                <w:t xml:space="preserve">Segers, M. (2020, June 15). Voor een duurzame Europese samenwerking heeft de schuldenunie een tegenbeweging nodig. </w:t>
              </w:r>
              <w:r>
                <w:rPr>
                  <w:i/>
                  <w:iCs/>
                  <w:noProof/>
                  <w:lang w:val="en-US"/>
                </w:rPr>
                <w:t>Financieel Dagblad</w:t>
              </w:r>
              <w:r>
                <w:rPr>
                  <w:noProof/>
                  <w:lang w:val="en-US"/>
                </w:rPr>
                <w:t>.</w:t>
              </w:r>
            </w:p>
            <w:p w14:paraId="081ECF86" w14:textId="77777777" w:rsidR="0058607C" w:rsidRDefault="0058607C" w:rsidP="0058607C">
              <w:pPr>
                <w:pStyle w:val="Bibliography"/>
                <w:ind w:left="720" w:hanging="720"/>
                <w:rPr>
                  <w:noProof/>
                  <w:lang w:val="en-US"/>
                </w:rPr>
              </w:pPr>
              <w:r>
                <w:rPr>
                  <w:noProof/>
                  <w:lang w:val="en-US"/>
                </w:rPr>
                <w:t xml:space="preserve">Sheingate, A. (2007). The Terrain of the Political Entrepeneur. In S. Skoronek, &amp; M. Glassman, </w:t>
              </w:r>
              <w:r>
                <w:rPr>
                  <w:i/>
                  <w:iCs/>
                  <w:noProof/>
                  <w:lang w:val="en-US"/>
                </w:rPr>
                <w:t>Formative Acts: American Politics in the Making</w:t>
              </w:r>
              <w:r>
                <w:rPr>
                  <w:noProof/>
                  <w:lang w:val="en-US"/>
                </w:rPr>
                <w:t xml:space="preserve"> (pp. 13-31). New York: Agathon.</w:t>
              </w:r>
            </w:p>
            <w:p w14:paraId="210C050C" w14:textId="77777777" w:rsidR="0058607C" w:rsidRDefault="0058607C" w:rsidP="0058607C">
              <w:pPr>
                <w:pStyle w:val="Bibliography"/>
                <w:ind w:left="720" w:hanging="720"/>
                <w:rPr>
                  <w:noProof/>
                  <w:lang w:val="en-US"/>
                </w:rPr>
              </w:pPr>
              <w:r>
                <w:rPr>
                  <w:noProof/>
                  <w:lang w:val="en-US"/>
                </w:rPr>
                <w:t xml:space="preserve">Stein, H. (2012). The Neoliberal Policy Paradigm and the Great Recession. </w:t>
              </w:r>
              <w:r>
                <w:rPr>
                  <w:i/>
                  <w:iCs/>
                  <w:noProof/>
                  <w:lang w:val="en-US"/>
                </w:rPr>
                <w:t>Panoeconomicus</w:t>
              </w:r>
              <w:r>
                <w:rPr>
                  <w:noProof/>
                  <w:lang w:val="en-US"/>
                </w:rPr>
                <w:t>, 421-440.</w:t>
              </w:r>
            </w:p>
            <w:p w14:paraId="652A6E21" w14:textId="77777777" w:rsidR="0058607C" w:rsidRDefault="0058607C" w:rsidP="0058607C">
              <w:pPr>
                <w:pStyle w:val="Bibliography"/>
                <w:ind w:left="720" w:hanging="720"/>
                <w:rPr>
                  <w:noProof/>
                  <w:lang w:val="en-US"/>
                </w:rPr>
              </w:pPr>
              <w:r>
                <w:rPr>
                  <w:noProof/>
                  <w:lang w:val="en-US"/>
                </w:rPr>
                <w:t xml:space="preserve">Steinmo, S. (2008). What is Historical Institutionalism? In D. Della Porta, &amp; M. Keating, </w:t>
              </w:r>
              <w:r>
                <w:rPr>
                  <w:i/>
                  <w:iCs/>
                  <w:noProof/>
                  <w:lang w:val="en-US"/>
                </w:rPr>
                <w:t>Approaches in the Social Sciences.</w:t>
              </w:r>
              <w:r>
                <w:rPr>
                  <w:noProof/>
                  <w:lang w:val="en-US"/>
                </w:rPr>
                <w:t xml:space="preserve"> Cambridge: Cambridge University Press.</w:t>
              </w:r>
            </w:p>
            <w:p w14:paraId="27CFE0D9" w14:textId="77777777" w:rsidR="0058607C" w:rsidRDefault="0058607C" w:rsidP="0058607C">
              <w:pPr>
                <w:pStyle w:val="Bibliography"/>
                <w:ind w:left="720" w:hanging="720"/>
                <w:rPr>
                  <w:noProof/>
                  <w:lang w:val="en-US"/>
                </w:rPr>
              </w:pPr>
              <w:r>
                <w:rPr>
                  <w:noProof/>
                  <w:lang w:val="en-US"/>
                </w:rPr>
                <w:t xml:space="preserve">Storm, S. (2015). Structural Change. </w:t>
              </w:r>
              <w:r>
                <w:rPr>
                  <w:i/>
                  <w:iCs/>
                  <w:noProof/>
                  <w:lang w:val="en-US"/>
                </w:rPr>
                <w:t>Development and Change</w:t>
              </w:r>
              <w:r>
                <w:rPr>
                  <w:noProof/>
                  <w:lang w:val="en-US"/>
                </w:rPr>
                <w:t>, 666-699.</w:t>
              </w:r>
            </w:p>
            <w:p w14:paraId="6CF1BE25" w14:textId="77777777" w:rsidR="0058607C" w:rsidRDefault="0058607C" w:rsidP="0058607C">
              <w:pPr>
                <w:pStyle w:val="Bibliography"/>
                <w:ind w:left="720" w:hanging="720"/>
                <w:rPr>
                  <w:noProof/>
                  <w:lang w:val="en-US"/>
                </w:rPr>
              </w:pPr>
              <w:r>
                <w:rPr>
                  <w:noProof/>
                  <w:lang w:val="en-US"/>
                </w:rPr>
                <w:t xml:space="preserve">Storm, S. (2017). The Political Economy of Industrialization Introduction to Development and Change Virtual Issue. </w:t>
              </w:r>
              <w:r>
                <w:rPr>
                  <w:i/>
                  <w:iCs/>
                  <w:noProof/>
                  <w:lang w:val="en-US"/>
                </w:rPr>
                <w:t>Development and Change</w:t>
              </w:r>
              <w:r>
                <w:rPr>
                  <w:noProof/>
                  <w:lang w:val="en-US"/>
                </w:rPr>
                <w:t>, 1-19.</w:t>
              </w:r>
            </w:p>
            <w:p w14:paraId="11187F11" w14:textId="77777777" w:rsidR="0058607C" w:rsidRDefault="0058607C" w:rsidP="0058607C">
              <w:pPr>
                <w:pStyle w:val="Bibliography"/>
                <w:ind w:left="720" w:hanging="720"/>
                <w:rPr>
                  <w:noProof/>
                  <w:lang w:val="en-US"/>
                </w:rPr>
              </w:pPr>
              <w:r>
                <w:rPr>
                  <w:noProof/>
                  <w:lang w:val="en-US"/>
                </w:rPr>
                <w:t xml:space="preserve">Streeck, W., &amp; Thelen, K. (2005). Historical Institutionalism in Comparative Politics. In S. Steinmo, K. Thelen, &amp; F. Longstreth, </w:t>
              </w:r>
              <w:r>
                <w:rPr>
                  <w:i/>
                  <w:iCs/>
                  <w:noProof/>
                  <w:lang w:val="en-US"/>
                </w:rPr>
                <w:t>Beyond Continuity. Institutional Change in Advanced Political Economies</w:t>
              </w:r>
              <w:r>
                <w:rPr>
                  <w:noProof/>
                  <w:lang w:val="en-US"/>
                </w:rPr>
                <w:t xml:space="preserve"> (pp. 1-31). Cambridge: Cambridge University Press.</w:t>
              </w:r>
            </w:p>
            <w:p w14:paraId="73CF58C2" w14:textId="77777777" w:rsidR="0058607C" w:rsidRDefault="0058607C" w:rsidP="0058607C">
              <w:pPr>
                <w:pStyle w:val="Bibliography"/>
                <w:ind w:left="720" w:hanging="720"/>
                <w:rPr>
                  <w:noProof/>
                  <w:lang w:val="en-US"/>
                </w:rPr>
              </w:pPr>
              <w:r>
                <w:rPr>
                  <w:noProof/>
                  <w:lang w:val="en-US"/>
                </w:rPr>
                <w:t xml:space="preserve">Tassey, G. (2010). Rationales and mechanisms for revitalizing US manufacturing R&amp;D strategies. </w:t>
              </w:r>
              <w:r>
                <w:rPr>
                  <w:i/>
                  <w:iCs/>
                  <w:noProof/>
                  <w:lang w:val="en-US"/>
                </w:rPr>
                <w:t>Journal of Technological Transfer</w:t>
              </w:r>
              <w:r>
                <w:rPr>
                  <w:noProof/>
                  <w:lang w:val="en-US"/>
                </w:rPr>
                <w:t>, 283-333.</w:t>
              </w:r>
            </w:p>
            <w:p w14:paraId="748D0368" w14:textId="77777777" w:rsidR="0058607C" w:rsidRDefault="0058607C" w:rsidP="0058607C">
              <w:pPr>
                <w:pStyle w:val="Bibliography"/>
                <w:ind w:left="720" w:hanging="720"/>
                <w:rPr>
                  <w:noProof/>
                  <w:lang w:val="en-US"/>
                </w:rPr>
              </w:pPr>
              <w:r>
                <w:rPr>
                  <w:noProof/>
                  <w:lang w:val="en-US"/>
                </w:rPr>
                <w:t xml:space="preserve">Thelen, K. (2004). </w:t>
              </w:r>
              <w:r>
                <w:rPr>
                  <w:i/>
                  <w:iCs/>
                  <w:noProof/>
                  <w:lang w:val="en-US"/>
                </w:rPr>
                <w:t>How Institutions Evolve: The Political Economy of Skills in Germany, Britain, the United States and Japan.</w:t>
              </w:r>
              <w:r>
                <w:rPr>
                  <w:noProof/>
                  <w:lang w:val="en-US"/>
                </w:rPr>
                <w:t xml:space="preserve"> Cambridge: Cambridge University Press.</w:t>
              </w:r>
            </w:p>
            <w:p w14:paraId="60C8B393" w14:textId="77777777" w:rsidR="0058607C" w:rsidRDefault="0058607C" w:rsidP="0058607C">
              <w:pPr>
                <w:pStyle w:val="Bibliography"/>
                <w:ind w:left="720" w:hanging="720"/>
                <w:rPr>
                  <w:noProof/>
                  <w:lang w:val="en-US"/>
                </w:rPr>
              </w:pPr>
              <w:r>
                <w:rPr>
                  <w:noProof/>
                  <w:lang w:val="en-US"/>
                </w:rPr>
                <w:t xml:space="preserve">Thirlwall, A. (1983). A plain man's guide to Kaldor's growth laws. </w:t>
              </w:r>
              <w:r>
                <w:rPr>
                  <w:i/>
                  <w:iCs/>
                  <w:noProof/>
                  <w:lang w:val="en-US"/>
                </w:rPr>
                <w:t>Journal of Post Keynesian Economics</w:t>
              </w:r>
              <w:r>
                <w:rPr>
                  <w:noProof/>
                  <w:lang w:val="en-US"/>
                </w:rPr>
                <w:t>, 345-358.</w:t>
              </w:r>
            </w:p>
            <w:p w14:paraId="0E9E05EB" w14:textId="77777777" w:rsidR="0058607C" w:rsidRDefault="0058607C" w:rsidP="0058607C">
              <w:pPr>
                <w:pStyle w:val="Bibliography"/>
                <w:ind w:left="720" w:hanging="720"/>
                <w:rPr>
                  <w:noProof/>
                  <w:lang w:val="en-US"/>
                </w:rPr>
              </w:pPr>
              <w:r>
                <w:rPr>
                  <w:noProof/>
                  <w:lang w:val="en-US"/>
                </w:rPr>
                <w:t xml:space="preserve">Traynor, I. (2013, April 22). EU near austerity limit, says Barroso. </w:t>
              </w:r>
              <w:r>
                <w:rPr>
                  <w:i/>
                  <w:iCs/>
                  <w:noProof/>
                  <w:lang w:val="en-US"/>
                </w:rPr>
                <w:t>The Guardian</w:t>
              </w:r>
              <w:r>
                <w:rPr>
                  <w:noProof/>
                  <w:lang w:val="en-US"/>
                </w:rPr>
                <w:t>.</w:t>
              </w:r>
            </w:p>
            <w:p w14:paraId="5F55B0FB" w14:textId="77777777" w:rsidR="0058607C" w:rsidRDefault="0058607C" w:rsidP="0058607C">
              <w:pPr>
                <w:pStyle w:val="Bibliography"/>
                <w:ind w:left="720" w:hanging="720"/>
                <w:rPr>
                  <w:noProof/>
                  <w:lang w:val="en-US"/>
                </w:rPr>
              </w:pPr>
              <w:r>
                <w:rPr>
                  <w:noProof/>
                  <w:lang w:val="en-US"/>
                </w:rPr>
                <w:t xml:space="preserve">UNHCR. (2019). </w:t>
              </w:r>
              <w:r>
                <w:rPr>
                  <w:i/>
                  <w:iCs/>
                  <w:noProof/>
                  <w:lang w:val="en-US"/>
                </w:rPr>
                <w:t>Global Trends, Forced displacement.</w:t>
              </w:r>
              <w:r>
                <w:rPr>
                  <w:noProof/>
                  <w:lang w:val="en-US"/>
                </w:rPr>
                <w:t xml:space="preserve"> New York: UN.</w:t>
              </w:r>
            </w:p>
            <w:p w14:paraId="75737841" w14:textId="77777777" w:rsidR="0058607C" w:rsidRDefault="0058607C" w:rsidP="0058607C">
              <w:pPr>
                <w:pStyle w:val="Bibliography"/>
                <w:ind w:left="720" w:hanging="720"/>
                <w:rPr>
                  <w:noProof/>
                  <w:lang w:val="en-US"/>
                </w:rPr>
              </w:pPr>
              <w:r>
                <w:rPr>
                  <w:noProof/>
                  <w:lang w:val="en-US"/>
                </w:rPr>
                <w:t xml:space="preserve">UNIDO. (2013). </w:t>
              </w:r>
              <w:r>
                <w:rPr>
                  <w:i/>
                  <w:iCs/>
                  <w:noProof/>
                  <w:lang w:val="en-US"/>
                </w:rPr>
                <w:t>Industrial Development Report 2013. Sustaining Employment Growth: The Role.</w:t>
              </w:r>
              <w:r>
                <w:rPr>
                  <w:noProof/>
                  <w:lang w:val="en-US"/>
                </w:rPr>
                <w:t xml:space="preserve"> Vienna: UNIDO.</w:t>
              </w:r>
            </w:p>
            <w:p w14:paraId="69D9451B" w14:textId="77777777" w:rsidR="0058607C" w:rsidRDefault="0058607C" w:rsidP="0058607C">
              <w:pPr>
                <w:pStyle w:val="Bibliography"/>
                <w:ind w:left="720" w:hanging="720"/>
                <w:rPr>
                  <w:noProof/>
                  <w:lang w:val="en-US"/>
                </w:rPr>
              </w:pPr>
              <w:r>
                <w:rPr>
                  <w:noProof/>
                  <w:lang w:val="en-US"/>
                </w:rPr>
                <w:t xml:space="preserve">Union, O. J. (2020). </w:t>
              </w:r>
              <w:r>
                <w:rPr>
                  <w:i/>
                  <w:iCs/>
                  <w:noProof/>
                  <w:lang w:val="en-US"/>
                </w:rPr>
                <w:t>(2020/C 224/02) .</w:t>
              </w:r>
              <w:r>
                <w:rPr>
                  <w:noProof/>
                  <w:lang w:val="en-US"/>
                </w:rPr>
                <w:t xml:space="preserve"> Brussels: European Commission.</w:t>
              </w:r>
            </w:p>
            <w:p w14:paraId="4F3D0170" w14:textId="77777777" w:rsidR="0058607C" w:rsidRDefault="0058607C" w:rsidP="0058607C">
              <w:pPr>
                <w:pStyle w:val="Bibliography"/>
                <w:ind w:left="720" w:hanging="720"/>
                <w:rPr>
                  <w:noProof/>
                  <w:lang w:val="en-US"/>
                </w:rPr>
              </w:pPr>
              <w:r>
                <w:rPr>
                  <w:noProof/>
                  <w:lang w:val="en-US"/>
                </w:rPr>
                <w:lastRenderedPageBreak/>
                <w:t xml:space="preserve">Ville, F., &amp; Orbie, J. (2014). The European Commission's Neoliberal Trade Discourse Since the Crisis: Legitimizing Continuity through Subtle Discursive Change. </w:t>
              </w:r>
              <w:r>
                <w:rPr>
                  <w:i/>
                  <w:iCs/>
                  <w:noProof/>
                  <w:lang w:val="en-US"/>
                </w:rPr>
                <w:t>The British Journal of Politics and International Relations</w:t>
              </w:r>
              <w:r>
                <w:rPr>
                  <w:noProof/>
                  <w:lang w:val="en-US"/>
                </w:rPr>
                <w:t>, 149-167.</w:t>
              </w:r>
            </w:p>
            <w:p w14:paraId="726CFD5A" w14:textId="77777777" w:rsidR="0058607C" w:rsidRDefault="0058607C" w:rsidP="0058607C">
              <w:pPr>
                <w:pStyle w:val="Bibliography"/>
                <w:ind w:left="720" w:hanging="720"/>
                <w:rPr>
                  <w:noProof/>
                  <w:lang w:val="en-US"/>
                </w:rPr>
              </w:pPr>
              <w:r>
                <w:rPr>
                  <w:noProof/>
                  <w:lang w:val="en-US"/>
                </w:rPr>
                <w:t xml:space="preserve">Wade, R. (2014). ‘Market versus State’ or ‘Market with State’: How to Impart Directional Thrust. </w:t>
              </w:r>
              <w:r>
                <w:rPr>
                  <w:i/>
                  <w:iCs/>
                  <w:noProof/>
                  <w:lang w:val="en-US"/>
                </w:rPr>
                <w:t>Development and Change</w:t>
              </w:r>
              <w:r>
                <w:rPr>
                  <w:noProof/>
                  <w:lang w:val="en-US"/>
                </w:rPr>
                <w:t>, 777-798.</w:t>
              </w:r>
            </w:p>
            <w:p w14:paraId="5A405377" w14:textId="77777777" w:rsidR="0058607C" w:rsidRDefault="0058607C" w:rsidP="0058607C">
              <w:pPr>
                <w:pStyle w:val="Bibliography"/>
                <w:ind w:left="720" w:hanging="720"/>
                <w:rPr>
                  <w:noProof/>
                  <w:lang w:val="en-US"/>
                </w:rPr>
              </w:pPr>
              <w:r>
                <w:rPr>
                  <w:noProof/>
                  <w:lang w:val="en-US"/>
                </w:rPr>
                <w:t xml:space="preserve">Warwick, K. (2013). Beyond Industrial Policy: Emerging Issues and New Trends. </w:t>
              </w:r>
              <w:r>
                <w:rPr>
                  <w:i/>
                  <w:iCs/>
                  <w:noProof/>
                  <w:lang w:val="en-US"/>
                </w:rPr>
                <w:t>OECD Science, Technology and Industry Policy Papers</w:t>
              </w:r>
              <w:r>
                <w:rPr>
                  <w:noProof/>
                  <w:lang w:val="en-US"/>
                </w:rPr>
                <w:t>, 1-57.</w:t>
              </w:r>
            </w:p>
            <w:p w14:paraId="70CEDA1D" w14:textId="77777777" w:rsidR="0058607C" w:rsidRDefault="0058607C" w:rsidP="0058607C">
              <w:pPr>
                <w:pStyle w:val="Bibliography"/>
                <w:ind w:left="720" w:hanging="720"/>
                <w:rPr>
                  <w:noProof/>
                  <w:lang w:val="en-US"/>
                </w:rPr>
              </w:pPr>
              <w:r>
                <w:rPr>
                  <w:noProof/>
                  <w:lang w:val="en-US"/>
                </w:rPr>
                <w:t xml:space="preserve">Weir, M. (1992). </w:t>
              </w:r>
              <w:r>
                <w:rPr>
                  <w:i/>
                  <w:iCs/>
                  <w:noProof/>
                  <w:lang w:val="en-US"/>
                </w:rPr>
                <w:t>Politics and Jobs: The Bounderies of Employment Policy in the United States.</w:t>
              </w:r>
              <w:r>
                <w:rPr>
                  <w:noProof/>
                  <w:lang w:val="en-US"/>
                </w:rPr>
                <w:t xml:space="preserve"> Princeton: Princeton University Press.</w:t>
              </w:r>
            </w:p>
            <w:p w14:paraId="4A927B3A" w14:textId="77777777" w:rsidR="0058607C" w:rsidRPr="0058607C" w:rsidRDefault="0058607C" w:rsidP="0058607C">
              <w:pPr>
                <w:pStyle w:val="Bibliography"/>
                <w:ind w:left="720" w:hanging="720"/>
                <w:rPr>
                  <w:noProof/>
                </w:rPr>
              </w:pPr>
              <w:r>
                <w:rPr>
                  <w:noProof/>
                  <w:lang w:val="en-US"/>
                </w:rPr>
                <w:t xml:space="preserve">Wiebes, E., &amp; Vijlbrief, H. (2020). </w:t>
              </w:r>
              <w:r>
                <w:rPr>
                  <w:i/>
                  <w:iCs/>
                  <w:noProof/>
                  <w:lang w:val="en-US"/>
                </w:rPr>
                <w:t>Betreft IHC.</w:t>
              </w:r>
              <w:r>
                <w:rPr>
                  <w:noProof/>
                  <w:lang w:val="en-US"/>
                </w:rPr>
                <w:t xml:space="preserve"> </w:t>
              </w:r>
              <w:r w:rsidRPr="0058607C">
                <w:rPr>
                  <w:noProof/>
                </w:rPr>
                <w:t>Den Haag: Ministerie van Economische Zaken en Klimaat.</w:t>
              </w:r>
            </w:p>
            <w:p w14:paraId="708E411A" w14:textId="77777777" w:rsidR="0058607C" w:rsidRDefault="0058607C" w:rsidP="0058607C">
              <w:pPr>
                <w:pStyle w:val="Bibliography"/>
                <w:ind w:left="720" w:hanging="720"/>
                <w:rPr>
                  <w:noProof/>
                  <w:lang w:val="en-US"/>
                </w:rPr>
              </w:pPr>
              <w:r>
                <w:rPr>
                  <w:noProof/>
                  <w:lang w:val="en-US"/>
                </w:rPr>
                <w:t xml:space="preserve">Wigger, A., &amp; Buch-Hansen, H. (2014). Explaining (Missing) Regulatory Paradigm Shifts: EU Competition Regulation in Times of Economic Crisis. </w:t>
              </w:r>
              <w:r>
                <w:rPr>
                  <w:i/>
                  <w:iCs/>
                  <w:noProof/>
                  <w:lang w:val="en-US"/>
                </w:rPr>
                <w:t>New Political Economy</w:t>
              </w:r>
              <w:r>
                <w:rPr>
                  <w:noProof/>
                  <w:lang w:val="en-US"/>
                </w:rPr>
                <w:t>, 113-137.</w:t>
              </w:r>
            </w:p>
            <w:p w14:paraId="1C6464E7" w14:textId="77777777" w:rsidR="0058607C" w:rsidRDefault="0058607C" w:rsidP="0058607C">
              <w:pPr>
                <w:pStyle w:val="Bibliography"/>
                <w:ind w:left="720" w:hanging="720"/>
                <w:rPr>
                  <w:noProof/>
                  <w:lang w:val="en-US"/>
                </w:rPr>
              </w:pPr>
              <w:r>
                <w:rPr>
                  <w:noProof/>
                  <w:lang w:val="en-US"/>
                </w:rPr>
                <w:t xml:space="preserve">Wintour, P. (2020, May 25). Dawn of Asian century puts pressure on EU to choose sides, says top diplomat. </w:t>
              </w:r>
              <w:r>
                <w:rPr>
                  <w:i/>
                  <w:iCs/>
                  <w:noProof/>
                  <w:lang w:val="en-US"/>
                </w:rPr>
                <w:t>The Guardian</w:t>
              </w:r>
              <w:r>
                <w:rPr>
                  <w:noProof/>
                  <w:lang w:val="en-US"/>
                </w:rPr>
                <w:t>.</w:t>
              </w:r>
            </w:p>
            <w:p w14:paraId="17C35802" w14:textId="276D738C" w:rsidR="00F40E8B" w:rsidRDefault="00F40E8B" w:rsidP="0058607C">
              <w:pPr>
                <w:spacing w:line="360" w:lineRule="auto"/>
              </w:pPr>
              <w:r>
                <w:rPr>
                  <w:b/>
                  <w:bCs/>
                  <w:noProof/>
                </w:rPr>
                <w:fldChar w:fldCharType="end"/>
              </w:r>
            </w:p>
          </w:sdtContent>
        </w:sdt>
      </w:sdtContent>
    </w:sdt>
    <w:p w14:paraId="34450B60" w14:textId="77777777" w:rsidR="00002FC7" w:rsidRDefault="00002FC7" w:rsidP="00C71FE6">
      <w:pPr>
        <w:spacing w:line="360" w:lineRule="auto"/>
        <w:rPr>
          <w:i/>
          <w:lang w:val="en-GB"/>
        </w:rPr>
        <w:sectPr w:rsidR="00002FC7">
          <w:headerReference w:type="default" r:id="rId16"/>
          <w:pgSz w:w="11906" w:h="16838"/>
          <w:pgMar w:top="1417" w:right="1417" w:bottom="1417" w:left="1417" w:header="708" w:footer="708" w:gutter="0"/>
          <w:cols w:space="708"/>
          <w:docGrid w:linePitch="360"/>
        </w:sectPr>
      </w:pPr>
    </w:p>
    <w:p w14:paraId="7F44943D" w14:textId="77777777" w:rsidR="00002FC7" w:rsidRDefault="00002FC7" w:rsidP="00C71FE6">
      <w:pPr>
        <w:spacing w:line="360" w:lineRule="auto"/>
        <w:rPr>
          <w:i/>
          <w:lang w:val="en-GB"/>
        </w:rPr>
      </w:pPr>
      <w:r w:rsidRPr="009C48B1">
        <w:rPr>
          <w:i/>
          <w:lang w:val="en-GB"/>
        </w:rPr>
        <w:lastRenderedPageBreak/>
        <w:t>Figure 1. Visual Representation Causal Mechanism</w:t>
      </w:r>
    </w:p>
    <w:tbl>
      <w:tblPr>
        <w:tblStyle w:val="TableGrid"/>
        <w:tblpPr w:leftFromText="141" w:rightFromText="141" w:vertAnchor="page" w:horzAnchor="margin" w:tblpY="2192"/>
        <w:tblW w:w="0" w:type="auto"/>
        <w:tblLook w:val="04A0" w:firstRow="1" w:lastRow="0" w:firstColumn="1" w:lastColumn="0" w:noHBand="0" w:noVBand="1"/>
      </w:tblPr>
      <w:tblGrid>
        <w:gridCol w:w="1175"/>
        <w:gridCol w:w="1489"/>
        <w:gridCol w:w="1489"/>
        <w:gridCol w:w="1489"/>
        <w:gridCol w:w="1489"/>
        <w:gridCol w:w="854"/>
      </w:tblGrid>
      <w:tr w:rsidR="00002FC7" w14:paraId="0E3D8E98" w14:textId="77777777" w:rsidTr="00002FC7">
        <w:trPr>
          <w:trHeight w:val="984"/>
        </w:trPr>
        <w:tc>
          <w:tcPr>
            <w:tcW w:w="1175" w:type="dxa"/>
            <w:vMerge w:val="restart"/>
          </w:tcPr>
          <w:p w14:paraId="17ABB146" w14:textId="77777777" w:rsidR="00002FC7" w:rsidRDefault="00002FC7" w:rsidP="00C71FE6">
            <w:pPr>
              <w:spacing w:line="360" w:lineRule="auto"/>
              <w:rPr>
                <w:lang w:val="en-GB"/>
              </w:rPr>
            </w:pPr>
          </w:p>
          <w:p w14:paraId="30BC9476" w14:textId="77777777" w:rsidR="00002FC7" w:rsidRDefault="00002FC7" w:rsidP="00C71FE6">
            <w:pPr>
              <w:spacing w:line="360" w:lineRule="auto"/>
              <w:rPr>
                <w:lang w:val="en-GB"/>
              </w:rPr>
            </w:pPr>
          </w:p>
          <w:p w14:paraId="4D983807" w14:textId="77777777" w:rsidR="00002FC7" w:rsidRDefault="00002FC7" w:rsidP="00C71FE6">
            <w:pPr>
              <w:spacing w:line="360" w:lineRule="auto"/>
              <w:rPr>
                <w:lang w:val="en-GB"/>
              </w:rPr>
            </w:pPr>
          </w:p>
          <w:p w14:paraId="63AA311E" w14:textId="77777777" w:rsidR="00002FC7" w:rsidRDefault="00002FC7" w:rsidP="00C71FE6">
            <w:pPr>
              <w:spacing w:line="360" w:lineRule="auto"/>
              <w:rPr>
                <w:lang w:val="en-GB"/>
              </w:rPr>
            </w:pPr>
            <w:r>
              <w:rPr>
                <w:lang w:val="en-GB"/>
              </w:rPr>
              <w:t>X</w:t>
            </w:r>
          </w:p>
          <w:p w14:paraId="132B3E2B" w14:textId="77777777" w:rsidR="00002FC7" w:rsidRPr="0046602E" w:rsidRDefault="00002FC7" w:rsidP="00C71FE6">
            <w:pPr>
              <w:spacing w:line="360" w:lineRule="auto"/>
              <w:rPr>
                <w:i/>
                <w:lang w:val="en-GB"/>
              </w:rPr>
            </w:pPr>
          </w:p>
        </w:tc>
        <w:tc>
          <w:tcPr>
            <w:tcW w:w="1489" w:type="dxa"/>
          </w:tcPr>
          <w:p w14:paraId="7CFCAB2B" w14:textId="77777777" w:rsidR="00002FC7" w:rsidRDefault="00002FC7" w:rsidP="00C71FE6">
            <w:pPr>
              <w:spacing w:line="360" w:lineRule="auto"/>
              <w:rPr>
                <w:lang w:val="en-GB"/>
              </w:rPr>
            </w:pPr>
            <w:r>
              <w:rPr>
                <w:lang w:val="en-GB"/>
              </w:rPr>
              <w:t>Entity 1</w:t>
            </w:r>
          </w:p>
          <w:p w14:paraId="043F8FA1" w14:textId="77777777" w:rsidR="00002FC7" w:rsidRDefault="00002FC7" w:rsidP="00C71FE6">
            <w:pPr>
              <w:spacing w:line="360" w:lineRule="auto"/>
              <w:rPr>
                <w:lang w:val="en-GB"/>
              </w:rPr>
            </w:pPr>
          </w:p>
          <w:p w14:paraId="1575C279" w14:textId="77777777" w:rsidR="00002FC7" w:rsidRPr="001A7754" w:rsidRDefault="00002FC7" w:rsidP="00C71FE6">
            <w:pPr>
              <w:spacing w:line="360" w:lineRule="auto"/>
              <w:rPr>
                <w:lang w:val="en-GB"/>
              </w:rPr>
            </w:pPr>
            <w:r w:rsidRPr="001A7754">
              <w:rPr>
                <w:lang w:val="en-GB"/>
              </w:rPr>
              <w:t>1)</w:t>
            </w:r>
            <w:r>
              <w:rPr>
                <w:lang w:val="en-GB"/>
              </w:rPr>
              <w:t xml:space="preserve"> Gaps</w:t>
            </w:r>
          </w:p>
        </w:tc>
        <w:tc>
          <w:tcPr>
            <w:tcW w:w="1489" w:type="dxa"/>
          </w:tcPr>
          <w:p w14:paraId="61B24B29" w14:textId="77777777" w:rsidR="00002FC7" w:rsidRDefault="00002FC7" w:rsidP="00C71FE6">
            <w:pPr>
              <w:spacing w:line="360" w:lineRule="auto"/>
              <w:rPr>
                <w:lang w:val="en-GB"/>
              </w:rPr>
            </w:pPr>
            <w:r>
              <w:rPr>
                <w:lang w:val="en-GB"/>
              </w:rPr>
              <w:t>Entity 2</w:t>
            </w:r>
          </w:p>
          <w:p w14:paraId="0FFA4E5F" w14:textId="77777777" w:rsidR="00002FC7" w:rsidRDefault="00002FC7" w:rsidP="00C71FE6">
            <w:pPr>
              <w:spacing w:line="360" w:lineRule="auto"/>
              <w:rPr>
                <w:lang w:val="en-GB"/>
              </w:rPr>
            </w:pPr>
          </w:p>
          <w:p w14:paraId="109D4A43" w14:textId="77777777" w:rsidR="00002FC7" w:rsidRDefault="00002FC7" w:rsidP="00C71FE6">
            <w:pPr>
              <w:spacing w:line="360" w:lineRule="auto"/>
              <w:rPr>
                <w:lang w:val="en-GB"/>
              </w:rPr>
            </w:pPr>
            <w:r>
              <w:rPr>
                <w:lang w:val="en-GB"/>
              </w:rPr>
              <w:t>2) Power-Play</w:t>
            </w:r>
          </w:p>
        </w:tc>
        <w:tc>
          <w:tcPr>
            <w:tcW w:w="1489" w:type="dxa"/>
          </w:tcPr>
          <w:p w14:paraId="7D36A535" w14:textId="77777777" w:rsidR="00002FC7" w:rsidRDefault="00002FC7" w:rsidP="00C71FE6">
            <w:pPr>
              <w:spacing w:line="360" w:lineRule="auto"/>
              <w:rPr>
                <w:lang w:val="en-GB"/>
              </w:rPr>
            </w:pPr>
            <w:r>
              <w:rPr>
                <w:lang w:val="en-GB"/>
              </w:rPr>
              <w:t>Entity 1</w:t>
            </w:r>
          </w:p>
          <w:p w14:paraId="346CDD4A" w14:textId="77777777" w:rsidR="00002FC7" w:rsidRDefault="00002FC7" w:rsidP="00C71FE6">
            <w:pPr>
              <w:spacing w:line="360" w:lineRule="auto"/>
              <w:rPr>
                <w:lang w:val="en-GB"/>
              </w:rPr>
            </w:pPr>
          </w:p>
          <w:p w14:paraId="4F721D40" w14:textId="77777777" w:rsidR="00002FC7" w:rsidRDefault="00002FC7" w:rsidP="00C71FE6">
            <w:pPr>
              <w:spacing w:line="360" w:lineRule="auto"/>
              <w:rPr>
                <w:lang w:val="en-GB"/>
              </w:rPr>
            </w:pPr>
            <w:r>
              <w:rPr>
                <w:lang w:val="en-GB"/>
              </w:rPr>
              <w:t>3) Shifts Beyond Industry</w:t>
            </w:r>
          </w:p>
        </w:tc>
        <w:tc>
          <w:tcPr>
            <w:tcW w:w="1489" w:type="dxa"/>
          </w:tcPr>
          <w:p w14:paraId="67D8F105" w14:textId="77777777" w:rsidR="00002FC7" w:rsidRDefault="00002FC7" w:rsidP="00C71FE6">
            <w:pPr>
              <w:spacing w:line="360" w:lineRule="auto"/>
              <w:rPr>
                <w:lang w:val="en-GB"/>
              </w:rPr>
            </w:pPr>
            <w:r>
              <w:rPr>
                <w:lang w:val="en-GB"/>
              </w:rPr>
              <w:t>Entity 3</w:t>
            </w:r>
          </w:p>
          <w:p w14:paraId="08A345AE" w14:textId="77777777" w:rsidR="00002FC7" w:rsidRDefault="00002FC7" w:rsidP="00C71FE6">
            <w:pPr>
              <w:spacing w:line="360" w:lineRule="auto"/>
              <w:rPr>
                <w:lang w:val="en-GB"/>
              </w:rPr>
            </w:pPr>
          </w:p>
          <w:p w14:paraId="7AB4D729" w14:textId="77777777" w:rsidR="00002FC7" w:rsidRDefault="00002FC7" w:rsidP="00C71FE6">
            <w:pPr>
              <w:spacing w:line="360" w:lineRule="auto"/>
              <w:rPr>
                <w:lang w:val="en-GB"/>
              </w:rPr>
            </w:pPr>
            <w:r>
              <w:rPr>
                <w:lang w:val="en-GB"/>
              </w:rPr>
              <w:t>4) Public Support</w:t>
            </w:r>
          </w:p>
        </w:tc>
        <w:tc>
          <w:tcPr>
            <w:tcW w:w="854" w:type="dxa"/>
            <w:vMerge w:val="restart"/>
          </w:tcPr>
          <w:p w14:paraId="06AF2D85" w14:textId="77777777" w:rsidR="00002FC7" w:rsidRDefault="00002FC7" w:rsidP="00C71FE6">
            <w:pPr>
              <w:spacing w:line="360" w:lineRule="auto"/>
              <w:rPr>
                <w:lang w:val="en-GB"/>
              </w:rPr>
            </w:pPr>
          </w:p>
          <w:p w14:paraId="0971F0E8" w14:textId="77777777" w:rsidR="00002FC7" w:rsidRDefault="00002FC7" w:rsidP="00C71FE6">
            <w:pPr>
              <w:spacing w:line="360" w:lineRule="auto"/>
              <w:rPr>
                <w:lang w:val="en-GB"/>
              </w:rPr>
            </w:pPr>
          </w:p>
          <w:p w14:paraId="7333A07C" w14:textId="77777777" w:rsidR="00002FC7" w:rsidRDefault="00002FC7" w:rsidP="00C71FE6">
            <w:pPr>
              <w:spacing w:line="360" w:lineRule="auto"/>
              <w:rPr>
                <w:lang w:val="en-GB"/>
              </w:rPr>
            </w:pPr>
          </w:p>
          <w:p w14:paraId="1EA0BBB2" w14:textId="77777777" w:rsidR="00002FC7" w:rsidRDefault="00002FC7" w:rsidP="00C71FE6">
            <w:pPr>
              <w:spacing w:line="360" w:lineRule="auto"/>
              <w:rPr>
                <w:lang w:val="en-GB"/>
              </w:rPr>
            </w:pPr>
            <w:r>
              <w:rPr>
                <w:lang w:val="en-GB"/>
              </w:rPr>
              <w:t>Y</w:t>
            </w:r>
          </w:p>
          <w:p w14:paraId="174D5EE1" w14:textId="77777777" w:rsidR="00002FC7" w:rsidRPr="0046602E" w:rsidRDefault="00002FC7" w:rsidP="00C71FE6">
            <w:pPr>
              <w:spacing w:line="360" w:lineRule="auto"/>
              <w:rPr>
                <w:i/>
                <w:lang w:val="en-GB"/>
              </w:rPr>
            </w:pPr>
          </w:p>
        </w:tc>
      </w:tr>
      <w:tr w:rsidR="00002FC7" w14:paraId="2C286B9C" w14:textId="77777777" w:rsidTr="00002FC7">
        <w:trPr>
          <w:trHeight w:val="175"/>
        </w:trPr>
        <w:tc>
          <w:tcPr>
            <w:tcW w:w="1175" w:type="dxa"/>
            <w:vMerge/>
          </w:tcPr>
          <w:p w14:paraId="6A94212D" w14:textId="77777777" w:rsidR="00002FC7" w:rsidRDefault="00002FC7" w:rsidP="00C71FE6">
            <w:pPr>
              <w:spacing w:before="240" w:line="360" w:lineRule="auto"/>
              <w:rPr>
                <w:lang w:val="en-GB"/>
              </w:rPr>
            </w:pPr>
          </w:p>
        </w:tc>
        <w:tc>
          <w:tcPr>
            <w:tcW w:w="1489" w:type="dxa"/>
          </w:tcPr>
          <w:p w14:paraId="4FC9B1E2" w14:textId="77777777" w:rsidR="00002FC7" w:rsidRDefault="00002FC7" w:rsidP="00C71FE6">
            <w:pPr>
              <w:spacing w:before="240" w:line="360" w:lineRule="auto"/>
              <w:rPr>
                <w:lang w:val="en-GB"/>
              </w:rPr>
            </w:pPr>
            <w:r>
              <w:rPr>
                <w:lang w:val="en-GB"/>
              </w:rPr>
              <w:t>Empirical Manifestation</w:t>
            </w:r>
          </w:p>
        </w:tc>
        <w:tc>
          <w:tcPr>
            <w:tcW w:w="1489" w:type="dxa"/>
          </w:tcPr>
          <w:p w14:paraId="07BA1295" w14:textId="77777777" w:rsidR="00002FC7" w:rsidRDefault="00002FC7" w:rsidP="00C71FE6">
            <w:pPr>
              <w:spacing w:before="240" w:line="360" w:lineRule="auto"/>
              <w:rPr>
                <w:lang w:val="en-GB"/>
              </w:rPr>
            </w:pPr>
            <w:r>
              <w:rPr>
                <w:lang w:val="en-GB"/>
              </w:rPr>
              <w:t>Empirical Manifestation</w:t>
            </w:r>
          </w:p>
        </w:tc>
        <w:tc>
          <w:tcPr>
            <w:tcW w:w="1489" w:type="dxa"/>
          </w:tcPr>
          <w:p w14:paraId="08678BB0" w14:textId="77777777" w:rsidR="00002FC7" w:rsidRDefault="00002FC7" w:rsidP="00C71FE6">
            <w:pPr>
              <w:spacing w:before="240" w:line="360" w:lineRule="auto"/>
              <w:rPr>
                <w:lang w:val="en-GB"/>
              </w:rPr>
            </w:pPr>
            <w:r>
              <w:rPr>
                <w:lang w:val="en-GB"/>
              </w:rPr>
              <w:t>Empirical Manifestation</w:t>
            </w:r>
          </w:p>
        </w:tc>
        <w:tc>
          <w:tcPr>
            <w:tcW w:w="1489" w:type="dxa"/>
          </w:tcPr>
          <w:p w14:paraId="0766A333" w14:textId="77777777" w:rsidR="00002FC7" w:rsidRDefault="00002FC7" w:rsidP="00C71FE6">
            <w:pPr>
              <w:spacing w:before="240" w:line="360" w:lineRule="auto"/>
              <w:rPr>
                <w:lang w:val="en-GB"/>
              </w:rPr>
            </w:pPr>
            <w:r>
              <w:rPr>
                <w:lang w:val="en-GB"/>
              </w:rPr>
              <w:t>Empirical Manifestation</w:t>
            </w:r>
          </w:p>
        </w:tc>
        <w:tc>
          <w:tcPr>
            <w:tcW w:w="854" w:type="dxa"/>
            <w:vMerge/>
          </w:tcPr>
          <w:p w14:paraId="078FA137" w14:textId="77777777" w:rsidR="00002FC7" w:rsidRDefault="00002FC7" w:rsidP="00C71FE6">
            <w:pPr>
              <w:spacing w:before="240" w:line="360" w:lineRule="auto"/>
              <w:rPr>
                <w:lang w:val="en-GB"/>
              </w:rPr>
            </w:pPr>
          </w:p>
        </w:tc>
      </w:tr>
    </w:tbl>
    <w:p w14:paraId="35D9C5F1" w14:textId="6AC2206F" w:rsidR="00BE204B" w:rsidRDefault="00BE204B" w:rsidP="00C71FE6">
      <w:pPr>
        <w:spacing w:line="360" w:lineRule="auto"/>
        <w:rPr>
          <w:i/>
          <w:lang w:val="en-GB"/>
        </w:rPr>
      </w:pPr>
    </w:p>
    <w:sectPr w:rsidR="00BE204B">
      <w:head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2D3BAC" w14:textId="77777777" w:rsidR="008105F8" w:rsidRDefault="008105F8" w:rsidP="00637A84">
      <w:pPr>
        <w:spacing w:after="0" w:line="240" w:lineRule="auto"/>
      </w:pPr>
      <w:r>
        <w:separator/>
      </w:r>
    </w:p>
  </w:endnote>
  <w:endnote w:type="continuationSeparator" w:id="0">
    <w:p w14:paraId="7B49C595" w14:textId="77777777" w:rsidR="008105F8" w:rsidRDefault="008105F8" w:rsidP="00637A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22729018"/>
      <w:docPartObj>
        <w:docPartGallery w:val="Page Numbers (Bottom of Page)"/>
        <w:docPartUnique/>
      </w:docPartObj>
    </w:sdtPr>
    <w:sdtEndPr>
      <w:rPr>
        <w:noProof/>
      </w:rPr>
    </w:sdtEndPr>
    <w:sdtContent>
      <w:p w14:paraId="54E30BFE" w14:textId="05F0EC3D" w:rsidR="00671B80" w:rsidRDefault="00671B80">
        <w:pPr>
          <w:pStyle w:val="Footer"/>
          <w:jc w:val="right"/>
        </w:pPr>
        <w:r>
          <w:fldChar w:fldCharType="begin"/>
        </w:r>
        <w:r>
          <w:instrText xml:space="preserve"> PAGE   \* MERGEFORMAT </w:instrText>
        </w:r>
        <w:r>
          <w:fldChar w:fldCharType="separate"/>
        </w:r>
        <w:r w:rsidR="002D3401">
          <w:rPr>
            <w:noProof/>
          </w:rPr>
          <w:t>1</w:t>
        </w:r>
        <w:r>
          <w:rPr>
            <w:noProof/>
          </w:rPr>
          <w:fldChar w:fldCharType="end"/>
        </w:r>
      </w:p>
    </w:sdtContent>
  </w:sdt>
  <w:p w14:paraId="3D7B74B2" w14:textId="77777777" w:rsidR="00671B80" w:rsidRDefault="00671B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16FBFC" w14:textId="77777777" w:rsidR="008105F8" w:rsidRDefault="008105F8" w:rsidP="00637A84">
      <w:pPr>
        <w:spacing w:after="0" w:line="240" w:lineRule="auto"/>
      </w:pPr>
      <w:r>
        <w:separator/>
      </w:r>
    </w:p>
  </w:footnote>
  <w:footnote w:type="continuationSeparator" w:id="0">
    <w:p w14:paraId="7A2A2609" w14:textId="77777777" w:rsidR="008105F8" w:rsidRDefault="008105F8" w:rsidP="00637A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AAAFFB" w14:textId="77777777" w:rsidR="002D3401" w:rsidRDefault="002D3401" w:rsidP="00917CFD">
    <w:pPr>
      <w:pStyle w:val="Header"/>
      <w:jc w:val="center"/>
    </w:pPr>
    <w:r>
      <w:t>Introduction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30F9F1" w14:textId="0A478149" w:rsidR="0033479E" w:rsidRDefault="0033479E" w:rsidP="00637A84">
    <w:pPr>
      <w:pStyle w:val="Header"/>
      <w:jc w:val="center"/>
    </w:pPr>
    <w:r>
      <w:t>Theoretical Framework</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753796" w14:textId="15C48636" w:rsidR="0033479E" w:rsidRDefault="0033479E" w:rsidP="00637A84">
    <w:pPr>
      <w:pStyle w:val="Header"/>
      <w:jc w:val="center"/>
    </w:pPr>
    <w:r>
      <w:t>Conceptualisation</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F96568" w14:textId="64D0C200" w:rsidR="0033479E" w:rsidRDefault="0033479E" w:rsidP="00637A84">
    <w:pPr>
      <w:pStyle w:val="Header"/>
      <w:jc w:val="center"/>
    </w:pPr>
    <w:r>
      <w:t>Methodology</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4E9000" w14:textId="27B6FD34" w:rsidR="0033479E" w:rsidRDefault="0033479E" w:rsidP="00637A84">
    <w:pPr>
      <w:pStyle w:val="Header"/>
      <w:jc w:val="center"/>
    </w:pPr>
    <w:r>
      <w:t>Emperical Research</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EC388B" w14:textId="163E3EAB" w:rsidR="0033479E" w:rsidRDefault="0033479E" w:rsidP="00637A84">
    <w:pPr>
      <w:pStyle w:val="Header"/>
      <w:jc w:val="center"/>
    </w:pPr>
    <w:r>
      <w:t>Conclusion</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E2C337" w14:textId="6DCAE573" w:rsidR="0033479E" w:rsidRDefault="0033479E" w:rsidP="00637A84">
    <w:pPr>
      <w:pStyle w:val="Header"/>
      <w:jc w:val="center"/>
    </w:pPr>
    <w:r>
      <w:t>Bibliography</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8BD557" w14:textId="3C21F7D9" w:rsidR="0033479E" w:rsidRDefault="0033479E" w:rsidP="00637A84">
    <w:pPr>
      <w:pStyle w:val="Header"/>
      <w:jc w:val="center"/>
    </w:pPr>
    <w:r>
      <w:t>Appendix - Figures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151ED0"/>
    <w:multiLevelType w:val="hybridMultilevel"/>
    <w:tmpl w:val="CE2E6B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16BF5F3F"/>
    <w:multiLevelType w:val="hybridMultilevel"/>
    <w:tmpl w:val="88E645E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A1721B4"/>
    <w:multiLevelType w:val="hybridMultilevel"/>
    <w:tmpl w:val="41326B4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401F22F6"/>
    <w:multiLevelType w:val="hybridMultilevel"/>
    <w:tmpl w:val="CE2E6B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407476A2"/>
    <w:multiLevelType w:val="hybridMultilevel"/>
    <w:tmpl w:val="CE2E6B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47526674"/>
    <w:multiLevelType w:val="hybridMultilevel"/>
    <w:tmpl w:val="A54CC01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73097380"/>
    <w:multiLevelType w:val="hybridMultilevel"/>
    <w:tmpl w:val="9CCA7DF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4"/>
  </w:num>
  <w:num w:numId="5">
    <w:abstractNumId w:val="2"/>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D83"/>
    <w:rsid w:val="00001929"/>
    <w:rsid w:val="00002FC7"/>
    <w:rsid w:val="0000317F"/>
    <w:rsid w:val="000043BC"/>
    <w:rsid w:val="00011D61"/>
    <w:rsid w:val="00014401"/>
    <w:rsid w:val="00025E88"/>
    <w:rsid w:val="00034638"/>
    <w:rsid w:val="00054A3B"/>
    <w:rsid w:val="00061FA2"/>
    <w:rsid w:val="00085A0E"/>
    <w:rsid w:val="000954D2"/>
    <w:rsid w:val="000955B8"/>
    <w:rsid w:val="000A3A36"/>
    <w:rsid w:val="000A3A9B"/>
    <w:rsid w:val="000A6C14"/>
    <w:rsid w:val="000B29D4"/>
    <w:rsid w:val="000B2DC7"/>
    <w:rsid w:val="000C14C4"/>
    <w:rsid w:val="000C236B"/>
    <w:rsid w:val="000C4D41"/>
    <w:rsid w:val="000C5180"/>
    <w:rsid w:val="000E3D8F"/>
    <w:rsid w:val="000F29BA"/>
    <w:rsid w:val="000F43E1"/>
    <w:rsid w:val="000F5052"/>
    <w:rsid w:val="00117640"/>
    <w:rsid w:val="00121CF8"/>
    <w:rsid w:val="00123B00"/>
    <w:rsid w:val="00123CD3"/>
    <w:rsid w:val="00132649"/>
    <w:rsid w:val="00133AF0"/>
    <w:rsid w:val="0014335E"/>
    <w:rsid w:val="00175EBC"/>
    <w:rsid w:val="00190016"/>
    <w:rsid w:val="00195604"/>
    <w:rsid w:val="001A3573"/>
    <w:rsid w:val="001B2E71"/>
    <w:rsid w:val="001B5F68"/>
    <w:rsid w:val="001C2F3A"/>
    <w:rsid w:val="001C58DF"/>
    <w:rsid w:val="001D07A0"/>
    <w:rsid w:val="001F1079"/>
    <w:rsid w:val="001F2915"/>
    <w:rsid w:val="001F6B86"/>
    <w:rsid w:val="00203B4A"/>
    <w:rsid w:val="00210302"/>
    <w:rsid w:val="00212541"/>
    <w:rsid w:val="00213487"/>
    <w:rsid w:val="00215CC2"/>
    <w:rsid w:val="0021799F"/>
    <w:rsid w:val="00221453"/>
    <w:rsid w:val="00227A56"/>
    <w:rsid w:val="00232751"/>
    <w:rsid w:val="00237C82"/>
    <w:rsid w:val="0024537A"/>
    <w:rsid w:val="00253835"/>
    <w:rsid w:val="002573C1"/>
    <w:rsid w:val="00260EF1"/>
    <w:rsid w:val="002673AF"/>
    <w:rsid w:val="00270DE4"/>
    <w:rsid w:val="00270F8B"/>
    <w:rsid w:val="0027135E"/>
    <w:rsid w:val="002726E9"/>
    <w:rsid w:val="002827DF"/>
    <w:rsid w:val="002973B1"/>
    <w:rsid w:val="002C1854"/>
    <w:rsid w:val="002D3401"/>
    <w:rsid w:val="002D4255"/>
    <w:rsid w:val="002E1437"/>
    <w:rsid w:val="002E3C51"/>
    <w:rsid w:val="002E47CF"/>
    <w:rsid w:val="002E6414"/>
    <w:rsid w:val="002E6699"/>
    <w:rsid w:val="002F1664"/>
    <w:rsid w:val="002F2BAE"/>
    <w:rsid w:val="002F787D"/>
    <w:rsid w:val="00304D62"/>
    <w:rsid w:val="00313FE3"/>
    <w:rsid w:val="00317F06"/>
    <w:rsid w:val="0033479E"/>
    <w:rsid w:val="0034448C"/>
    <w:rsid w:val="00361245"/>
    <w:rsid w:val="00374510"/>
    <w:rsid w:val="00375353"/>
    <w:rsid w:val="00376F4F"/>
    <w:rsid w:val="00385B79"/>
    <w:rsid w:val="003927FA"/>
    <w:rsid w:val="003A2274"/>
    <w:rsid w:val="003A5DC3"/>
    <w:rsid w:val="003B5116"/>
    <w:rsid w:val="003B59E1"/>
    <w:rsid w:val="003C4DE4"/>
    <w:rsid w:val="003D175D"/>
    <w:rsid w:val="003D483C"/>
    <w:rsid w:val="003D634D"/>
    <w:rsid w:val="003F7671"/>
    <w:rsid w:val="004066D3"/>
    <w:rsid w:val="00417D48"/>
    <w:rsid w:val="00425352"/>
    <w:rsid w:val="004319D0"/>
    <w:rsid w:val="00432F3A"/>
    <w:rsid w:val="00436D54"/>
    <w:rsid w:val="00442197"/>
    <w:rsid w:val="00444A1C"/>
    <w:rsid w:val="00470221"/>
    <w:rsid w:val="00484091"/>
    <w:rsid w:val="00485F20"/>
    <w:rsid w:val="00494DBD"/>
    <w:rsid w:val="004A1AEE"/>
    <w:rsid w:val="004B68A1"/>
    <w:rsid w:val="004B6A68"/>
    <w:rsid w:val="004D15AA"/>
    <w:rsid w:val="004E2D8E"/>
    <w:rsid w:val="004E449A"/>
    <w:rsid w:val="004E6305"/>
    <w:rsid w:val="004E6AFC"/>
    <w:rsid w:val="0050063E"/>
    <w:rsid w:val="00502D87"/>
    <w:rsid w:val="00503502"/>
    <w:rsid w:val="0051330C"/>
    <w:rsid w:val="005342CE"/>
    <w:rsid w:val="0054650F"/>
    <w:rsid w:val="00564456"/>
    <w:rsid w:val="00570076"/>
    <w:rsid w:val="005775E7"/>
    <w:rsid w:val="0058607C"/>
    <w:rsid w:val="005872E3"/>
    <w:rsid w:val="005918ED"/>
    <w:rsid w:val="005A52DF"/>
    <w:rsid w:val="005B1743"/>
    <w:rsid w:val="005B7AF7"/>
    <w:rsid w:val="005C381F"/>
    <w:rsid w:val="005C5BA5"/>
    <w:rsid w:val="005D41D8"/>
    <w:rsid w:val="005D7FF0"/>
    <w:rsid w:val="005E13CB"/>
    <w:rsid w:val="005F301D"/>
    <w:rsid w:val="005F448C"/>
    <w:rsid w:val="006038DC"/>
    <w:rsid w:val="00607C94"/>
    <w:rsid w:val="00616AD2"/>
    <w:rsid w:val="00634A97"/>
    <w:rsid w:val="00636256"/>
    <w:rsid w:val="00637A84"/>
    <w:rsid w:val="00641B07"/>
    <w:rsid w:val="00661566"/>
    <w:rsid w:val="00663B36"/>
    <w:rsid w:val="00671B80"/>
    <w:rsid w:val="00673487"/>
    <w:rsid w:val="00682AC6"/>
    <w:rsid w:val="0068500B"/>
    <w:rsid w:val="006B2660"/>
    <w:rsid w:val="006E7F2A"/>
    <w:rsid w:val="00701566"/>
    <w:rsid w:val="00702A67"/>
    <w:rsid w:val="00703204"/>
    <w:rsid w:val="0071072C"/>
    <w:rsid w:val="0071338B"/>
    <w:rsid w:val="00726F10"/>
    <w:rsid w:val="00733E62"/>
    <w:rsid w:val="00757C27"/>
    <w:rsid w:val="00766A78"/>
    <w:rsid w:val="00766AE9"/>
    <w:rsid w:val="00782546"/>
    <w:rsid w:val="00783084"/>
    <w:rsid w:val="007906F2"/>
    <w:rsid w:val="00790B2E"/>
    <w:rsid w:val="00791B35"/>
    <w:rsid w:val="00791EDE"/>
    <w:rsid w:val="007B4F2B"/>
    <w:rsid w:val="007B7D0F"/>
    <w:rsid w:val="007D55D9"/>
    <w:rsid w:val="007D67AA"/>
    <w:rsid w:val="007D757F"/>
    <w:rsid w:val="007E55BD"/>
    <w:rsid w:val="007E7E40"/>
    <w:rsid w:val="007F58AF"/>
    <w:rsid w:val="008105F8"/>
    <w:rsid w:val="00812443"/>
    <w:rsid w:val="008144F1"/>
    <w:rsid w:val="0081574C"/>
    <w:rsid w:val="0081787B"/>
    <w:rsid w:val="008236D9"/>
    <w:rsid w:val="00837E7F"/>
    <w:rsid w:val="00840742"/>
    <w:rsid w:val="00850677"/>
    <w:rsid w:val="008516D0"/>
    <w:rsid w:val="00860C43"/>
    <w:rsid w:val="00865D81"/>
    <w:rsid w:val="00867157"/>
    <w:rsid w:val="00874178"/>
    <w:rsid w:val="00886A39"/>
    <w:rsid w:val="00896DE8"/>
    <w:rsid w:val="008A51E9"/>
    <w:rsid w:val="008B320C"/>
    <w:rsid w:val="008B4D2D"/>
    <w:rsid w:val="008C0121"/>
    <w:rsid w:val="008C1532"/>
    <w:rsid w:val="008C34C3"/>
    <w:rsid w:val="008C41FA"/>
    <w:rsid w:val="008D558B"/>
    <w:rsid w:val="008F1796"/>
    <w:rsid w:val="00900F43"/>
    <w:rsid w:val="009021C2"/>
    <w:rsid w:val="009021CC"/>
    <w:rsid w:val="0090366A"/>
    <w:rsid w:val="00903B67"/>
    <w:rsid w:val="00914B82"/>
    <w:rsid w:val="00917041"/>
    <w:rsid w:val="00917CFD"/>
    <w:rsid w:val="009209DA"/>
    <w:rsid w:val="00934B61"/>
    <w:rsid w:val="00943DE6"/>
    <w:rsid w:val="00944A67"/>
    <w:rsid w:val="00947C23"/>
    <w:rsid w:val="00951805"/>
    <w:rsid w:val="009542A1"/>
    <w:rsid w:val="00972957"/>
    <w:rsid w:val="0098092A"/>
    <w:rsid w:val="00982F73"/>
    <w:rsid w:val="009A5BC9"/>
    <w:rsid w:val="009C5E10"/>
    <w:rsid w:val="009E00B3"/>
    <w:rsid w:val="009E05DE"/>
    <w:rsid w:val="009F3EDE"/>
    <w:rsid w:val="009F4340"/>
    <w:rsid w:val="009F4A60"/>
    <w:rsid w:val="00A040A1"/>
    <w:rsid w:val="00A107F2"/>
    <w:rsid w:val="00A1131F"/>
    <w:rsid w:val="00A13ADA"/>
    <w:rsid w:val="00A15EF2"/>
    <w:rsid w:val="00A174CA"/>
    <w:rsid w:val="00A215C6"/>
    <w:rsid w:val="00A2284C"/>
    <w:rsid w:val="00A27CEC"/>
    <w:rsid w:val="00A6590C"/>
    <w:rsid w:val="00A9152F"/>
    <w:rsid w:val="00A92549"/>
    <w:rsid w:val="00AA5585"/>
    <w:rsid w:val="00AB33C6"/>
    <w:rsid w:val="00AB4988"/>
    <w:rsid w:val="00AC2BFD"/>
    <w:rsid w:val="00AE7973"/>
    <w:rsid w:val="00B06301"/>
    <w:rsid w:val="00B1255D"/>
    <w:rsid w:val="00B26EFD"/>
    <w:rsid w:val="00B3203C"/>
    <w:rsid w:val="00B35B9D"/>
    <w:rsid w:val="00B36030"/>
    <w:rsid w:val="00B4101E"/>
    <w:rsid w:val="00B73E3F"/>
    <w:rsid w:val="00B752D5"/>
    <w:rsid w:val="00B757A7"/>
    <w:rsid w:val="00B757BB"/>
    <w:rsid w:val="00B75CB1"/>
    <w:rsid w:val="00B77A01"/>
    <w:rsid w:val="00B800F5"/>
    <w:rsid w:val="00B8478C"/>
    <w:rsid w:val="00B85617"/>
    <w:rsid w:val="00BA0E55"/>
    <w:rsid w:val="00BA6254"/>
    <w:rsid w:val="00BC37D5"/>
    <w:rsid w:val="00BC4210"/>
    <w:rsid w:val="00BC4EF9"/>
    <w:rsid w:val="00BE191B"/>
    <w:rsid w:val="00BE204B"/>
    <w:rsid w:val="00BF1500"/>
    <w:rsid w:val="00BF6DED"/>
    <w:rsid w:val="00C01CED"/>
    <w:rsid w:val="00C11502"/>
    <w:rsid w:val="00C173EA"/>
    <w:rsid w:val="00C21FF9"/>
    <w:rsid w:val="00C276D0"/>
    <w:rsid w:val="00C32991"/>
    <w:rsid w:val="00C50F64"/>
    <w:rsid w:val="00C66CF0"/>
    <w:rsid w:val="00C71FE6"/>
    <w:rsid w:val="00C912F6"/>
    <w:rsid w:val="00C91747"/>
    <w:rsid w:val="00C91C4E"/>
    <w:rsid w:val="00CD2496"/>
    <w:rsid w:val="00CD2B20"/>
    <w:rsid w:val="00CD67E4"/>
    <w:rsid w:val="00CF687D"/>
    <w:rsid w:val="00D0374C"/>
    <w:rsid w:val="00D05361"/>
    <w:rsid w:val="00D17D86"/>
    <w:rsid w:val="00D23D8B"/>
    <w:rsid w:val="00D24882"/>
    <w:rsid w:val="00D334CD"/>
    <w:rsid w:val="00D36CBD"/>
    <w:rsid w:val="00D47CC2"/>
    <w:rsid w:val="00D548FF"/>
    <w:rsid w:val="00D65536"/>
    <w:rsid w:val="00D83682"/>
    <w:rsid w:val="00DA7697"/>
    <w:rsid w:val="00DB3C5E"/>
    <w:rsid w:val="00DB45EF"/>
    <w:rsid w:val="00DC4D87"/>
    <w:rsid w:val="00DD0768"/>
    <w:rsid w:val="00DD0CA0"/>
    <w:rsid w:val="00DF09BE"/>
    <w:rsid w:val="00DF1B2B"/>
    <w:rsid w:val="00E03AA6"/>
    <w:rsid w:val="00E05491"/>
    <w:rsid w:val="00E06B2E"/>
    <w:rsid w:val="00E1451A"/>
    <w:rsid w:val="00E14ABC"/>
    <w:rsid w:val="00E35324"/>
    <w:rsid w:val="00E45808"/>
    <w:rsid w:val="00E654C5"/>
    <w:rsid w:val="00E67A06"/>
    <w:rsid w:val="00E7088E"/>
    <w:rsid w:val="00E77ABE"/>
    <w:rsid w:val="00E87999"/>
    <w:rsid w:val="00E96262"/>
    <w:rsid w:val="00EB06CE"/>
    <w:rsid w:val="00EB4920"/>
    <w:rsid w:val="00EB5B51"/>
    <w:rsid w:val="00EB786D"/>
    <w:rsid w:val="00EC5B59"/>
    <w:rsid w:val="00ED33AB"/>
    <w:rsid w:val="00F16F9F"/>
    <w:rsid w:val="00F40E8B"/>
    <w:rsid w:val="00F42178"/>
    <w:rsid w:val="00F80AA8"/>
    <w:rsid w:val="00F91D83"/>
    <w:rsid w:val="00FA73B0"/>
    <w:rsid w:val="00FC2796"/>
    <w:rsid w:val="00FE21F5"/>
    <w:rsid w:val="00FF1F99"/>
    <w:rsid w:val="00FF3F0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198841"/>
  <w15:docId w15:val="{12BE6C8B-6496-B842-90E2-834670AA76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40E8B"/>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6262"/>
    <w:pPr>
      <w:ind w:left="720"/>
      <w:contextualSpacing/>
    </w:pPr>
  </w:style>
  <w:style w:type="character" w:styleId="CommentReference">
    <w:name w:val="annotation reference"/>
    <w:basedOn w:val="DefaultParagraphFont"/>
    <w:uiPriority w:val="99"/>
    <w:semiHidden/>
    <w:unhideWhenUsed/>
    <w:rsid w:val="00E77ABE"/>
    <w:rPr>
      <w:sz w:val="16"/>
      <w:szCs w:val="16"/>
    </w:rPr>
  </w:style>
  <w:style w:type="paragraph" w:styleId="CommentText">
    <w:name w:val="annotation text"/>
    <w:basedOn w:val="Normal"/>
    <w:link w:val="CommentTextChar"/>
    <w:uiPriority w:val="99"/>
    <w:semiHidden/>
    <w:unhideWhenUsed/>
    <w:rsid w:val="00E77ABE"/>
    <w:pPr>
      <w:spacing w:after="200" w:line="240" w:lineRule="auto"/>
    </w:pPr>
    <w:rPr>
      <w:sz w:val="20"/>
      <w:szCs w:val="20"/>
    </w:rPr>
  </w:style>
  <w:style w:type="character" w:customStyle="1" w:styleId="CommentTextChar">
    <w:name w:val="Comment Text Char"/>
    <w:basedOn w:val="DefaultParagraphFont"/>
    <w:link w:val="CommentText"/>
    <w:uiPriority w:val="99"/>
    <w:semiHidden/>
    <w:rsid w:val="00E77ABE"/>
    <w:rPr>
      <w:sz w:val="20"/>
      <w:szCs w:val="20"/>
    </w:rPr>
  </w:style>
  <w:style w:type="paragraph" w:styleId="BalloonText">
    <w:name w:val="Balloon Text"/>
    <w:basedOn w:val="Normal"/>
    <w:link w:val="BalloonTextChar"/>
    <w:uiPriority w:val="99"/>
    <w:semiHidden/>
    <w:unhideWhenUsed/>
    <w:rsid w:val="00E77A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7ABE"/>
    <w:rPr>
      <w:rFonts w:ascii="Segoe UI" w:hAnsi="Segoe UI" w:cs="Segoe UI"/>
      <w:sz w:val="18"/>
      <w:szCs w:val="18"/>
    </w:rPr>
  </w:style>
  <w:style w:type="table" w:styleId="TableGrid">
    <w:name w:val="Table Grid"/>
    <w:basedOn w:val="TableNormal"/>
    <w:uiPriority w:val="59"/>
    <w:rsid w:val="00444A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1079"/>
    <w:rPr>
      <w:color w:val="0563C1" w:themeColor="hyperlink"/>
      <w:u w:val="single"/>
    </w:rPr>
  </w:style>
  <w:style w:type="character" w:styleId="FollowedHyperlink">
    <w:name w:val="FollowedHyperlink"/>
    <w:basedOn w:val="DefaultParagraphFont"/>
    <w:uiPriority w:val="99"/>
    <w:semiHidden/>
    <w:unhideWhenUsed/>
    <w:rsid w:val="00CD2496"/>
    <w:rPr>
      <w:color w:val="954F72" w:themeColor="followedHyperlink"/>
      <w:u w:val="single"/>
    </w:rPr>
  </w:style>
  <w:style w:type="character" w:customStyle="1" w:styleId="js-about-item-abstr">
    <w:name w:val="js-about-item-abstr"/>
    <w:basedOn w:val="DefaultParagraphFont"/>
    <w:rsid w:val="00641B07"/>
  </w:style>
  <w:style w:type="paragraph" w:styleId="CommentSubject">
    <w:name w:val="annotation subject"/>
    <w:basedOn w:val="CommentText"/>
    <w:next w:val="CommentText"/>
    <w:link w:val="CommentSubjectChar"/>
    <w:uiPriority w:val="99"/>
    <w:semiHidden/>
    <w:unhideWhenUsed/>
    <w:rsid w:val="00376F4F"/>
    <w:pPr>
      <w:spacing w:after="160"/>
    </w:pPr>
    <w:rPr>
      <w:b/>
      <w:bCs/>
    </w:rPr>
  </w:style>
  <w:style w:type="character" w:customStyle="1" w:styleId="CommentSubjectChar">
    <w:name w:val="Comment Subject Char"/>
    <w:basedOn w:val="CommentTextChar"/>
    <w:link w:val="CommentSubject"/>
    <w:uiPriority w:val="99"/>
    <w:semiHidden/>
    <w:rsid w:val="00376F4F"/>
    <w:rPr>
      <w:b/>
      <w:bCs/>
      <w:sz w:val="20"/>
      <w:szCs w:val="20"/>
    </w:rPr>
  </w:style>
  <w:style w:type="paragraph" w:styleId="Header">
    <w:name w:val="header"/>
    <w:basedOn w:val="Normal"/>
    <w:link w:val="HeaderChar"/>
    <w:uiPriority w:val="99"/>
    <w:unhideWhenUsed/>
    <w:rsid w:val="00637A84"/>
    <w:pPr>
      <w:tabs>
        <w:tab w:val="center" w:pos="4536"/>
        <w:tab w:val="right" w:pos="9072"/>
      </w:tabs>
      <w:spacing w:after="0" w:line="240" w:lineRule="auto"/>
    </w:pPr>
  </w:style>
  <w:style w:type="character" w:customStyle="1" w:styleId="HeaderChar">
    <w:name w:val="Header Char"/>
    <w:basedOn w:val="DefaultParagraphFont"/>
    <w:link w:val="Header"/>
    <w:uiPriority w:val="99"/>
    <w:rsid w:val="00637A84"/>
  </w:style>
  <w:style w:type="paragraph" w:styleId="Footer">
    <w:name w:val="footer"/>
    <w:basedOn w:val="Normal"/>
    <w:link w:val="FooterChar"/>
    <w:uiPriority w:val="99"/>
    <w:unhideWhenUsed/>
    <w:rsid w:val="00637A84"/>
    <w:pPr>
      <w:tabs>
        <w:tab w:val="center" w:pos="4536"/>
        <w:tab w:val="right" w:pos="9072"/>
      </w:tabs>
      <w:spacing w:after="0" w:line="240" w:lineRule="auto"/>
    </w:pPr>
  </w:style>
  <w:style w:type="character" w:customStyle="1" w:styleId="FooterChar">
    <w:name w:val="Footer Char"/>
    <w:basedOn w:val="DefaultParagraphFont"/>
    <w:link w:val="Footer"/>
    <w:uiPriority w:val="99"/>
    <w:rsid w:val="00637A84"/>
  </w:style>
  <w:style w:type="character" w:customStyle="1" w:styleId="Heading1Char">
    <w:name w:val="Heading 1 Char"/>
    <w:basedOn w:val="DefaultParagraphFont"/>
    <w:link w:val="Heading1"/>
    <w:uiPriority w:val="9"/>
    <w:rsid w:val="00F40E8B"/>
    <w:rPr>
      <w:rFonts w:asciiTheme="majorHAnsi" w:eastAsiaTheme="majorEastAsia" w:hAnsiTheme="majorHAnsi" w:cstheme="majorBidi"/>
      <w:b/>
      <w:bCs/>
      <w:color w:val="2E74B5" w:themeColor="accent1" w:themeShade="BF"/>
      <w:sz w:val="28"/>
      <w:szCs w:val="28"/>
      <w:lang w:val="en-US" w:eastAsia="ja-JP"/>
    </w:rPr>
  </w:style>
  <w:style w:type="paragraph" w:styleId="Bibliography">
    <w:name w:val="Bibliography"/>
    <w:basedOn w:val="Normal"/>
    <w:next w:val="Normal"/>
    <w:uiPriority w:val="37"/>
    <w:unhideWhenUsed/>
    <w:rsid w:val="00F40E8B"/>
  </w:style>
  <w:style w:type="paragraph" w:styleId="NoSpacing">
    <w:name w:val="No Spacing"/>
    <w:link w:val="NoSpacingChar"/>
    <w:uiPriority w:val="1"/>
    <w:qFormat/>
    <w:rsid w:val="009C5E10"/>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9C5E10"/>
    <w:rPr>
      <w:rFonts w:eastAsiaTheme="minorEastAsia"/>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559353">
      <w:bodyDiv w:val="1"/>
      <w:marLeft w:val="0"/>
      <w:marRight w:val="0"/>
      <w:marTop w:val="0"/>
      <w:marBottom w:val="0"/>
      <w:divBdr>
        <w:top w:val="none" w:sz="0" w:space="0" w:color="auto"/>
        <w:left w:val="none" w:sz="0" w:space="0" w:color="auto"/>
        <w:bottom w:val="none" w:sz="0" w:space="0" w:color="auto"/>
        <w:right w:val="none" w:sz="0" w:space="0" w:color="auto"/>
      </w:divBdr>
    </w:div>
    <w:div w:id="89470033">
      <w:bodyDiv w:val="1"/>
      <w:marLeft w:val="0"/>
      <w:marRight w:val="0"/>
      <w:marTop w:val="0"/>
      <w:marBottom w:val="0"/>
      <w:divBdr>
        <w:top w:val="none" w:sz="0" w:space="0" w:color="auto"/>
        <w:left w:val="none" w:sz="0" w:space="0" w:color="auto"/>
        <w:bottom w:val="none" w:sz="0" w:space="0" w:color="auto"/>
        <w:right w:val="none" w:sz="0" w:space="0" w:color="auto"/>
      </w:divBdr>
    </w:div>
    <w:div w:id="108201964">
      <w:bodyDiv w:val="1"/>
      <w:marLeft w:val="0"/>
      <w:marRight w:val="0"/>
      <w:marTop w:val="0"/>
      <w:marBottom w:val="0"/>
      <w:divBdr>
        <w:top w:val="none" w:sz="0" w:space="0" w:color="auto"/>
        <w:left w:val="none" w:sz="0" w:space="0" w:color="auto"/>
        <w:bottom w:val="none" w:sz="0" w:space="0" w:color="auto"/>
        <w:right w:val="none" w:sz="0" w:space="0" w:color="auto"/>
      </w:divBdr>
    </w:div>
    <w:div w:id="128520990">
      <w:bodyDiv w:val="1"/>
      <w:marLeft w:val="0"/>
      <w:marRight w:val="0"/>
      <w:marTop w:val="0"/>
      <w:marBottom w:val="0"/>
      <w:divBdr>
        <w:top w:val="none" w:sz="0" w:space="0" w:color="auto"/>
        <w:left w:val="none" w:sz="0" w:space="0" w:color="auto"/>
        <w:bottom w:val="none" w:sz="0" w:space="0" w:color="auto"/>
        <w:right w:val="none" w:sz="0" w:space="0" w:color="auto"/>
      </w:divBdr>
    </w:div>
    <w:div w:id="154494628">
      <w:bodyDiv w:val="1"/>
      <w:marLeft w:val="0"/>
      <w:marRight w:val="0"/>
      <w:marTop w:val="0"/>
      <w:marBottom w:val="0"/>
      <w:divBdr>
        <w:top w:val="none" w:sz="0" w:space="0" w:color="auto"/>
        <w:left w:val="none" w:sz="0" w:space="0" w:color="auto"/>
        <w:bottom w:val="none" w:sz="0" w:space="0" w:color="auto"/>
        <w:right w:val="none" w:sz="0" w:space="0" w:color="auto"/>
      </w:divBdr>
    </w:div>
    <w:div w:id="213935619">
      <w:bodyDiv w:val="1"/>
      <w:marLeft w:val="0"/>
      <w:marRight w:val="0"/>
      <w:marTop w:val="0"/>
      <w:marBottom w:val="0"/>
      <w:divBdr>
        <w:top w:val="none" w:sz="0" w:space="0" w:color="auto"/>
        <w:left w:val="none" w:sz="0" w:space="0" w:color="auto"/>
        <w:bottom w:val="none" w:sz="0" w:space="0" w:color="auto"/>
        <w:right w:val="none" w:sz="0" w:space="0" w:color="auto"/>
      </w:divBdr>
    </w:div>
    <w:div w:id="224797431">
      <w:bodyDiv w:val="1"/>
      <w:marLeft w:val="0"/>
      <w:marRight w:val="0"/>
      <w:marTop w:val="0"/>
      <w:marBottom w:val="0"/>
      <w:divBdr>
        <w:top w:val="none" w:sz="0" w:space="0" w:color="auto"/>
        <w:left w:val="none" w:sz="0" w:space="0" w:color="auto"/>
        <w:bottom w:val="none" w:sz="0" w:space="0" w:color="auto"/>
        <w:right w:val="none" w:sz="0" w:space="0" w:color="auto"/>
      </w:divBdr>
    </w:div>
    <w:div w:id="229580269">
      <w:bodyDiv w:val="1"/>
      <w:marLeft w:val="0"/>
      <w:marRight w:val="0"/>
      <w:marTop w:val="0"/>
      <w:marBottom w:val="0"/>
      <w:divBdr>
        <w:top w:val="none" w:sz="0" w:space="0" w:color="auto"/>
        <w:left w:val="none" w:sz="0" w:space="0" w:color="auto"/>
        <w:bottom w:val="none" w:sz="0" w:space="0" w:color="auto"/>
        <w:right w:val="none" w:sz="0" w:space="0" w:color="auto"/>
      </w:divBdr>
    </w:div>
    <w:div w:id="239098256">
      <w:bodyDiv w:val="1"/>
      <w:marLeft w:val="0"/>
      <w:marRight w:val="0"/>
      <w:marTop w:val="0"/>
      <w:marBottom w:val="0"/>
      <w:divBdr>
        <w:top w:val="none" w:sz="0" w:space="0" w:color="auto"/>
        <w:left w:val="none" w:sz="0" w:space="0" w:color="auto"/>
        <w:bottom w:val="none" w:sz="0" w:space="0" w:color="auto"/>
        <w:right w:val="none" w:sz="0" w:space="0" w:color="auto"/>
      </w:divBdr>
    </w:div>
    <w:div w:id="239558562">
      <w:bodyDiv w:val="1"/>
      <w:marLeft w:val="0"/>
      <w:marRight w:val="0"/>
      <w:marTop w:val="0"/>
      <w:marBottom w:val="0"/>
      <w:divBdr>
        <w:top w:val="none" w:sz="0" w:space="0" w:color="auto"/>
        <w:left w:val="none" w:sz="0" w:space="0" w:color="auto"/>
        <w:bottom w:val="none" w:sz="0" w:space="0" w:color="auto"/>
        <w:right w:val="none" w:sz="0" w:space="0" w:color="auto"/>
      </w:divBdr>
    </w:div>
    <w:div w:id="252589187">
      <w:bodyDiv w:val="1"/>
      <w:marLeft w:val="0"/>
      <w:marRight w:val="0"/>
      <w:marTop w:val="0"/>
      <w:marBottom w:val="0"/>
      <w:divBdr>
        <w:top w:val="none" w:sz="0" w:space="0" w:color="auto"/>
        <w:left w:val="none" w:sz="0" w:space="0" w:color="auto"/>
        <w:bottom w:val="none" w:sz="0" w:space="0" w:color="auto"/>
        <w:right w:val="none" w:sz="0" w:space="0" w:color="auto"/>
      </w:divBdr>
    </w:div>
    <w:div w:id="289358083">
      <w:bodyDiv w:val="1"/>
      <w:marLeft w:val="0"/>
      <w:marRight w:val="0"/>
      <w:marTop w:val="0"/>
      <w:marBottom w:val="0"/>
      <w:divBdr>
        <w:top w:val="none" w:sz="0" w:space="0" w:color="auto"/>
        <w:left w:val="none" w:sz="0" w:space="0" w:color="auto"/>
        <w:bottom w:val="none" w:sz="0" w:space="0" w:color="auto"/>
        <w:right w:val="none" w:sz="0" w:space="0" w:color="auto"/>
      </w:divBdr>
    </w:div>
    <w:div w:id="350108195">
      <w:bodyDiv w:val="1"/>
      <w:marLeft w:val="0"/>
      <w:marRight w:val="0"/>
      <w:marTop w:val="0"/>
      <w:marBottom w:val="0"/>
      <w:divBdr>
        <w:top w:val="none" w:sz="0" w:space="0" w:color="auto"/>
        <w:left w:val="none" w:sz="0" w:space="0" w:color="auto"/>
        <w:bottom w:val="none" w:sz="0" w:space="0" w:color="auto"/>
        <w:right w:val="none" w:sz="0" w:space="0" w:color="auto"/>
      </w:divBdr>
    </w:div>
    <w:div w:id="350380554">
      <w:bodyDiv w:val="1"/>
      <w:marLeft w:val="0"/>
      <w:marRight w:val="0"/>
      <w:marTop w:val="0"/>
      <w:marBottom w:val="0"/>
      <w:divBdr>
        <w:top w:val="none" w:sz="0" w:space="0" w:color="auto"/>
        <w:left w:val="none" w:sz="0" w:space="0" w:color="auto"/>
        <w:bottom w:val="none" w:sz="0" w:space="0" w:color="auto"/>
        <w:right w:val="none" w:sz="0" w:space="0" w:color="auto"/>
      </w:divBdr>
    </w:div>
    <w:div w:id="407268878">
      <w:bodyDiv w:val="1"/>
      <w:marLeft w:val="0"/>
      <w:marRight w:val="0"/>
      <w:marTop w:val="0"/>
      <w:marBottom w:val="0"/>
      <w:divBdr>
        <w:top w:val="none" w:sz="0" w:space="0" w:color="auto"/>
        <w:left w:val="none" w:sz="0" w:space="0" w:color="auto"/>
        <w:bottom w:val="none" w:sz="0" w:space="0" w:color="auto"/>
        <w:right w:val="none" w:sz="0" w:space="0" w:color="auto"/>
      </w:divBdr>
    </w:div>
    <w:div w:id="462046810">
      <w:bodyDiv w:val="1"/>
      <w:marLeft w:val="0"/>
      <w:marRight w:val="0"/>
      <w:marTop w:val="0"/>
      <w:marBottom w:val="0"/>
      <w:divBdr>
        <w:top w:val="none" w:sz="0" w:space="0" w:color="auto"/>
        <w:left w:val="none" w:sz="0" w:space="0" w:color="auto"/>
        <w:bottom w:val="none" w:sz="0" w:space="0" w:color="auto"/>
        <w:right w:val="none" w:sz="0" w:space="0" w:color="auto"/>
      </w:divBdr>
    </w:div>
    <w:div w:id="463885446">
      <w:bodyDiv w:val="1"/>
      <w:marLeft w:val="0"/>
      <w:marRight w:val="0"/>
      <w:marTop w:val="0"/>
      <w:marBottom w:val="0"/>
      <w:divBdr>
        <w:top w:val="none" w:sz="0" w:space="0" w:color="auto"/>
        <w:left w:val="none" w:sz="0" w:space="0" w:color="auto"/>
        <w:bottom w:val="none" w:sz="0" w:space="0" w:color="auto"/>
        <w:right w:val="none" w:sz="0" w:space="0" w:color="auto"/>
      </w:divBdr>
    </w:div>
    <w:div w:id="495725100">
      <w:bodyDiv w:val="1"/>
      <w:marLeft w:val="0"/>
      <w:marRight w:val="0"/>
      <w:marTop w:val="0"/>
      <w:marBottom w:val="0"/>
      <w:divBdr>
        <w:top w:val="none" w:sz="0" w:space="0" w:color="auto"/>
        <w:left w:val="none" w:sz="0" w:space="0" w:color="auto"/>
        <w:bottom w:val="none" w:sz="0" w:space="0" w:color="auto"/>
        <w:right w:val="none" w:sz="0" w:space="0" w:color="auto"/>
      </w:divBdr>
    </w:div>
    <w:div w:id="562523446">
      <w:bodyDiv w:val="1"/>
      <w:marLeft w:val="0"/>
      <w:marRight w:val="0"/>
      <w:marTop w:val="0"/>
      <w:marBottom w:val="0"/>
      <w:divBdr>
        <w:top w:val="none" w:sz="0" w:space="0" w:color="auto"/>
        <w:left w:val="none" w:sz="0" w:space="0" w:color="auto"/>
        <w:bottom w:val="none" w:sz="0" w:space="0" w:color="auto"/>
        <w:right w:val="none" w:sz="0" w:space="0" w:color="auto"/>
      </w:divBdr>
    </w:div>
    <w:div w:id="569195202">
      <w:bodyDiv w:val="1"/>
      <w:marLeft w:val="0"/>
      <w:marRight w:val="0"/>
      <w:marTop w:val="0"/>
      <w:marBottom w:val="0"/>
      <w:divBdr>
        <w:top w:val="none" w:sz="0" w:space="0" w:color="auto"/>
        <w:left w:val="none" w:sz="0" w:space="0" w:color="auto"/>
        <w:bottom w:val="none" w:sz="0" w:space="0" w:color="auto"/>
        <w:right w:val="none" w:sz="0" w:space="0" w:color="auto"/>
      </w:divBdr>
    </w:div>
    <w:div w:id="585187285">
      <w:bodyDiv w:val="1"/>
      <w:marLeft w:val="0"/>
      <w:marRight w:val="0"/>
      <w:marTop w:val="0"/>
      <w:marBottom w:val="0"/>
      <w:divBdr>
        <w:top w:val="none" w:sz="0" w:space="0" w:color="auto"/>
        <w:left w:val="none" w:sz="0" w:space="0" w:color="auto"/>
        <w:bottom w:val="none" w:sz="0" w:space="0" w:color="auto"/>
        <w:right w:val="none" w:sz="0" w:space="0" w:color="auto"/>
      </w:divBdr>
    </w:div>
    <w:div w:id="609320533">
      <w:bodyDiv w:val="1"/>
      <w:marLeft w:val="0"/>
      <w:marRight w:val="0"/>
      <w:marTop w:val="0"/>
      <w:marBottom w:val="0"/>
      <w:divBdr>
        <w:top w:val="none" w:sz="0" w:space="0" w:color="auto"/>
        <w:left w:val="none" w:sz="0" w:space="0" w:color="auto"/>
        <w:bottom w:val="none" w:sz="0" w:space="0" w:color="auto"/>
        <w:right w:val="none" w:sz="0" w:space="0" w:color="auto"/>
      </w:divBdr>
    </w:div>
    <w:div w:id="610016117">
      <w:bodyDiv w:val="1"/>
      <w:marLeft w:val="0"/>
      <w:marRight w:val="0"/>
      <w:marTop w:val="0"/>
      <w:marBottom w:val="0"/>
      <w:divBdr>
        <w:top w:val="none" w:sz="0" w:space="0" w:color="auto"/>
        <w:left w:val="none" w:sz="0" w:space="0" w:color="auto"/>
        <w:bottom w:val="none" w:sz="0" w:space="0" w:color="auto"/>
        <w:right w:val="none" w:sz="0" w:space="0" w:color="auto"/>
      </w:divBdr>
    </w:div>
    <w:div w:id="707995176">
      <w:bodyDiv w:val="1"/>
      <w:marLeft w:val="0"/>
      <w:marRight w:val="0"/>
      <w:marTop w:val="0"/>
      <w:marBottom w:val="0"/>
      <w:divBdr>
        <w:top w:val="none" w:sz="0" w:space="0" w:color="auto"/>
        <w:left w:val="none" w:sz="0" w:space="0" w:color="auto"/>
        <w:bottom w:val="none" w:sz="0" w:space="0" w:color="auto"/>
        <w:right w:val="none" w:sz="0" w:space="0" w:color="auto"/>
      </w:divBdr>
    </w:div>
    <w:div w:id="722943491">
      <w:bodyDiv w:val="1"/>
      <w:marLeft w:val="0"/>
      <w:marRight w:val="0"/>
      <w:marTop w:val="0"/>
      <w:marBottom w:val="0"/>
      <w:divBdr>
        <w:top w:val="none" w:sz="0" w:space="0" w:color="auto"/>
        <w:left w:val="none" w:sz="0" w:space="0" w:color="auto"/>
        <w:bottom w:val="none" w:sz="0" w:space="0" w:color="auto"/>
        <w:right w:val="none" w:sz="0" w:space="0" w:color="auto"/>
      </w:divBdr>
    </w:div>
    <w:div w:id="740101371">
      <w:bodyDiv w:val="1"/>
      <w:marLeft w:val="0"/>
      <w:marRight w:val="0"/>
      <w:marTop w:val="0"/>
      <w:marBottom w:val="0"/>
      <w:divBdr>
        <w:top w:val="none" w:sz="0" w:space="0" w:color="auto"/>
        <w:left w:val="none" w:sz="0" w:space="0" w:color="auto"/>
        <w:bottom w:val="none" w:sz="0" w:space="0" w:color="auto"/>
        <w:right w:val="none" w:sz="0" w:space="0" w:color="auto"/>
      </w:divBdr>
    </w:div>
    <w:div w:id="873619384">
      <w:bodyDiv w:val="1"/>
      <w:marLeft w:val="0"/>
      <w:marRight w:val="0"/>
      <w:marTop w:val="0"/>
      <w:marBottom w:val="0"/>
      <w:divBdr>
        <w:top w:val="none" w:sz="0" w:space="0" w:color="auto"/>
        <w:left w:val="none" w:sz="0" w:space="0" w:color="auto"/>
        <w:bottom w:val="none" w:sz="0" w:space="0" w:color="auto"/>
        <w:right w:val="none" w:sz="0" w:space="0" w:color="auto"/>
      </w:divBdr>
    </w:div>
    <w:div w:id="885213691">
      <w:bodyDiv w:val="1"/>
      <w:marLeft w:val="0"/>
      <w:marRight w:val="0"/>
      <w:marTop w:val="0"/>
      <w:marBottom w:val="0"/>
      <w:divBdr>
        <w:top w:val="none" w:sz="0" w:space="0" w:color="auto"/>
        <w:left w:val="none" w:sz="0" w:space="0" w:color="auto"/>
        <w:bottom w:val="none" w:sz="0" w:space="0" w:color="auto"/>
        <w:right w:val="none" w:sz="0" w:space="0" w:color="auto"/>
      </w:divBdr>
    </w:div>
    <w:div w:id="899092957">
      <w:bodyDiv w:val="1"/>
      <w:marLeft w:val="0"/>
      <w:marRight w:val="0"/>
      <w:marTop w:val="0"/>
      <w:marBottom w:val="0"/>
      <w:divBdr>
        <w:top w:val="none" w:sz="0" w:space="0" w:color="auto"/>
        <w:left w:val="none" w:sz="0" w:space="0" w:color="auto"/>
        <w:bottom w:val="none" w:sz="0" w:space="0" w:color="auto"/>
        <w:right w:val="none" w:sz="0" w:space="0" w:color="auto"/>
      </w:divBdr>
    </w:div>
    <w:div w:id="902831105">
      <w:bodyDiv w:val="1"/>
      <w:marLeft w:val="0"/>
      <w:marRight w:val="0"/>
      <w:marTop w:val="0"/>
      <w:marBottom w:val="0"/>
      <w:divBdr>
        <w:top w:val="none" w:sz="0" w:space="0" w:color="auto"/>
        <w:left w:val="none" w:sz="0" w:space="0" w:color="auto"/>
        <w:bottom w:val="none" w:sz="0" w:space="0" w:color="auto"/>
        <w:right w:val="none" w:sz="0" w:space="0" w:color="auto"/>
      </w:divBdr>
    </w:div>
    <w:div w:id="996885629">
      <w:bodyDiv w:val="1"/>
      <w:marLeft w:val="0"/>
      <w:marRight w:val="0"/>
      <w:marTop w:val="0"/>
      <w:marBottom w:val="0"/>
      <w:divBdr>
        <w:top w:val="none" w:sz="0" w:space="0" w:color="auto"/>
        <w:left w:val="none" w:sz="0" w:space="0" w:color="auto"/>
        <w:bottom w:val="none" w:sz="0" w:space="0" w:color="auto"/>
        <w:right w:val="none" w:sz="0" w:space="0" w:color="auto"/>
      </w:divBdr>
    </w:div>
    <w:div w:id="1071469721">
      <w:bodyDiv w:val="1"/>
      <w:marLeft w:val="0"/>
      <w:marRight w:val="0"/>
      <w:marTop w:val="0"/>
      <w:marBottom w:val="0"/>
      <w:divBdr>
        <w:top w:val="none" w:sz="0" w:space="0" w:color="auto"/>
        <w:left w:val="none" w:sz="0" w:space="0" w:color="auto"/>
        <w:bottom w:val="none" w:sz="0" w:space="0" w:color="auto"/>
        <w:right w:val="none" w:sz="0" w:space="0" w:color="auto"/>
      </w:divBdr>
    </w:div>
    <w:div w:id="1129979168">
      <w:bodyDiv w:val="1"/>
      <w:marLeft w:val="0"/>
      <w:marRight w:val="0"/>
      <w:marTop w:val="0"/>
      <w:marBottom w:val="0"/>
      <w:divBdr>
        <w:top w:val="none" w:sz="0" w:space="0" w:color="auto"/>
        <w:left w:val="none" w:sz="0" w:space="0" w:color="auto"/>
        <w:bottom w:val="none" w:sz="0" w:space="0" w:color="auto"/>
        <w:right w:val="none" w:sz="0" w:space="0" w:color="auto"/>
      </w:divBdr>
    </w:div>
    <w:div w:id="1163087052">
      <w:bodyDiv w:val="1"/>
      <w:marLeft w:val="0"/>
      <w:marRight w:val="0"/>
      <w:marTop w:val="0"/>
      <w:marBottom w:val="0"/>
      <w:divBdr>
        <w:top w:val="none" w:sz="0" w:space="0" w:color="auto"/>
        <w:left w:val="none" w:sz="0" w:space="0" w:color="auto"/>
        <w:bottom w:val="none" w:sz="0" w:space="0" w:color="auto"/>
        <w:right w:val="none" w:sz="0" w:space="0" w:color="auto"/>
      </w:divBdr>
    </w:div>
    <w:div w:id="1299337499">
      <w:bodyDiv w:val="1"/>
      <w:marLeft w:val="0"/>
      <w:marRight w:val="0"/>
      <w:marTop w:val="0"/>
      <w:marBottom w:val="0"/>
      <w:divBdr>
        <w:top w:val="none" w:sz="0" w:space="0" w:color="auto"/>
        <w:left w:val="none" w:sz="0" w:space="0" w:color="auto"/>
        <w:bottom w:val="none" w:sz="0" w:space="0" w:color="auto"/>
        <w:right w:val="none" w:sz="0" w:space="0" w:color="auto"/>
      </w:divBdr>
    </w:div>
    <w:div w:id="1323697047">
      <w:bodyDiv w:val="1"/>
      <w:marLeft w:val="0"/>
      <w:marRight w:val="0"/>
      <w:marTop w:val="0"/>
      <w:marBottom w:val="0"/>
      <w:divBdr>
        <w:top w:val="none" w:sz="0" w:space="0" w:color="auto"/>
        <w:left w:val="none" w:sz="0" w:space="0" w:color="auto"/>
        <w:bottom w:val="none" w:sz="0" w:space="0" w:color="auto"/>
        <w:right w:val="none" w:sz="0" w:space="0" w:color="auto"/>
      </w:divBdr>
    </w:div>
    <w:div w:id="1366253450">
      <w:bodyDiv w:val="1"/>
      <w:marLeft w:val="0"/>
      <w:marRight w:val="0"/>
      <w:marTop w:val="0"/>
      <w:marBottom w:val="0"/>
      <w:divBdr>
        <w:top w:val="none" w:sz="0" w:space="0" w:color="auto"/>
        <w:left w:val="none" w:sz="0" w:space="0" w:color="auto"/>
        <w:bottom w:val="none" w:sz="0" w:space="0" w:color="auto"/>
        <w:right w:val="none" w:sz="0" w:space="0" w:color="auto"/>
      </w:divBdr>
    </w:div>
    <w:div w:id="1440950406">
      <w:bodyDiv w:val="1"/>
      <w:marLeft w:val="0"/>
      <w:marRight w:val="0"/>
      <w:marTop w:val="0"/>
      <w:marBottom w:val="0"/>
      <w:divBdr>
        <w:top w:val="none" w:sz="0" w:space="0" w:color="auto"/>
        <w:left w:val="none" w:sz="0" w:space="0" w:color="auto"/>
        <w:bottom w:val="none" w:sz="0" w:space="0" w:color="auto"/>
        <w:right w:val="none" w:sz="0" w:space="0" w:color="auto"/>
      </w:divBdr>
    </w:div>
    <w:div w:id="1481268429">
      <w:bodyDiv w:val="1"/>
      <w:marLeft w:val="0"/>
      <w:marRight w:val="0"/>
      <w:marTop w:val="0"/>
      <w:marBottom w:val="0"/>
      <w:divBdr>
        <w:top w:val="none" w:sz="0" w:space="0" w:color="auto"/>
        <w:left w:val="none" w:sz="0" w:space="0" w:color="auto"/>
        <w:bottom w:val="none" w:sz="0" w:space="0" w:color="auto"/>
        <w:right w:val="none" w:sz="0" w:space="0" w:color="auto"/>
      </w:divBdr>
    </w:div>
    <w:div w:id="1569070793">
      <w:bodyDiv w:val="1"/>
      <w:marLeft w:val="0"/>
      <w:marRight w:val="0"/>
      <w:marTop w:val="0"/>
      <w:marBottom w:val="0"/>
      <w:divBdr>
        <w:top w:val="none" w:sz="0" w:space="0" w:color="auto"/>
        <w:left w:val="none" w:sz="0" w:space="0" w:color="auto"/>
        <w:bottom w:val="none" w:sz="0" w:space="0" w:color="auto"/>
        <w:right w:val="none" w:sz="0" w:space="0" w:color="auto"/>
      </w:divBdr>
    </w:div>
    <w:div w:id="1758937761">
      <w:bodyDiv w:val="1"/>
      <w:marLeft w:val="0"/>
      <w:marRight w:val="0"/>
      <w:marTop w:val="0"/>
      <w:marBottom w:val="0"/>
      <w:divBdr>
        <w:top w:val="none" w:sz="0" w:space="0" w:color="auto"/>
        <w:left w:val="none" w:sz="0" w:space="0" w:color="auto"/>
        <w:bottom w:val="none" w:sz="0" w:space="0" w:color="auto"/>
        <w:right w:val="none" w:sz="0" w:space="0" w:color="auto"/>
      </w:divBdr>
    </w:div>
    <w:div w:id="1767076530">
      <w:bodyDiv w:val="1"/>
      <w:marLeft w:val="0"/>
      <w:marRight w:val="0"/>
      <w:marTop w:val="0"/>
      <w:marBottom w:val="0"/>
      <w:divBdr>
        <w:top w:val="none" w:sz="0" w:space="0" w:color="auto"/>
        <w:left w:val="none" w:sz="0" w:space="0" w:color="auto"/>
        <w:bottom w:val="none" w:sz="0" w:space="0" w:color="auto"/>
        <w:right w:val="none" w:sz="0" w:space="0" w:color="auto"/>
      </w:divBdr>
    </w:div>
    <w:div w:id="1781678332">
      <w:bodyDiv w:val="1"/>
      <w:marLeft w:val="0"/>
      <w:marRight w:val="0"/>
      <w:marTop w:val="0"/>
      <w:marBottom w:val="0"/>
      <w:divBdr>
        <w:top w:val="none" w:sz="0" w:space="0" w:color="auto"/>
        <w:left w:val="none" w:sz="0" w:space="0" w:color="auto"/>
        <w:bottom w:val="none" w:sz="0" w:space="0" w:color="auto"/>
        <w:right w:val="none" w:sz="0" w:space="0" w:color="auto"/>
      </w:divBdr>
    </w:div>
    <w:div w:id="1817529475">
      <w:bodyDiv w:val="1"/>
      <w:marLeft w:val="0"/>
      <w:marRight w:val="0"/>
      <w:marTop w:val="0"/>
      <w:marBottom w:val="0"/>
      <w:divBdr>
        <w:top w:val="none" w:sz="0" w:space="0" w:color="auto"/>
        <w:left w:val="none" w:sz="0" w:space="0" w:color="auto"/>
        <w:bottom w:val="none" w:sz="0" w:space="0" w:color="auto"/>
        <w:right w:val="none" w:sz="0" w:space="0" w:color="auto"/>
      </w:divBdr>
    </w:div>
    <w:div w:id="1881283761">
      <w:bodyDiv w:val="1"/>
      <w:marLeft w:val="0"/>
      <w:marRight w:val="0"/>
      <w:marTop w:val="0"/>
      <w:marBottom w:val="0"/>
      <w:divBdr>
        <w:top w:val="none" w:sz="0" w:space="0" w:color="auto"/>
        <w:left w:val="none" w:sz="0" w:space="0" w:color="auto"/>
        <w:bottom w:val="none" w:sz="0" w:space="0" w:color="auto"/>
        <w:right w:val="none" w:sz="0" w:space="0" w:color="auto"/>
      </w:divBdr>
    </w:div>
    <w:div w:id="1881673104">
      <w:bodyDiv w:val="1"/>
      <w:marLeft w:val="0"/>
      <w:marRight w:val="0"/>
      <w:marTop w:val="0"/>
      <w:marBottom w:val="0"/>
      <w:divBdr>
        <w:top w:val="none" w:sz="0" w:space="0" w:color="auto"/>
        <w:left w:val="none" w:sz="0" w:space="0" w:color="auto"/>
        <w:bottom w:val="none" w:sz="0" w:space="0" w:color="auto"/>
        <w:right w:val="none" w:sz="0" w:space="0" w:color="auto"/>
      </w:divBdr>
    </w:div>
    <w:div w:id="1890343209">
      <w:bodyDiv w:val="1"/>
      <w:marLeft w:val="0"/>
      <w:marRight w:val="0"/>
      <w:marTop w:val="0"/>
      <w:marBottom w:val="0"/>
      <w:divBdr>
        <w:top w:val="none" w:sz="0" w:space="0" w:color="auto"/>
        <w:left w:val="none" w:sz="0" w:space="0" w:color="auto"/>
        <w:bottom w:val="none" w:sz="0" w:space="0" w:color="auto"/>
        <w:right w:val="none" w:sz="0" w:space="0" w:color="auto"/>
      </w:divBdr>
    </w:div>
    <w:div w:id="1940746937">
      <w:bodyDiv w:val="1"/>
      <w:marLeft w:val="0"/>
      <w:marRight w:val="0"/>
      <w:marTop w:val="0"/>
      <w:marBottom w:val="0"/>
      <w:divBdr>
        <w:top w:val="none" w:sz="0" w:space="0" w:color="auto"/>
        <w:left w:val="none" w:sz="0" w:space="0" w:color="auto"/>
        <w:bottom w:val="none" w:sz="0" w:space="0" w:color="auto"/>
        <w:right w:val="none" w:sz="0" w:space="0" w:color="auto"/>
      </w:divBdr>
    </w:div>
    <w:div w:id="214330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eader" Target="header8.xml"/><Relationship Id="rId2" Type="http://schemas.openxmlformats.org/officeDocument/2006/relationships/customXml" Target="../customXml/item2.xml"/><Relationship Id="rId16" Type="http://schemas.openxmlformats.org/officeDocument/2006/relationships/header" Target="header7.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6.xml"/><Relationship Id="rId10" Type="http://schemas.openxmlformats.org/officeDocument/2006/relationships/header" Target="header1.xml"/><Relationship Id="rId19"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228A56B126B54060AA27208FD612140B"/>
        <w:category>
          <w:name w:val="General"/>
          <w:gallery w:val="placeholder"/>
        </w:category>
        <w:types>
          <w:type w:val="bbPlcHdr"/>
        </w:types>
        <w:behaviors>
          <w:behavior w:val="content"/>
        </w:behaviors>
        <w:guid w:val="{7FEF7FDA-2A2A-4839-91CC-62E5ED1F5951}"/>
      </w:docPartPr>
      <w:docPartBody>
        <w:p w:rsidR="008216F1" w:rsidRDefault="008216F1" w:rsidP="008216F1">
          <w:pPr>
            <w:pStyle w:val="228A56B126B54060AA27208FD612140B"/>
          </w:pPr>
          <w:r>
            <w:rPr>
              <w:rFonts w:asciiTheme="majorHAnsi" w:eastAsiaTheme="majorEastAsia" w:hAnsiTheme="majorHAnsi" w:cstheme="majorBidi"/>
              <w:caps/>
            </w:rPr>
            <w:t>[Type the company name]</w:t>
          </w:r>
        </w:p>
      </w:docPartBody>
    </w:docPart>
    <w:docPart>
      <w:docPartPr>
        <w:name w:val="7C4B51194E75445F85641C4317AA1E51"/>
        <w:category>
          <w:name w:val="General"/>
          <w:gallery w:val="placeholder"/>
        </w:category>
        <w:types>
          <w:type w:val="bbPlcHdr"/>
        </w:types>
        <w:behaviors>
          <w:behavior w:val="content"/>
        </w:behaviors>
        <w:guid w:val="{7045E48D-3956-498A-A8EF-1063A43670E4}"/>
      </w:docPartPr>
      <w:docPartBody>
        <w:p w:rsidR="008216F1" w:rsidRDefault="008216F1" w:rsidP="008216F1">
          <w:pPr>
            <w:pStyle w:val="7C4B51194E75445F85641C4317AA1E51"/>
          </w:pPr>
          <w:r>
            <w:rPr>
              <w:rFonts w:asciiTheme="majorHAnsi" w:eastAsiaTheme="majorEastAsia" w:hAnsiTheme="majorHAnsi" w:cstheme="majorBidi"/>
              <w:sz w:val="80"/>
              <w:szCs w:val="80"/>
            </w:rPr>
            <w:t>[Type the document title]</w:t>
          </w:r>
        </w:p>
      </w:docPartBody>
    </w:docPart>
    <w:docPart>
      <w:docPartPr>
        <w:name w:val="F779107305604EE4B6D1EA458367A70F"/>
        <w:category>
          <w:name w:val="General"/>
          <w:gallery w:val="placeholder"/>
        </w:category>
        <w:types>
          <w:type w:val="bbPlcHdr"/>
        </w:types>
        <w:behaviors>
          <w:behavior w:val="content"/>
        </w:behaviors>
        <w:guid w:val="{5E825AE7-452C-49AD-B53F-4C16EB2A7B0A}"/>
      </w:docPartPr>
      <w:docPartBody>
        <w:p w:rsidR="008216F1" w:rsidRDefault="008216F1" w:rsidP="008216F1">
          <w:pPr>
            <w:pStyle w:val="F779107305604EE4B6D1EA458367A70F"/>
          </w:pPr>
          <w:r>
            <w:rPr>
              <w:rFonts w:asciiTheme="majorHAnsi" w:eastAsiaTheme="majorEastAsia" w:hAnsiTheme="majorHAnsi" w:cstheme="majorBidi"/>
              <w:sz w:val="44"/>
              <w:szCs w:val="44"/>
            </w:rPr>
            <w:t>[Type the 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16F1"/>
    <w:rsid w:val="00160E6A"/>
    <w:rsid w:val="002D714A"/>
    <w:rsid w:val="00393F71"/>
    <w:rsid w:val="003E13E0"/>
    <w:rsid w:val="008216F1"/>
    <w:rsid w:val="0085234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D05E8B7E1F44EE79E90409A26C51947">
    <w:name w:val="7D05E8B7E1F44EE79E90409A26C51947"/>
    <w:rsid w:val="008216F1"/>
  </w:style>
  <w:style w:type="paragraph" w:customStyle="1" w:styleId="9AF80480EB624F4AA197926252BE04AB">
    <w:name w:val="9AF80480EB624F4AA197926252BE04AB"/>
    <w:rsid w:val="008216F1"/>
  </w:style>
  <w:style w:type="paragraph" w:customStyle="1" w:styleId="84A65F1262A74220A6B9A8D0D9FA41F6">
    <w:name w:val="84A65F1262A74220A6B9A8D0D9FA41F6"/>
    <w:rsid w:val="008216F1"/>
  </w:style>
  <w:style w:type="paragraph" w:customStyle="1" w:styleId="DA1B82E9940C42FD8A8459F90D1DC00D">
    <w:name w:val="DA1B82E9940C42FD8A8459F90D1DC00D"/>
    <w:rsid w:val="008216F1"/>
  </w:style>
  <w:style w:type="paragraph" w:customStyle="1" w:styleId="8EADBCEB885540998AE90135D6C591D8">
    <w:name w:val="8EADBCEB885540998AE90135D6C591D8"/>
    <w:rsid w:val="008216F1"/>
  </w:style>
  <w:style w:type="paragraph" w:customStyle="1" w:styleId="269C763D119F498E9B4A0DC9D67C92D0">
    <w:name w:val="269C763D119F498E9B4A0DC9D67C92D0"/>
    <w:rsid w:val="008216F1"/>
  </w:style>
  <w:style w:type="paragraph" w:customStyle="1" w:styleId="6D631ED6C9E448C487645FFA7ADC12DE">
    <w:name w:val="6D631ED6C9E448C487645FFA7ADC12DE"/>
    <w:rsid w:val="008216F1"/>
  </w:style>
  <w:style w:type="paragraph" w:customStyle="1" w:styleId="4F443B02BB6C40B79B79BA78F9AC5E6B">
    <w:name w:val="4F443B02BB6C40B79B79BA78F9AC5E6B"/>
    <w:rsid w:val="008216F1"/>
  </w:style>
  <w:style w:type="paragraph" w:customStyle="1" w:styleId="CBCEA6F68E8441468FD97FB2B5C97740">
    <w:name w:val="CBCEA6F68E8441468FD97FB2B5C97740"/>
    <w:rsid w:val="008216F1"/>
  </w:style>
  <w:style w:type="paragraph" w:customStyle="1" w:styleId="1EDF9C4D78714E1C93304495DBB9FAB0">
    <w:name w:val="1EDF9C4D78714E1C93304495DBB9FAB0"/>
    <w:rsid w:val="008216F1"/>
  </w:style>
  <w:style w:type="paragraph" w:customStyle="1" w:styleId="228A56B126B54060AA27208FD612140B">
    <w:name w:val="228A56B126B54060AA27208FD612140B"/>
    <w:rsid w:val="008216F1"/>
  </w:style>
  <w:style w:type="paragraph" w:customStyle="1" w:styleId="7C4B51194E75445F85641C4317AA1E51">
    <w:name w:val="7C4B51194E75445F85641C4317AA1E51"/>
    <w:rsid w:val="008216F1"/>
  </w:style>
  <w:style w:type="paragraph" w:customStyle="1" w:styleId="F779107305604EE4B6D1EA458367A70F">
    <w:name w:val="F779107305604EE4B6D1EA458367A70F"/>
    <w:rsid w:val="008216F1"/>
  </w:style>
  <w:style w:type="paragraph" w:customStyle="1" w:styleId="13AC2EC8BA8E478F8D843BCC0BD40EEA">
    <w:name w:val="13AC2EC8BA8E478F8D843BCC0BD40EEA"/>
    <w:rsid w:val="008216F1"/>
  </w:style>
  <w:style w:type="paragraph" w:customStyle="1" w:styleId="EBE5AA872C944CD28E07A253CECA6137">
    <w:name w:val="EBE5AA872C944CD28E07A253CECA6137"/>
    <w:rsid w:val="008216F1"/>
  </w:style>
  <w:style w:type="paragraph" w:customStyle="1" w:styleId="18C8943D137742908A217DCF95F5F148">
    <w:name w:val="18C8943D137742908A217DCF95F5F148"/>
    <w:rsid w:val="008216F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2020-08-17T00:00:00</PublishDate>
  <Abstract>December 2019 the European Commission approved €3.2 billion in state aid to create a European car battery value chain under the notion of green growth and industrial prowess. This action reveals an apparent break with previous policy, constituting a break from horizontal to vertical industrial policy. This paper seeks to first establish whether or not the EU experienced a break. After which, this insight is validated through HI paradigm shift theory. It leads the paper to a causal mechanism in which minimum causes for a shift are laid bare. This article argues that the EU in fact did not experience a paradigm shift, as vertical policy was already in place. As multiple INUS causes appear inconclusive or absent, theory supports the inference that a shift did not take place.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Version="6">
  <b:Source>
    <b:Tag>Sac09</b:Tag>
    <b:SourceType>Report</b:SourceType>
    <b:Guid>{A657BFA0-362D-40DE-AE17-1038E53DBCED}</b:Guid>
    <b:Title>Die Zukunft nicht aufs Spiel setzen</b:Title>
    <b:Year>2009</b:Year>
    <b:Author>
      <b:Author>
        <b:NameList>
          <b:Person>
            <b:Last>Sachverständigenrat</b:Last>
          </b:Person>
        </b:NameList>
      </b:Author>
    </b:Author>
    <b:Publisher>Sachverständigenrat zur Begutachtung der gestamtwirtschaftlichen Entwickelung</b:Publisher>
    <b:City>Paderborn</b:City>
    <b:RefOrder>21</b:RefOrder>
  </b:Source>
  <b:Source>
    <b:Tag>Key78</b:Tag>
    <b:SourceType>BookSection</b:SourceType>
    <b:Guid>{E0BB0935-4C32-4955-8287-666804249310}</b:Guid>
    <b:Author>
      <b:Author>
        <b:NameList>
          <b:Person>
            <b:Last>Keynes</b:Last>
            <b:First>J.M.</b:First>
          </b:Person>
        </b:NameList>
      </b:Author>
      <b:BookAuthor>
        <b:NameList>
          <b:Person>
            <b:Last>Johnson</b:Last>
            <b:First>E.</b:First>
          </b:Person>
          <b:Person>
            <b:Last>Moggridge</b:Last>
            <b:First>D.</b:First>
          </b:Person>
        </b:NameList>
      </b:BookAuthor>
    </b:Author>
    <b:Title>The End of Laissez-faire</b:Title>
    <b:BookTitle>The Collected Writings of John Maynard Keynes, Vol. IX</b:BookTitle>
    <b:Year>1978</b:Year>
    <b:Pages>272-294</b:Pages>
    <b:City>Cambridge</b:City>
    <b:Publisher>Royal Economic Society</b:Publisher>
    <b:RefOrder>1</b:RefOrder>
  </b:Source>
  <b:Source>
    <b:Tag>Thi83</b:Tag>
    <b:SourceType>JournalArticle</b:SourceType>
    <b:Guid>{77ABF17D-90DB-4972-98B6-F6FE7BD05B50}</b:Guid>
    <b:Author>
      <b:Author>
        <b:NameList>
          <b:Person>
            <b:Last>Thirlwall</b:Last>
            <b:First>A.P.</b:First>
          </b:Person>
        </b:NameList>
      </b:Author>
    </b:Author>
    <b:Title>A plain man's guide to Kaldor's growth laws</b:Title>
    <b:JournalName>Journal of Post Keynesian Economics</b:JournalName>
    <b:Year>1983</b:Year>
    <b:Pages>345-358</b:Pages>
    <b:RefOrder>22</b:RefOrder>
  </b:Source>
  <b:Source>
    <b:Tag>Hog19</b:Tag>
    <b:SourceType>JournalArticle</b:SourceType>
    <b:Guid>{4ADBDC54-F264-4CAD-A90C-F343218098DB}</b:Guid>
    <b:Author>
      <b:Author>
        <b:NameList>
          <b:Person>
            <b:Last>Hogan</b:Last>
            <b:First>J.</b:First>
          </b:Person>
        </b:NameList>
      </b:Author>
    </b:Author>
    <b:Title>The Critical Juncture Concept’s Evolving Capacity to Explain Policy Change</b:Title>
    <b:JournalName>European Policy Analysis</b:JournalName>
    <b:Year>2019</b:Year>
    <b:Pages>170-189</b:Pages>
    <b:RefOrder>23</b:RefOrder>
  </b:Source>
  <b:Source>
    <b:Tag>Pie04</b:Tag>
    <b:SourceType>Book</b:SourceType>
    <b:Guid>{D3548468-DF86-4F0E-BF24-C58C5AA2B247}</b:Guid>
    <b:Title>Politics in Time: History, Institutions, and Social Analysis</b:Title>
    <b:Year>2004</b:Year>
    <b:City>Princeton</b:City>
    <b:Publisher>Princeton University Press</b:Publisher>
    <b:Author>
      <b:Author>
        <b:NameList>
          <b:Person>
            <b:Last>Pierson</b:Last>
            <b:First>P.</b:First>
          </b:Person>
        </b:NameList>
      </b:Author>
    </b:Author>
    <b:RefOrder>24</b:RefOrder>
  </b:Source>
  <b:Source>
    <b:Tag>Str05</b:Tag>
    <b:SourceType>BookSection</b:SourceType>
    <b:Guid>{DCF537CF-5904-4A05-8412-37F143B10D15}</b:Guid>
    <b:Author>
      <b:Author>
        <b:NameList>
          <b:Person>
            <b:Last>Streeck</b:Last>
            <b:First>W.</b:First>
          </b:Person>
          <b:Person>
            <b:Last>Thelen</b:Last>
            <b:First>K.</b:First>
          </b:Person>
        </b:NameList>
      </b:Author>
      <b:BookAuthor>
        <b:NameList>
          <b:Person>
            <b:Last>Steinmo</b:Last>
            <b:First>S.</b:First>
          </b:Person>
          <b:Person>
            <b:Last>Thelen</b:Last>
            <b:First>K.</b:First>
          </b:Person>
          <b:Person>
            <b:Last>Longstreth</b:Last>
            <b:First>F.</b:First>
          </b:Person>
        </b:NameList>
      </b:BookAuthor>
    </b:Author>
    <b:Title>Historical Institutionalism in Comparative Politics</b:Title>
    <b:Year>2005</b:Year>
    <b:City>Cambridge</b:City>
    <b:Publisher>Cambridge University Press</b:Publisher>
    <b:BookTitle>Beyond Continuity. Institutional Change in Advanced Political Economies</b:BookTitle>
    <b:Pages>1-31</b:Pages>
    <b:RefOrder>25</b:RefOrder>
  </b:Source>
  <b:Source>
    <b:Tag>Mat12</b:Tag>
    <b:SourceType>Book</b:SourceType>
    <b:Guid>{70781872-73D1-49A3-AEEF-0EF8007B385A}</b:Guid>
    <b:Title>Ideas and Economic Crises in Britain from Attlee to Blair (1945–2005)</b:Title>
    <b:Year>2012</b:Year>
    <b:Author>
      <b:Author>
        <b:NameList>
          <b:Person>
            <b:Last>Matthijs</b:Last>
            <b:First>M.</b:First>
          </b:Person>
        </b:NameList>
      </b:Author>
    </b:Author>
    <b:City>Abingdon</b:City>
    <b:Publisher>Routledge</b:Publisher>
    <b:RefOrder>26</b:RefOrder>
  </b:Source>
  <b:Source>
    <b:Tag>Sch08</b:Tag>
    <b:SourceType>JournalArticle</b:SourceType>
    <b:Guid>{ED1CFAA3-AF81-4A95-A8F4-B6DEAC6F30E8}</b:Guid>
    <b:Author>
      <b:Author>
        <b:NameList>
          <b:Person>
            <b:Last>Schmidt</b:Last>
            <b:First>V.A.</b:First>
          </b:Person>
        </b:NameList>
      </b:Author>
    </b:Author>
    <b:Title>Discursive Institutionalism: The Explanatory Power of Ideas and Discourse</b:Title>
    <b:JournalName>Annual Review of Political Science</b:JournalName>
    <b:Year>2008</b:Year>
    <b:Pages>303-326</b:Pages>
    <b:RefOrder>27</b:RefOrder>
  </b:Source>
  <b:Source>
    <b:Tag>She07</b:Tag>
    <b:SourceType>BookSection</b:SourceType>
    <b:Guid>{E84CE3F9-8A6C-4445-AFB1-B86B2B4A0A67}</b:Guid>
    <b:Author>
      <b:Author>
        <b:NameList>
          <b:Person>
            <b:Last>Sheingate</b:Last>
            <b:First>A.</b:First>
          </b:Person>
        </b:NameList>
      </b:Author>
      <b:BookAuthor>
        <b:NameList>
          <b:Person>
            <b:Last>Skoronek</b:Last>
            <b:First>S.</b:First>
          </b:Person>
          <b:Person>
            <b:Last>Glassman</b:Last>
            <b:First>M.</b:First>
          </b:Person>
        </b:NameList>
      </b:BookAuthor>
    </b:Author>
    <b:Title>The Terrain of the Political Entrepeneur</b:Title>
    <b:Year>2007</b:Year>
    <b:Pages>13-31</b:Pages>
    <b:BookTitle>Formative Acts: American Politics in the Making</b:BookTitle>
    <b:City>New York</b:City>
    <b:Publisher>Agathon</b:Publisher>
    <b:RefOrder>28</b:RefOrder>
  </b:Source>
  <b:Source>
    <b:Tag>Wei92</b:Tag>
    <b:SourceType>Book</b:SourceType>
    <b:Guid>{B82C66C1-4C7C-4787-81F9-CDA768D2AA00}</b:Guid>
    <b:Title>Politics and Jobs: The Bounderies of Employment Policy in the United States</b:Title>
    <b:Year>1992</b:Year>
    <b:Author>
      <b:Author>
        <b:NameList>
          <b:Person>
            <b:Last>Weir</b:Last>
            <b:First>M.</b:First>
          </b:Person>
        </b:NameList>
      </b:Author>
    </b:Author>
    <b:City>Princeton</b:City>
    <b:Publisher>Princeton University Press</b:Publisher>
    <b:RefOrder>29</b:RefOrder>
  </b:Source>
  <b:Source>
    <b:Tag>Bra15</b:Tag>
    <b:SourceType>JournalArticle</b:SourceType>
    <b:Guid>{AABEDC70-C0A9-4D2F-8709-75AF9CCDA157}</b:Guid>
    <b:Title>Preparedness, Crisis Management and Policy Change: The Euro Area at the Critical Juncture of 2008–2013</b:Title>
    <b:Year>2015</b:Year>
    <b:Author>
      <b:Author>
        <b:NameList>
          <b:Person>
            <b:Last>Braun</b:Last>
            <b:First>B.</b:First>
          </b:Person>
        </b:NameList>
      </b:Author>
    </b:Author>
    <b:JournalName>British Journal of Politics and International Relations</b:JournalName>
    <b:Pages>419-441</b:Pages>
    <b:RefOrder>30</b:RefOrder>
  </b:Source>
  <b:Source>
    <b:Tag>Goo95</b:Tag>
    <b:SourceType>JournalArticle</b:SourceType>
    <b:Guid>{F9D25BDB-D454-4C0D-8E13-26A0B84762FF}</b:Guid>
    <b:Author>
      <b:Author>
        <b:NameList>
          <b:Person>
            <b:Last>Goodhart</b:Last>
            <b:First>C.A.E.</b:First>
          </b:Person>
          <b:Person>
            <b:Last>Schoenmaker</b:Last>
            <b:First>D.</b:First>
          </b:Person>
        </b:NameList>
      </b:Author>
    </b:Author>
    <b:Title>Should the functions of monetary policy and banking supervision be separated?</b:Title>
    <b:JournalName>Oxford Economic Papers</b:JournalName>
    <b:Year>1995</b:Year>
    <b:Pages>539–560</b:Pages>
    <b:RefOrder>31</b:RefOrder>
  </b:Source>
  <b:Source>
    <b:Tag>Bos17</b:Tag>
    <b:SourceType>JournalArticle</b:SourceType>
    <b:Guid>{ECDD9A58-6CCD-4F01-8DE2-D5D2519E61A5}</b:Guid>
    <b:Author>
      <b:Author>
        <b:NameList>
          <b:Person>
            <b:Last>Boswell</b:Last>
            <b:First>C.</b:First>
          </b:Person>
          <b:Person>
            <b:Last>Hampshire</b:Last>
            <b:First>J.</b:First>
          </b:Person>
        </b:NameList>
      </b:Author>
    </b:Author>
    <b:Title>Ideas and agency in immigration policy: A discursive institutionalist approach</b:Title>
    <b:JournalName>European Journal of Political Research</b:JournalName>
    <b:Year>2017</b:Year>
    <b:Pages>133-150</b:Pages>
    <b:RefOrder>32</b:RefOrder>
  </b:Source>
  <b:Source>
    <b:Tag>Car16</b:Tag>
    <b:SourceType>JournalArticle</b:SourceType>
    <b:Guid>{ED0D1E15-0A33-404D-940E-8F007D79672C}</b:Guid>
    <b:Title>Power through, over and in ideas: Conceptualizing ideational power in discursive institutionalism</b:Title>
    <b:Year>2016</b:Year>
    <b:Author>
      <b:Author>
        <b:NameList>
          <b:Person>
            <b:Last>Carstensen</b:Last>
            <b:First>M.</b:First>
          </b:Person>
          <b:Person>
            <b:Last>Schmidt</b:Last>
            <b:First>V.A.</b:First>
          </b:Person>
        </b:NameList>
      </b:Author>
    </b:Author>
    <b:JournalName>Journal of European Public Policy</b:JournalName>
    <b:Pages>318-337</b:Pages>
    <b:RefOrder>33</b:RefOrder>
  </b:Source>
  <b:Source>
    <b:Tag>Wig14</b:Tag>
    <b:SourceType>JournalArticle</b:SourceType>
    <b:Guid>{91547824-3C28-4F69-A098-34C4A6C511BC}</b:Guid>
    <b:Author>
      <b:Author>
        <b:NameList>
          <b:Person>
            <b:Last>Wigger</b:Last>
            <b:First>A.</b:First>
          </b:Person>
          <b:Person>
            <b:Last>Buch-Hansen</b:Last>
            <b:First>H.</b:First>
          </b:Person>
        </b:NameList>
      </b:Author>
    </b:Author>
    <b:Title>Explaining (Missing) Regulatory Paradigm Shifts: EU Competition Regulation in Times of Economic Crisis</b:Title>
    <b:Year>2014</b:Year>
    <b:Publisher>New Political Economy</b:Publisher>
    <b:JournalName>New Political Economy</b:JournalName>
    <b:Pages>113-137</b:Pages>
    <b:RefOrder>34</b:RefOrder>
  </b:Source>
  <b:Source>
    <b:Tag>Car</b:Tag>
    <b:SourceType>JournalArticle</b:SourceType>
    <b:Guid>{C1ADB355-5B21-435A-BA2F-B9A21A064FFA}</b:Guid>
    <b:Author>
      <b:Author>
        <b:NameList>
          <b:Person>
            <b:Last>Carstensen</b:Last>
            <b:First>M.B.</b:First>
          </b:Person>
          <b:Person>
            <b:Last>Röper</b:Last>
            <b:First>N.</b:First>
          </b:Person>
        </b:NameList>
      </b:Author>
    </b:Author>
    <b:Title>Invasion From Within: Ideas, Power, and the Transmission of Institutional Logics Between Policy Domains</b:Title>
    <b:JournalName>Comparative Political Studies</b:JournalName>
    <b:Year>2019</b:Year>
    <b:Pages>1328-1363</b:Pages>
    <b:RefOrder>35</b:RefOrder>
  </b:Source>
  <b:Source>
    <b:Tag>Ber13</b:Tag>
    <b:SourceType>JournalArticle</b:SourceType>
    <b:Guid>{A905FE70-C6D1-46DF-951B-614912097389}</b:Guid>
    <b:Author>
      <b:Author>
        <b:NameList>
          <b:Person>
            <b:Last>Berman</b:Last>
            <b:First>S.</b:First>
          </b:Person>
        </b:NameList>
      </b:Author>
    </b:Author>
    <b:Title>Ideational Theorizing in the Social Sciences since "Policy Paradigms, Social Learning, And the State"</b:Title>
    <b:JournalName>Governance: An INternational Journal of Policy, Administration, and Institutions</b:JournalName>
    <b:Year>2013</b:Year>
    <b:Pages>217-237</b:Pages>
    <b:RefOrder>36</b:RefOrder>
  </b:Source>
  <b:Source>
    <b:Tag>Ste081</b:Tag>
    <b:SourceType>BookSection</b:SourceType>
    <b:Guid>{A01850B7-C0AC-4FF3-B27D-EFE1672B6995}</b:Guid>
    <b:Title>What is Historical Institutionalism?</b:Title>
    <b:Year>2008</b:Year>
    <b:City>Cambridge</b:City>
    <b:Publisher>Cambridge University Press</b:Publisher>
    <b:Author>
      <b:Author>
        <b:NameList>
          <b:Person>
            <b:Last>Steinmo</b:Last>
            <b:First>S.</b:First>
          </b:Person>
        </b:NameList>
      </b:Author>
      <b:BookAuthor>
        <b:NameList>
          <b:Person>
            <b:Last>Della Porta</b:Last>
            <b:First>D.</b:First>
          </b:Person>
          <b:Person>
            <b:Last>Keating</b:Last>
            <b:First>M.</b:First>
          </b:Person>
        </b:NameList>
      </b:BookAuthor>
    </b:Author>
    <b:BookTitle>Approaches in the Social Sciences</b:BookTitle>
    <b:RefOrder>37</b:RefOrder>
  </b:Source>
  <b:Source>
    <b:Tag>BBC20</b:Tag>
    <b:SourceType>InternetSite</b:SourceType>
    <b:Guid>{8CB7B26A-9EE6-41C7-8B3D-BC794C4F4D6A}</b:Guid>
    <b:Author>
      <b:Author>
        <b:NameList>
          <b:Person>
            <b:Last>BBC</b:Last>
          </b:Person>
        </b:NameList>
      </b:Author>
    </b:Author>
    <b:Title>Greta Thunberg brands EU's new climate law 'surrender'</b:Title>
    <b:InternetSiteTitle>BBC</b:InternetSiteTitle>
    <b:Year>2020</b:Year>
    <b:Month>March</b:Month>
    <b:Day>4</b:Day>
    <b:YearAccessed>2020</b:YearAccessed>
    <b:MonthAccessed>July</b:MonthAccessed>
    <b:DayAccessed>2</b:DayAccessed>
    <b:URL>https://www.bbc.com/news/world-europe-51736134</b:URL>
    <b:RefOrder>19</b:RefOrder>
  </b:Source>
  <b:Source>
    <b:Tag>Con19</b:Tag>
    <b:SourceType>Report</b:SourceType>
    <b:Guid>{336EBFBF-65E2-4ADF-B89B-CC0152F87615}</b:Guid>
    <b:Title>The Conservatists and Unionist Party Manifesto 2019</b:Title>
    <b:Year>2019</b:Year>
    <b:Author>
      <b:Author>
        <b:NameList>
          <b:Person>
            <b:Last>Conservatists</b:Last>
          </b:Person>
        </b:NameList>
      </b:Author>
    </b:Author>
    <b:Publisher>Conservatists</b:Publisher>
    <b:City>London</b:City>
    <b:RefOrder>9</b:RefOrder>
  </b:Source>
  <b:Source>
    <b:Tag>Rij19</b:Tag>
    <b:SourceType>InternetSite</b:SourceType>
    <b:Guid>{F2F34ED5-2B71-4E42-9156-B7F5FCA36D04}</b:Guid>
    <b:Title>Nederlandse staat koopt 12,68% van de aandelen in Air France-KLM</b:Title>
    <b:Year>2019</b:Year>
    <b:Author>
      <b:Author>
        <b:NameList>
          <b:Person>
            <b:Last>Rijksoverheid</b:Last>
          </b:Person>
        </b:NameList>
      </b:Author>
    </b:Author>
    <b:InternetSiteTitle>Rijksoverheid</b:InternetSiteTitle>
    <b:Month>February</b:Month>
    <b:Day>26</b:Day>
    <b:YearAccessed>2020</b:YearAccessed>
    <b:MonthAccessed>July</b:MonthAccessed>
    <b:DayAccessed>2</b:DayAccessed>
    <b:URL>https://www.rijksoverheid.nl/actueel/nieuws/2019/02/26/nederlandse-staat-koopt-1268-van-de-aandelen-in-air-france-klm</b:URL>
    <b:RefOrder>6</b:RefOrder>
  </b:Source>
  <b:Source>
    <b:Tag>Wie20</b:Tag>
    <b:SourceType>Report</b:SourceType>
    <b:Guid>{50A6AB35-EFA6-46D1-B96A-66F6D2F9B6C5}</b:Guid>
    <b:Title>Betreft IHC</b:Title>
    <b:Year>2020</b:Year>
    <b:Author>
      <b:Author>
        <b:NameList>
          <b:Person>
            <b:Last>Wiebes</b:Last>
            <b:First>E.</b:First>
          </b:Person>
          <b:Person>
            <b:Last>Vijlbrief</b:Last>
            <b:First>H.</b:First>
          </b:Person>
        </b:NameList>
      </b:Author>
    </b:Author>
    <b:Publisher>Ministerie van Economische Zaken en Klimaat</b:Publisher>
    <b:City>Den Haag</b:City>
    <b:RefOrder>7</b:RefOrder>
  </b:Source>
  <b:Source>
    <b:Tag>Kei20</b:Tag>
    <b:SourceType>Report</b:SourceType>
    <b:Guid>{187703A1-65F3-4E2C-B3E2-F7288B8E652B}</b:Guid>
    <b:Author>
      <b:Author>
        <b:NameList>
          <b:Person>
            <b:Last>Keijzer</b:Last>
            <b:First>M.C.G.</b:First>
          </b:Person>
        </b:NameList>
      </b:Author>
    </b:Author>
    <b:Title>Financiering van het bedrijf Smart Photonics</b:Title>
    <b:Year>2020</b:Year>
    <b:Publisher>Ministerie van Economische Zaken en Klimaat</b:Publisher>
    <b:City>Den Haag</b:City>
    <b:RefOrder>8</b:RefOrder>
  </b:Source>
  <b:Source>
    <b:Tag>BIS20</b:Tag>
    <b:SourceType>Report</b:SourceType>
    <b:Guid>{DD974E62-2B66-4750-B4A8-7A5E1D7D3A29}</b:Guid>
    <b:Author>
      <b:Author>
        <b:NameList>
          <b:Person>
            <b:Last>BIS</b:Last>
          </b:Person>
        </b:NameList>
      </b:Author>
    </b:Author>
    <b:Title>Annual Economic Report</b:Title>
    <b:Year>2020</b:Year>
    <b:Publisher>Bank for International Settlements </b:Publisher>
    <b:City>Basel</b:City>
    <b:RefOrder>17</b:RefOrder>
  </b:Source>
  <b:Source>
    <b:Tag>Bun20</b:Tag>
    <b:SourceType>InternetSite</b:SourceType>
    <b:Guid>{B359A178-8FA5-44C0-9836-6406DD65C97B}</b:Guid>
    <b:Title>ECB decisions on the Public Sector Purchase Programme exceed EU competences</b:Title>
    <b:Year>2020</b:Year>
    <b:Author>
      <b:Author>
        <b:NameList>
          <b:Person>
            <b:Last>Bundesverfassungsgericht</b:Last>
          </b:Person>
        </b:NameList>
      </b:Author>
    </b:Author>
    <b:InternetSiteTitle>Bundesverfassungsgericht</b:InternetSiteTitle>
    <b:Month>May</b:Month>
    <b:Day>5</b:Day>
    <b:YearAccessed>2020</b:YearAccessed>
    <b:MonthAccessed>July</b:MonthAccessed>
    <b:DayAccessed>2</b:DayAccessed>
    <b:URL>https://www.bundesverfassungsgericht.de/SharedDocs/Pressemitteilungen/EN/2020/bvg20-032.html</b:URL>
    <b:RefOrder>18</b:RefOrder>
  </b:Source>
  <b:Source>
    <b:Tag>Sve20</b:Tag>
    <b:SourceType>InternetSite</b:SourceType>
    <b:Guid>{C85F229B-0783-4469-B9A0-71B334AFAE91}</b:Guid>
    <b:Author>
      <b:Author>
        <b:NameList>
          <b:Person>
            <b:Last>Riksbank</b:Last>
            <b:First>Sveriges</b:First>
          </b:Person>
        </b:NameList>
      </b:Author>
    </b:Author>
    <b:Title>Further measures to alleviate the economic consequences of the pandemic</b:Title>
    <b:InternetSiteTitle>Riksbank</b:InternetSiteTitle>
    <b:Year>2020</b:Year>
    <b:Month>July</b:Month>
    <b:Day>1</b:Day>
    <b:YearAccessed>2020</b:YearAccessed>
    <b:MonthAccessed>July</b:MonthAccessed>
    <b:DayAccessed>2</b:DayAccessed>
    <b:URL>https://www.riksbank.se/en-gb/press-and-published/notices-and-press-releases/press-releases/2020/further-measures-to-alleviate-the-economic-consequences-of-the-pandemic/</b:URL>
    <b:RefOrder>38</b:RefOrder>
  </b:Source>
  <b:Source>
    <b:Tag>Lew20</b:Tag>
    <b:SourceType>InternetSite</b:SourceType>
    <b:Guid>{B744035F-E8B4-4893-8BA3-6F3282E30476}</b:Guid>
    <b:Title>“Modern Monetary Theory” Goes Mainstream</b:Title>
    <b:Year>2020</b:Year>
    <b:Author>
      <b:Author>
        <b:NameList>
          <b:Person>
            <b:Last>Lewis</b:Last>
            <b:First>N.</b:First>
          </b:Person>
        </b:NameList>
      </b:Author>
    </b:Author>
    <b:InternetSiteTitle>Forbes</b:InternetSiteTitle>
    <b:Month>July</b:Month>
    <b:Day>10</b:Day>
    <b:URL>https://www.forbes.com/sites/nathanlewis/2020/07/10/modern-monetary-theory-goes-mainstream/#1eb20fe521e5</b:URL>
    <b:RefOrder>39</b:RefOrder>
  </b:Source>
  <b:Source>
    <b:Tag>Buc18</b:Tag>
    <b:SourceType>JournalArticle</b:SourceType>
    <b:Guid>{B5EB8D7E-9FE5-4886-B946-8C5042B1AE18}</b:Guid>
    <b:Title>The Prerequisites for a Degrowth Paradigm Shift: Insights from Critical Political Economy</b:Title>
    <b:Year>2018</b:Year>
    <b:Author>
      <b:Author>
        <b:NameList>
          <b:Person>
            <b:Last>Buch-Hansen</b:Last>
            <b:First>H.</b:First>
          </b:Person>
        </b:NameList>
      </b:Author>
    </b:Author>
    <b:JournalName>Ecological Economics</b:JournalName>
    <b:Pages>157-163</b:Pages>
    <b:RefOrder>40</b:RefOrder>
  </b:Source>
  <b:Source>
    <b:Tag>ICC18</b:Tag>
    <b:SourceType>Report</b:SourceType>
    <b:Guid>{58495016-FFD2-48A8-BE3D-89D3470610C1}</b:Guid>
    <b:Author>
      <b:Author>
        <b:NameList>
          <b:Person>
            <b:Last>ICCT</b:Last>
          </b:Person>
        </b:NameList>
      </b:Author>
    </b:Author>
    <b:Title>European Vehicle Market Statistics</b:Title>
    <b:Year>2018</b:Year>
    <b:Publisher>ICCT</b:Publisher>
    <b:City>Berlin</b:City>
    <b:RefOrder>41</b:RefOrder>
  </b:Source>
  <b:Source>
    <b:Tag>KPM20</b:Tag>
    <b:SourceType>Report</b:SourceType>
    <b:Guid>{155FD7BA-DB2B-42CB-A0DD-31AE9EFD27BA}</b:Guid>
    <b:Title>Global Automotive Executive Survey 2020</b:Title>
    <b:Year>2020</b:Year>
    <b:Author>
      <b:Author>
        <b:NameList>
          <b:Person>
            <b:Last>KPMG</b:Last>
          </b:Person>
        </b:NameList>
      </b:Author>
    </b:Author>
    <b:Publisher>KPMG</b:Publisher>
    <b:City>Amstelveen</b:City>
    <b:RefOrder>3</b:RefOrder>
  </b:Source>
  <b:Source>
    <b:Tag>EPR14</b:Tag>
    <b:SourceType>Report</b:SourceType>
    <b:Guid>{96C0D5E7-ECE4-45A8-B40C-CA18E45CAD81}</b:Guid>
    <b:Title>Reshoring of EU manufacturing </b:Title>
    <b:Year>2014</b:Year>
    <b:Author>
      <b:Author>
        <b:NameList>
          <b:Person>
            <b:Last>EPRS</b:Last>
          </b:Person>
        </b:NameList>
      </b:Author>
    </b:Author>
    <b:Publisher>EPRS</b:Publisher>
    <b:City>Brussels</b:City>
    <b:RefOrder>15</b:RefOrder>
  </b:Source>
  <b:Source>
    <b:Tag>McK19</b:Tag>
    <b:SourceType>Report</b:SourceType>
    <b:Guid>{72FB14DE-6069-4359-8C65-A34C2420D077}</b:Guid>
    <b:Author>
      <b:Author>
        <b:NameList>
          <b:Person>
            <b:Last>McKinsey</b:Last>
          </b:Person>
        </b:NameList>
      </b:Author>
    </b:Author>
    <b:Title>Globalisation in Transition: The Future of Trade and Value Chains</b:Title>
    <b:Year>2019</b:Year>
    <b:Publisher>McKinsey &amp; Company</b:Publisher>
    <b:City>Brussels</b:City>
    <b:RefOrder>12</b:RefOrder>
  </b:Source>
  <b:Source>
    <b:Tag>Moo20</b:Tag>
    <b:SourceType>Report</b:SourceType>
    <b:Guid>{887E78B2-DC95-4688-95D1-B2B45EDB8788}</b:Guid>
    <b:Author>
      <b:Author>
        <b:NameList>
          <b:Person>
            <b:Last>Moody's</b:Last>
          </b:Person>
        </b:NameList>
      </b:Author>
    </b:Author>
    <b:Title>Global Macro Outlook 2020-21 (April 2020 Update)</b:Title>
    <b:Year>2020</b:Year>
    <b:Publisher>Moody's</b:Publisher>
    <b:RefOrder>13</b:RefOrder>
  </b:Source>
  <b:Source>
    <b:Tag>Cef18</b:Tag>
    <b:SourceType>Report</b:SourceType>
    <b:Guid>{B2C40AD9-A1AC-48A0-BC1D-C3D29594B488}</b:Guid>
    <b:Title>Cefic Manifesto for a competitive Europe</b:Title>
    <b:Year>2018</b:Year>
    <b:Author>
      <b:Author>
        <b:NameList>
          <b:Person>
            <b:Last>Cefic</b:Last>
          </b:Person>
        </b:NameList>
      </b:Author>
    </b:Author>
    <b:Publisher>Cefic</b:Publisher>
    <b:City>Brussels</b:City>
    <b:RefOrder>14</b:RefOrder>
  </b:Source>
  <b:Source>
    <b:Tag>UNH19</b:Tag>
    <b:SourceType>Report</b:SourceType>
    <b:Guid>{B01AD65F-CFA5-42FC-A507-F82345ADA67B}</b:Guid>
    <b:Author>
      <b:Author>
        <b:NameList>
          <b:Person>
            <b:Last>UNHCR</b:Last>
          </b:Person>
        </b:NameList>
      </b:Author>
    </b:Author>
    <b:Title>Global Trends, Forced displacement</b:Title>
    <b:Year>2019</b:Year>
    <b:Publisher>UN</b:Publisher>
    <b:City>New York</b:City>
    <b:RefOrder>4</b:RefOrder>
  </b:Source>
  <b:Source>
    <b:Tag>Alt19</b:Tag>
    <b:SourceType>Report</b:SourceType>
    <b:Guid>{5307F3DF-FDA6-466D-8CC8-BF5F201F30CE}</b:Guid>
    <b:Title>A Franco-German Manifesto for a European industrial policy fit for the 21st Century</b:Title>
    <b:Year>2019</b:Year>
    <b:Author>
      <b:Author>
        <b:NameList>
          <b:Person>
            <b:Last>Altmaier</b:Last>
            <b:First>P.</b:First>
          </b:Person>
          <b:Person>
            <b:Last>Maire</b:Last>
            <b:First>B.</b:First>
          </b:Person>
        </b:NameList>
      </b:Author>
    </b:Author>
    <b:Publisher>Bunderministerium für Wirtschaft und Energie; Minestère de l'Économie et des Finance</b:Publisher>
    <b:City>Berlin, Paris</b:City>
    <b:RefOrder>5</b:RefOrder>
  </b:Source>
  <b:Source>
    <b:Tag>Kru20</b:Tag>
    <b:SourceType>ArticleInAPeriodical</b:SourceType>
    <b:Guid>{70D005BA-20BF-40A2-8574-C742C3EB9A4D}</b:Guid>
    <b:Author>
      <b:Author>
        <b:NameList>
          <b:Person>
            <b:Last>Krugman</b:Last>
            <b:First>P.</b:First>
          </b:Person>
        </b:NameList>
      </b:Author>
    </b:Author>
    <b:Title>Notes on the Coronacoma (Wonkish)</b:Title>
    <b:PeriodicalTitle>New York Times</b:PeriodicalTitle>
    <b:Year>2020</b:Year>
    <b:Month>April</b:Month>
    <b:Day>1</b:Day>
    <b:RefOrder>20</b:RefOrder>
  </b:Source>
  <b:Source>
    <b:Tag>Hei20</b:Tag>
    <b:SourceType>Interview</b:SourceType>
    <b:Guid>{EA3CABD7-8188-4486-845D-CF593B7FF65C}</b:Guid>
    <b:Title>Das ist gelebte EU-Solidarität</b:Title>
    <b:Year>2020</b:Year>
    <b:Author>
      <b:Interviewee>
        <b:NameList>
          <b:Person>
            <b:Last>Maas</b:Last>
            <b:First>Heiko</b:First>
          </b:Person>
        </b:NameList>
      </b:Interviewee>
      <b:Interviewer>
        <b:NameList>
          <b:Person>
            <b:Last>Hoffmann</b:Last>
            <b:First>C.</b:First>
          </b:Person>
          <b:Person>
            <b:Last>Schult</b:Last>
            <b:First>C.</b:First>
          </b:Person>
        </b:NameList>
      </b:Interviewer>
    </b:Author>
    <b:Month>April</b:Month>
    <b:Day>11</b:Day>
    <b:RefOrder>11</b:RefOrder>
  </b:Source>
  <b:Source>
    <b:Tag>ACE20</b:Tag>
    <b:SourceType>DocumentFromInternetSite</b:SourceType>
    <b:Guid>{95FA5F8A-23F9-4DF9-8DFB-771357DCD298}</b:Guid>
    <b:Title>COVID-19 Auto sector letter von der Leyen</b:Title>
    <b:InternetSiteTitle>Acea</b:InternetSiteTitle>
    <b:Year>2020</b:Year>
    <b:Month>March</b:Month>
    <b:Day>25</b:Day>
    <b:URL>https://www.acea.be/uploads/news_documents/COVID19_auto_sector_letter_Von_der_Leyen.pdf</b:URL>
    <b:Author>
      <b:Author>
        <b:NameList>
          <b:Person>
            <b:Last>ACEA</b:Last>
          </b:Person>
          <b:Person>
            <b:Last>CLEPA</b:Last>
          </b:Person>
          <b:Person>
            <b:Last>ETRMA</b:Last>
          </b:Person>
          <b:Person>
            <b:Last>CECRA</b:Last>
          </b:Person>
        </b:NameList>
      </b:Author>
    </b:Author>
    <b:RefOrder>10</b:RefOrder>
  </b:Source>
  <b:Source>
    <b:Tag>Sco20</b:Tag>
    <b:SourceType>InternetSite</b:SourceType>
    <b:Guid>{23F4A0D5-7B80-48C3-800A-871932BC3050}</b:Guid>
    <b:Author>
      <b:Author>
        <b:NameList>
          <b:Person>
            <b:Last>Scott</b:Last>
            <b:First>M.</b:First>
          </b:Person>
          <b:Person>
            <b:Last>Posaner</b:Last>
            <b:First>J.</b:First>
          </b:Person>
        </b:NameList>
      </b:Author>
    </b:Author>
    <b:Title>Europe’s big battery bet</b:Title>
    <b:InternetSiteTitle>Politico</b:InternetSiteTitle>
    <b:Year>2020</b:Year>
    <b:Month>July</b:Month>
    <b:Day>26</b:Day>
    <b:URL>https://www.politico.eu/article/europe-battery-electric-tesla-china/</b:URL>
    <b:RefOrder>42</b:RefOrder>
  </b:Source>
  <b:Source>
    <b:Tag>Eur19</b:Tag>
    <b:SourceType>InternetSite</b:SourceType>
    <b:Guid>{344D868C-A085-4BC8-B3CB-16D6F8D8DFD6}</b:Guid>
    <b:Title>State aid: Commission opens investigation into proposed public support for Samsung plant in Hungary</b:Title>
    <b:InternetSiteTitle>EC Europa</b:InternetSiteTitle>
    <b:Year>2019</b:Year>
    <b:Month>October</b:Month>
    <b:Day>14</b:Day>
    <b:URL>https://ec.europa.eu/commission/presscorner/detail/en/IP_19_6078</b:URL>
    <b:Author>
      <b:Author>
        <b:NameList>
          <b:Person>
            <b:Last>Commission</b:Last>
            <b:First>European</b:First>
          </b:Person>
        </b:NameList>
      </b:Author>
    </b:Author>
    <b:RefOrder>43</b:RefOrder>
  </b:Source>
  <b:Source>
    <b:Tag>Gon20</b:Tag>
    <b:SourceType>InternetSite</b:SourceType>
    <b:Guid>{D7F368E2-4F5C-41A0-8455-FF2C5EFD3F83}</b:Guid>
    <b:Author>
      <b:Author>
        <b:NameList>
          <b:Person>
            <b:Last>Goncalves</b:Last>
            <b:First>S.</b:First>
          </b:Person>
        </b:NameList>
      </b:Author>
    </b:Author>
    <b:Title>Reuters</b:Title>
    <b:InternetSiteTitle>Portugal plans new hydrogen plant in post-coronavirus 'green' future</b:InternetSiteTitle>
    <b:Year>2020</b:Year>
    <b:Month>April</b:Month>
    <b:Day>30</b:Day>
    <b:URL>https://www.reuters.com/article/us-health-coronavirus-portugal-energy-idUSKBN22C1T2</b:URL>
    <b:RefOrder>44</b:RefOrder>
  </b:Source>
  <b:Source>
    <b:Tag>Eur20</b:Tag>
    <b:SourceType>InternetSite</b:SourceType>
    <b:Guid>{D5B03CFA-AD1A-473E-87BC-FE2C5523FCD4}</b:Guid>
    <b:Author>
      <b:Author>
        <b:NameList>
          <b:Person>
            <b:Last>Commission</b:Last>
            <b:First>European</b:First>
          </b:Person>
        </b:NameList>
      </b:Author>
    </b:Author>
    <b:Title>Automotive industry</b:Title>
    <b:InternetSiteTitle>EC Commission</b:InternetSiteTitle>
    <b:Year>2020</b:Year>
    <b:Month>July</b:Month>
    <b:Day>5</b:Day>
    <b:URL>https://ec.europa.eu/growth/sectors/automotive_en</b:URL>
    <b:RefOrder>45</b:RefOrder>
  </b:Source>
  <b:Source>
    <b:Tag>Eur18</b:Tag>
    <b:SourceType>Report</b:SourceType>
    <b:Guid>{2EDB861D-82EE-44F4-9F4B-C99B2DB2A1AE}</b:Guid>
    <b:Author>
      <b:Author>
        <b:NameList>
          <b:Person>
            <b:Last>Commission</b:Last>
            <b:First>European</b:First>
          </b:Person>
        </b:NameList>
      </b:Author>
    </b:Author>
    <b:Title>Europe on the Move, Anex 2</b:Title>
    <b:Year>2018</b:Year>
    <b:Publisher>European Commission</b:Publisher>
    <b:City>Brussels</b:City>
    <b:RefOrder>46</b:RefOrder>
  </b:Source>
  <b:Source>
    <b:Tag>Eur191</b:Tag>
    <b:SourceType>Report</b:SourceType>
    <b:Guid>{1CD69923-AC5D-474C-A719-E073B32B1187}</b:Guid>
    <b:Author>
      <b:Author>
        <b:NameList>
          <b:Person>
            <b:Last>Commission</b:Last>
            <b:First>European</b:First>
          </b:Person>
        </b:NameList>
      </b:Author>
    </b:Author>
    <b:Title>Report on the Implementation of the Strategic Action Plan on Batteries: Building a Strategic Battery Value Chain in Europe</b:Title>
    <b:Year>2019</b:Year>
    <b:Publisher>European Commission</b:Publisher>
    <b:City>Brussels</b:City>
    <b:RefOrder>47</b:RefOrder>
  </b:Source>
  <b:Source>
    <b:Tag>Com20</b:Tag>
    <b:SourceType>InternetSite</b:SourceType>
    <b:Guid>{07963970-984F-485D-BD2B-A5B867331762}</b:Guid>
    <b:Author>
      <b:Author>
        <b:NameList>
          <b:Person>
            <b:Last>Commission</b:Last>
            <b:First>European</b:First>
          </b:Person>
        </b:NameList>
      </b:Author>
    </b:Author>
    <b:Title>EU Green Deal (carbon border adjustment mechanism)</b:Title>
    <b:Year>2020</b:Year>
    <b:Publisher>European C</b:Publisher>
    <b:InternetSiteTitle>EC Europea</b:InternetSiteTitle>
    <b:Month>March</b:Month>
    <b:Day>4</b:Day>
    <b:URL>https://ec.europa.eu/info/law/better-regulation/have-your-say/initiatives/12228-Carbon-Border-Adjustment-Mechanism</b:URL>
    <b:RefOrder>48</b:RefOrder>
  </b:Source>
  <b:Source>
    <b:Tag>Hie20</b:Tag>
    <b:SourceType>Report</b:SourceType>
    <b:Guid>{B57782AB-2D5E-42A0-A2EB-BF9F12798942}</b:Guid>
    <b:Title>EU carbon border tax: Unnecessary for now but still a good idea</b:Title>
    <b:Year>2020</b:Year>
    <b:Author>
      <b:Author>
        <b:NameList>
          <b:Person>
            <b:Last>Hieminga</b:Last>
            <b:First>G.</b:First>
          </b:Person>
          <b:Person>
            <b:Last>Spakman</b:Last>
            <b:First>T.</b:First>
          </b:Person>
        </b:NameList>
      </b:Author>
    </b:Author>
    <b:Publisher>ING</b:Publisher>
    <b:City>Amsterdam</b:City>
    <b:RefOrder>49</b:RefOrder>
  </b:Source>
  <b:Source>
    <b:Tag>Com00</b:Tag>
    <b:SourceType>InternetSite</b:SourceType>
    <b:Guid>{2B5DFCFB-D1D1-44A8-9D5A-F26DA6A0301D}</b:Guid>
    <b:Author>
      <b:Author>
        <b:NameList>
          <b:Person>
            <b:Last>Commission</b:Last>
            <b:First>European</b:First>
          </b:Person>
        </b:NameList>
      </b:Author>
    </b:Author>
    <b:Title>Commission extends the period of validity of the existing car framework State aid rules to the automobile industry</b:Title>
    <b:Year>2000</b:Year>
    <b:InternetSiteTitle>Europe EC</b:InternetSiteTitle>
    <b:Month>June</b:Month>
    <b:Day>13</b:Day>
    <b:URL>https://ec.europa.eu/commission/presscorner/detail/en/IP_00_604</b:URL>
    <b:RefOrder>50</b:RefOrder>
  </b:Source>
  <b:Source>
    <b:Tag>Eur97</b:Tag>
    <b:SourceType>InternetSite</b:SourceType>
    <b:Guid>{BFAF310D-303C-4D16-B519-33EADAC9D94D}</b:Guid>
    <b:Author>
      <b:Author>
        <b:NameList>
          <b:Person>
            <b:Last>Commission</b:Last>
            <b:First>European</b:First>
          </b:Person>
        </b:NameList>
      </b:Author>
    </b:Author>
    <b:Title>Monitoring state aid to the motor vehicle industry: new rules for the period 1998-2000</b:Title>
    <b:InternetSiteTitle>EC Commission</b:InternetSiteTitle>
    <b:Year>1997</b:Year>
    <b:Month>July</b:Month>
    <b:Day>15</b:Day>
    <b:URL>https://ec.europa.eu/commission/presscorner/detail/en/IP_97_662</b:URL>
    <b:RefOrder>51</b:RefOrder>
  </b:Source>
  <b:Source>
    <b:Tag>Eur15</b:Tag>
    <b:SourceType>InternetSite</b:SourceType>
    <b:Guid>{3CEAE5C9-887E-4A4D-A0DE-271D74DFE049}</b:Guid>
    <b:Author>
      <b:Author>
        <b:NameList>
          <b:Person>
            <b:Last>Commission</b:Last>
            <b:First>European</b:First>
          </b:Person>
        </b:NameList>
      </b:Author>
    </b:Author>
    <b:Title>State Aid Modernisation (SAM) and its implementation</b:Title>
    <b:InternetSiteTitle>EC Europa</b:InternetSiteTitle>
    <b:Year>2015</b:Year>
    <b:Month>June</b:Month>
    <b:Day>3</b:Day>
    <b:URL>https://ec.europa.eu/competition/state_aid/modernisation/index_en.html</b:URL>
    <b:RefOrder>52</b:RefOrder>
  </b:Source>
  <b:Source>
    <b:Tag>Off20</b:Tag>
    <b:SourceType>Report</b:SourceType>
    <b:Guid>{344B681B-57FA-4B03-9969-9FA8016249FC}</b:Guid>
    <b:Title>(2020/C 224/02) </b:Title>
    <b:Year>2020</b:Year>
    <b:Publisher>European Commission</b:Publisher>
    <b:City>Brussels</b:City>
    <b:Author>
      <b:Author>
        <b:NameList>
          <b:Person>
            <b:Last>Union</b:Last>
            <b:First>Official</b:First>
            <b:Middle>Journal of the European</b:Middle>
          </b:Person>
        </b:NameList>
      </b:Author>
    </b:Author>
    <b:RefOrder>53</b:RefOrder>
  </b:Source>
  <b:Source>
    <b:Tag>20220</b:Tag>
    <b:SourceType>Report</b:SourceType>
    <b:Guid>{FBD301BF-4DEC-4C85-831E-A87CD27ED670}</b:Guid>
    <b:Author>
      <b:Author>
        <b:NameList>
          <b:Person>
            <b:Last>2020/N</b:Last>
          </b:Person>
        </b:NameList>
      </b:Author>
    </b:Author>
    <b:Title>Aide d’État SA.57134(2020/N) –France - COVID 19 : Aide sous forme de garanties de prêts au profit du groupe Renault </b:Title>
    <b:Year>2020</b:Year>
    <b:Publisher>European Commission</b:Publisher>
    <b:City>Brussels</b:City>
    <b:RefOrder>2</b:RefOrder>
  </b:Source>
  <b:Source>
    <b:Tag>War13</b:Tag>
    <b:SourceType>JournalArticle</b:SourceType>
    <b:Guid>{7D0D86A9-D375-4A11-8F3E-20083F61B72E}</b:Guid>
    <b:Title>Beyond Industrial Policy: Emerging Issues and New Trends</b:Title>
    <b:Year>2013</b:Year>
    <b:Author>
      <b:Author>
        <b:NameList>
          <b:Person>
            <b:Last>Warwick</b:Last>
            <b:First>K.</b:First>
          </b:Person>
        </b:NameList>
      </b:Author>
    </b:Author>
    <b:JournalName>OECD Science, Technology and Industry Policy Papers</b:JournalName>
    <b:Pages>1-57</b:Pages>
    <b:RefOrder>54</b:RefOrder>
  </b:Source>
  <b:Source>
    <b:Tag>Ita10</b:Tag>
    <b:SourceType>DocumentFromInternetSite</b:SourceType>
    <b:Guid>{517F6269-E009-4E6E-8757-001412DC3B7B}</b:Guid>
    <b:Title>Competition Policy in support of the EU 2020 policy objectives </b:Title>
    <b:InternetSiteTitle>EC Europa</b:InternetSiteTitle>
    <b:Year>2010</b:Year>
    <b:Month>June</b:Month>
    <b:Day>9</b:Day>
    <b:URL>https://ec.europa.eu/competition/speeches/text/sp2010_05_en.pdf</b:URL>
    <b:Author>
      <b:Author>
        <b:NameList>
          <b:Person>
            <b:Last>Italianer</b:Last>
            <b:First>A.</b:First>
          </b:Person>
        </b:NameList>
      </b:Author>
    </b:Author>
    <b:RefOrder>16</b:RefOrder>
  </b:Source>
  <b:Source>
    <b:Tag>Kel20</b:Tag>
    <b:SourceType>Book</b:SourceType>
    <b:Guid>{5B32CA26-DB7E-460F-B304-75720E34D09A}</b:Guid>
    <b:Title>The Deficit Myth</b:Title>
    <b:Year>2020</b:Year>
    <b:City>London</b:City>
    <b:Publisher>John Murray</b:Publisher>
    <b:Author>
      <b:Author>
        <b:NameList>
          <b:Person>
            <b:Last>Kelton</b:Last>
            <b:First>S.</b:First>
          </b:Person>
        </b:NameList>
      </b:Author>
    </b:Author>
    <b:RefOrder>55</b:RefOrder>
  </b:Source>
  <b:Source>
    <b:Tag>Ben04</b:Tag>
    <b:SourceType>JournalArticle</b:SourceType>
    <b:Guid>{B3114ABC-2F92-41A5-9008-DEEEE68E918D}</b:Guid>
    <b:Title>Models of electoral system change</b:Title>
    <b:Year>2004</b:Year>
    <b:Pages>363-389</b:Pages>
    <b:Author>
      <b:Author>
        <b:NameList>
          <b:Person>
            <b:Last>Benoit</b:Last>
            <b:First>K.</b:First>
          </b:Person>
        </b:NameList>
      </b:Author>
    </b:Author>
    <b:JournalName>Electoral Studies</b:JournalName>
    <b:RefOrder>56</b:RefOrder>
  </b:Source>
  <b:Source>
    <b:Tag>Ren10</b:Tag>
    <b:SourceType>BookSection</b:SourceType>
    <b:Guid>{61B0D8E9-C1B2-4863-A4FE-D24A1D851B93}</b:Guid>
    <b:Title>Elite-mass interaction: comparative analysis</b:Title>
    <b:Year>2010</b:Year>
    <b:Pages>210-238</b:Pages>
    <b:Author>
      <b:Author>
        <b:NameList>
          <b:Person>
            <b:Last>Renwick</b:Last>
            <b:First>A.</b:First>
          </b:Person>
        </b:NameList>
      </b:Author>
      <b:BookAuthor>
        <b:NameList>
          <b:Person>
            <b:Last>Renwick</b:Last>
            <b:First>A.</b:First>
          </b:Person>
        </b:NameList>
      </b:BookAuthor>
    </b:Author>
    <b:BookTitle>The Politics of Electoral Reform</b:BookTitle>
    <b:City>Cambridge</b:City>
    <b:Publisher>Cambridge University Press</b:Publisher>
    <b:RefOrder>57</b:RefOrder>
  </b:Source>
  <b:Source>
    <b:Tag>Har14</b:Tag>
    <b:SourceType>Book</b:SourceType>
    <b:Guid>{4D6F0ABB-DB9C-4E05-BEEF-5507F7734711}</b:Guid>
    <b:Title>Seventeen Contradictions and the End of Capitalism</b:Title>
    <b:Year>2014</b:Year>
    <b:City>London</b:City>
    <b:Publisher>Profile Books</b:Publisher>
    <b:Author>
      <b:Author>
        <b:NameList>
          <b:Person>
            <b:Last>Harvey</b:Last>
            <b:First>D.</b:First>
          </b:Person>
        </b:NameList>
      </b:Author>
    </b:Author>
    <b:RefOrder>58</b:RefOrder>
  </b:Source>
  <b:Source>
    <b:Tag>Gor82</b:Tag>
    <b:SourceType>Book</b:SourceType>
    <b:Guid>{23F000BE-F0FF-4F15-ADC3-D4A650F7DCE3}</b:Guid>
    <b:Author>
      <b:Author>
        <b:NameList>
          <b:Person>
            <b:Last>Gordon</b:Last>
            <b:First>D.</b:First>
          </b:Person>
          <b:Person>
            <b:Last>Edwards</b:Last>
            <b:First>D.</b:First>
          </b:Person>
          <b:Person>
            <b:Last>Reich</b:Last>
            <b:First>M.</b:First>
          </b:Person>
        </b:NameList>
      </b:Author>
    </b:Author>
    <b:Title>Segmented Works, Divided Workers</b:Title>
    <b:Year>1982</b:Year>
    <b:City>Cambridge</b:City>
    <b:Publisher>Cambridge University Press</b:Publisher>
    <b:RefOrder>59</b:RefOrder>
  </b:Source>
  <b:Source>
    <b:Tag>Cox87</b:Tag>
    <b:SourceType>Book</b:SourceType>
    <b:Guid>{0CD5201A-E872-4999-95F6-8520A9081C87}</b:Guid>
    <b:Author>
      <b:Author>
        <b:NameList>
          <b:Person>
            <b:Last>Cox</b:Last>
            <b:First>R.W.</b:First>
          </b:Person>
        </b:NameList>
      </b:Author>
    </b:Author>
    <b:Title>Production, Power and World Order</b:Title>
    <b:Year>1987</b:Year>
    <b:City>New York</b:City>
    <b:Publisher>Columbia University Press</b:Publisher>
    <b:RefOrder>60</b:RefOrder>
  </b:Source>
  <b:Source>
    <b:Tag>Kat09</b:Tag>
    <b:SourceType>BookSection</b:SourceType>
    <b:Guid>{149FFFF5-B39A-4D59-8044-992A1A87814E}</b:Guid>
    <b:Title>Strong Theory, Complex History</b:Title>
    <b:Year>2009</b:Year>
    <b:Pages>96-116</b:Pages>
    <b:Author>
      <b:Author>
        <b:NameList>
          <b:Person>
            <b:Last>Katznelson</b:Last>
            <b:First>I.</b:First>
          </b:Person>
        </b:NameList>
      </b:Author>
      <b:BookAuthor>
        <b:NameList>
          <b:Person>
            <b:Last>Lichbach</b:Last>
            <b:First>M.I.</b:First>
          </b:Person>
          <b:Person>
            <b:Last>Zuckerman</b:Last>
            <b:First>A.S.</b:First>
          </b:Person>
        </b:NameList>
      </b:BookAuthor>
    </b:Author>
    <b:BookTitle>Comparative Politics: Rationality, Culture, and Structure</b:BookTitle>
    <b:City>Cambridge</b:City>
    <b:Publisher>Cambridge University Press</b:Publisher>
    <b:RefOrder>61</b:RefOrder>
  </b:Source>
  <b:Source>
    <b:Tag>And16</b:Tag>
    <b:SourceType>JournalArticle</b:SourceType>
    <b:Guid>{D5442568-B667-43DA-AE7E-58E03A32A6A5}</b:Guid>
    <b:Author>
      <b:Author>
        <b:NameList>
          <b:Person>
            <b:Last>Andreoni</b:Last>
            <b:First>A.</b:First>
          </b:Person>
          <b:Person>
            <b:Last>Chang</b:Last>
            <b:First>H.</b:First>
          </b:Person>
        </b:NameList>
      </b:Author>
    </b:Author>
    <b:Title>Industrial policy and the future of manufacturing</b:Title>
    <b:JournalName>Economia e Politica Industriale</b:JournalName>
    <b:Year>2016</b:Year>
    <b:Pages>491-502</b:Pages>
    <b:RefOrder>62</b:RefOrder>
  </b:Source>
  <b:Source>
    <b:Tag>Bea13</b:Tag>
    <b:SourceType>Book</b:SourceType>
    <b:Guid>{069B3FC5-F52B-4F2E-90BF-7C81C487F6A8}</b:Guid>
    <b:Title>Process-Tracing Methods</b:Title>
    <b:Year>2013</b:Year>
    <b:City>Ann Arbor</b:City>
    <b:Publisher>University of Michigan</b:Publisher>
    <b:Author>
      <b:Author>
        <b:NameList>
          <b:Person>
            <b:Last>Beach</b:Last>
            <b:First>D.</b:First>
          </b:Person>
          <b:Person>
            <b:Last>Pedersen</b:Last>
            <b:First>R.B.</b:First>
          </b:Person>
        </b:NameList>
      </b:Author>
      <b:BookAuthor>
        <b:NameList>
          <b:Person>
            <b:Last>Beach</b:Last>
            <b:First>D.</b:First>
          </b:Person>
          <b:Person>
            <b:Last>Pedersen</b:Last>
            <b:First>R.B.</b:First>
          </b:Person>
        </b:NameList>
      </b:BookAuthor>
    </b:Author>
    <b:BookTitle>Process-Tracing Methods</b:BookTitle>
    <b:RefOrder>63</b:RefOrder>
  </b:Source>
  <b:Source>
    <b:Tag>Ber01</b:Tag>
    <b:SourceType>JournalArticle</b:SourceType>
    <b:Guid>{5C79FD7D-512B-46EA-B538-0AC16624968E}</b:Guid>
    <b:Title>Review: Ideas, Norms, and Culture in Political Analysis</b:Title>
    <b:Year>2001</b:Year>
    <b:Pages>231-250</b:Pages>
    <b:Author>
      <b:Author>
        <b:NameList>
          <b:Person>
            <b:Last>Berman</b:Last>
            <b:First>S.</b:First>
          </b:Person>
        </b:NameList>
      </b:Author>
    </b:Author>
    <b:JournalName>Comparative Politics</b:JournalName>
    <b:RefOrder>64</b:RefOrder>
  </b:Source>
  <b:Source>
    <b:Tag>Bly13</b:Tag>
    <b:SourceType>JournalArticle</b:SourceType>
    <b:Guid>{E4112240-A2CA-461A-B702-43DE0DD2DF39}</b:Guid>
    <b:Title>Paradigms and Paradox: The Politics of Economic Ideas in Two Moments of Crisis</b:Title>
    <b:Year>2013</b:Year>
    <b:Author>
      <b:Author>
        <b:NameList>
          <b:Person>
            <b:Last>Blyth</b:Last>
            <b:First>M.</b:First>
          </b:Person>
        </b:NameList>
      </b:Author>
    </b:Author>
    <b:JournalName>Governance</b:JournalName>
    <b:Pages>197-215</b:Pages>
    <b:RefOrder>65</b:RefOrder>
  </b:Source>
  <b:Source>
    <b:Tag>Car18</b:Tag>
    <b:SourceType>JournalArticle</b:SourceType>
    <b:Guid>{F0069ADE-5A03-4CA5-A309-CC4F75370C00}</b:Guid>
    <b:Author>
      <b:Author>
        <b:NameList>
          <b:Person>
            <b:Last>Carstensen</b:Last>
            <b:First>M.B.</b:First>
          </b:Person>
          <b:Person>
            <b:Last>Matthijs</b:Last>
            <b:First>M.</b:First>
          </b:Person>
        </b:NameList>
      </b:Author>
    </b:Author>
    <b:Title>Of paradigms and power: British economic policy making since Thatcher</b:Title>
    <b:JournalName>Governance</b:JournalName>
    <b:Year>2018</b:Year>
    <b:Pages>431-447</b:Pages>
    <b:RefOrder>66</b:RefOrder>
  </b:Source>
  <b:Source>
    <b:Tag>Ede18</b:Tag>
    <b:SourceType>JournalArticle</b:SourceType>
    <b:Guid>{98A56DFC-E06A-4FBA-AB90-5A6609C5026A}</b:Guid>
    <b:Title>From Mainstream to Progressive Industrial Policy</b:Title>
    <b:Year>2018</b:Year>
    <b:Pages>4-14</b:Pages>
    <b:Author>
      <b:Author>
        <b:NameList>
          <b:Person>
            <b:Last>Eder</b:Last>
            <b:First>J.</b:First>
          </b:Person>
          <b:Person>
            <b:Last>Schneider</b:Last>
            <b:First>E.</b:First>
          </b:Person>
          <b:Person>
            <b:Last>Kulke</b:Last>
            <b:First>R.</b:First>
          </b:Person>
          <b:Person>
            <b:Last>König</b:Last>
            <b:First>C.</b:First>
          </b:Person>
        </b:NameList>
      </b:Author>
    </b:Author>
    <b:JournalName>Journal für Entwicklungspolitik</b:JournalName>
    <b:RefOrder>67</b:RefOrder>
  </b:Source>
  <b:Source>
    <b:Tag>Hal96</b:Tag>
    <b:SourceType>JournalArticle</b:SourceType>
    <b:Guid>{4909D045-2DE7-48B1-80D4-BFD557426A92}</b:Guid>
    <b:Author>
      <b:Author>
        <b:NameList>
          <b:Person>
            <b:Last>Hall</b:Last>
            <b:First>P.</b:First>
            <b:Middle>A.</b:Middle>
          </b:Person>
          <b:Person>
            <b:Last>Taylor</b:Last>
            <b:First>R.</b:First>
            <b:Middle>C. R.</b:Middle>
          </b:Person>
        </b:NameList>
      </b:Author>
    </b:Author>
    <b:Title>Political Science and the Three New Institutionalisms</b:Title>
    <b:JournalName>Political Studies</b:JournalName>
    <b:Year>1996</b:Year>
    <b:Pages>936-957</b:Pages>
    <b:RefOrder>68</b:RefOrder>
  </b:Source>
  <b:Source>
    <b:Tag>Hal98</b:Tag>
    <b:SourceType>JournalArticle</b:SourceType>
    <b:Guid>{56000ED5-154C-4E3B-9C6E-894382F7F3F3}</b:Guid>
    <b:Author>
      <b:Author>
        <b:NameList>
          <b:Person>
            <b:Last>Hall</b:Last>
            <b:First>P.</b:First>
            <b:Middle>A.</b:Middle>
          </b:Person>
          <b:Person>
            <b:Last>Taylor</b:Last>
            <b:First>R.</b:First>
            <b:Middle>C. R.</b:Middle>
          </b:Person>
        </b:NameList>
      </b:Author>
    </b:Author>
    <b:Title>The Potential of Historical Institutionalism: a Response to Hay and Wincott</b:Title>
    <b:JournalName>Political Studies</b:JournalName>
    <b:Year>1998</b:Year>
    <b:Pages>958-962</b:Pages>
    <b:RefOrder>69</b:RefOrder>
  </b:Source>
  <b:Source>
    <b:Tag>Hal13</b:Tag>
    <b:SourceType>JournalArticle</b:SourceType>
    <b:Guid>{E5036FB1-6013-4335-A65F-C472157AC21B}</b:Guid>
    <b:Author>
      <b:Author>
        <b:NameList>
          <b:Person>
            <b:Last>Hall</b:Last>
            <b:First>P.A.</b:First>
          </b:Person>
        </b:NameList>
      </b:Author>
    </b:Author>
    <b:Title>Brother, Can You Paradigm?</b:Title>
    <b:JournalName>Governance: An International Journal of Policy, Administration, and Institutions</b:JournalName>
    <b:Year>2013</b:Year>
    <b:Pages>189-192</b:Pages>
    <b:RefOrder>70</b:RefOrder>
  </b:Source>
  <b:Source>
    <b:Tag>Hal93</b:Tag>
    <b:SourceType>JournalArticle</b:SourceType>
    <b:Guid>{831891A2-FC18-4BE0-A43A-26CBAF1084F3}</b:Guid>
    <b:Author>
      <b:Author>
        <b:NameList>
          <b:Person>
            <b:Last>Hall</b:Last>
            <b:First>P.A.</b:First>
          </b:Person>
        </b:NameList>
      </b:Author>
    </b:Author>
    <b:Title>Policy Paradigms, Social Learning, and the State: The Case of Economic Policymaking in Britain</b:Title>
    <b:JournalName>Comparative Politics</b:JournalName>
    <b:Year>1993</b:Year>
    <b:Pages>275-296</b:Pages>
    <b:RefOrder>71</b:RefOrder>
  </b:Source>
  <b:Source>
    <b:Tag>Kat03</b:Tag>
    <b:SourceType>BookSection</b:SourceType>
    <b:Guid>{23035C4F-922F-4618-B459-C2BD3B7D6E35}</b:Guid>
    <b:Title>Periodization and Preferences: Reflection on Purposive Action in Comparative Historical Social Science</b:Title>
    <b:Year>2003</b:Year>
    <b:Pages>270-301</b:Pages>
    <b:Author>
      <b:Author>
        <b:NameList>
          <b:Person>
            <b:Last>Katznelson</b:Last>
            <b:First>I.</b:First>
          </b:Person>
        </b:NameList>
      </b:Author>
      <b:BookAuthor>
        <b:NameList>
          <b:Person>
            <b:Last>Mahoney</b:Last>
            <b:First>J.</b:First>
          </b:Person>
          <b:Person>
            <b:Last>Rueschemeyer</b:Last>
            <b:First>D.</b:First>
          </b:Person>
        </b:NameList>
      </b:BookAuthor>
    </b:Author>
    <b:BookTitle>Comparative Historical Analysis in the Social Sciences </b:BookTitle>
    <b:City>Cambridge</b:City>
    <b:Publisher>Cambridge University Press</b:Publisher>
    <b:RefOrder>72</b:RefOrder>
  </b:Source>
  <b:Source>
    <b:Tag>Lie02</b:Tag>
    <b:SourceType>JournalArticle</b:SourceType>
    <b:Guid>{C7396E74-C611-411B-A644-A803F671ECD7}</b:Guid>
    <b:Title>Ideas, Institutions, and Political Order: Explaining Political Change</b:Title>
    <b:Year>2002</b:Year>
    <b:Pages>697-712</b:Pages>
    <b:Author>
      <b:Author>
        <b:NameList>
          <b:Person>
            <b:Last>Lieberman</b:Last>
            <b:First>R.</b:First>
            <b:Middle>C.</b:Middle>
          </b:Person>
        </b:NameList>
      </b:Author>
    </b:Author>
    <b:JournalName>American Political Science Review</b:JournalName>
    <b:RefOrder>73</b:RefOrder>
  </b:Source>
  <b:Source>
    <b:Tag>Lie07</b:Tag>
    <b:SourceType>JournalArticle</b:SourceType>
    <b:Guid>{C174A213-DE17-402D-9C8D-C9B404F6CBE6}</b:Guid>
    <b:Title>Private power and American bureaucracy: The EEOC and civil rights enforcement</b:Title>
    <b:Year>2007</b:Year>
    <b:Author>
      <b:Author>
        <b:NameList>
          <b:Person>
            <b:Last>Lieberman</b:Last>
            <b:First>R.C.</b:First>
          </b:Person>
        </b:NameList>
      </b:Author>
    </b:Author>
    <b:JournalName>Presented at the Annual Meeting of the American Political Science Association</b:JournalName>
    <b:RefOrder>74</b:RefOrder>
  </b:Source>
  <b:Source>
    <b:Tag>Mah15</b:Tag>
    <b:SourceType>JournalArticle</b:SourceType>
    <b:Guid>{98FA14CF-954A-4822-9D6E-D201E39C4F0D}</b:Guid>
    <b:Title>Process Tracing and Historical Explanation</b:Title>
    <b:Year>2015</b:Year>
    <b:Author>
      <b:Author>
        <b:NameList>
          <b:Person>
            <b:Last>Mahoney</b:Last>
            <b:First>J.</b:First>
          </b:Person>
        </b:NameList>
      </b:Author>
    </b:Author>
    <b:JournalName>Security Studies</b:JournalName>
    <b:Pages>200-218</b:Pages>
    <b:RefOrder>75</b:RefOrder>
  </b:Source>
  <b:Source>
    <b:Tag>Mah10</b:Tag>
    <b:SourceType>Book</b:SourceType>
    <b:Guid>{9739F3D7-BF79-4511-B27D-690A34BFD6A2}</b:Guid>
    <b:Title>Explaining Institutional Change</b:Title>
    <b:Year>2010</b:Year>
    <b:City>New York</b:City>
    <b:Publisher>Cambridge University Press</b:Publisher>
    <b:Author>
      <b:Author>
        <b:NameList>
          <b:Person>
            <b:Last>Mahoney</b:Last>
            <b:First>J.</b:First>
          </b:Person>
          <b:Person>
            <b:Last>Thelen</b:Last>
            <b:First>K.</b:First>
          </b:Person>
        </b:NameList>
      </b:Author>
    </b:Author>
    <b:RefOrder>76</b:RefOrder>
  </b:Source>
  <b:Source>
    <b:Tag>Ste12</b:Tag>
    <b:SourceType>JournalArticle</b:SourceType>
    <b:Guid>{D1715ABA-4AD7-43E7-8C0B-9E7195D5B295}</b:Guid>
    <b:Title>The Neoliberal Policy Paradigm and the Great Recession</b:Title>
    <b:Year>2012</b:Year>
    <b:Author>
      <b:Author>
        <b:NameList>
          <b:Person>
            <b:Last>Stein</b:Last>
            <b:First>H.</b:First>
          </b:Person>
        </b:NameList>
      </b:Author>
    </b:Author>
    <b:JournalName>Panoeconomicus</b:JournalName>
    <b:Pages>421-440</b:Pages>
    <b:RefOrder>77</b:RefOrder>
  </b:Source>
  <b:Source>
    <b:Tag>The04</b:Tag>
    <b:SourceType>Book</b:SourceType>
    <b:Guid>{E312799C-246B-4CC0-A429-D0CC67CF0C25}</b:Guid>
    <b:Title>How Institutions Evolve: The Political Economy of Skills in Germany, Britain, the United States and Japan</b:Title>
    <b:Year>2004</b:Year>
    <b:City>Cambridge</b:City>
    <b:Publisher>Cambridge University Press</b:Publisher>
    <b:Author>
      <b:Author>
        <b:NameList>
          <b:Person>
            <b:Last>Thelen</b:Last>
            <b:First>K.</b:First>
          </b:Person>
        </b:NameList>
      </b:Author>
    </b:Author>
    <b:RefOrder>78</b:RefOrder>
  </b:Source>
  <b:Source>
    <b:Tag>Vil14</b:Tag>
    <b:SourceType>JournalArticle</b:SourceType>
    <b:Guid>{5621B910-5771-4F18-BF3C-E825C1692B1D}</b:Guid>
    <b:Author>
      <b:Author>
        <b:NameList>
          <b:Person>
            <b:Last>Ville</b:Last>
            <b:First>F.</b:First>
          </b:Person>
          <b:Person>
            <b:Last>Orbie</b:Last>
            <b:First>J.</b:First>
          </b:Person>
        </b:NameList>
      </b:Author>
    </b:Author>
    <b:Title>The European Commission's Neoliberal Trade Discourse Since the Crisis: Legitimizing Continuity through Subtle Discursive Change</b:Title>
    <b:JournalName>The British Journal of Politics and International Relations</b:JournalName>
    <b:Year>2014</b:Year>
    <b:Pages>149-167</b:Pages>
    <b:RefOrder>79</b:RefOrder>
  </b:Source>
  <b:Source>
    <b:Tag>Coa15</b:Tag>
    <b:SourceType>BookSection</b:SourceType>
    <b:Guid>{7C5B487C-2B8A-4CAE-A4FC-B0A5F69D0CE6}</b:Guid>
    <b:Author>
      <b:Author>
        <b:NameList>
          <b:Person>
            <b:Last>Coates</b:Last>
            <b:First>D.</b:First>
          </b:Person>
        </b:NameList>
      </b:Author>
      <b:BookAuthor>
        <b:NameList>
          <b:Person>
            <b:Last>Bailey</b:Last>
            <b:First>D.</b:First>
          </b:Person>
          <b:Person>
            <b:Last>Cowling</b:Last>
            <b:First>K.</b:First>
          </b:Person>
          <b:Person>
            <b:Last>Tomlinson</b:Last>
            <b:First>P.R.</b:First>
          </b:Person>
        </b:NameList>
      </b:BookAuthor>
    </b:Author>
    <b:Title>Industrial Policy: International Experiences</b:Title>
    <b:BookTitle>New Perspectives on Industrial Policy for a Modern Britain</b:BookTitle>
    <b:Year>2015</b:Year>
    <b:Pages>41-59</b:Pages>
    <b:City>Oxford</b:City>
    <b:Publisher>Oxford University Press</b:Publisher>
    <b:RefOrder>80</b:RefOrder>
  </b:Source>
  <b:Source>
    <b:Tag>And20</b:Tag>
    <b:SourceType>JournalArticle</b:SourceType>
    <b:Guid>{A55DCA26-B83F-4FD4-A434-B20AA54D95EC}</b:Guid>
    <b:Title>Industrial Policy in the 21st Century</b:Title>
    <b:Year>2020</b:Year>
    <b:Pages>324-351</b:Pages>
    <b:Author>
      <b:Author>
        <b:NameList>
          <b:Person>
            <b:Last>Andreoni</b:Last>
            <b:First>A.</b:First>
          </b:Person>
          <b:Person>
            <b:Last>Chang</b:Last>
            <b:First>H.</b:First>
          </b:Person>
        </b:NameList>
      </b:Author>
    </b:Author>
    <b:JournalName>Development and Change</b:JournalName>
    <b:RefOrder>81</b:RefOrder>
  </b:Source>
  <b:Source>
    <b:Tag>And19</b:Tag>
    <b:SourceType>JournalArticle</b:SourceType>
    <b:Guid>{15937FD7-9320-44FA-95DB-1C9E8C251A99}</b:Guid>
    <b:Author>
      <b:Author>
        <b:NameList>
          <b:Person>
            <b:Last>Andreoni</b:Last>
            <b:First>A.</b:First>
          </b:Person>
          <b:Person>
            <b:Last>Chang</b:Last>
            <b:First>H.</b:First>
          </b:Person>
        </b:NameList>
      </b:Author>
    </b:Author>
    <b:Title>The political economy of industrial policy: Structural interdependencies, policy alignment and conflict management</b:Title>
    <b:JournalName>Structural Change and Economic Dynamics</b:JournalName>
    <b:Year>2019</b:Year>
    <b:Pages>136-150</b:Pages>
    <b:RefOrder>82</b:RefOrder>
  </b:Source>
  <b:Source>
    <b:Tag>Bai17</b:Tag>
    <b:SourceType>JournalArticle</b:SourceType>
    <b:Guid>{73F4C5D7-CA6A-4E94-946E-00591267533B}</b:Guid>
    <b:Author>
      <b:Author>
        <b:NameList>
          <b:Person>
            <b:Last>Bailey</b:Last>
            <b:First>D.</b:First>
          </b:Person>
          <b:Person>
            <b:Last>Tomlinson</b:Last>
            <b:First>P.R.</b:First>
          </b:Person>
        </b:NameList>
      </b:Author>
    </b:Author>
    <b:Title>Back to the Future? UK Industrial Policy After the Great Financial Crisis</b:Title>
    <b:JournalName>International Papers in Political Economy</b:JournalName>
    <b:Year>2017</b:Year>
    <b:Pages>221-264</b:Pages>
    <b:RefOrder>83</b:RefOrder>
  </b:Source>
  <b:Source>
    <b:Tag>Bai19</b:Tag>
    <b:SourceType>JournalArticle</b:SourceType>
    <b:Guid>{28EAC997-592B-4986-83D1-763BBDBE23A9}</b:Guid>
    <b:Author>
      <b:Author>
        <b:NameList>
          <b:Person>
            <b:Last>Bailey</b:Last>
            <b:First>D.</b:First>
          </b:Person>
          <b:Person>
            <b:Last>Coffey</b:Last>
            <b:First>D.</b:First>
          </b:Person>
          <b:Person>
            <b:Last>Gavris</b:Last>
            <b:First>M.</b:First>
          </b:Person>
          <b:Person>
            <b:Last>Thornley</b:Last>
            <b:First>C.</b:First>
          </b:Person>
        </b:NameList>
      </b:Author>
    </b:Author>
    <b:Title>Industrial policy, place and democracy</b:Title>
    <b:JournalName>Cambridge Journal of Regions, Economy and Society</b:JournalName>
    <b:Year>2019</b:Year>
    <b:Pages>327–345</b:Pages>
    <b:RefOrder>84</b:RefOrder>
  </b:Source>
  <b:Source>
    <b:Tag>Bar18</b:Tag>
    <b:SourceType>JournalArticle</b:SourceType>
    <b:Guid>{4BF57E62-6D52-43C1-BF9B-4626F86707F4}</b:Guid>
    <b:Author>
      <b:Author>
        <b:NameList>
          <b:Person>
            <b:Last>Bardt</b:Last>
            <b:First>H.</b:First>
          </b:Person>
          <b:Person>
            <b:Last>Schmidt</b:Last>
            <b:First>C.M.</b:First>
          </b:Person>
          <b:Person>
            <b:Last>Bofinger</b:Last>
            <b:First>P.</b:First>
          </b:Person>
          <b:Person>
            <b:Last>Belitz</b:Last>
            <b:First>H.</b:First>
          </b:Person>
          <b:Person>
            <b:Last>Gornig</b:Last>
            <b:First>M.</b:First>
          </b:Person>
          <b:Person>
            <b:Last>Aiginger</b:Last>
            <b:First>K.</b:First>
          </b:Person>
        </b:NameList>
      </b:Author>
    </b:Author>
    <b:Title>Industriepolitik – ineffi zienter staatlicher Eingriff oder zukunftsweisende Option?</b:Title>
    <b:JournalName>Leibniz-Informationszentrum Wirtschaft</b:JournalName>
    <b:Year>2019</b:Year>
    <b:Pages>1-19</b:Pages>
    <b:RefOrder>85</b:RefOrder>
  </b:Source>
  <b:Source>
    <b:Tag>UNI13</b:Tag>
    <b:SourceType>Report</b:SourceType>
    <b:Guid>{1E8970BA-AB92-4A15-B2C9-D4ECBDFDA0F4}</b:Guid>
    <b:Author>
      <b:Author>
        <b:NameList>
          <b:Person>
            <b:Last>UNIDO</b:Last>
          </b:Person>
        </b:NameList>
      </b:Author>
    </b:Author>
    <b:Title>Industrial Development Report 2013. Sustaining Employment Growth: The Role</b:Title>
    <b:Year>2013</b:Year>
    <b:Publisher>UNIDO</b:Publisher>
    <b:City>Vienna</b:City>
    <b:RefOrder>86</b:RefOrder>
  </b:Source>
  <b:Source>
    <b:Tag>Eps13</b:Tag>
    <b:SourceType>BookSection</b:SourceType>
    <b:Guid>{A5994409-3621-4B90-A9AC-08C8E986C9CF}</b:Guid>
    <b:Title>How big is too big? On the social efficiency of the financial sector in the United States</b:Title>
    <b:Year>2013</b:Year>
    <b:Publisher>Edward Elgar Publishing Limited</b:Publisher>
    <b:City>The Lypiatts</b:City>
    <b:Author>
      <b:Author>
        <b:NameList>
          <b:Person>
            <b:Last>Epstein</b:Last>
            <b:First>G.</b:First>
          </b:Person>
          <b:Person>
            <b:Last>Crotty</b:Last>
            <b:First>J.</b:First>
          </b:Person>
        </b:NameList>
      </b:Author>
      <b:BookAuthor>
        <b:NameList>
          <b:Person>
            <b:Last>Wicks-Lim</b:Last>
            <b:First>J.</b:First>
          </b:Person>
          <b:Person>
            <b:Last>Pollin</b:Last>
            <b:First>R.</b:First>
          </b:Person>
        </b:NameList>
      </b:BookAuthor>
    </b:Author>
    <b:BookTitle>Capitalism on Trial</b:BookTitle>
    <b:Pages>293-310</b:Pages>
    <b:RefOrder>87</b:RefOrder>
  </b:Source>
  <b:Source>
    <b:Tag>Gho14</b:Tag>
    <b:SourceType>Report</b:SourceType>
    <b:Guid>{8E624103-7308-4BD8-BE4B-E6ACFD9AD199}</b:Guid>
    <b:Title>‘India’s Services–led Growth’. HD Working Papers Series 01/2014</b:Title>
    <b:Year>2014</b:Year>
    <b:City>2014</b:City>
    <b:Publisher>Institute for Human Development</b:Publisher>
    <b:Author>
      <b:Author>
        <b:NameList>
          <b:Person>
            <b:Last>Ghose</b:Last>
            <b:First>A.K.</b:First>
          </b:Person>
        </b:NameList>
      </b:Author>
    </b:Author>
    <b:RefOrder>88</b:RefOrder>
  </b:Source>
  <b:Source>
    <b:Tag>Kru18</b:Tag>
    <b:SourceType>Book</b:SourceType>
    <b:Guid>{E016C815-172A-4578-80B2-F7AC2F3D0F48}</b:Guid>
    <b:Title>International Economics, Theory and policy</b:Title>
    <b:Year>2018</b:Year>
    <b:Publisher>Pearson</b:Publisher>
    <b:City>Harlow</b:City>
    <b:Author>
      <b:Author>
        <b:NameList>
          <b:Person>
            <b:Last>Krugman</b:Last>
            <b:First>P.R.</b:First>
          </b:Person>
          <b:Person>
            <b:Last>Obstfeld</b:Last>
            <b:First>M.</b:First>
          </b:Person>
          <b:Person>
            <b:Last>Melitz</b:Last>
            <b:First>M.J</b:First>
          </b:Person>
        </b:NameList>
      </b:Author>
    </b:Author>
    <b:RefOrder>89</b:RefOrder>
  </b:Source>
  <b:Source>
    <b:Tag>Mac151</b:Tag>
    <b:SourceType>JournalArticle</b:SourceType>
    <b:Guid>{CC5113EB-2F9D-4DEE-BBD2-63B546AA4BE0}</b:Guid>
    <b:Title>Crises and Paradigm Shift: A Response to Critics</b:Title>
    <b:Year>2015</b:Year>
    <b:Author>
      <b:Author>
        <b:NameList>
          <b:Person>
            <b:Last>Mackintosh</b:Last>
            <b:First>S.P.M.</b:First>
          </b:Person>
        </b:NameList>
      </b:Author>
    </b:Author>
    <b:JournalName>The Political Quarterly</b:JournalName>
    <b:Pages>3-6</b:Pages>
    <b:RefOrder>90</b:RefOrder>
  </b:Source>
  <b:Source>
    <b:Tag>Mah00</b:Tag>
    <b:SourceType>JournalArticle</b:SourceType>
    <b:Guid>{A316B6D3-BCE5-4C3E-B3F4-BAD2B6BBE6A9}</b:Guid>
    <b:Title>Path dependence in historical sociology</b:Title>
    <b:Year>2000</b:Year>
    <b:Author>
      <b:Author>
        <b:NameList>
          <b:Person>
            <b:Last>Mahoney</b:Last>
            <b:First>J.</b:First>
          </b:Person>
        </b:NameList>
      </b:Author>
    </b:Author>
    <b:JournalName>Theory and Society</b:JournalName>
    <b:Pages>507-548</b:Pages>
    <b:RefOrder>91</b:RefOrder>
  </b:Source>
  <b:Source>
    <b:Tag>Maz13</b:Tag>
    <b:SourceType>Book</b:SourceType>
    <b:Guid>{8EB6C1E9-9D9F-4D20-B0F6-5B15F1FD76F3}</b:Guid>
    <b:Title>The Entrepeneurial State: Debunking Public vs. Private Sector Myths</b:Title>
    <b:Year>2013</b:Year>
    <b:Author>
      <b:Author>
        <b:NameList>
          <b:Person>
            <b:Last>Mazzucato</b:Last>
            <b:First>M.</b:First>
          </b:Person>
        </b:NameList>
      </b:Author>
    </b:Author>
    <b:City>London</b:City>
    <b:Publisher>Anthem Press</b:Publisher>
    <b:RefOrder>92</b:RefOrder>
  </b:Source>
  <b:Source>
    <b:Tag>Pit15</b:Tag>
    <b:SourceType>BookSection</b:SourceType>
    <b:Guid>{17F71C20-874C-4BF0-824F-964D2C387AF6}</b:Guid>
    <b:Title>DIP-ly Speaking: Debunking Ten Myths, and a Business Strategy-Informed Developmental Industrial Policy</b:Title>
    <b:Year>2015</b:Year>
    <b:City>Oxford</b:City>
    <b:Publisher>Oxford University Press</b:Publisher>
    <b:Author>
      <b:Author>
        <b:NameList>
          <b:Person>
            <b:Last>Pitelis</b:Last>
            <b:First>C.</b:First>
          </b:Person>
        </b:NameList>
      </b:Author>
      <b:BookAuthor>
        <b:NameList>
          <b:Person>
            <b:Last>Bailey</b:Last>
            <b:First>D.</b:First>
          </b:Person>
          <b:Person>
            <b:Last>Cowling</b:Last>
            <b:First>K.</b:First>
          </b:Person>
          <b:Person>
            <b:Last>Tomlinson</b:Last>
            <b:First>P.</b:First>
          </b:Person>
        </b:NameList>
      </b:BookAuthor>
    </b:Author>
    <b:BookTitle>New Perspectives on industrial Policy for a Modern Britain</b:BookTitle>
    <b:Pages>17-40</b:Pages>
    <b:RefOrder>93</b:RefOrder>
  </b:Source>
  <b:Source>
    <b:Tag>Rod11</b:Tag>
    <b:SourceType>JournalArticle</b:SourceType>
    <b:Guid>{E664CAD5-2283-45F8-A35A-91D1A10120C4}</b:Guid>
    <b:Title>Comments on “New Structural Economics” by Justin Yifu Lin</b:Title>
    <b:Year>2011</b:Year>
    <b:Pages>227-229</b:Pages>
    <b:Author>
      <b:Author>
        <b:NameList>
          <b:Person>
            <b:Last>Rodrik</b:Last>
            <b:First>D.</b:First>
          </b:Person>
        </b:NameList>
      </b:Author>
    </b:Author>
    <b:JournalName>The World Bank Research Observer</b:JournalName>
    <b:RefOrder>94</b:RefOrder>
  </b:Source>
  <b:Source>
    <b:Tag>Tas10</b:Tag>
    <b:SourceType>JournalArticle</b:SourceType>
    <b:Guid>{926D111B-B7E0-4A30-8CE2-D2DF8BB9C9E0}</b:Guid>
    <b:Author>
      <b:Author>
        <b:NameList>
          <b:Person>
            <b:Last>Tassey</b:Last>
            <b:First>G.</b:First>
          </b:Person>
        </b:NameList>
      </b:Author>
    </b:Author>
    <b:Title>Rationales and mechanisms for revitalizing US manufacturing R&amp;D strategies</b:Title>
    <b:JournalName>Journal of Technological Transfer</b:JournalName>
    <b:Year>2010</b:Year>
    <b:Pages>283-333</b:Pages>
    <b:RefOrder>95</b:RefOrder>
  </b:Source>
  <b:Source>
    <b:Tag>Ros76</b:Tag>
    <b:SourceType>Book</b:SourceType>
    <b:Guid>{5BC7ED1E-FB0C-4FA2-ABCC-4FE77B6FE5D5}</b:Guid>
    <b:Title>Perspectives on Technology</b:Title>
    <b:Year>1976</b:Year>
    <b:Author>
      <b:Author>
        <b:NameList>
          <b:Person>
            <b:Last>Rosenberg</b:Last>
            <b:First>N.</b:First>
          </b:Person>
        </b:NameList>
      </b:Author>
    </b:Author>
    <b:City>Cambridge</b:City>
    <b:Publisher>Cambridge University Press</b:Publisher>
    <b:RefOrder>96</b:RefOrder>
  </b:Source>
  <b:Source>
    <b:Tag>Sto15</b:Tag>
    <b:SourceType>JournalArticle</b:SourceType>
    <b:Guid>{FCA6CEB8-312C-4FD5-82CA-D0C98FFD3D50}</b:Guid>
    <b:Title>Structural Change</b:Title>
    <b:Year>2015</b:Year>
    <b:Author>
      <b:Author>
        <b:NameList>
          <b:Person>
            <b:Last>Storm</b:Last>
            <b:First>S.</b:First>
          </b:Person>
        </b:NameList>
      </b:Author>
    </b:Author>
    <b:JournalName>Development and Change</b:JournalName>
    <b:Pages>666-699</b:Pages>
    <b:RefOrder>97</b:RefOrder>
  </b:Source>
  <b:Source>
    <b:Tag>Sto17</b:Tag>
    <b:SourceType>JournalArticle</b:SourceType>
    <b:Guid>{1883D989-3141-46AB-A70D-032EE45FB848}</b:Guid>
    <b:Author>
      <b:Author>
        <b:NameList>
          <b:Person>
            <b:Last>Storm</b:Last>
            <b:First>S.</b:First>
          </b:Person>
        </b:NameList>
      </b:Author>
    </b:Author>
    <b:Title>The Political Economy of Industrialization Introduction to Development and Change Virtual Issue</b:Title>
    <b:JournalName>Development and Change</b:JournalName>
    <b:Year>2017</b:Year>
    <b:Pages>1-19</b:Pages>
    <b:RefOrder>98</b:RefOrder>
  </b:Source>
  <b:Source>
    <b:Tag>Wad14</b:Tag>
    <b:SourceType>JournalArticle</b:SourceType>
    <b:Guid>{BBD67E61-01D9-4FFB-B0CB-7383EC43C442}</b:Guid>
    <b:Author>
      <b:Author>
        <b:NameList>
          <b:Person>
            <b:Last>Wade</b:Last>
            <b:First>R.H.</b:First>
          </b:Person>
        </b:NameList>
      </b:Author>
    </b:Author>
    <b:Title>‘Market versus State’ or ‘Market with State’: How to Impart Directional Thrust</b:Title>
    <b:JournalName>Development and Change</b:JournalName>
    <b:Year>2014</b:Year>
    <b:Pages>777-798</b:Pages>
    <b:RefOrder>99</b:RefOrder>
  </b:Source>
  <b:Source>
    <b:Tag>Lev17</b:Tag>
    <b:SourceType>JournalArticle</b:SourceType>
    <b:Guid>{5618F1CA-90A8-4F98-B5C1-9F0C6A34FF8A}</b:Guid>
    <b:Author>
      <b:Author>
        <b:NameList>
          <b:Person>
            <b:Last>Levy</b:Last>
            <b:First>J.D.</b:First>
          </b:Person>
        </b:NameList>
      </b:Author>
    </b:Author>
    <b:Title>The return of the state? France’s response to the financial and economic crisis</b:Title>
    <b:JournalName>Comparative European Politics</b:JournalName>
    <b:Year>2017</b:Year>
    <b:Pages>604-627</b:Pages>
    <b:RefOrder>100</b:RefOrder>
  </b:Source>
  <b:Source>
    <b:Tag>Eur198</b:Tag>
    <b:SourceType>Report</b:SourceType>
    <b:Guid>{3263CB01-1D68-4512-9D8A-B3B1C2B28915}</b:Guid>
    <b:Title>Opinion on Strategic Action Plan on Batteries</b:Title>
    <b:Year>2019</b:Year>
    <b:Author>
      <b:Author>
        <b:NameList>
          <b:Person>
            <b:Last>Committee</b:Last>
            <b:First>European</b:First>
            <b:Middle>Economic and Social</b:Middle>
          </b:Person>
        </b:NameList>
      </b:Author>
    </b:Author>
    <b:Publisher>EESC</b:Publisher>
    <b:City>Brussels</b:City>
    <b:RefOrder>101</b:RefOrder>
  </b:Source>
  <b:Source>
    <b:Tag>Eur206</b:Tag>
    <b:SourceType>InternetSite</b:SourceType>
    <b:Guid>{1029FD61-5B32-46B4-A4D5-673688AA123A}</b:Guid>
    <b:Title>EIB reaffirms commitment to a European battery industry to boost green recovery</b:Title>
    <b:Year>2020</b:Year>
    <b:Author>
      <b:Author>
        <b:NameList>
          <b:Person>
            <b:Last>Bank</b:Last>
            <b:First>European</b:First>
            <b:Middle>Investment</b:Middle>
          </b:Person>
        </b:NameList>
      </b:Author>
    </b:Author>
    <b:InternetSiteTitle>EIB</b:InternetSiteTitle>
    <b:Month>May</b:Month>
    <b:Day>19</b:Day>
    <b:YearAccessed>202</b:YearAccessed>
    <b:MonthAccessed>August</b:MonthAccessed>
    <b:DayAccessed>10</b:DayAccessed>
    <b:URL>https://www.eib.org/en/press/all/2020-121-eib-reaffirms-commitment-to-a-european-battery-industry-to-boost-green-recovery</b:URL>
    <b:RefOrder>102</b:RefOrder>
  </b:Source>
  <b:Source>
    <b:Tag>Eur132</b:Tag>
    <b:SourceType>Report</b:SourceType>
    <b:Guid>{BBDB5D38-57FF-42D4-817C-C3C392E5B64C}</b:Guid>
    <b:Title>Guidelines on regional State aid for 2014-2020</b:Title>
    <b:Year>2013</b:Year>
    <b:Author>
      <b:Author>
        <b:NameList>
          <b:Person>
            <b:Last>Commission</b:Last>
            <b:First>European</b:First>
          </b:Person>
        </b:NameList>
      </b:Author>
    </b:Author>
    <b:Publisher>Commission</b:Publisher>
    <b:City>Brussels</b:City>
    <b:RefOrder>103</b:RefOrder>
  </b:Source>
  <b:Source>
    <b:Tag>Hek202</b:Tag>
    <b:SourceType>ArticleInAPeriodical</b:SourceType>
    <b:Guid>{175B7BD5-06CB-470E-B693-D6F8F2AB2984}</b:Guid>
    <b:Title>Nieuwe auto kopen: straks met steun?</b:Title>
    <b:Year>2020</b:Year>
    <b:Author>
      <b:Author>
        <b:NameList>
          <b:Person>
            <b:Last>Hekking</b:Last>
            <b:First>H.D.</b:First>
          </b:Person>
          <b:Person>
            <b:Last>Segenhout</b:Last>
            <b:First>J.</b:First>
          </b:Person>
        </b:NameList>
      </b:Author>
    </b:Author>
    <b:PeriodicalTitle>Financieel Dagblad</b:PeriodicalTitle>
    <b:Month>May</b:Month>
    <b:Day>30</b:Day>
    <b:RefOrder>104</b:RefOrder>
  </b:Source>
  <b:Source>
    <b:Tag>Sch20</b:Tag>
    <b:SourceType>ArticleInAPeriodical</b:SourceType>
    <b:Guid>{E2A56AF5-7467-4650-AE05-36455A5ED758}</b:Guid>
    <b:Title>Brussel gaat valse concurrentie door Chinese staatsbedrijven te lijf</b:Title>
    <b:Year>2020</b:Year>
    <b:Author>
      <b:Author>
        <b:NameList>
          <b:Person>
            <b:Last>Schiffers</b:Last>
            <b:First>M.</b:First>
          </b:Person>
        </b:NameList>
      </b:Author>
    </b:Author>
    <b:PeriodicalTitle>Financieel Dagblad</b:PeriodicalTitle>
    <b:Month>June</b:Month>
    <b:Day>17</b:Day>
    <b:RefOrder>105</b:RefOrder>
  </b:Source>
  <b:Source>
    <b:Tag>Seg202</b:Tag>
    <b:SourceType>ArticleInAPeriodical</b:SourceType>
    <b:Guid>{F6A0F6CF-131A-4F35-BFD7-99EB632B8A6A}</b:Guid>
    <b:Title>Voor autohoofdstad Born breken hachelijke tijden aan</b:Title>
    <b:Year>2020</b:Year>
    <b:Author>
      <b:Author>
        <b:NameList>
          <b:Person>
            <b:Last>Segenhout</b:Last>
            <b:First>J.</b:First>
          </b:Person>
        </b:NameList>
      </b:Author>
    </b:Author>
    <b:PeriodicalTitle>Financieel Dagblad</b:PeriodicalTitle>
    <b:Month>June</b:Month>
    <b:Day>18</b:Day>
    <b:RefOrder>106</b:RefOrder>
  </b:Source>
  <b:Source>
    <b:Tag>Seg201</b:Tag>
    <b:SourceType>ArticleInAPeriodical</b:SourceType>
    <b:Guid>{2390B9FF-6AF5-4CE2-A01C-69D7184C3258}</b:Guid>
    <b:Title>Voor een duurzame Europese samenwerking heeft de schuldenunie een tegenbeweging nodig</b:Title>
    <b:Year>2020</b:Year>
    <b:Month>June</b:Month>
    <b:Day>15</b:Day>
    <b:Author>
      <b:Author>
        <b:NameList>
          <b:Person>
            <b:Last>Segers</b:Last>
            <b:First>M.</b:First>
          </b:Person>
        </b:NameList>
      </b:Author>
    </b:Author>
    <b:JournalName>FInancieel Dagblad</b:JournalName>
    <b:PeriodicalTitle>Financieel Dagblad</b:PeriodicalTitle>
    <b:RefOrder>107</b:RefOrder>
  </b:Source>
  <b:Source>
    <b:Tag>Han20</b:Tag>
    <b:SourceType>ArticleInAPeriodical</b:SourceType>
    <b:Guid>{F7213EB2-4624-46AA-BCAE-B36AB9B4BC9D}</b:Guid>
    <b:Author>
      <b:Author>
        <b:NameList>
          <b:Person>
            <b:Last>Hekking</b:Last>
            <b:First>Hans</b:First>
            <b:Middle>Dirk</b:Middle>
          </b:Person>
        </b:NameList>
      </b:Author>
    </b:Author>
    <b:Title>Groene kickstart voor de Europese industrie</b:Title>
    <b:PeriodicalTitle>Financieel Dagblad</b:PeriodicalTitle>
    <b:Year>2020</b:Year>
    <b:Month>May</b:Month>
    <b:Day>30</b:Day>
    <b:RefOrder>108</b:RefOrder>
  </b:Source>
  <b:Source>
    <b:Tag>Kno20</b:Tag>
    <b:SourceType>ArticleInAPeriodical</b:SourceType>
    <b:Guid>{BD57EE47-F801-44AD-8057-B4E2E13CB9EA}</b:Guid>
    <b:Title>Nederland blijft open voor zaken, maar wil kritischer zijn</b:Title>
    <b:Year>2020</b:Year>
    <b:Author>
      <b:Author>
        <b:NameList>
          <b:Person>
            <b:Last>Knoop</b:Last>
            <b:First>B.</b:First>
          </b:Person>
        </b:NameList>
      </b:Author>
    </b:Author>
    <b:PeriodicalTitle>Financieel Dagblad</b:PeriodicalTitle>
    <b:Month>April</b:Month>
    <b:Day>20</b:Day>
    <b:RefOrder>109</b:RefOrder>
  </b:Source>
  <b:Source>
    <b:Tag>Kno201</b:Tag>
    <b:SourceType>ArticleInAPeriodical</b:SourceType>
    <b:Guid>{319D85F4-95D0-413D-8E1B-A17ED5167F57}</b:Guid>
    <b:Title>Krijgen we ooit ons geld terug?</b:Title>
    <b:Year>2020</b:Year>
    <b:Month>June</b:Month>
    <b:Day>27</b:Day>
    <b:Author>
      <b:Author>
        <b:NameList>
          <b:Person>
            <b:Last>Knoop</b:Last>
            <b:First>B.</b:First>
          </b:Person>
          <b:Person>
            <b:Last>Woudt</b:Last>
            <b:First>J.</b:First>
          </b:Person>
        </b:NameList>
      </b:Author>
    </b:Author>
    <b:PeriodicalTitle>Financieel Dagblad</b:PeriodicalTitle>
    <b:Pages>1-3</b:Pages>
    <b:RefOrder>110</b:RefOrder>
  </b:Source>
  <b:Source>
    <b:Tag>Hek20</b:Tag>
    <b:SourceType>ArticleInAPeriodical</b:SourceType>
    <b:Guid>{2BE50945-EBA9-42A4-B077-9138F8EBBFFB}</b:Guid>
    <b:Author>
      <b:Author>
        <b:NameList>
          <b:Person>
            <b:Last>Hekking</b:Last>
            <b:First>H.D.</b:First>
          </b:Person>
        </b:NameList>
      </b:Author>
    </b:Author>
    <b:Title>Europees Herstelpakket moet van industrie een groene voorloper maken</b:Title>
    <b:PeriodicalTitle>Financieel Dagblad</b:PeriodicalTitle>
    <b:Year>2020</b:Year>
    <b:Month>May</b:Month>
    <b:Day>30</b:Day>
    <b:RefOrder>111</b:RefOrder>
  </b:Source>
  <b:Source>
    <b:Tag>Car19</b:Tag>
    <b:SourceType>InternetSite</b:SourceType>
    <b:Guid>{1A7B6BD9-0C71-4813-BBFB-2715203C69AA}</b:Guid>
    <b:Title>School climate strikes: 1.4 million people took part, say campaigners</b:Title>
    <b:Year>2019</b:Year>
    <b:Month>March</b:Month>
    <b:Day>19</b:Day>
    <b:Author>
      <b:Author>
        <b:NameList>
          <b:Person>
            <b:Last>Carrington</b:Last>
            <b:First>D.</b:First>
          </b:Person>
        </b:NameList>
      </b:Author>
    </b:Author>
    <b:InternetSiteTitle>The Guardian</b:InternetSiteTitle>
    <b:YearAccessed>2020</b:YearAccessed>
    <b:MonthAccessed>June</b:MonthAccessed>
    <b:DayAccessed>27</b:DayAccessed>
    <b:URL>https://www.theguardian.com/environment/2019/mar/19/school-climate-strikes-more-than-1-million-took-part-say-campaigners-greta-thunberg</b:URL>
    <b:RefOrder>112</b:RefOrder>
  </b:Source>
  <b:Source>
    <b:Tag>Con09</b:Tag>
    <b:SourceType>InternetSite</b:SourceType>
    <b:Guid>{B3135F6C-5DA9-4C77-A63C-E28C98E74AF5}</b:Guid>
    <b:Title>Germany approves €50bn stimulus package</b:Title>
    <b:Year>2009</b:Year>
    <b:Month>January</b:Month>
    <b:Day>27</b:Day>
    <b:Author>
      <b:Author>
        <b:NameList>
          <b:Person>
            <b:Last>Connolly</b:Last>
            <b:First>K.</b:First>
          </b:Person>
        </b:NameList>
      </b:Author>
    </b:Author>
    <b:InternetSiteTitle>The Guardian</b:InternetSiteTitle>
    <b:YearAccessed>2020</b:YearAccessed>
    <b:MonthAccessed>May</b:MonthAccessed>
    <b:DayAccessed>14</b:DayAccessed>
    <b:URL>https://www.theguardian.com/world/2009/jan/27/germany-europe</b:URL>
    <b:RefOrder>113</b:RefOrder>
  </b:Source>
  <b:Source>
    <b:Tag>Mat08</b:Tag>
    <b:SourceType>InternetSite</b:SourceType>
    <b:Guid>{D5670622-0787-4D96-AD85-DC0EF92245CB}</b:Guid>
    <b:Author>
      <b:Author>
        <b:NameList>
          <b:Person>
            <b:Last>Mathiason</b:Last>
            <b:First>N.</b:First>
          </b:Person>
        </b:NameList>
      </b:Author>
    </b:Author>
    <b:Title>40,000 car jobs at risk, says union</b:Title>
    <b:InternetSiteTitle>The Guardian</b:InternetSiteTitle>
    <b:Year>2008</b:Year>
    <b:Month>December</b:Month>
    <b:Day>14</b:Day>
    <b:YearAccessed>2020</b:YearAccessed>
    <b:MonthAccessed>May</b:MonthAccessed>
    <b:DayAccessed>14</b:DayAccessed>
    <b:URL>https://www.theguardian.com/business/2008/dec/14/automotive-trade-unions</b:URL>
    <b:RefOrder>114</b:RefOrder>
  </b:Source>
  <b:Source>
    <b:Tag>Tra13</b:Tag>
    <b:SourceType>ArticleInAPeriodical</b:SourceType>
    <b:Guid>{0A870384-9E35-451F-AC12-6D9864C2AF4A}</b:Guid>
    <b:Author>
      <b:Author>
        <b:NameList>
          <b:Person>
            <b:Last>Traynor</b:Last>
            <b:First>I.</b:First>
          </b:Person>
        </b:NameList>
      </b:Author>
    </b:Author>
    <b:Title>EU near austerity limit, says Barroso</b:Title>
    <b:PeriodicalTitle>The Guardian</b:PeriodicalTitle>
    <b:Year>2013</b:Year>
    <b:Month>April</b:Month>
    <b:Day>22</b:Day>
    <b:RefOrder>115</b:RefOrder>
  </b:Source>
  <b:Source>
    <b:Tag>Win20</b:Tag>
    <b:SourceType>ArticleInAPeriodical</b:SourceType>
    <b:Guid>{1F2A373F-A125-4E59-9429-281067D0AF5A}</b:Guid>
    <b:Author>
      <b:Author>
        <b:NameList>
          <b:Person>
            <b:Last>Wintour</b:Last>
            <b:First>P.</b:First>
          </b:Person>
        </b:NameList>
      </b:Author>
    </b:Author>
    <b:Title>Dawn of Asian century puts pressure on EU to choose sides, says top diplomat</b:Title>
    <b:PeriodicalTitle>The Guardian</b:PeriodicalTitle>
    <b:Year>2020</b:Year>
    <b:Month>May</b:Month>
    <b:Day>25</b:Day>
    <b:RefOrder>116</b:RefOrder>
  </b:Source>
  <b:Source>
    <b:Tag>Dam18</b:Tag>
    <b:SourceType>InternetSite</b:SourceType>
    <b:Guid>{22FE6593-AAFC-4AA3-9D3E-8E05181AE378}</b:Guid>
    <b:Author>
      <b:Author>
        <b:NameList>
          <b:Person>
            <b:Last>Damgé</b:Last>
            <b:First>M.</b:First>
          </b:Person>
          <b:Person>
            <b:Last>Durand</b:Last>
            <b:First>A.</b:First>
          </b:Person>
          <b:Person>
            <b:Last>Vaudaro</b:Last>
            <b:First>M.</b:First>
          </b:Person>
          <b:Person>
            <b:Last>Baruch</b:Last>
            <b:First>J.</b:First>
          </b:Person>
          <b:Person>
            <b:Last>Breteau</b:Last>
            <b:First>P.</b:First>
          </b:Person>
        </b:NameList>
      </b:Author>
    </b:Author>
    <b:Title>Sur un axe de Mélenchon à Le Pen, où se situent les revendications des « gilets jaunes » ?</b:Title>
    <b:InternetSiteTitle>Le Monde</b:InternetSiteTitle>
    <b:Year>2018</b:Year>
    <b:Month>December</b:Month>
    <b:Day>10</b:Day>
    <b:YearAccessed>2020</b:YearAccessed>
    <b:MonthAccessed>July</b:MonthAccessed>
    <b:DayAccessed>2</b:DayAccessed>
    <b:URL>https://www.lemonde.fr/les-decodeurs/article/2018/12/04/sur-un-axe-de-melenchon-a-le-pen-ou-se-situent-les-revendications-des-gilets-jaunes_5392592_4355770.html</b:URL>
    <b:RefOrder>117</b:RefOrder>
  </b:Source>
  <b:Source>
    <b:Tag>ACE14</b:Tag>
    <b:SourceType>DocumentFromInternetSite</b:SourceType>
    <b:Guid>{46CA743E-5E5E-4670-9AA9-93FAC6C1B3C4}</b:Guid>
    <b:Author>
      <b:Author>
        <b:NameList>
          <b:Person>
            <b:Last>ACEA</b:Last>
          </b:Person>
        </b:NameList>
      </b:Author>
    </b:Author>
    <b:Title>Key Figures</b:Title>
    <b:Year>2014</b:Year>
    <b:InternetSiteTitle>Acea</b:InternetSiteTitle>
    <b:YearAccessed>2020</b:YearAccessed>
    <b:MonthAccessed>June</b:MonthAccessed>
    <b:URL>https://www.acea.be/uploads/statistic_documents/POCKET_GUIDE_13_26.pdf</b:URL>
    <b:RefOrder>118</b:RefOrder>
  </b:Source>
  <b:Source>
    <b:Tag>ACE19</b:Tag>
    <b:SourceType>InternetSite</b:SourceType>
    <b:Guid>{B906CF2A-DC16-4B72-BCAC-BE349C6F4CE9}</b:Guid>
    <b:Author>
      <b:Author>
        <b:NameList>
          <b:Person>
            <b:Last>ACEA</b:Last>
          </b:Person>
        </b:NameList>
      </b:Author>
    </b:Author>
    <b:Title>Employment Trends</b:Title>
    <b:InternetSiteTitle>ACEA</b:InternetSiteTitle>
    <b:Year>2019</b:Year>
    <b:Month>May</b:Month>
    <b:Day>4</b:Day>
    <b:YearAccessed>2020</b:YearAccessed>
    <b:MonthAccessed>May</b:MonthAccessed>
    <b:DayAccessed>15</b:DayAccessed>
    <b:URL>https://www.acea.be/statistics/tag/category/employment-trends</b:URL>
    <b:RefOrder>119</b:RefOrder>
  </b:Source>
  <b:Source>
    <b:Tag>CBS20</b:Tag>
    <b:SourceType>Report</b:SourceType>
    <b:Guid>{F864A3E2-491A-415C-8FE4-E866F720E42F}</b:Guid>
    <b:Title>Materiële welvaart in Nederland 2020</b:Title>
    <b:Year>2020</b:Year>
    <b:Author>
      <b:Author>
        <b:NameList>
          <b:Person>
            <b:Last>CBS</b:Last>
          </b:Person>
        </b:NameList>
      </b:Author>
    </b:Author>
    <b:Publisher>CBS</b:Publisher>
    <b:City>Den Haag</b:City>
    <b:RefOrder>120</b:RefOrder>
  </b:Source>
  <b:Source>
    <b:Tag>Eur205</b:Tag>
    <b:SourceType>Report</b:SourceType>
    <b:Guid>{F70387AC-9026-46A3-966F-653D8E540A0C}</b:Guid>
    <b:Author>
      <b:Author>
        <b:NameList>
          <b:Person>
            <b:Last>Commission</b:Last>
            <b:First>European</b:First>
          </b:Person>
        </b:NameList>
      </b:Author>
    </b:Author>
    <b:Title>A new Industrial Strategy for a globally competitive, green and digital Europe</b:Title>
    <b:Year>2020</b:Year>
    <b:Publisher>European Commission</b:Publisher>
    <b:City>Brussels</b:City>
    <b:RefOrder>121</b:RefOrder>
  </b:Source>
  <b:Source>
    <b:Tag>Eur193</b:Tag>
    <b:SourceType>Report</b:SourceType>
    <b:Guid>{3B90DFF2-DE27-4F3B-AC64-7A4D81DA9E57}</b:Guid>
    <b:Title>A vision for the European industry until 2030</b:Title>
    <b:Year>2019</b:Year>
    <b:Author>
      <b:Author>
        <b:NameList>
          <b:Person>
            <b:Last>Commission</b:Last>
            <b:First>European</b:First>
          </b:Person>
        </b:NameList>
      </b:Author>
    </b:Author>
    <b:Publisher>European Commission</b:Publisher>
    <b:City>Brussels</b:City>
    <b:RefOrder>122</b:RefOrder>
  </b:Source>
  <b:Source>
    <b:Tag>Eur203</b:Tag>
    <b:SourceType>InternetSite</b:SourceType>
    <b:Guid>{AEBA703E-EE6F-42C8-B252-CF5A56805556}</b:Guid>
    <b:Author>
      <b:Author>
        <b:NameList>
          <b:Person>
            <b:Last>Commission</b:Last>
            <b:First>European</b:First>
          </b:Person>
        </b:NameList>
      </b:Author>
    </b:Author>
    <b:Title>Automotive industry</b:Title>
    <b:InternetSiteTitle>EC Europa</b:InternetSiteTitle>
    <b:Year>2020</b:Year>
    <b:YearAccessed>2020</b:YearAccessed>
    <b:MonthAccessed>May</b:MonthAccessed>
    <b:DayAccessed>15</b:DayAccessed>
    <b:URL>https://ec.europa.eu/growth/sectors/automotive_en</b:URL>
    <b:RefOrder>123</b:RefOrder>
  </b:Source>
  <b:Source>
    <b:Tag>Eur202</b:Tag>
    <b:SourceType>InternetSite</b:SourceType>
    <b:Guid>{ADB00F4A-919A-4BC5-9B0B-05F78329E561}</b:Guid>
    <b:Author>
      <b:Author>
        <b:NameList>
          <b:Person>
            <b:Last>Commission</b:Last>
            <b:First>European</b:First>
          </b:Person>
        </b:NameList>
      </b:Author>
    </b:Author>
    <b:Title>Climate change consequences</b:Title>
    <b:InternetSiteTitle>EC Europa</b:InternetSiteTitle>
    <b:Year>2020</b:Year>
    <b:YearAccessed>2020</b:YearAccessed>
    <b:MonthAccessed>May</b:MonthAccessed>
    <b:DayAccessed>11</b:DayAccessed>
    <b:URL>https://ec.europa.eu/clima/change/consequences_en</b:URL>
    <b:RefOrder>124</b:RefOrder>
  </b:Source>
  <b:Source>
    <b:Tag>Eur12</b:Tag>
    <b:SourceType>Report</b:SourceType>
    <b:Guid>{DF01C3E7-A269-43AE-B4BA-5B86E9482842}</b:Guid>
    <b:Author>
      <b:Author>
        <b:NameList>
          <b:Person>
            <b:Last>Commission</b:Last>
            <b:First>European</b:First>
          </b:Person>
        </b:NameList>
      </b:Author>
    </b:Author>
    <b:Title>Communication from the Commission to the European Parliament, The Council, The European Social and Economic Committee and the Committee of Regions</b:Title>
    <b:Year>2012</b:Year>
    <b:Publisher>European Commission</b:Publisher>
    <b:City>Brussels</b:City>
    <b:RefOrder>125</b:RefOrder>
  </b:Source>
  <b:Source>
    <b:Tag>Eur09</b:Tag>
    <b:SourceType>Report</b:SourceType>
    <b:Guid>{2F67321F-5348-4685-AAC0-7C28C0335C67}</b:Guid>
    <b:Title>Economic Crisis in Europe: Causes, Consequences and Responses</b:Title>
    <b:Year>2009</b:Year>
    <b:Author>
      <b:Author>
        <b:NameList>
          <b:Person>
            <b:Last>Commission</b:Last>
            <b:First>European</b:First>
          </b:Person>
        </b:NameList>
      </b:Author>
    </b:Author>
    <b:Publisher>European Commission</b:Publisher>
    <b:City>Brussels</b:City>
    <b:RefOrder>126</b:RefOrder>
  </b:Source>
  <b:Source>
    <b:Tag>Eur192</b:Tag>
    <b:SourceType>InternetSite</b:SourceType>
    <b:Guid>{9A162B21-F318-4932-8A23-25EC2339D086}</b:Guid>
    <b:Title>European Commission announces the Key Strategic Value Chains </b:Title>
    <b:Year>2019</b:Year>
    <b:Author>
      <b:Author>
        <b:NameList>
          <b:Person>
            <b:Last>Commission</b:Last>
            <b:First>European</b:First>
          </b:Person>
        </b:NameList>
      </b:Author>
    </b:Author>
    <b:InternetSiteTitle>EC Europa</b:InternetSiteTitle>
    <b:Month>Februari</b:Month>
    <b:Day>17</b:Day>
    <b:YearAccessed>2020</b:YearAccessed>
    <b:MonthAccessed>June</b:MonthAccessed>
    <b:DayAccessed>16</b:DayAccessed>
    <b:URL>https://s3platform.jrc.ec.europa.eu/-/european-commission-announces-the-key-strategic-value-chains</b:URL>
    <b:RefOrder>127</b:RefOrder>
  </b:Source>
  <b:Source>
    <b:Tag>Eur195</b:Tag>
    <b:SourceType>InternetSite</b:SourceType>
    <b:Guid>{B2D5B9B2-DDF6-4BA4-B40B-35BFD9603ED2}</b:Guid>
    <b:Title>High Level Industrial Roundtable "Industry 2030"</b:Title>
    <b:Year>2019</b:Year>
    <b:Author>
      <b:Author>
        <b:NameList>
          <b:Person>
            <b:Last>Commission</b:Last>
            <b:First>European</b:First>
          </b:Person>
        </b:NameList>
      </b:Author>
    </b:Author>
    <b:InternetSiteTitle>EC Europa</b:InternetSiteTitle>
    <b:Month>June</b:Month>
    <b:Day>25</b:Day>
    <b:YearAccessed>2020</b:YearAccessed>
    <b:MonthAccessed>May</b:MonthAccessed>
    <b:DayAccessed>24</b:DayAccessed>
    <b:URL>https://ec.europa.eu/transparency/regexpert/index.cfm?do=groupDetail.groupDetail&amp;groupID=3572&amp;news=1</b:URL>
    <b:RefOrder>128</b:RefOrder>
  </b:Source>
  <b:Source>
    <b:Tag>Eur141</b:Tag>
    <b:SourceType>Report</b:SourceType>
    <b:Guid>{E449F3DA-46E8-4C98-B188-A8ADC603820C}</b:Guid>
    <b:Title>Member States need to act to boost European industry</b:Title>
    <b:Year>2014</b:Year>
    <b:Author>
      <b:Author>
        <b:NameList>
          <b:Person>
            <b:Last>Commission</b:Last>
            <b:First>European</b:First>
          </b:Person>
        </b:NameList>
      </b:Author>
    </b:Author>
    <b:Publisher>European Commission</b:Publisher>
    <b:City>Brussels</b:City>
    <b:RefOrder>129</b:RefOrder>
  </b:Source>
  <b:Source>
    <b:Tag>Eur197</b:Tag>
    <b:SourceType>Report</b:SourceType>
    <b:Guid>{620A292F-47A1-45E7-BDBF-5AF8AA33D954}</b:Guid>
    <b:Title>On the Implementation of the Strategic Action Plan on Batteries: Building a Strategic Battery Value Chain in Europe</b:Title>
    <b:Year>2019</b:Year>
    <b:Publisher>European Commission</b:Publisher>
    <b:City>Brussels</b:City>
    <b:Author>
      <b:Author>
        <b:NameList>
          <b:Person>
            <b:Last>Commission</b:Last>
            <b:First>European</b:First>
          </b:Person>
        </b:NameList>
      </b:Author>
    </b:Author>
    <b:InternetSiteTitle>EC Europa</b:InternetSiteTitle>
    <b:RefOrder>130</b:RefOrder>
  </b:Source>
  <b:Source>
    <b:Tag>Eur14</b:Tag>
    <b:SourceType>Report</b:SourceType>
    <b:Guid>{CAC687B8-ABC3-404E-8EA1-88C09D74560C}</b:Guid>
    <b:Author>
      <b:Author>
        <b:NameList>
          <b:Person>
            <b:Last>Commission</b:Last>
            <b:First>European</b:First>
          </b:Person>
        </b:NameList>
      </b:Author>
    </b:Author>
    <b:Title>State aid in the automotive sector: an overview</b:Title>
    <b:Year>2014</b:Year>
    <b:Publisher>European Commission</b:Publisher>
    <b:City>Brussels</b:City>
    <b:RefOrder>131</b:RefOrder>
  </b:Source>
  <b:Source>
    <b:Tag>Eur13</b:Tag>
    <b:SourceType>Report</b:SourceType>
    <b:Guid>{A1D90765-A0F8-4DC6-865C-79B2B799355D}</b:Guid>
    <b:Author>
      <b:Author>
        <b:NameList>
          <b:Person>
            <b:Last>Commission</b:Last>
            <b:First>European</b:First>
          </b:Person>
        </b:NameList>
      </b:Author>
    </b:Author>
    <b:Title>State aid: Commission adopts Guidelines on regional aid for 2014-2020</b:Title>
    <b:Year>2013</b:Year>
    <b:Publisher>European Commission</b:Publisher>
    <b:City>Brussels</b:City>
    <b:RefOrder>132</b:RefOrder>
  </b:Source>
  <b:Source>
    <b:Tag>Eur196</b:Tag>
    <b:SourceType>Report</b:SourceType>
    <b:Guid>{7D4B55C1-1A2E-4478-99FD-DFC7FE83E1F4}</b:Guid>
    <b:Author>
      <b:Author>
        <b:NameList>
          <b:Person>
            <b:Last>Commission</b:Last>
            <b:First>European</b:First>
          </b:Person>
        </b:NameList>
      </b:Author>
    </b:Author>
    <b:Title>State aid: Commission approves €3.2 billion public support by seven Member States for a pan-European research and innovation project in all segments of the battery value chain</b:Title>
    <b:Year>2019</b:Year>
    <b:Publisher>European Commission</b:Publisher>
    <b:City>Brussels</b:City>
    <b:RefOrder>133</b:RefOrder>
  </b:Source>
  <b:Source>
    <b:Tag>Eur16</b:Tag>
    <b:SourceType>Report</b:SourceType>
    <b:Guid>{6D9409D6-3F8A-46B3-BACF-84EE094851FF}</b:Guid>
    <b:Author>
      <b:Author>
        <b:NameList>
          <b:Person>
            <b:Last>Commission</b:Last>
            <b:First>European</b:First>
          </b:Person>
        </b:NameList>
      </b:Author>
    </b:Author>
    <b:Title>State aid: Commission approves German investment aid to paper manufacturer Hamburger Rieger and opens investigation into German aid to polymer processer REHAU</b:Title>
    <b:Year>2016</b:Year>
    <b:Publisher>European Commission</b:Publisher>
    <b:City>Brussels</b:City>
    <b:RefOrder>134</b:RefOrder>
  </b:Source>
  <b:Source>
    <b:Tag>Eur10</b:Tag>
    <b:SourceType>Report</b:SourceType>
    <b:Guid>{2E0D7169-C887-471A-BD97-0E63A9329B16}</b:Guid>
    <b:Title>State aid: Scoreboard shows continued trend towards less and better targeted aid despite crisis related</b:Title>
    <b:Year>2010</b:Year>
    <b:Author>
      <b:Author>
        <b:NameList>
          <b:Person>
            <b:Last>Commission</b:Last>
            <b:First>European</b:First>
          </b:Person>
        </b:NameList>
      </b:Author>
    </b:Author>
    <b:Publisher>European Commission</b:Publisher>
    <b:City>Brussels</b:City>
    <b:RefOrder>135</b:RefOrder>
  </b:Source>
  <b:Source>
    <b:Tag>Eur121</b:Tag>
    <b:SourceType>Report</b:SourceType>
    <b:Guid>{ABAE3EC1-13AB-41C9-8B4A-DD19B35B92B1}</b:Guid>
    <b:Author>
      <b:Author>
        <b:NameList>
          <b:Person>
            <b:Last>Commission</b:Last>
            <b:First>European</b:First>
          </b:Person>
        </b:NameList>
      </b:Author>
    </b:Author>
    <b:Title>Treaty on functioning of the European Union</b:Title>
    <b:Year>2012</b:Year>
    <b:Publisher>European Commission</b:Publisher>
    <b:City>Brussels</b:City>
    <b:RefOrder>136</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6548DD6-28B7-4D51-8F13-89EB31036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17637</Words>
  <Characters>100537</Characters>
  <Application>Microsoft Office Word</Application>
  <DocSecurity>0</DocSecurity>
  <Lines>837</Lines>
  <Paragraphs>235</Paragraphs>
  <ScaleCrop>false</ScaleCrop>
  <HeadingPairs>
    <vt:vector size="2" baseType="variant">
      <vt:variant>
        <vt:lpstr>Title</vt:lpstr>
      </vt:variant>
      <vt:variant>
        <vt:i4>1</vt:i4>
      </vt:variant>
    </vt:vector>
  </HeadingPairs>
  <TitlesOfParts>
    <vt:vector size="1" baseType="lpstr">
      <vt:lpstr>EU Industrial Policy: Vertical Aid in Battery Production </vt:lpstr>
    </vt:vector>
  </TitlesOfParts>
  <Company>Radboud Universiteit Nijmegen</Company>
  <LinksUpToDate>false</LinksUpToDate>
  <CharactersWithSpaces>117939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 Industrial Policy: Vertical Aid in Battery Production </dc:title>
  <dc:subject>How the Commission partook in a Paradigm shift</dc:subject>
  <dc:creator>Liebergen, J.J.A.M.S. van (Sjef) s4077822</dc:creator>
  <cp:lastModifiedBy>Angela Wigger</cp:lastModifiedBy>
  <cp:revision>2</cp:revision>
  <cp:lastPrinted>2020-08-14T15:10:00Z</cp:lastPrinted>
  <dcterms:created xsi:type="dcterms:W3CDTF">2020-08-18T08:12:00Z</dcterms:created>
  <dcterms:modified xsi:type="dcterms:W3CDTF">2020-08-18T08:12:00Z</dcterms:modified>
</cp:coreProperties>
</file>