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E5C15C" w14:textId="7DC5F139" w:rsidR="00CA1A47" w:rsidRDefault="00705716" w:rsidP="0092547F">
      <w:pPr>
        <w:pStyle w:val="Title"/>
        <w:spacing w:line="276" w:lineRule="auto"/>
        <w:jc w:val="center"/>
        <w:rPr>
          <w:rFonts w:ascii="Open Sans" w:hAnsi="Open Sans" w:cs="Open Sans"/>
          <w:sz w:val="54"/>
          <w:szCs w:val="54"/>
          <w:lang w:val="en-US"/>
        </w:rPr>
      </w:pPr>
      <w:bookmarkStart w:id="0" w:name="_Toc136372373"/>
      <w:bookmarkStart w:id="1" w:name="_Toc136706572"/>
      <w:r>
        <w:rPr>
          <w:rFonts w:ascii="Open Sans" w:hAnsi="Open Sans" w:cs="Open Sans"/>
          <w:sz w:val="54"/>
          <w:szCs w:val="54"/>
          <w:lang w:val="en-US"/>
        </w:rPr>
        <w:t>The role of intergovernmental autonomy in engagement with violent non-state actors</w:t>
      </w:r>
    </w:p>
    <w:p w14:paraId="65D7487B" w14:textId="77777777" w:rsidR="0092547F" w:rsidRPr="000B7578" w:rsidRDefault="0092547F" w:rsidP="0092547F">
      <w:pPr>
        <w:spacing w:line="276" w:lineRule="auto"/>
      </w:pPr>
    </w:p>
    <w:p w14:paraId="0F048A4D" w14:textId="77777777" w:rsidR="0092547F" w:rsidRPr="000B7578" w:rsidRDefault="0092547F" w:rsidP="0092547F">
      <w:pPr>
        <w:pStyle w:val="Subtitle"/>
        <w:pBdr>
          <w:top w:val="single" w:sz="4" w:space="1" w:color="auto"/>
          <w:bottom w:val="single" w:sz="4" w:space="1" w:color="auto"/>
        </w:pBdr>
        <w:spacing w:line="276" w:lineRule="auto"/>
        <w:jc w:val="center"/>
        <w:rPr>
          <w:rFonts w:ascii="Open Sans" w:hAnsi="Open Sans" w:cs="Open Sans"/>
          <w:color w:val="auto"/>
        </w:rPr>
      </w:pPr>
      <w:r w:rsidRPr="000B7578">
        <w:rPr>
          <w:rFonts w:ascii="Open Sans" w:hAnsi="Open Sans" w:cs="Open Sans"/>
          <w:color w:val="auto"/>
        </w:rPr>
        <w:t xml:space="preserve">A case study analysis into the engagements of the Office of the Special </w:t>
      </w:r>
      <w:r>
        <w:rPr>
          <w:rFonts w:ascii="Open Sans" w:hAnsi="Open Sans" w:cs="Open Sans"/>
          <w:color w:val="auto"/>
        </w:rPr>
        <w:br/>
      </w:r>
      <w:r w:rsidRPr="000B7578">
        <w:rPr>
          <w:rFonts w:ascii="Open Sans" w:hAnsi="Open Sans" w:cs="Open Sans"/>
          <w:color w:val="auto"/>
        </w:rPr>
        <w:t>envoy</w:t>
      </w:r>
      <w:r>
        <w:rPr>
          <w:rFonts w:ascii="Open Sans" w:hAnsi="Open Sans" w:cs="Open Sans"/>
          <w:color w:val="auto"/>
        </w:rPr>
        <w:t xml:space="preserve"> </w:t>
      </w:r>
      <w:r w:rsidRPr="000B7578">
        <w:rPr>
          <w:rFonts w:ascii="Open Sans" w:hAnsi="Open Sans" w:cs="Open Sans"/>
          <w:color w:val="auto"/>
        </w:rPr>
        <w:t>of the Secretary-General for Yemen with the Houthi movement</w:t>
      </w:r>
    </w:p>
    <w:p w14:paraId="3C3A69DD" w14:textId="77777777" w:rsidR="0092547F" w:rsidRPr="000B7578" w:rsidRDefault="0092547F" w:rsidP="0092547F">
      <w:pPr>
        <w:spacing w:line="276" w:lineRule="auto"/>
        <w:rPr>
          <w:rFonts w:ascii="Open Sans" w:hAnsi="Open Sans" w:cs="Open Sans"/>
        </w:rPr>
      </w:pPr>
    </w:p>
    <w:p w14:paraId="27FC1E7A" w14:textId="77777777" w:rsidR="0092547F" w:rsidRPr="000B7578" w:rsidRDefault="0092547F" w:rsidP="0092547F">
      <w:pPr>
        <w:spacing w:line="276" w:lineRule="auto"/>
        <w:rPr>
          <w:rFonts w:ascii="Open Sans" w:hAnsi="Open Sans" w:cs="Open Sans"/>
        </w:rPr>
      </w:pPr>
    </w:p>
    <w:p w14:paraId="0E29E3F9" w14:textId="77777777" w:rsidR="0092547F" w:rsidRPr="000B7578" w:rsidRDefault="0092547F" w:rsidP="0092547F">
      <w:pPr>
        <w:spacing w:line="276" w:lineRule="auto"/>
        <w:jc w:val="center"/>
        <w:rPr>
          <w:rFonts w:ascii="Open Sans" w:hAnsi="Open Sans" w:cs="Open Sans"/>
        </w:rPr>
      </w:pPr>
      <w:r>
        <w:rPr>
          <w:rFonts w:ascii="Open Sans" w:hAnsi="Open Sans" w:cs="Open Sans"/>
          <w:noProof/>
        </w:rPr>
        <w:drawing>
          <wp:inline distT="0" distB="0" distL="0" distR="0" wp14:anchorId="65B599A5" wp14:editId="02D43DEA">
            <wp:extent cx="3445510" cy="3445510"/>
            <wp:effectExtent l="0" t="0" r="0" b="0"/>
            <wp:docPr id="2032269925" name="Picture 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269925" name="Picture 1" descr="A black and white logo&#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45510" cy="3445510"/>
                    </a:xfrm>
                    <a:prstGeom prst="rect">
                      <a:avLst/>
                    </a:prstGeom>
                  </pic:spPr>
                </pic:pic>
              </a:graphicData>
            </a:graphic>
          </wp:inline>
        </w:drawing>
      </w:r>
    </w:p>
    <w:p w14:paraId="781B7D07" w14:textId="77777777" w:rsidR="0092547F" w:rsidRDefault="0092547F" w:rsidP="0092547F">
      <w:pPr>
        <w:spacing w:line="276" w:lineRule="auto"/>
        <w:rPr>
          <w:rFonts w:ascii="Open Sans" w:hAnsi="Open Sans" w:cs="Open Sans"/>
        </w:rPr>
      </w:pPr>
    </w:p>
    <w:p w14:paraId="519870E0" w14:textId="77777777" w:rsidR="0092547F" w:rsidRPr="00DA0FC0" w:rsidRDefault="0092547F" w:rsidP="0092547F">
      <w:pPr>
        <w:rPr>
          <w:rFonts w:ascii="Open Sans" w:hAnsi="Open Sans" w:cs="Open Sans"/>
        </w:rPr>
      </w:pPr>
    </w:p>
    <w:p w14:paraId="602F1A77" w14:textId="77777777" w:rsidR="0092547F" w:rsidRPr="00DA0FC0" w:rsidRDefault="0092547F" w:rsidP="0092547F">
      <w:pPr>
        <w:rPr>
          <w:rFonts w:ascii="Open Sans" w:hAnsi="Open Sans" w:cs="Open Sans"/>
        </w:rPr>
      </w:pPr>
    </w:p>
    <w:p w14:paraId="0A171FF3" w14:textId="77777777" w:rsidR="0092547F" w:rsidRPr="00DA0FC0" w:rsidRDefault="0092547F" w:rsidP="0092547F">
      <w:pPr>
        <w:rPr>
          <w:rFonts w:ascii="Open Sans" w:hAnsi="Open Sans" w:cs="Open Sans"/>
        </w:rPr>
      </w:pPr>
    </w:p>
    <w:p w14:paraId="34316327" w14:textId="77777777" w:rsidR="0092547F" w:rsidRPr="00DA0FC0" w:rsidRDefault="0092547F" w:rsidP="0092547F">
      <w:pPr>
        <w:rPr>
          <w:rFonts w:ascii="Open Sans" w:hAnsi="Open Sans" w:cs="Open Sans"/>
        </w:rPr>
      </w:pPr>
    </w:p>
    <w:p w14:paraId="6D7C8442" w14:textId="74C523B0" w:rsidR="00B419D8" w:rsidRPr="00742342" w:rsidRDefault="004F0658">
      <w:pPr>
        <w:rPr>
          <w:rFonts w:ascii="Open Sans" w:hAnsi="Open Sans" w:cs="Open Sans"/>
          <w:color w:val="000000" w:themeColor="text1"/>
          <w:sz w:val="28"/>
          <w:szCs w:val="28"/>
        </w:rPr>
      </w:pPr>
      <w:r w:rsidRPr="00742342">
        <w:rPr>
          <w:rFonts w:ascii="Open Sans" w:hAnsi="Open Sans" w:cs="Open Sans"/>
          <w:color w:val="000000" w:themeColor="text1"/>
          <w:sz w:val="28"/>
          <w:szCs w:val="28"/>
        </w:rPr>
        <w:br w:type="page"/>
      </w:r>
    </w:p>
    <w:p w14:paraId="49F71DBC" w14:textId="77777777" w:rsidR="00B419D8" w:rsidRPr="00742342" w:rsidRDefault="00B419D8">
      <w:pPr>
        <w:rPr>
          <w:rFonts w:ascii="Open Sans" w:hAnsi="Open Sans" w:cs="Open Sans"/>
          <w:color w:val="000000" w:themeColor="text1"/>
          <w:sz w:val="28"/>
          <w:szCs w:val="28"/>
        </w:rPr>
      </w:pPr>
      <w:r w:rsidRPr="00742342">
        <w:rPr>
          <w:rFonts w:ascii="Open Sans" w:hAnsi="Open Sans" w:cs="Open Sans"/>
          <w:color w:val="000000" w:themeColor="text1"/>
          <w:sz w:val="28"/>
          <w:szCs w:val="28"/>
        </w:rPr>
        <w:lastRenderedPageBreak/>
        <w:br w:type="page"/>
      </w:r>
    </w:p>
    <w:p w14:paraId="1B004789" w14:textId="77777777" w:rsidR="004F0658" w:rsidRPr="00742342" w:rsidRDefault="004F0658">
      <w:pPr>
        <w:rPr>
          <w:rFonts w:ascii="Open Sans" w:hAnsi="Open Sans" w:cs="Open Sans"/>
          <w:color w:val="000000" w:themeColor="text1"/>
          <w:sz w:val="28"/>
          <w:szCs w:val="28"/>
        </w:rPr>
      </w:pPr>
    </w:p>
    <w:p w14:paraId="56C71ECA" w14:textId="311FB859" w:rsidR="007C0BB0" w:rsidRPr="00742342" w:rsidRDefault="004541B8" w:rsidP="004F0658">
      <w:pPr>
        <w:rPr>
          <w:rFonts w:ascii="Open Sans" w:hAnsi="Open Sans" w:cs="Open Sans"/>
          <w:color w:val="000000" w:themeColor="text1"/>
          <w:sz w:val="28"/>
          <w:szCs w:val="28"/>
        </w:rPr>
      </w:pPr>
      <w:r w:rsidRPr="00742342">
        <w:rPr>
          <w:rFonts w:ascii="Open Sans" w:hAnsi="Open Sans" w:cs="Open Sans"/>
          <w:color w:val="000000" w:themeColor="text1"/>
          <w:sz w:val="28"/>
          <w:szCs w:val="28"/>
        </w:rPr>
        <w:t>Abstract</w:t>
      </w:r>
    </w:p>
    <w:p w14:paraId="19D8FA3D" w14:textId="77777777" w:rsidR="001616E5" w:rsidRPr="00742342" w:rsidRDefault="001616E5">
      <w:pPr>
        <w:rPr>
          <w:rFonts w:ascii="Open Sans" w:hAnsi="Open Sans" w:cs="Open Sans"/>
          <w:color w:val="000000" w:themeColor="text1"/>
          <w:sz w:val="28"/>
          <w:szCs w:val="28"/>
        </w:rPr>
      </w:pPr>
    </w:p>
    <w:p w14:paraId="2F0518F8" w14:textId="2300D698" w:rsidR="00B419D8" w:rsidRPr="00742342" w:rsidRDefault="00B419D8" w:rsidP="00B419D8">
      <w:pPr>
        <w:spacing w:line="276" w:lineRule="auto"/>
        <w:jc w:val="both"/>
        <w:rPr>
          <w:rFonts w:ascii="Open Sans" w:hAnsi="Open Sans" w:cs="Open Sans"/>
          <w:sz w:val="22"/>
          <w:szCs w:val="22"/>
        </w:rPr>
      </w:pPr>
      <w:r w:rsidRPr="00742342">
        <w:rPr>
          <w:rFonts w:ascii="Open Sans" w:hAnsi="Open Sans" w:cs="Open Sans"/>
          <w:sz w:val="22"/>
          <w:szCs w:val="22"/>
        </w:rPr>
        <w:t xml:space="preserve">This </w:t>
      </w:r>
      <w:r w:rsidR="000C492C">
        <w:rPr>
          <w:rFonts w:ascii="Open Sans" w:hAnsi="Open Sans" w:cs="Open Sans"/>
          <w:sz w:val="22"/>
          <w:szCs w:val="22"/>
        </w:rPr>
        <w:t>research</w:t>
      </w:r>
      <w:r w:rsidRPr="00742342">
        <w:rPr>
          <w:rFonts w:ascii="Open Sans" w:hAnsi="Open Sans" w:cs="Open Sans"/>
          <w:sz w:val="22"/>
          <w:szCs w:val="22"/>
        </w:rPr>
        <w:t xml:space="preserve"> investigates the degree of autonomy intergovernmental organizations </w:t>
      </w:r>
      <w:r w:rsidR="00ED05CA">
        <w:rPr>
          <w:rFonts w:ascii="Open Sans" w:hAnsi="Open Sans" w:cs="Open Sans"/>
          <w:sz w:val="22"/>
          <w:szCs w:val="22"/>
        </w:rPr>
        <w:t>enjoy</w:t>
      </w:r>
      <w:r w:rsidRPr="00742342">
        <w:rPr>
          <w:rFonts w:ascii="Open Sans" w:hAnsi="Open Sans" w:cs="Open Sans"/>
          <w:sz w:val="22"/>
          <w:szCs w:val="22"/>
        </w:rPr>
        <w:t xml:space="preserve">, </w:t>
      </w:r>
      <w:r w:rsidR="00FA395E">
        <w:rPr>
          <w:rFonts w:ascii="Open Sans" w:hAnsi="Open Sans" w:cs="Open Sans"/>
          <w:sz w:val="22"/>
          <w:szCs w:val="22"/>
        </w:rPr>
        <w:t xml:space="preserve">the causal mechanisms that shape how this </w:t>
      </w:r>
      <w:r w:rsidRPr="00742342">
        <w:rPr>
          <w:rFonts w:ascii="Open Sans" w:hAnsi="Open Sans" w:cs="Open Sans"/>
          <w:sz w:val="22"/>
          <w:szCs w:val="22"/>
        </w:rPr>
        <w:t xml:space="preserve">autonomy is constituted, and how </w:t>
      </w:r>
      <w:r w:rsidR="00FA395E">
        <w:rPr>
          <w:rFonts w:ascii="Open Sans" w:hAnsi="Open Sans" w:cs="Open Sans"/>
          <w:sz w:val="22"/>
          <w:szCs w:val="22"/>
        </w:rPr>
        <w:t>it</w:t>
      </w:r>
      <w:r w:rsidRPr="00742342">
        <w:rPr>
          <w:rFonts w:ascii="Open Sans" w:hAnsi="Open Sans" w:cs="Open Sans"/>
          <w:sz w:val="22"/>
          <w:szCs w:val="22"/>
        </w:rPr>
        <w:t xml:space="preserve"> influences engagements with violent non-state actors. The research is focused on the Office of the Special Envoy of the Secretary-General for Yemen (OSESGY). Triggered by the apparent temporary success of the 2022 truce</w:t>
      </w:r>
      <w:r w:rsidR="00FA395E">
        <w:rPr>
          <w:rFonts w:ascii="Open Sans" w:hAnsi="Open Sans" w:cs="Open Sans"/>
          <w:sz w:val="22"/>
          <w:szCs w:val="22"/>
        </w:rPr>
        <w:t xml:space="preserve"> in the Yemeni civil war</w:t>
      </w:r>
      <w:r w:rsidRPr="00742342">
        <w:rPr>
          <w:rFonts w:ascii="Open Sans" w:hAnsi="Open Sans" w:cs="Open Sans"/>
          <w:sz w:val="22"/>
          <w:szCs w:val="22"/>
        </w:rPr>
        <w:t xml:space="preserve">, this research </w:t>
      </w:r>
      <w:r w:rsidR="00486D69">
        <w:rPr>
          <w:rFonts w:ascii="Open Sans" w:hAnsi="Open Sans" w:cs="Open Sans"/>
          <w:sz w:val="22"/>
          <w:szCs w:val="22"/>
        </w:rPr>
        <w:t>analyzes</w:t>
      </w:r>
      <w:r w:rsidRPr="00742342">
        <w:rPr>
          <w:rFonts w:ascii="Open Sans" w:hAnsi="Open Sans" w:cs="Open Sans"/>
          <w:sz w:val="22"/>
          <w:szCs w:val="22"/>
        </w:rPr>
        <w:t xml:space="preserve"> what aspects of autonomy </w:t>
      </w:r>
      <w:r w:rsidR="00147D26">
        <w:rPr>
          <w:rFonts w:ascii="Open Sans" w:hAnsi="Open Sans" w:cs="Open Sans"/>
          <w:sz w:val="22"/>
          <w:szCs w:val="22"/>
        </w:rPr>
        <w:t>contributed</w:t>
      </w:r>
      <w:r w:rsidRPr="00742342">
        <w:rPr>
          <w:rFonts w:ascii="Open Sans" w:hAnsi="Open Sans" w:cs="Open Sans"/>
          <w:sz w:val="22"/>
          <w:szCs w:val="22"/>
        </w:rPr>
        <w:t xml:space="preserve"> to engaging effectively and efficiently with a violent non-state actor, exemplified by the case of the Yemeni Houthi movement. </w:t>
      </w:r>
    </w:p>
    <w:p w14:paraId="719BB51D" w14:textId="77777777" w:rsidR="00B419D8" w:rsidRPr="00742342" w:rsidRDefault="00B419D8" w:rsidP="00B419D8">
      <w:pPr>
        <w:spacing w:line="276" w:lineRule="auto"/>
        <w:jc w:val="both"/>
        <w:rPr>
          <w:rFonts w:ascii="Open Sans" w:hAnsi="Open Sans" w:cs="Open Sans"/>
          <w:sz w:val="22"/>
          <w:szCs w:val="22"/>
        </w:rPr>
      </w:pPr>
    </w:p>
    <w:p w14:paraId="7D7FFD43" w14:textId="1BAB2B85" w:rsidR="00B419D8" w:rsidRPr="00742342" w:rsidRDefault="00B419D8" w:rsidP="00B419D8">
      <w:pPr>
        <w:spacing w:line="276" w:lineRule="auto"/>
        <w:jc w:val="both"/>
        <w:rPr>
          <w:rFonts w:ascii="Open Sans" w:hAnsi="Open Sans" w:cs="Open Sans"/>
          <w:sz w:val="22"/>
          <w:szCs w:val="22"/>
        </w:rPr>
      </w:pPr>
      <w:r w:rsidRPr="00742342">
        <w:rPr>
          <w:rFonts w:ascii="Open Sans" w:hAnsi="Open Sans" w:cs="Open Sans"/>
          <w:sz w:val="22"/>
          <w:szCs w:val="22"/>
        </w:rPr>
        <w:t>This qualitative analysis follows a single</w:t>
      </w:r>
      <w:r w:rsidR="00B21453">
        <w:rPr>
          <w:rFonts w:ascii="Open Sans" w:hAnsi="Open Sans" w:cs="Open Sans"/>
          <w:sz w:val="22"/>
          <w:szCs w:val="22"/>
        </w:rPr>
        <w:t xml:space="preserve"> </w:t>
      </w:r>
      <w:r w:rsidRPr="00742342">
        <w:rPr>
          <w:rFonts w:ascii="Open Sans" w:hAnsi="Open Sans" w:cs="Open Sans"/>
          <w:sz w:val="22"/>
          <w:szCs w:val="22"/>
        </w:rPr>
        <w:t xml:space="preserve">case design, exploring the case of the Yemeni civil war. The focus of this thesis is </w:t>
      </w:r>
      <w:r w:rsidR="002A5978">
        <w:rPr>
          <w:rFonts w:ascii="Open Sans" w:hAnsi="Open Sans" w:cs="Open Sans"/>
          <w:sz w:val="22"/>
          <w:szCs w:val="22"/>
        </w:rPr>
        <w:t>to explore</w:t>
      </w:r>
      <w:r w:rsidRPr="00742342">
        <w:rPr>
          <w:rFonts w:ascii="Open Sans" w:hAnsi="Open Sans" w:cs="Open Sans"/>
          <w:sz w:val="22"/>
          <w:szCs w:val="22"/>
        </w:rPr>
        <w:t xml:space="preserve"> the dimensions of intergovernmental autonomy before, and during the 2022 Yemeni truce, which the Special Envoy brokered between the Houthi movement, the Yemeni government forces, and the Saudi-led intervention coalition. Utilizing the methodology of process tracing, this thesis </w:t>
      </w:r>
      <w:r w:rsidR="00BD45A4" w:rsidRPr="00742342">
        <w:rPr>
          <w:rFonts w:ascii="Open Sans" w:hAnsi="Open Sans" w:cs="Open Sans"/>
          <w:sz w:val="22"/>
          <w:szCs w:val="22"/>
        </w:rPr>
        <w:t>uncovers</w:t>
      </w:r>
      <w:r w:rsidRPr="00742342">
        <w:rPr>
          <w:rFonts w:ascii="Open Sans" w:hAnsi="Open Sans" w:cs="Open Sans"/>
          <w:sz w:val="22"/>
          <w:szCs w:val="22"/>
        </w:rPr>
        <w:t xml:space="preserve"> the causal mechanisms that constitute intergovernmental autonomy. </w:t>
      </w:r>
    </w:p>
    <w:p w14:paraId="3223EA8D" w14:textId="77777777" w:rsidR="00B419D8" w:rsidRPr="00742342" w:rsidRDefault="00B419D8" w:rsidP="00B419D8">
      <w:pPr>
        <w:spacing w:line="276" w:lineRule="auto"/>
        <w:jc w:val="both"/>
        <w:rPr>
          <w:rFonts w:ascii="Open Sans" w:hAnsi="Open Sans" w:cs="Open Sans"/>
          <w:sz w:val="22"/>
          <w:szCs w:val="22"/>
        </w:rPr>
      </w:pPr>
    </w:p>
    <w:p w14:paraId="26E9FCC4" w14:textId="35AD874C" w:rsidR="00B419D8" w:rsidRPr="00742342" w:rsidRDefault="00B419D8" w:rsidP="00B419D8">
      <w:pPr>
        <w:spacing w:line="276" w:lineRule="auto"/>
        <w:jc w:val="both"/>
        <w:rPr>
          <w:rFonts w:ascii="Open Sans" w:hAnsi="Open Sans" w:cs="Open Sans"/>
          <w:sz w:val="22"/>
          <w:szCs w:val="22"/>
        </w:rPr>
      </w:pPr>
      <w:r w:rsidRPr="00742342">
        <w:rPr>
          <w:rFonts w:ascii="Open Sans" w:hAnsi="Open Sans" w:cs="Open Sans"/>
          <w:sz w:val="22"/>
          <w:szCs w:val="22"/>
        </w:rPr>
        <w:t xml:space="preserve">The </w:t>
      </w:r>
      <w:r w:rsidR="002A5978">
        <w:rPr>
          <w:rFonts w:ascii="Open Sans" w:hAnsi="Open Sans" w:cs="Open Sans"/>
          <w:sz w:val="22"/>
          <w:szCs w:val="22"/>
        </w:rPr>
        <w:t>depoliticization efforts</w:t>
      </w:r>
      <w:r w:rsidRPr="00742342">
        <w:rPr>
          <w:rFonts w:ascii="Open Sans" w:hAnsi="Open Sans" w:cs="Open Sans"/>
          <w:sz w:val="22"/>
          <w:szCs w:val="22"/>
        </w:rPr>
        <w:t xml:space="preserve"> of the intergovernmental organization proved critical for engagement with the Houthi movement. Depoliticization is constituted through the principal-agent relation between the OSESGY and the United Nations Secretary General, creating distance between the politicized policies of member-states and the violent non-state actor. The time sensitivity of regional war and the increased credibility of the intergovernmental organization aided the increase in intergovernmental autonomy, which lead to effective and efficient, albeit temporary successful engagements with the violent non-state actor. </w:t>
      </w:r>
    </w:p>
    <w:p w14:paraId="7992A100" w14:textId="77777777" w:rsidR="00B419D8" w:rsidRPr="00742342" w:rsidRDefault="00B419D8" w:rsidP="00B419D8">
      <w:pPr>
        <w:spacing w:line="276" w:lineRule="auto"/>
        <w:jc w:val="both"/>
        <w:rPr>
          <w:rFonts w:ascii="Open Sans" w:hAnsi="Open Sans" w:cs="Open Sans"/>
          <w:sz w:val="22"/>
          <w:szCs w:val="22"/>
        </w:rPr>
      </w:pPr>
    </w:p>
    <w:p w14:paraId="093766E1" w14:textId="63F5AAB0" w:rsidR="00BE1E41" w:rsidRPr="00742342" w:rsidRDefault="00B419D8" w:rsidP="00B419D8">
      <w:pPr>
        <w:spacing w:line="276" w:lineRule="auto"/>
        <w:jc w:val="both"/>
        <w:rPr>
          <w:rFonts w:ascii="Open Sans" w:hAnsi="Open Sans" w:cs="Open Sans"/>
          <w:i/>
          <w:iCs/>
          <w:sz w:val="22"/>
          <w:szCs w:val="22"/>
        </w:rPr>
      </w:pPr>
      <w:r w:rsidRPr="00742342">
        <w:rPr>
          <w:rFonts w:ascii="Open Sans" w:hAnsi="Open Sans" w:cs="Open Sans"/>
          <w:sz w:val="22"/>
          <w:szCs w:val="22"/>
        </w:rPr>
        <w:t xml:space="preserve">Keywords: </w:t>
      </w:r>
      <w:r w:rsidRPr="00742342">
        <w:rPr>
          <w:rFonts w:ascii="Open Sans" w:hAnsi="Open Sans" w:cs="Open Sans"/>
          <w:i/>
          <w:iCs/>
          <w:sz w:val="22"/>
          <w:szCs w:val="22"/>
        </w:rPr>
        <w:t>Intergovernmental autonomy, principal-agen</w:t>
      </w:r>
      <w:r w:rsidR="00272A72">
        <w:rPr>
          <w:rFonts w:ascii="Open Sans" w:hAnsi="Open Sans" w:cs="Open Sans"/>
          <w:i/>
          <w:iCs/>
          <w:sz w:val="22"/>
          <w:szCs w:val="22"/>
        </w:rPr>
        <w:t>t relations</w:t>
      </w:r>
      <w:r w:rsidRPr="00742342">
        <w:rPr>
          <w:rFonts w:ascii="Open Sans" w:hAnsi="Open Sans" w:cs="Open Sans"/>
          <w:i/>
          <w:iCs/>
          <w:sz w:val="22"/>
          <w:szCs w:val="22"/>
        </w:rPr>
        <w:t>, violent non-state actor</w:t>
      </w:r>
      <w:r w:rsidR="00272A72">
        <w:rPr>
          <w:rFonts w:ascii="Open Sans" w:hAnsi="Open Sans" w:cs="Open Sans"/>
          <w:i/>
          <w:iCs/>
          <w:sz w:val="22"/>
          <w:szCs w:val="22"/>
        </w:rPr>
        <w:t>s</w:t>
      </w:r>
      <w:r w:rsidRPr="00742342">
        <w:rPr>
          <w:rFonts w:ascii="Open Sans" w:hAnsi="Open Sans" w:cs="Open Sans"/>
          <w:i/>
          <w:iCs/>
          <w:sz w:val="22"/>
          <w:szCs w:val="22"/>
        </w:rPr>
        <w:t xml:space="preserve">, regional conflict, depoliticization. </w:t>
      </w:r>
    </w:p>
    <w:p w14:paraId="00FFE830" w14:textId="77777777" w:rsidR="00BE1E41" w:rsidRPr="00742342" w:rsidRDefault="00BE1E41">
      <w:pPr>
        <w:rPr>
          <w:rFonts w:ascii="Open Sans" w:hAnsi="Open Sans" w:cs="Open Sans"/>
          <w:sz w:val="22"/>
          <w:szCs w:val="22"/>
        </w:rPr>
      </w:pPr>
      <w:r w:rsidRPr="00742342">
        <w:rPr>
          <w:rFonts w:ascii="Open Sans" w:hAnsi="Open Sans" w:cs="Open Sans"/>
          <w:sz w:val="22"/>
          <w:szCs w:val="22"/>
        </w:rPr>
        <w:br w:type="page"/>
      </w:r>
    </w:p>
    <w:p w14:paraId="266A1F02" w14:textId="77777777" w:rsidR="00B419D8" w:rsidRPr="00742342" w:rsidRDefault="00B419D8" w:rsidP="00B419D8">
      <w:pPr>
        <w:spacing w:line="276" w:lineRule="auto"/>
        <w:jc w:val="both"/>
        <w:rPr>
          <w:rFonts w:ascii="Open Sans" w:hAnsi="Open Sans" w:cs="Open Sans"/>
          <w:sz w:val="22"/>
          <w:szCs w:val="22"/>
        </w:rPr>
      </w:pPr>
    </w:p>
    <w:p w14:paraId="2D726C2E" w14:textId="77777777" w:rsidR="00B419D8" w:rsidRPr="00742342" w:rsidRDefault="00B419D8" w:rsidP="00B419D8">
      <w:pPr>
        <w:spacing w:line="276" w:lineRule="auto"/>
        <w:jc w:val="both"/>
        <w:rPr>
          <w:rFonts w:ascii="Open Sans" w:hAnsi="Open Sans" w:cs="Open Sans"/>
          <w:sz w:val="22"/>
          <w:szCs w:val="22"/>
        </w:rPr>
      </w:pPr>
    </w:p>
    <w:p w14:paraId="19ACDB28" w14:textId="77777777" w:rsidR="00B419D8" w:rsidRPr="00742342" w:rsidRDefault="00B419D8" w:rsidP="00B419D8">
      <w:pPr>
        <w:spacing w:line="276" w:lineRule="auto"/>
        <w:jc w:val="both"/>
        <w:rPr>
          <w:rFonts w:ascii="Open Sans" w:hAnsi="Open Sans" w:cs="Open Sans"/>
          <w:sz w:val="22"/>
          <w:szCs w:val="22"/>
        </w:rPr>
      </w:pPr>
    </w:p>
    <w:p w14:paraId="17605B16" w14:textId="77777777" w:rsidR="00B419D8" w:rsidRPr="00742342" w:rsidRDefault="00B419D8" w:rsidP="00B419D8">
      <w:pPr>
        <w:spacing w:line="276" w:lineRule="auto"/>
        <w:jc w:val="both"/>
        <w:rPr>
          <w:rFonts w:ascii="Open Sans" w:hAnsi="Open Sans" w:cs="Open Sans"/>
          <w:sz w:val="22"/>
          <w:szCs w:val="22"/>
        </w:rPr>
      </w:pPr>
    </w:p>
    <w:p w14:paraId="28F0010E" w14:textId="18FF6BD8" w:rsidR="007C0BB0" w:rsidRPr="00742342" w:rsidRDefault="007C0BB0">
      <w:pPr>
        <w:rPr>
          <w:rFonts w:ascii="Open Sans" w:hAnsi="Open Sans" w:cs="Open Sans"/>
          <w:color w:val="000000" w:themeColor="text1"/>
          <w:sz w:val="28"/>
          <w:szCs w:val="28"/>
        </w:rPr>
      </w:pPr>
      <w:r w:rsidRPr="00742342">
        <w:rPr>
          <w:rFonts w:ascii="Open Sans" w:hAnsi="Open Sans" w:cs="Open Sans"/>
          <w:color w:val="000000" w:themeColor="text1"/>
          <w:sz w:val="28"/>
          <w:szCs w:val="28"/>
        </w:rPr>
        <w:br w:type="page"/>
      </w:r>
    </w:p>
    <w:p w14:paraId="0CB2597D" w14:textId="0F554153" w:rsidR="00647A7B" w:rsidRPr="00742342" w:rsidRDefault="007C0BB0" w:rsidP="003E3AFB">
      <w:pPr>
        <w:spacing w:line="276" w:lineRule="auto"/>
        <w:jc w:val="both"/>
        <w:rPr>
          <w:rFonts w:ascii="Open Sans" w:hAnsi="Open Sans" w:cs="Open Sans"/>
          <w:color w:val="000000" w:themeColor="text1"/>
          <w:sz w:val="28"/>
          <w:szCs w:val="28"/>
        </w:rPr>
      </w:pPr>
      <w:r w:rsidRPr="00742342">
        <w:rPr>
          <w:rFonts w:ascii="Open Sans" w:hAnsi="Open Sans" w:cs="Open Sans"/>
          <w:color w:val="000000" w:themeColor="text1"/>
          <w:sz w:val="28"/>
          <w:szCs w:val="28"/>
        </w:rPr>
        <w:lastRenderedPageBreak/>
        <w:t>Preface</w:t>
      </w:r>
    </w:p>
    <w:p w14:paraId="69DE1EF3" w14:textId="77777777" w:rsidR="00647A7B" w:rsidRPr="00742342" w:rsidRDefault="00647A7B" w:rsidP="003E3AFB">
      <w:pPr>
        <w:spacing w:line="276" w:lineRule="auto"/>
        <w:jc w:val="both"/>
        <w:rPr>
          <w:rFonts w:ascii="Open Sans" w:hAnsi="Open Sans" w:cs="Open Sans"/>
        </w:rPr>
      </w:pPr>
    </w:p>
    <w:p w14:paraId="492ACBE4" w14:textId="1AB600EB" w:rsidR="00817B03" w:rsidRPr="00742342" w:rsidRDefault="00400716" w:rsidP="003E3AFB">
      <w:pPr>
        <w:spacing w:line="276" w:lineRule="auto"/>
        <w:jc w:val="both"/>
        <w:rPr>
          <w:rFonts w:ascii="Open Sans" w:hAnsi="Open Sans" w:cs="Open Sans"/>
          <w:sz w:val="22"/>
          <w:szCs w:val="22"/>
        </w:rPr>
      </w:pPr>
      <w:r>
        <w:rPr>
          <w:rFonts w:ascii="Open Sans" w:hAnsi="Open Sans" w:cs="Open Sans"/>
          <w:sz w:val="22"/>
          <w:szCs w:val="22"/>
        </w:rPr>
        <w:t xml:space="preserve">Presented before you is the </w:t>
      </w:r>
      <w:r w:rsidR="00817B03" w:rsidRPr="00742342">
        <w:rPr>
          <w:rFonts w:ascii="Open Sans" w:hAnsi="Open Sans" w:cs="Open Sans"/>
          <w:sz w:val="22"/>
          <w:szCs w:val="22"/>
        </w:rPr>
        <w:t>master</w:t>
      </w:r>
      <w:r w:rsidR="004B65F0" w:rsidRPr="00742342">
        <w:rPr>
          <w:rFonts w:ascii="Open Sans" w:hAnsi="Open Sans" w:cs="Open Sans"/>
          <w:sz w:val="22"/>
          <w:szCs w:val="22"/>
        </w:rPr>
        <w:t>’s</w:t>
      </w:r>
      <w:r w:rsidR="00817B03" w:rsidRPr="00742342">
        <w:rPr>
          <w:rFonts w:ascii="Open Sans" w:hAnsi="Open Sans" w:cs="Open Sans"/>
          <w:sz w:val="22"/>
          <w:szCs w:val="22"/>
        </w:rPr>
        <w:t xml:space="preserve"> thesis </w:t>
      </w:r>
      <w:r w:rsidR="003E3AFB">
        <w:rPr>
          <w:rFonts w:ascii="Open Sans" w:hAnsi="Open Sans" w:cs="Open Sans"/>
          <w:sz w:val="22"/>
          <w:szCs w:val="22"/>
        </w:rPr>
        <w:t>‘</w:t>
      </w:r>
      <w:r w:rsidR="003E3AFB" w:rsidRPr="003E3AFB">
        <w:rPr>
          <w:rFonts w:ascii="Open Sans" w:hAnsi="Open Sans" w:cs="Open Sans"/>
          <w:sz w:val="22"/>
          <w:szCs w:val="22"/>
        </w:rPr>
        <w:t>The role of intergovernmental autonomy in engagement with violent non-state actors</w:t>
      </w:r>
      <w:r w:rsidR="00817B03" w:rsidRPr="00742342">
        <w:rPr>
          <w:rFonts w:ascii="Open Sans" w:hAnsi="Open Sans" w:cs="Open Sans"/>
          <w:sz w:val="22"/>
          <w:szCs w:val="22"/>
        </w:rPr>
        <w:t xml:space="preserve">’, which I wrote for the completion of the </w:t>
      </w:r>
      <w:r w:rsidR="006C6C12">
        <w:rPr>
          <w:rFonts w:ascii="Open Sans" w:hAnsi="Open Sans" w:cs="Open Sans"/>
          <w:sz w:val="22"/>
          <w:szCs w:val="22"/>
        </w:rPr>
        <w:t>m</w:t>
      </w:r>
      <w:r w:rsidR="00817B03" w:rsidRPr="00742342">
        <w:rPr>
          <w:rFonts w:ascii="Open Sans" w:hAnsi="Open Sans" w:cs="Open Sans"/>
          <w:sz w:val="22"/>
          <w:szCs w:val="22"/>
        </w:rPr>
        <w:t>aster</w:t>
      </w:r>
      <w:r w:rsidR="00E33A15">
        <w:rPr>
          <w:rFonts w:ascii="Open Sans" w:hAnsi="Open Sans" w:cs="Open Sans"/>
          <w:sz w:val="22"/>
          <w:szCs w:val="22"/>
        </w:rPr>
        <w:t>’s</w:t>
      </w:r>
      <w:r w:rsidR="00817B03" w:rsidRPr="00742342">
        <w:rPr>
          <w:rFonts w:ascii="Open Sans" w:hAnsi="Open Sans" w:cs="Open Sans"/>
          <w:sz w:val="22"/>
          <w:szCs w:val="22"/>
        </w:rPr>
        <w:t xml:space="preserve"> program in International Relations, </w:t>
      </w:r>
      <w:r w:rsidR="004B65F0" w:rsidRPr="00742342">
        <w:rPr>
          <w:rFonts w:ascii="Open Sans" w:hAnsi="Open Sans" w:cs="Open Sans"/>
          <w:sz w:val="22"/>
          <w:szCs w:val="22"/>
        </w:rPr>
        <w:t>at</w:t>
      </w:r>
      <w:r w:rsidR="00817B03" w:rsidRPr="00742342">
        <w:rPr>
          <w:rFonts w:ascii="Open Sans" w:hAnsi="Open Sans" w:cs="Open Sans"/>
          <w:sz w:val="22"/>
          <w:szCs w:val="22"/>
        </w:rPr>
        <w:t xml:space="preserve"> the Nijmegen School of Management, Radboud University. During the past six months I have been working intensively on this thesis, under the supervision of Prof. Verbeek. Before I started the master's specialization in International Relations, I followed the premaster Political Science, during my bachelor’s degree in </w:t>
      </w:r>
      <w:r w:rsidR="00E33A15">
        <w:rPr>
          <w:rFonts w:ascii="Open Sans" w:hAnsi="Open Sans" w:cs="Open Sans"/>
          <w:sz w:val="22"/>
          <w:szCs w:val="22"/>
        </w:rPr>
        <w:t>P</w:t>
      </w:r>
      <w:r w:rsidR="00817B03" w:rsidRPr="00742342">
        <w:rPr>
          <w:rFonts w:ascii="Open Sans" w:hAnsi="Open Sans" w:cs="Open Sans"/>
          <w:sz w:val="22"/>
          <w:szCs w:val="22"/>
        </w:rPr>
        <w:t xml:space="preserve">ublic </w:t>
      </w:r>
      <w:r w:rsidR="00E33A15">
        <w:rPr>
          <w:rFonts w:ascii="Open Sans" w:hAnsi="Open Sans" w:cs="Open Sans"/>
          <w:sz w:val="22"/>
          <w:szCs w:val="22"/>
        </w:rPr>
        <w:t>A</w:t>
      </w:r>
      <w:r w:rsidR="00817B03" w:rsidRPr="00742342">
        <w:rPr>
          <w:rFonts w:ascii="Open Sans" w:hAnsi="Open Sans" w:cs="Open Sans"/>
          <w:sz w:val="22"/>
          <w:szCs w:val="22"/>
        </w:rPr>
        <w:t xml:space="preserve">dministration. During this premaster’s program, I learned that although public administration and political science have many similarities, I still had a lot to learn about the way political science research is designed. During the past six months, </w:t>
      </w:r>
      <w:r w:rsidR="00716005" w:rsidRPr="00742342">
        <w:rPr>
          <w:rFonts w:ascii="Open Sans" w:hAnsi="Open Sans" w:cs="Open Sans"/>
          <w:sz w:val="22"/>
          <w:szCs w:val="22"/>
        </w:rPr>
        <w:t>Prof</w:t>
      </w:r>
      <w:r w:rsidR="00817B03" w:rsidRPr="00742342">
        <w:rPr>
          <w:rFonts w:ascii="Open Sans" w:hAnsi="Open Sans" w:cs="Open Sans"/>
          <w:sz w:val="22"/>
          <w:szCs w:val="22"/>
        </w:rPr>
        <w:t xml:space="preserve">. Verbeek guided me in writing my thesis. What started as a vague idea about the topic and brainstorming about the design of the thesis, eventually led to the work that is now in front of you. I would like to thank </w:t>
      </w:r>
      <w:r w:rsidR="00716005" w:rsidRPr="00742342">
        <w:rPr>
          <w:rFonts w:ascii="Open Sans" w:hAnsi="Open Sans" w:cs="Open Sans"/>
          <w:sz w:val="22"/>
          <w:szCs w:val="22"/>
        </w:rPr>
        <w:t>Prof</w:t>
      </w:r>
      <w:r w:rsidR="00817B03" w:rsidRPr="00742342">
        <w:rPr>
          <w:rFonts w:ascii="Open Sans" w:hAnsi="Open Sans" w:cs="Open Sans"/>
          <w:sz w:val="22"/>
          <w:szCs w:val="22"/>
        </w:rPr>
        <w:t xml:space="preserve">. Verbeek for his inspired way of guiding me in writing this thesis. I learned a lot from his enthusiasm and knowledge, which made me experience the process as enjoyable and interesting. </w:t>
      </w:r>
    </w:p>
    <w:p w14:paraId="09DCC2D9" w14:textId="77777777" w:rsidR="00817B03" w:rsidRPr="00742342" w:rsidRDefault="00817B03" w:rsidP="003E3AFB">
      <w:pPr>
        <w:spacing w:line="276" w:lineRule="auto"/>
        <w:jc w:val="both"/>
        <w:rPr>
          <w:rFonts w:ascii="Open Sans" w:hAnsi="Open Sans" w:cs="Open Sans"/>
          <w:sz w:val="22"/>
          <w:szCs w:val="22"/>
        </w:rPr>
      </w:pPr>
    </w:p>
    <w:p w14:paraId="752BAA36" w14:textId="2F5AE0D5" w:rsidR="00817B03" w:rsidRPr="00742342" w:rsidRDefault="00817B03" w:rsidP="003E3AFB">
      <w:pPr>
        <w:spacing w:line="276" w:lineRule="auto"/>
        <w:jc w:val="both"/>
        <w:rPr>
          <w:rFonts w:ascii="Open Sans" w:hAnsi="Open Sans" w:cs="Open Sans"/>
          <w:sz w:val="22"/>
          <w:szCs w:val="22"/>
        </w:rPr>
      </w:pPr>
      <w:r w:rsidRPr="00742342">
        <w:rPr>
          <w:rFonts w:ascii="Open Sans" w:hAnsi="Open Sans" w:cs="Open Sans"/>
          <w:sz w:val="22"/>
          <w:szCs w:val="22"/>
        </w:rPr>
        <w:t xml:space="preserve">Furthermore, my gratitude goes to those who have supported me over the past six months in writing this thesis. I would like to thank to my parents, who supported and motivated me. Finally, I want to thank Daniël, Tom, Luc, </w:t>
      </w:r>
      <w:r w:rsidR="008F11B4" w:rsidRPr="00742342">
        <w:rPr>
          <w:rFonts w:ascii="Open Sans" w:hAnsi="Open Sans" w:cs="Open Sans"/>
          <w:sz w:val="22"/>
          <w:szCs w:val="22"/>
        </w:rPr>
        <w:t xml:space="preserve">Thijs, </w:t>
      </w:r>
      <w:r w:rsidRPr="00742342">
        <w:rPr>
          <w:rFonts w:ascii="Open Sans" w:hAnsi="Open Sans" w:cs="Open Sans"/>
          <w:sz w:val="22"/>
          <w:szCs w:val="22"/>
        </w:rPr>
        <w:t xml:space="preserve">and Jamie, who have inspired and motivated me during highs and lows of the writing process. </w:t>
      </w:r>
    </w:p>
    <w:p w14:paraId="5856648F" w14:textId="77777777" w:rsidR="00657B23" w:rsidRPr="00742342" w:rsidRDefault="00657B23" w:rsidP="003E3AFB">
      <w:pPr>
        <w:spacing w:line="276" w:lineRule="auto"/>
        <w:jc w:val="both"/>
        <w:rPr>
          <w:rFonts w:ascii="Open Sans" w:hAnsi="Open Sans" w:cs="Open Sans"/>
          <w:sz w:val="22"/>
          <w:szCs w:val="22"/>
        </w:rPr>
      </w:pPr>
    </w:p>
    <w:p w14:paraId="4E2D3668" w14:textId="163B7F49" w:rsidR="00657B23" w:rsidRPr="00742342" w:rsidRDefault="004B41EE" w:rsidP="003E3AFB">
      <w:pPr>
        <w:spacing w:line="276" w:lineRule="auto"/>
        <w:jc w:val="both"/>
        <w:rPr>
          <w:rFonts w:ascii="Open Sans" w:hAnsi="Open Sans" w:cs="Open Sans"/>
          <w:sz w:val="22"/>
          <w:szCs w:val="22"/>
        </w:rPr>
      </w:pPr>
      <w:r w:rsidRPr="00742342">
        <w:rPr>
          <w:rFonts w:ascii="Open Sans" w:hAnsi="Open Sans" w:cs="Open Sans"/>
          <w:sz w:val="22"/>
          <w:szCs w:val="22"/>
        </w:rPr>
        <w:t xml:space="preserve">I hope this thesis provides a valuable contribution to the </w:t>
      </w:r>
      <w:r w:rsidR="00872D53" w:rsidRPr="00742342">
        <w:rPr>
          <w:rFonts w:ascii="Open Sans" w:hAnsi="Open Sans" w:cs="Open Sans"/>
          <w:sz w:val="22"/>
          <w:szCs w:val="22"/>
        </w:rPr>
        <w:t xml:space="preserve">knowledge </w:t>
      </w:r>
      <w:r w:rsidR="008F11B4" w:rsidRPr="00742342">
        <w:rPr>
          <w:rFonts w:ascii="Open Sans" w:hAnsi="Open Sans" w:cs="Open Sans"/>
          <w:sz w:val="22"/>
          <w:szCs w:val="22"/>
        </w:rPr>
        <w:t>in</w:t>
      </w:r>
      <w:r w:rsidR="00872D53" w:rsidRPr="00742342">
        <w:rPr>
          <w:rFonts w:ascii="Open Sans" w:hAnsi="Open Sans" w:cs="Open Sans"/>
          <w:sz w:val="22"/>
          <w:szCs w:val="22"/>
        </w:rPr>
        <w:t xml:space="preserve"> this field,</w:t>
      </w:r>
      <w:r w:rsidRPr="00742342">
        <w:rPr>
          <w:rFonts w:ascii="Open Sans" w:hAnsi="Open Sans" w:cs="Open Sans"/>
          <w:sz w:val="22"/>
          <w:szCs w:val="22"/>
        </w:rPr>
        <w:t xml:space="preserve"> and offers an engaging reading experience for the </w:t>
      </w:r>
      <w:r w:rsidR="00872D53" w:rsidRPr="00742342">
        <w:rPr>
          <w:rFonts w:ascii="Open Sans" w:hAnsi="Open Sans" w:cs="Open Sans"/>
          <w:sz w:val="22"/>
          <w:szCs w:val="22"/>
        </w:rPr>
        <w:t>reader</w:t>
      </w:r>
      <w:r w:rsidR="003349C3" w:rsidRPr="00742342">
        <w:rPr>
          <w:rFonts w:ascii="Open Sans" w:hAnsi="Open Sans" w:cs="Open Sans"/>
          <w:sz w:val="22"/>
          <w:szCs w:val="22"/>
        </w:rPr>
        <w:t>,</w:t>
      </w:r>
    </w:p>
    <w:p w14:paraId="789BD76A" w14:textId="77777777" w:rsidR="003349C3" w:rsidRPr="00742342" w:rsidRDefault="003349C3" w:rsidP="003E3AFB">
      <w:pPr>
        <w:spacing w:line="276" w:lineRule="auto"/>
        <w:jc w:val="both"/>
        <w:rPr>
          <w:rFonts w:ascii="Open Sans" w:hAnsi="Open Sans" w:cs="Open Sans"/>
          <w:sz w:val="22"/>
          <w:szCs w:val="22"/>
        </w:rPr>
      </w:pPr>
    </w:p>
    <w:p w14:paraId="67741EFF" w14:textId="49D32C29" w:rsidR="00BE1E41" w:rsidRPr="00742342" w:rsidRDefault="003349C3" w:rsidP="003E3AFB">
      <w:pPr>
        <w:spacing w:line="276" w:lineRule="auto"/>
        <w:jc w:val="both"/>
        <w:rPr>
          <w:rFonts w:ascii="Open Sans" w:hAnsi="Open Sans" w:cs="Open Sans"/>
          <w:sz w:val="22"/>
          <w:szCs w:val="22"/>
        </w:rPr>
      </w:pPr>
      <w:r w:rsidRPr="00742342">
        <w:rPr>
          <w:rFonts w:ascii="Open Sans" w:hAnsi="Open Sans" w:cs="Open Sans"/>
          <w:sz w:val="22"/>
          <w:szCs w:val="22"/>
        </w:rPr>
        <w:t>Cas van Wijk</w:t>
      </w:r>
    </w:p>
    <w:p w14:paraId="455207FF" w14:textId="77777777" w:rsidR="00BE1E41" w:rsidRPr="00742342" w:rsidRDefault="00BE1E41" w:rsidP="003E3AFB">
      <w:pPr>
        <w:spacing w:line="276" w:lineRule="auto"/>
        <w:jc w:val="both"/>
        <w:rPr>
          <w:rFonts w:ascii="Open Sans" w:hAnsi="Open Sans" w:cs="Open Sans"/>
          <w:sz w:val="22"/>
          <w:szCs w:val="22"/>
        </w:rPr>
      </w:pPr>
      <w:r w:rsidRPr="00742342">
        <w:rPr>
          <w:rFonts w:ascii="Open Sans" w:hAnsi="Open Sans" w:cs="Open Sans"/>
          <w:sz w:val="22"/>
          <w:szCs w:val="22"/>
        </w:rPr>
        <w:br w:type="page"/>
      </w:r>
    </w:p>
    <w:p w14:paraId="2202DE23" w14:textId="2F93D00A" w:rsidR="005E47A6" w:rsidRPr="005A0D18" w:rsidRDefault="00226533">
      <w:pPr>
        <w:rPr>
          <w:rFonts w:ascii="Open Sans" w:hAnsi="Open Sans" w:cs="Open Sans"/>
          <w:color w:val="000000" w:themeColor="text1"/>
          <w:sz w:val="28"/>
          <w:szCs w:val="28"/>
        </w:rPr>
      </w:pPr>
      <w:r w:rsidRPr="00742342">
        <w:rPr>
          <w:rFonts w:ascii="Open Sans" w:hAnsi="Open Sans" w:cs="Open Sans"/>
          <w:color w:val="000000" w:themeColor="text1"/>
          <w:sz w:val="28"/>
          <w:szCs w:val="28"/>
        </w:rPr>
        <w:lastRenderedPageBreak/>
        <w:t>Table of contents</w:t>
      </w:r>
    </w:p>
    <w:p w14:paraId="3789304B" w14:textId="5E6D431E" w:rsidR="005A0D18" w:rsidRPr="005A0D18" w:rsidRDefault="00194D08">
      <w:pPr>
        <w:pStyle w:val="TOC2"/>
        <w:tabs>
          <w:tab w:val="right" w:pos="9016"/>
        </w:tabs>
        <w:rPr>
          <w:rFonts w:eastAsiaTheme="minorEastAsia" w:cstheme="minorBidi"/>
          <w:smallCaps w:val="0"/>
          <w:noProof/>
          <w:sz w:val="22"/>
          <w:szCs w:val="22"/>
          <w:lang w:eastAsia="en-GB"/>
        </w:rPr>
      </w:pPr>
      <w:r w:rsidRPr="005A0D18">
        <w:rPr>
          <w:rFonts w:ascii="Open Sans" w:hAnsi="Open Sans" w:cs="Open Sans"/>
          <w:b/>
          <w:bCs/>
          <w:caps/>
          <w:color w:val="000000" w:themeColor="text1"/>
        </w:rPr>
        <w:fldChar w:fldCharType="begin"/>
      </w:r>
      <w:r w:rsidRPr="005A0D18">
        <w:rPr>
          <w:rFonts w:ascii="Open Sans" w:hAnsi="Open Sans" w:cs="Open Sans"/>
          <w:color w:val="000000" w:themeColor="text1"/>
        </w:rPr>
        <w:instrText xml:space="preserve"> TOC \o "1-2" \h \z \u </w:instrText>
      </w:r>
      <w:r w:rsidRPr="005A0D18">
        <w:rPr>
          <w:rFonts w:ascii="Open Sans" w:hAnsi="Open Sans" w:cs="Open Sans"/>
          <w:b/>
          <w:bCs/>
          <w:caps/>
          <w:color w:val="000000" w:themeColor="text1"/>
        </w:rPr>
        <w:fldChar w:fldCharType="separate"/>
      </w:r>
      <w:hyperlink w:anchor="_Toc138247478" w:history="1">
        <w:r w:rsidR="005A0D18" w:rsidRPr="005A0D18">
          <w:rPr>
            <w:rStyle w:val="Hyperlink"/>
            <w:rFonts w:ascii="Open Sans" w:eastAsia="Times New Roman" w:hAnsi="Open Sans" w:cs="Open Sans"/>
            <w:noProof/>
            <w:sz w:val="18"/>
            <w:szCs w:val="18"/>
            <w:lang w:eastAsia="en-GB"/>
          </w:rPr>
          <w:t>List of Abbreviations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_Toc138247478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8</w:t>
        </w:r>
        <w:r w:rsidR="005A0D18" w:rsidRPr="005A0D18">
          <w:rPr>
            <w:noProof/>
            <w:webHidden/>
            <w:sz w:val="18"/>
            <w:szCs w:val="18"/>
          </w:rPr>
          <w:fldChar w:fldCharType="end"/>
        </w:r>
      </w:hyperlink>
    </w:p>
    <w:p w14:paraId="250E9002" w14:textId="147579A0" w:rsidR="005A0D18" w:rsidRPr="005A0D18" w:rsidRDefault="00F6709B">
      <w:pPr>
        <w:pStyle w:val="TOC2"/>
        <w:tabs>
          <w:tab w:val="right" w:pos="9016"/>
        </w:tabs>
        <w:rPr>
          <w:rFonts w:eastAsiaTheme="minorEastAsia" w:cstheme="minorBidi"/>
          <w:smallCaps w:val="0"/>
          <w:noProof/>
          <w:sz w:val="22"/>
          <w:szCs w:val="22"/>
          <w:lang w:eastAsia="en-GB"/>
        </w:rPr>
      </w:pPr>
      <w:hyperlink w:anchor="_Toc138247479" w:history="1">
        <w:r w:rsidR="005A0D18" w:rsidRPr="005A0D18">
          <w:rPr>
            <w:rStyle w:val="Hyperlink"/>
            <w:rFonts w:ascii="Open Sans" w:eastAsia="Times New Roman" w:hAnsi="Open Sans" w:cs="Open Sans"/>
            <w:noProof/>
            <w:sz w:val="18"/>
            <w:szCs w:val="18"/>
            <w:lang w:eastAsia="en-GB"/>
          </w:rPr>
          <w:t>List of figures and tables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_Toc138247479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8</w:t>
        </w:r>
        <w:r w:rsidR="005A0D18" w:rsidRPr="005A0D18">
          <w:rPr>
            <w:noProof/>
            <w:webHidden/>
            <w:sz w:val="18"/>
            <w:szCs w:val="18"/>
          </w:rPr>
          <w:fldChar w:fldCharType="end"/>
        </w:r>
      </w:hyperlink>
    </w:p>
    <w:p w14:paraId="3AB75047" w14:textId="7BB57D93" w:rsidR="005A0D18" w:rsidRPr="005A0D18" w:rsidRDefault="00F6709B">
      <w:pPr>
        <w:pStyle w:val="TOC1"/>
        <w:tabs>
          <w:tab w:val="left" w:pos="480"/>
          <w:tab w:val="right" w:pos="9016"/>
        </w:tabs>
        <w:rPr>
          <w:rFonts w:eastAsiaTheme="minorEastAsia" w:cstheme="minorBidi"/>
          <w:b w:val="0"/>
          <w:bCs w:val="0"/>
          <w:caps w:val="0"/>
          <w:noProof/>
          <w:sz w:val="22"/>
          <w:szCs w:val="22"/>
          <w:lang w:eastAsia="en-GB"/>
        </w:rPr>
      </w:pPr>
      <w:hyperlink w:anchor="_Toc138247480" w:history="1">
        <w:r w:rsidR="005A0D18" w:rsidRPr="005A0D18">
          <w:rPr>
            <w:rStyle w:val="Hyperlink"/>
            <w:rFonts w:ascii="Open Sans" w:hAnsi="Open Sans" w:cs="Open Sans"/>
            <w:noProof/>
            <w:sz w:val="18"/>
            <w:szCs w:val="18"/>
          </w:rPr>
          <w:t>1.</w:t>
        </w:r>
        <w:r w:rsidR="005A0D18" w:rsidRPr="005A0D18">
          <w:rPr>
            <w:rFonts w:eastAsiaTheme="minorEastAsia" w:cstheme="minorBidi"/>
            <w:b w:val="0"/>
            <w:bCs w:val="0"/>
            <w:caps w:val="0"/>
            <w:noProof/>
            <w:sz w:val="22"/>
            <w:szCs w:val="22"/>
            <w:lang w:eastAsia="en-GB"/>
          </w:rPr>
          <w:tab/>
        </w:r>
        <w:r w:rsidR="005A0D18" w:rsidRPr="005A0D18">
          <w:rPr>
            <w:rStyle w:val="Hyperlink"/>
            <w:rFonts w:ascii="Open Sans" w:hAnsi="Open Sans" w:cs="Open Sans"/>
            <w:noProof/>
            <w:sz w:val="18"/>
            <w:szCs w:val="18"/>
          </w:rPr>
          <w:t>Introduction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_Toc138247480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10</w:t>
        </w:r>
        <w:r w:rsidR="005A0D18" w:rsidRPr="005A0D18">
          <w:rPr>
            <w:noProof/>
            <w:webHidden/>
            <w:sz w:val="18"/>
            <w:szCs w:val="18"/>
          </w:rPr>
          <w:fldChar w:fldCharType="end"/>
        </w:r>
      </w:hyperlink>
    </w:p>
    <w:p w14:paraId="258F8C6F" w14:textId="1D7E94B3"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81" w:history="1">
        <w:r w:rsidR="005A0D18" w:rsidRPr="005A0D18">
          <w:rPr>
            <w:rStyle w:val="Hyperlink"/>
            <w:rFonts w:ascii="Open Sans" w:hAnsi="Open Sans" w:cs="Open Sans"/>
            <w:noProof/>
            <w:sz w:val="18"/>
            <w:szCs w:val="18"/>
          </w:rPr>
          <w:t>1.1.</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Context</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_Toc138247481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10</w:t>
        </w:r>
        <w:r w:rsidR="005A0D18" w:rsidRPr="005A0D18">
          <w:rPr>
            <w:noProof/>
            <w:webHidden/>
            <w:sz w:val="18"/>
            <w:szCs w:val="18"/>
          </w:rPr>
          <w:fldChar w:fldCharType="end"/>
        </w:r>
      </w:hyperlink>
    </w:p>
    <w:p w14:paraId="0F0B5399" w14:textId="4D40C7E8"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82" w:history="1">
        <w:r w:rsidR="005A0D18" w:rsidRPr="005A0D18">
          <w:rPr>
            <w:rStyle w:val="Hyperlink"/>
            <w:rFonts w:ascii="Open Sans" w:hAnsi="Open Sans" w:cs="Open Sans"/>
            <w:noProof/>
            <w:sz w:val="18"/>
            <w:szCs w:val="18"/>
          </w:rPr>
          <w:t>1.2.</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Theoretical framework &amp; significance</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_Toc138247482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11</w:t>
        </w:r>
        <w:r w:rsidR="005A0D18" w:rsidRPr="005A0D18">
          <w:rPr>
            <w:noProof/>
            <w:webHidden/>
            <w:sz w:val="18"/>
            <w:szCs w:val="18"/>
          </w:rPr>
          <w:fldChar w:fldCharType="end"/>
        </w:r>
      </w:hyperlink>
    </w:p>
    <w:p w14:paraId="4092BCD2" w14:textId="596C7DD7"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83" w:history="1">
        <w:r w:rsidR="005A0D18" w:rsidRPr="005A0D18">
          <w:rPr>
            <w:rStyle w:val="Hyperlink"/>
            <w:rFonts w:ascii="Open Sans" w:hAnsi="Open Sans" w:cs="Open Sans"/>
            <w:noProof/>
            <w:sz w:val="18"/>
            <w:szCs w:val="18"/>
          </w:rPr>
          <w:t>1.3.</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Research design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_Toc138247483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12</w:t>
        </w:r>
        <w:r w:rsidR="005A0D18" w:rsidRPr="005A0D18">
          <w:rPr>
            <w:noProof/>
            <w:webHidden/>
            <w:sz w:val="18"/>
            <w:szCs w:val="18"/>
          </w:rPr>
          <w:fldChar w:fldCharType="end"/>
        </w:r>
      </w:hyperlink>
    </w:p>
    <w:p w14:paraId="58628C85" w14:textId="55A33145" w:rsidR="005A0D18" w:rsidRPr="005A0D18" w:rsidRDefault="00F6709B">
      <w:pPr>
        <w:pStyle w:val="TOC1"/>
        <w:tabs>
          <w:tab w:val="left" w:pos="480"/>
          <w:tab w:val="right" w:pos="9016"/>
        </w:tabs>
        <w:rPr>
          <w:rFonts w:eastAsiaTheme="minorEastAsia" w:cstheme="minorBidi"/>
          <w:b w:val="0"/>
          <w:bCs w:val="0"/>
          <w:caps w:val="0"/>
          <w:noProof/>
          <w:sz w:val="22"/>
          <w:szCs w:val="22"/>
          <w:lang w:eastAsia="en-GB"/>
        </w:rPr>
      </w:pPr>
      <w:hyperlink w:anchor="_Toc138247484" w:history="1">
        <w:r w:rsidR="005A0D18" w:rsidRPr="005A0D18">
          <w:rPr>
            <w:rStyle w:val="Hyperlink"/>
            <w:rFonts w:ascii="Open Sans" w:hAnsi="Open Sans" w:cs="Open Sans"/>
            <w:noProof/>
            <w:sz w:val="18"/>
            <w:szCs w:val="18"/>
          </w:rPr>
          <w:t>2.</w:t>
        </w:r>
        <w:r w:rsidR="005A0D18" w:rsidRPr="005A0D18">
          <w:rPr>
            <w:rFonts w:eastAsiaTheme="minorEastAsia" w:cstheme="minorBidi"/>
            <w:b w:val="0"/>
            <w:bCs w:val="0"/>
            <w:caps w:val="0"/>
            <w:noProof/>
            <w:sz w:val="22"/>
            <w:szCs w:val="22"/>
            <w:lang w:eastAsia="en-GB"/>
          </w:rPr>
          <w:tab/>
        </w:r>
        <w:r w:rsidR="005A0D18" w:rsidRPr="005A0D18">
          <w:rPr>
            <w:rStyle w:val="Hyperlink"/>
            <w:rFonts w:ascii="Open Sans" w:hAnsi="Open Sans" w:cs="Open Sans"/>
            <w:noProof/>
            <w:sz w:val="18"/>
            <w:szCs w:val="18"/>
          </w:rPr>
          <w:t>Theoretical analysis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_Toc138247484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14</w:t>
        </w:r>
        <w:r w:rsidR="005A0D18" w:rsidRPr="005A0D18">
          <w:rPr>
            <w:noProof/>
            <w:webHidden/>
            <w:sz w:val="18"/>
            <w:szCs w:val="18"/>
          </w:rPr>
          <w:fldChar w:fldCharType="end"/>
        </w:r>
      </w:hyperlink>
    </w:p>
    <w:p w14:paraId="57B5A80D" w14:textId="42972A40"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85" w:history="1">
        <w:r w:rsidR="005A0D18" w:rsidRPr="005A0D18">
          <w:rPr>
            <w:rStyle w:val="Hyperlink"/>
            <w:rFonts w:ascii="Open Sans" w:hAnsi="Open Sans" w:cs="Open Sans"/>
            <w:noProof/>
            <w:sz w:val="18"/>
            <w:szCs w:val="18"/>
          </w:rPr>
          <w:t>2.1.</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Introduction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_Toc138247485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14</w:t>
        </w:r>
        <w:r w:rsidR="005A0D18" w:rsidRPr="005A0D18">
          <w:rPr>
            <w:noProof/>
            <w:webHidden/>
            <w:sz w:val="18"/>
            <w:szCs w:val="18"/>
          </w:rPr>
          <w:fldChar w:fldCharType="end"/>
        </w:r>
      </w:hyperlink>
    </w:p>
    <w:p w14:paraId="6EFCDD7A" w14:textId="0E669A6D"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86" w:history="1">
        <w:r w:rsidR="005A0D18" w:rsidRPr="005A0D18">
          <w:rPr>
            <w:rStyle w:val="Hyperlink"/>
            <w:rFonts w:ascii="Open Sans" w:hAnsi="Open Sans" w:cs="Open Sans"/>
            <w:noProof/>
            <w:sz w:val="18"/>
            <w:szCs w:val="18"/>
          </w:rPr>
          <w:t>2.2.</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Intergovernmental organizations in international conflicts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_Toc138247486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15</w:t>
        </w:r>
        <w:r w:rsidR="005A0D18" w:rsidRPr="005A0D18">
          <w:rPr>
            <w:noProof/>
            <w:webHidden/>
            <w:sz w:val="18"/>
            <w:szCs w:val="18"/>
          </w:rPr>
          <w:fldChar w:fldCharType="end"/>
        </w:r>
      </w:hyperlink>
    </w:p>
    <w:p w14:paraId="75C97A97" w14:textId="7BBF5851"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87" w:history="1">
        <w:r w:rsidR="005A0D18" w:rsidRPr="005A0D18">
          <w:rPr>
            <w:rStyle w:val="Hyperlink"/>
            <w:rFonts w:ascii="Open Sans" w:hAnsi="Open Sans" w:cs="Open Sans"/>
            <w:noProof/>
            <w:sz w:val="18"/>
            <w:szCs w:val="18"/>
          </w:rPr>
          <w:t>2.3.</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Intergovernmental organizations: governance and control</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_Toc138247487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16</w:t>
        </w:r>
        <w:r w:rsidR="005A0D18" w:rsidRPr="005A0D18">
          <w:rPr>
            <w:noProof/>
            <w:webHidden/>
            <w:sz w:val="18"/>
            <w:szCs w:val="18"/>
          </w:rPr>
          <w:fldChar w:fldCharType="end"/>
        </w:r>
      </w:hyperlink>
    </w:p>
    <w:p w14:paraId="4D70FB00" w14:textId="22B1B186"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88" w:history="1">
        <w:r w:rsidR="005A0D18" w:rsidRPr="005A0D18">
          <w:rPr>
            <w:rStyle w:val="Hyperlink"/>
            <w:rFonts w:ascii="Open Sans" w:hAnsi="Open Sans" w:cs="Open Sans"/>
            <w:noProof/>
            <w:sz w:val="18"/>
            <w:szCs w:val="18"/>
          </w:rPr>
          <w:t>2.4.</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The scope of intergovernmental organizations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_Toc138247488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17</w:t>
        </w:r>
        <w:r w:rsidR="005A0D18" w:rsidRPr="005A0D18">
          <w:rPr>
            <w:noProof/>
            <w:webHidden/>
            <w:sz w:val="18"/>
            <w:szCs w:val="18"/>
          </w:rPr>
          <w:fldChar w:fldCharType="end"/>
        </w:r>
      </w:hyperlink>
    </w:p>
    <w:p w14:paraId="025A0A7E" w14:textId="4A6E52EF"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89" w:history="1">
        <w:r w:rsidR="005A0D18" w:rsidRPr="005A0D18">
          <w:rPr>
            <w:rStyle w:val="Hyperlink"/>
            <w:rFonts w:ascii="Open Sans" w:hAnsi="Open Sans" w:cs="Open Sans"/>
            <w:noProof/>
            <w:sz w:val="18"/>
            <w:szCs w:val="18"/>
          </w:rPr>
          <w:t>2.5.</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The formal organization of IGOs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_Toc138247489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17</w:t>
        </w:r>
        <w:r w:rsidR="005A0D18" w:rsidRPr="005A0D18">
          <w:rPr>
            <w:noProof/>
            <w:webHidden/>
            <w:sz w:val="18"/>
            <w:szCs w:val="18"/>
          </w:rPr>
          <w:fldChar w:fldCharType="end"/>
        </w:r>
      </w:hyperlink>
    </w:p>
    <w:p w14:paraId="53512EEE" w14:textId="54735B83"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90" w:history="1">
        <w:r w:rsidR="005A0D18" w:rsidRPr="005A0D18">
          <w:rPr>
            <w:rStyle w:val="Hyperlink"/>
            <w:rFonts w:ascii="Open Sans" w:hAnsi="Open Sans" w:cs="Open Sans"/>
            <w:noProof/>
            <w:sz w:val="18"/>
            <w:szCs w:val="18"/>
          </w:rPr>
          <w:t>2.6.</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Conflict dynamics in regional conflicts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_Toc138247490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18</w:t>
        </w:r>
        <w:r w:rsidR="005A0D18" w:rsidRPr="005A0D18">
          <w:rPr>
            <w:noProof/>
            <w:webHidden/>
            <w:sz w:val="18"/>
            <w:szCs w:val="18"/>
          </w:rPr>
          <w:fldChar w:fldCharType="end"/>
        </w:r>
      </w:hyperlink>
    </w:p>
    <w:p w14:paraId="6C825247" w14:textId="7F350DFA"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91" w:history="1">
        <w:r w:rsidR="005A0D18" w:rsidRPr="005A0D18">
          <w:rPr>
            <w:rStyle w:val="Hyperlink"/>
            <w:rFonts w:ascii="Open Sans" w:hAnsi="Open Sans" w:cs="Open Sans"/>
            <w:noProof/>
            <w:sz w:val="18"/>
            <w:szCs w:val="18"/>
          </w:rPr>
          <w:t>2.7.</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The question of IGO autonomy</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_Toc138247491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21</w:t>
        </w:r>
        <w:r w:rsidR="005A0D18" w:rsidRPr="005A0D18">
          <w:rPr>
            <w:noProof/>
            <w:webHidden/>
            <w:sz w:val="18"/>
            <w:szCs w:val="18"/>
          </w:rPr>
          <w:fldChar w:fldCharType="end"/>
        </w:r>
      </w:hyperlink>
    </w:p>
    <w:p w14:paraId="5E9B5B43" w14:textId="0932B014"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92" w:history="1">
        <w:r w:rsidR="005A0D18" w:rsidRPr="005A0D18">
          <w:rPr>
            <w:rStyle w:val="Hyperlink"/>
            <w:rFonts w:ascii="Open Sans" w:hAnsi="Open Sans" w:cs="Open Sans"/>
            <w:noProof/>
            <w:sz w:val="18"/>
            <w:szCs w:val="18"/>
          </w:rPr>
          <w:t>2.8.</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The spectrum of autonomy</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_Toc138247492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22</w:t>
        </w:r>
        <w:r w:rsidR="005A0D18" w:rsidRPr="005A0D18">
          <w:rPr>
            <w:noProof/>
            <w:webHidden/>
            <w:sz w:val="18"/>
            <w:szCs w:val="18"/>
          </w:rPr>
          <w:fldChar w:fldCharType="end"/>
        </w:r>
      </w:hyperlink>
    </w:p>
    <w:p w14:paraId="090901B8" w14:textId="5837F026"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93" w:history="1">
        <w:r w:rsidR="005A0D18" w:rsidRPr="005A0D18">
          <w:rPr>
            <w:rStyle w:val="Hyperlink"/>
            <w:rFonts w:ascii="Open Sans" w:hAnsi="Open Sans" w:cs="Open Sans"/>
            <w:noProof/>
            <w:sz w:val="18"/>
            <w:szCs w:val="18"/>
          </w:rPr>
          <w:t>2.9.</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Relative autonomy</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_Toc138247493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23</w:t>
        </w:r>
        <w:r w:rsidR="005A0D18" w:rsidRPr="005A0D18">
          <w:rPr>
            <w:noProof/>
            <w:webHidden/>
            <w:sz w:val="18"/>
            <w:szCs w:val="18"/>
          </w:rPr>
          <w:fldChar w:fldCharType="end"/>
        </w:r>
      </w:hyperlink>
    </w:p>
    <w:p w14:paraId="3993A44B" w14:textId="77D143EC"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94" w:history="1">
        <w:r w:rsidR="005A0D18" w:rsidRPr="005A0D18">
          <w:rPr>
            <w:rStyle w:val="Hyperlink"/>
            <w:rFonts w:ascii="Open Sans" w:hAnsi="Open Sans" w:cs="Open Sans"/>
            <w:noProof/>
            <w:sz w:val="18"/>
            <w:szCs w:val="18"/>
          </w:rPr>
          <w:t>2.10.</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Principal – agent relations in intergovernmental organizations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_Toc138247494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23</w:t>
        </w:r>
        <w:r w:rsidR="005A0D18" w:rsidRPr="005A0D18">
          <w:rPr>
            <w:noProof/>
            <w:webHidden/>
            <w:sz w:val="18"/>
            <w:szCs w:val="18"/>
          </w:rPr>
          <w:fldChar w:fldCharType="end"/>
        </w:r>
      </w:hyperlink>
    </w:p>
    <w:p w14:paraId="7012B0C7" w14:textId="24ED3734"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95" w:history="1">
        <w:r w:rsidR="005A0D18" w:rsidRPr="005A0D18">
          <w:rPr>
            <w:rStyle w:val="Hyperlink"/>
            <w:rFonts w:ascii="Open Sans" w:hAnsi="Open Sans" w:cs="Open Sans"/>
            <w:noProof/>
            <w:sz w:val="18"/>
            <w:szCs w:val="18"/>
          </w:rPr>
          <w:t>2.11.</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Defining the principal and the agent</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_Toc138247495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24</w:t>
        </w:r>
        <w:r w:rsidR="005A0D18" w:rsidRPr="005A0D18">
          <w:rPr>
            <w:noProof/>
            <w:webHidden/>
            <w:sz w:val="18"/>
            <w:szCs w:val="18"/>
          </w:rPr>
          <w:fldChar w:fldCharType="end"/>
        </w:r>
      </w:hyperlink>
    </w:p>
    <w:p w14:paraId="1814B2D7" w14:textId="2884FA1A"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96" w:history="1">
        <w:r w:rsidR="005A0D18" w:rsidRPr="005A0D18">
          <w:rPr>
            <w:rStyle w:val="Hyperlink"/>
            <w:rFonts w:ascii="Open Sans" w:hAnsi="Open Sans" w:cs="Open Sans"/>
            <w:noProof/>
            <w:sz w:val="18"/>
            <w:szCs w:val="18"/>
          </w:rPr>
          <w:t>2.12.</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Intergovernmental organizations as the principal?</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_Toc138247496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26</w:t>
        </w:r>
        <w:r w:rsidR="005A0D18" w:rsidRPr="005A0D18">
          <w:rPr>
            <w:noProof/>
            <w:webHidden/>
            <w:sz w:val="18"/>
            <w:szCs w:val="18"/>
          </w:rPr>
          <w:fldChar w:fldCharType="end"/>
        </w:r>
      </w:hyperlink>
    </w:p>
    <w:p w14:paraId="6D1D8ED6" w14:textId="097AF52A"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97" w:history="1">
        <w:r w:rsidR="005A0D18" w:rsidRPr="005A0D18">
          <w:rPr>
            <w:rStyle w:val="Hyperlink"/>
            <w:rFonts w:ascii="Open Sans" w:hAnsi="Open Sans" w:cs="Open Sans"/>
            <w:noProof/>
            <w:sz w:val="18"/>
            <w:szCs w:val="18"/>
          </w:rPr>
          <w:t>2.13.</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Theoretical analysis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_Toc138247497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28</w:t>
        </w:r>
        <w:r w:rsidR="005A0D18" w:rsidRPr="005A0D18">
          <w:rPr>
            <w:noProof/>
            <w:webHidden/>
            <w:sz w:val="18"/>
            <w:szCs w:val="18"/>
          </w:rPr>
          <w:fldChar w:fldCharType="end"/>
        </w:r>
      </w:hyperlink>
    </w:p>
    <w:p w14:paraId="21FD9271" w14:textId="02145B5C"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498" w:history="1">
        <w:r w:rsidR="005A0D18" w:rsidRPr="005A0D18">
          <w:rPr>
            <w:rStyle w:val="Hyperlink"/>
            <w:rFonts w:ascii="Open Sans" w:hAnsi="Open Sans" w:cs="Open Sans"/>
            <w:noProof/>
            <w:sz w:val="18"/>
            <w:szCs w:val="18"/>
          </w:rPr>
          <w:t>2.14.</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Conclusion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_Toc138247498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31</w:t>
        </w:r>
        <w:r w:rsidR="005A0D18" w:rsidRPr="005A0D18">
          <w:rPr>
            <w:noProof/>
            <w:webHidden/>
            <w:sz w:val="18"/>
            <w:szCs w:val="18"/>
          </w:rPr>
          <w:fldChar w:fldCharType="end"/>
        </w:r>
      </w:hyperlink>
    </w:p>
    <w:p w14:paraId="17E7C5B5" w14:textId="011B0BCC" w:rsidR="005A0D18" w:rsidRPr="005A0D18" w:rsidRDefault="00F6709B">
      <w:pPr>
        <w:pStyle w:val="TOC1"/>
        <w:tabs>
          <w:tab w:val="left" w:pos="480"/>
          <w:tab w:val="right" w:pos="9016"/>
        </w:tabs>
        <w:rPr>
          <w:rFonts w:eastAsiaTheme="minorEastAsia" w:cstheme="minorBidi"/>
          <w:b w:val="0"/>
          <w:bCs w:val="0"/>
          <w:caps w:val="0"/>
          <w:noProof/>
          <w:sz w:val="22"/>
          <w:szCs w:val="22"/>
          <w:lang w:eastAsia="en-GB"/>
        </w:rPr>
      </w:pPr>
      <w:hyperlink w:anchor="_Toc138247499" w:history="1">
        <w:r w:rsidR="005A0D18" w:rsidRPr="005A0D18">
          <w:rPr>
            <w:rStyle w:val="Hyperlink"/>
            <w:rFonts w:ascii="Open Sans" w:hAnsi="Open Sans" w:cs="Open Sans"/>
            <w:noProof/>
            <w:sz w:val="18"/>
            <w:szCs w:val="18"/>
          </w:rPr>
          <w:t>3.</w:t>
        </w:r>
        <w:r w:rsidR="005A0D18" w:rsidRPr="005A0D18">
          <w:rPr>
            <w:rFonts w:eastAsiaTheme="minorEastAsia" w:cstheme="minorBidi"/>
            <w:b w:val="0"/>
            <w:bCs w:val="0"/>
            <w:caps w:val="0"/>
            <w:noProof/>
            <w:sz w:val="22"/>
            <w:szCs w:val="22"/>
            <w:lang w:eastAsia="en-GB"/>
          </w:rPr>
          <w:tab/>
        </w:r>
        <w:r w:rsidR="005A0D18" w:rsidRPr="005A0D18">
          <w:rPr>
            <w:rStyle w:val="Hyperlink"/>
            <w:rFonts w:ascii="Open Sans" w:hAnsi="Open Sans" w:cs="Open Sans"/>
            <w:noProof/>
            <w:sz w:val="18"/>
            <w:szCs w:val="18"/>
          </w:rPr>
          <w:t>Methodology</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_Toc138247499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33</w:t>
        </w:r>
        <w:r w:rsidR="005A0D18" w:rsidRPr="005A0D18">
          <w:rPr>
            <w:noProof/>
            <w:webHidden/>
            <w:sz w:val="18"/>
            <w:szCs w:val="18"/>
          </w:rPr>
          <w:fldChar w:fldCharType="end"/>
        </w:r>
      </w:hyperlink>
    </w:p>
    <w:p w14:paraId="31985D43" w14:textId="41733BDB"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00" w:history="1">
        <w:r w:rsidR="005A0D18" w:rsidRPr="005A0D18">
          <w:rPr>
            <w:rStyle w:val="Hyperlink"/>
            <w:rFonts w:ascii="Open Sans" w:hAnsi="Open Sans" w:cs="Open Sans"/>
            <w:noProof/>
            <w:sz w:val="18"/>
            <w:szCs w:val="18"/>
          </w:rPr>
          <w:t>3.1.</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Introduction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_Toc138247500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33</w:t>
        </w:r>
        <w:r w:rsidR="005A0D18" w:rsidRPr="005A0D18">
          <w:rPr>
            <w:noProof/>
            <w:webHidden/>
            <w:sz w:val="18"/>
            <w:szCs w:val="18"/>
          </w:rPr>
          <w:fldChar w:fldCharType="end"/>
        </w:r>
      </w:hyperlink>
    </w:p>
    <w:p w14:paraId="3D3EA922" w14:textId="7854B32E"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01" w:history="1">
        <w:r w:rsidR="005A0D18" w:rsidRPr="005A0D18">
          <w:rPr>
            <w:rStyle w:val="Hyperlink"/>
            <w:rFonts w:ascii="Open Sans" w:hAnsi="Open Sans" w:cs="Open Sans"/>
            <w:noProof/>
            <w:sz w:val="18"/>
            <w:szCs w:val="18"/>
          </w:rPr>
          <w:t>3.2.</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Operationalization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_Toc138247501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34</w:t>
        </w:r>
        <w:r w:rsidR="005A0D18" w:rsidRPr="005A0D18">
          <w:rPr>
            <w:noProof/>
            <w:webHidden/>
            <w:sz w:val="18"/>
            <w:szCs w:val="18"/>
          </w:rPr>
          <w:fldChar w:fldCharType="end"/>
        </w:r>
      </w:hyperlink>
    </w:p>
    <w:p w14:paraId="27EB565E" w14:textId="435C3BA5"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02" w:history="1">
        <w:r w:rsidR="005A0D18" w:rsidRPr="005A0D18">
          <w:rPr>
            <w:rStyle w:val="Hyperlink"/>
            <w:rFonts w:ascii="Open Sans" w:hAnsi="Open Sans" w:cs="Open Sans"/>
            <w:noProof/>
            <w:sz w:val="18"/>
            <w:szCs w:val="18"/>
          </w:rPr>
          <w:t>3.3.</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Research design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_Toc138247502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41</w:t>
        </w:r>
        <w:r w:rsidR="005A0D18" w:rsidRPr="005A0D18">
          <w:rPr>
            <w:noProof/>
            <w:webHidden/>
            <w:sz w:val="18"/>
            <w:szCs w:val="18"/>
          </w:rPr>
          <w:fldChar w:fldCharType="end"/>
        </w:r>
      </w:hyperlink>
    </w:p>
    <w:p w14:paraId="0A5D25E6" w14:textId="25DC891A"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03" w:history="1">
        <w:r w:rsidR="005A0D18" w:rsidRPr="005A0D18">
          <w:rPr>
            <w:rStyle w:val="Hyperlink"/>
            <w:rFonts w:ascii="Open Sans" w:hAnsi="Open Sans" w:cs="Open Sans"/>
            <w:noProof/>
            <w:sz w:val="18"/>
            <w:szCs w:val="18"/>
          </w:rPr>
          <w:t>3.4.</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Case selection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_Toc138247503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42</w:t>
        </w:r>
        <w:r w:rsidR="005A0D18" w:rsidRPr="005A0D18">
          <w:rPr>
            <w:noProof/>
            <w:webHidden/>
            <w:sz w:val="18"/>
            <w:szCs w:val="18"/>
          </w:rPr>
          <w:fldChar w:fldCharType="end"/>
        </w:r>
      </w:hyperlink>
    </w:p>
    <w:p w14:paraId="3283A28D" w14:textId="21435C12"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04" w:history="1">
        <w:r w:rsidR="005A0D18" w:rsidRPr="005A0D18">
          <w:rPr>
            <w:rStyle w:val="Hyperlink"/>
            <w:rFonts w:ascii="Open Sans" w:hAnsi="Open Sans" w:cs="Open Sans"/>
            <w:noProof/>
            <w:sz w:val="18"/>
            <w:szCs w:val="18"/>
          </w:rPr>
          <w:t>3.5.</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Process tracing in theory</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_Toc138247504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43</w:t>
        </w:r>
        <w:r w:rsidR="005A0D18" w:rsidRPr="005A0D18">
          <w:rPr>
            <w:noProof/>
            <w:webHidden/>
            <w:sz w:val="18"/>
            <w:szCs w:val="18"/>
          </w:rPr>
          <w:fldChar w:fldCharType="end"/>
        </w:r>
      </w:hyperlink>
    </w:p>
    <w:p w14:paraId="7EFFC553" w14:textId="1C60A96F"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05" w:history="1">
        <w:r w:rsidR="005A0D18" w:rsidRPr="005A0D18">
          <w:rPr>
            <w:rStyle w:val="Hyperlink"/>
            <w:rFonts w:ascii="Open Sans" w:hAnsi="Open Sans" w:cs="Open Sans"/>
            <w:noProof/>
            <w:sz w:val="18"/>
            <w:szCs w:val="18"/>
          </w:rPr>
          <w:t>3.6.</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Process tracing in practice</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_Toc138247505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44</w:t>
        </w:r>
        <w:r w:rsidR="005A0D18" w:rsidRPr="005A0D18">
          <w:rPr>
            <w:noProof/>
            <w:webHidden/>
            <w:sz w:val="18"/>
            <w:szCs w:val="18"/>
          </w:rPr>
          <w:fldChar w:fldCharType="end"/>
        </w:r>
      </w:hyperlink>
    </w:p>
    <w:p w14:paraId="3541F3A5" w14:textId="219E34D4"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06" w:history="1">
        <w:r w:rsidR="005A0D18" w:rsidRPr="005A0D18">
          <w:rPr>
            <w:rStyle w:val="Hyperlink"/>
            <w:rFonts w:ascii="Open Sans" w:hAnsi="Open Sans" w:cs="Open Sans"/>
            <w:noProof/>
            <w:sz w:val="18"/>
            <w:szCs w:val="18"/>
          </w:rPr>
          <w:t>3.7.</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Possible limitations to the research design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_Toc138247506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46</w:t>
        </w:r>
        <w:r w:rsidR="005A0D18" w:rsidRPr="005A0D18">
          <w:rPr>
            <w:noProof/>
            <w:webHidden/>
            <w:sz w:val="18"/>
            <w:szCs w:val="18"/>
          </w:rPr>
          <w:fldChar w:fldCharType="end"/>
        </w:r>
      </w:hyperlink>
    </w:p>
    <w:p w14:paraId="3E2CC966" w14:textId="70D8B8B1" w:rsidR="005A0D18" w:rsidRPr="005A0D18" w:rsidRDefault="00F6709B">
      <w:pPr>
        <w:pStyle w:val="TOC1"/>
        <w:tabs>
          <w:tab w:val="left" w:pos="480"/>
          <w:tab w:val="right" w:pos="9016"/>
        </w:tabs>
        <w:rPr>
          <w:rFonts w:eastAsiaTheme="minorEastAsia" w:cstheme="minorBidi"/>
          <w:b w:val="0"/>
          <w:bCs w:val="0"/>
          <w:caps w:val="0"/>
          <w:noProof/>
          <w:sz w:val="22"/>
          <w:szCs w:val="22"/>
          <w:lang w:eastAsia="en-GB"/>
        </w:rPr>
      </w:pPr>
      <w:hyperlink w:anchor="_Toc138247507" w:history="1">
        <w:r w:rsidR="005A0D18" w:rsidRPr="005A0D18">
          <w:rPr>
            <w:rStyle w:val="Hyperlink"/>
            <w:rFonts w:ascii="Open Sans" w:hAnsi="Open Sans" w:cs="Open Sans"/>
            <w:noProof/>
            <w:sz w:val="18"/>
            <w:szCs w:val="18"/>
          </w:rPr>
          <w:t>4.</w:t>
        </w:r>
        <w:r w:rsidR="005A0D18" w:rsidRPr="005A0D18">
          <w:rPr>
            <w:rFonts w:eastAsiaTheme="minorEastAsia" w:cstheme="minorBidi"/>
            <w:b w:val="0"/>
            <w:bCs w:val="0"/>
            <w:caps w:val="0"/>
            <w:noProof/>
            <w:sz w:val="22"/>
            <w:szCs w:val="22"/>
            <w:lang w:eastAsia="en-GB"/>
          </w:rPr>
          <w:tab/>
        </w:r>
        <w:r w:rsidR="005A0D18" w:rsidRPr="005A0D18">
          <w:rPr>
            <w:rStyle w:val="Hyperlink"/>
            <w:rFonts w:ascii="Open Sans" w:hAnsi="Open Sans" w:cs="Open Sans"/>
            <w:noProof/>
            <w:sz w:val="18"/>
            <w:szCs w:val="18"/>
          </w:rPr>
          <w:t>Timeline reconstruction and context description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_Toc138247507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47</w:t>
        </w:r>
        <w:r w:rsidR="005A0D18" w:rsidRPr="005A0D18">
          <w:rPr>
            <w:noProof/>
            <w:webHidden/>
            <w:sz w:val="18"/>
            <w:szCs w:val="18"/>
          </w:rPr>
          <w:fldChar w:fldCharType="end"/>
        </w:r>
      </w:hyperlink>
    </w:p>
    <w:p w14:paraId="57371A55" w14:textId="3E8D627A"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08" w:history="1">
        <w:r w:rsidR="005A0D18" w:rsidRPr="005A0D18">
          <w:rPr>
            <w:rStyle w:val="Hyperlink"/>
            <w:rFonts w:ascii="Open Sans" w:hAnsi="Open Sans" w:cs="Open Sans"/>
            <w:noProof/>
            <w:sz w:val="18"/>
            <w:szCs w:val="18"/>
          </w:rPr>
          <w:t>4.1.</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The emergence of the Houthi movement</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_Toc138247508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47</w:t>
        </w:r>
        <w:r w:rsidR="005A0D18" w:rsidRPr="005A0D18">
          <w:rPr>
            <w:noProof/>
            <w:webHidden/>
            <w:sz w:val="18"/>
            <w:szCs w:val="18"/>
          </w:rPr>
          <w:fldChar w:fldCharType="end"/>
        </w:r>
      </w:hyperlink>
    </w:p>
    <w:p w14:paraId="77FA0545" w14:textId="0E0BC3A7"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09" w:history="1">
        <w:r w:rsidR="005A0D18" w:rsidRPr="005A0D18">
          <w:rPr>
            <w:rStyle w:val="Hyperlink"/>
            <w:rFonts w:ascii="Open Sans" w:hAnsi="Open Sans" w:cs="Open Sans"/>
            <w:noProof/>
            <w:sz w:val="18"/>
            <w:szCs w:val="18"/>
          </w:rPr>
          <w:t>4.2.</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Context of historical Yemeni governance</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_Toc138247509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48</w:t>
        </w:r>
        <w:r w:rsidR="005A0D18" w:rsidRPr="005A0D18">
          <w:rPr>
            <w:noProof/>
            <w:webHidden/>
            <w:sz w:val="18"/>
            <w:szCs w:val="18"/>
          </w:rPr>
          <w:fldChar w:fldCharType="end"/>
        </w:r>
      </w:hyperlink>
    </w:p>
    <w:p w14:paraId="4DA91277" w14:textId="2F181AEE"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10" w:history="1">
        <w:r w:rsidR="005A0D18" w:rsidRPr="005A0D18">
          <w:rPr>
            <w:rStyle w:val="Hyperlink"/>
            <w:rFonts w:ascii="Open Sans" w:hAnsi="Open Sans" w:cs="Open Sans"/>
            <w:noProof/>
            <w:sz w:val="18"/>
            <w:szCs w:val="18"/>
          </w:rPr>
          <w:t>4.3.</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Timeline of the involvement of the United Nations in the Yemeni civil war</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_Toc138247510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49</w:t>
        </w:r>
        <w:r w:rsidR="005A0D18" w:rsidRPr="005A0D18">
          <w:rPr>
            <w:noProof/>
            <w:webHidden/>
            <w:sz w:val="18"/>
            <w:szCs w:val="18"/>
          </w:rPr>
          <w:fldChar w:fldCharType="end"/>
        </w:r>
      </w:hyperlink>
    </w:p>
    <w:p w14:paraId="6A36365F" w14:textId="0A4DF5B9" w:rsidR="005A0D18" w:rsidRPr="005A0D18" w:rsidRDefault="00F6709B">
      <w:pPr>
        <w:pStyle w:val="TOC1"/>
        <w:tabs>
          <w:tab w:val="left" w:pos="480"/>
          <w:tab w:val="right" w:pos="9016"/>
        </w:tabs>
        <w:rPr>
          <w:rFonts w:eastAsiaTheme="minorEastAsia" w:cstheme="minorBidi"/>
          <w:b w:val="0"/>
          <w:bCs w:val="0"/>
          <w:caps w:val="0"/>
          <w:noProof/>
          <w:sz w:val="22"/>
          <w:szCs w:val="22"/>
          <w:lang w:eastAsia="en-GB"/>
        </w:rPr>
      </w:pPr>
      <w:hyperlink w:anchor="_Toc138247511" w:history="1">
        <w:r w:rsidR="005A0D18" w:rsidRPr="005A0D18">
          <w:rPr>
            <w:rStyle w:val="Hyperlink"/>
            <w:rFonts w:ascii="Open Sans" w:hAnsi="Open Sans" w:cs="Open Sans"/>
            <w:noProof/>
            <w:sz w:val="18"/>
            <w:szCs w:val="18"/>
          </w:rPr>
          <w:t>5.</w:t>
        </w:r>
        <w:r w:rsidR="005A0D18" w:rsidRPr="005A0D18">
          <w:rPr>
            <w:rFonts w:eastAsiaTheme="minorEastAsia" w:cstheme="minorBidi"/>
            <w:b w:val="0"/>
            <w:bCs w:val="0"/>
            <w:caps w:val="0"/>
            <w:noProof/>
            <w:sz w:val="22"/>
            <w:szCs w:val="22"/>
            <w:lang w:eastAsia="en-GB"/>
          </w:rPr>
          <w:tab/>
        </w:r>
        <w:r w:rsidR="005A0D18" w:rsidRPr="005A0D18">
          <w:rPr>
            <w:rStyle w:val="Hyperlink"/>
            <w:rFonts w:ascii="Open Sans" w:hAnsi="Open Sans" w:cs="Open Sans"/>
            <w:noProof/>
            <w:sz w:val="18"/>
            <w:szCs w:val="18"/>
          </w:rPr>
          <w:t>Empirical analysis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_Toc138247511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54</w:t>
        </w:r>
        <w:r w:rsidR="005A0D18" w:rsidRPr="005A0D18">
          <w:rPr>
            <w:noProof/>
            <w:webHidden/>
            <w:sz w:val="18"/>
            <w:szCs w:val="18"/>
          </w:rPr>
          <w:fldChar w:fldCharType="end"/>
        </w:r>
      </w:hyperlink>
    </w:p>
    <w:p w14:paraId="3CD0BDDE" w14:textId="0FDD6C32"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12" w:history="1">
        <w:r w:rsidR="005A0D18" w:rsidRPr="005A0D18">
          <w:rPr>
            <w:rStyle w:val="Hyperlink"/>
            <w:rFonts w:ascii="Open Sans" w:hAnsi="Open Sans" w:cs="Open Sans"/>
            <w:noProof/>
            <w:sz w:val="18"/>
            <w:szCs w:val="18"/>
          </w:rPr>
          <w:t>5.1.</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Introduction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_Toc138247512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54</w:t>
        </w:r>
        <w:r w:rsidR="005A0D18" w:rsidRPr="005A0D18">
          <w:rPr>
            <w:noProof/>
            <w:webHidden/>
            <w:sz w:val="18"/>
            <w:szCs w:val="18"/>
          </w:rPr>
          <w:fldChar w:fldCharType="end"/>
        </w:r>
      </w:hyperlink>
    </w:p>
    <w:p w14:paraId="2F10C1F2" w14:textId="302F3902"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13" w:history="1">
        <w:r w:rsidR="005A0D18" w:rsidRPr="005A0D18">
          <w:rPr>
            <w:rStyle w:val="Hyperlink"/>
            <w:rFonts w:ascii="Open Sans" w:hAnsi="Open Sans" w:cs="Open Sans"/>
            <w:noProof/>
            <w:sz w:val="18"/>
            <w:szCs w:val="18"/>
          </w:rPr>
          <w:t>5.2.</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Analysis of dimensions between 2014 and 2022</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_Toc138247513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54</w:t>
        </w:r>
        <w:r w:rsidR="005A0D18" w:rsidRPr="005A0D18">
          <w:rPr>
            <w:noProof/>
            <w:webHidden/>
            <w:sz w:val="18"/>
            <w:szCs w:val="18"/>
          </w:rPr>
          <w:fldChar w:fldCharType="end"/>
        </w:r>
      </w:hyperlink>
    </w:p>
    <w:p w14:paraId="30ED21A7" w14:textId="20846772"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14" w:history="1">
        <w:r w:rsidR="005A0D18" w:rsidRPr="005A0D18">
          <w:rPr>
            <w:rStyle w:val="Hyperlink"/>
            <w:rFonts w:ascii="Open Sans" w:hAnsi="Open Sans" w:cs="Open Sans"/>
            <w:noProof/>
            <w:sz w:val="18"/>
            <w:szCs w:val="18"/>
          </w:rPr>
          <w:t>5.3.</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Results before the 2022 truce</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_Toc138247514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58</w:t>
        </w:r>
        <w:r w:rsidR="005A0D18" w:rsidRPr="005A0D18">
          <w:rPr>
            <w:noProof/>
            <w:webHidden/>
            <w:sz w:val="18"/>
            <w:szCs w:val="18"/>
          </w:rPr>
          <w:fldChar w:fldCharType="end"/>
        </w:r>
      </w:hyperlink>
    </w:p>
    <w:p w14:paraId="1430DB1D" w14:textId="44518D70"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15" w:history="1">
        <w:r w:rsidR="005A0D18" w:rsidRPr="005A0D18">
          <w:rPr>
            <w:rStyle w:val="Hyperlink"/>
            <w:rFonts w:ascii="Open Sans" w:hAnsi="Open Sans" w:cs="Open Sans"/>
            <w:noProof/>
            <w:sz w:val="18"/>
            <w:szCs w:val="18"/>
          </w:rPr>
          <w:t>5.4.</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The 2022 truce</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_Toc138247515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61</w:t>
        </w:r>
        <w:r w:rsidR="005A0D18" w:rsidRPr="005A0D18">
          <w:rPr>
            <w:noProof/>
            <w:webHidden/>
            <w:sz w:val="18"/>
            <w:szCs w:val="18"/>
          </w:rPr>
          <w:fldChar w:fldCharType="end"/>
        </w:r>
      </w:hyperlink>
    </w:p>
    <w:p w14:paraId="31529A0A" w14:textId="21C4ECC4"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16" w:history="1">
        <w:r w:rsidR="005A0D18" w:rsidRPr="005A0D18">
          <w:rPr>
            <w:rStyle w:val="Hyperlink"/>
            <w:rFonts w:ascii="Open Sans" w:hAnsi="Open Sans" w:cs="Open Sans"/>
            <w:noProof/>
            <w:sz w:val="18"/>
            <w:szCs w:val="18"/>
          </w:rPr>
          <w:t>5.5.</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Theory-developing: the increase in autonomy outside of the identified dimensions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_Toc138247516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65</w:t>
        </w:r>
        <w:r w:rsidR="005A0D18" w:rsidRPr="005A0D18">
          <w:rPr>
            <w:noProof/>
            <w:webHidden/>
            <w:sz w:val="18"/>
            <w:szCs w:val="18"/>
          </w:rPr>
          <w:fldChar w:fldCharType="end"/>
        </w:r>
      </w:hyperlink>
    </w:p>
    <w:p w14:paraId="48EC3571" w14:textId="37A90148"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17" w:history="1">
        <w:r w:rsidR="005A0D18" w:rsidRPr="005A0D18">
          <w:rPr>
            <w:rStyle w:val="Hyperlink"/>
            <w:rFonts w:ascii="Open Sans" w:hAnsi="Open Sans" w:cs="Open Sans"/>
            <w:noProof/>
            <w:sz w:val="18"/>
            <w:szCs w:val="18"/>
          </w:rPr>
          <w:t>5.6.</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Interpretation and conclusion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_Toc138247517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66</w:t>
        </w:r>
        <w:r w:rsidR="005A0D18" w:rsidRPr="005A0D18">
          <w:rPr>
            <w:noProof/>
            <w:webHidden/>
            <w:sz w:val="18"/>
            <w:szCs w:val="18"/>
          </w:rPr>
          <w:fldChar w:fldCharType="end"/>
        </w:r>
      </w:hyperlink>
    </w:p>
    <w:p w14:paraId="28CB18A7" w14:textId="285581F4" w:rsidR="005A0D18" w:rsidRPr="005A0D18" w:rsidRDefault="00F6709B">
      <w:pPr>
        <w:pStyle w:val="TOC1"/>
        <w:tabs>
          <w:tab w:val="left" w:pos="480"/>
          <w:tab w:val="right" w:pos="9016"/>
        </w:tabs>
        <w:rPr>
          <w:rFonts w:eastAsiaTheme="minorEastAsia" w:cstheme="minorBidi"/>
          <w:b w:val="0"/>
          <w:bCs w:val="0"/>
          <w:caps w:val="0"/>
          <w:noProof/>
          <w:sz w:val="22"/>
          <w:szCs w:val="22"/>
          <w:lang w:eastAsia="en-GB"/>
        </w:rPr>
      </w:pPr>
      <w:hyperlink w:anchor="_Toc138247518" w:history="1">
        <w:r w:rsidR="005A0D18" w:rsidRPr="005A0D18">
          <w:rPr>
            <w:rStyle w:val="Hyperlink"/>
            <w:rFonts w:ascii="Open Sans" w:hAnsi="Open Sans" w:cs="Open Sans"/>
            <w:noProof/>
            <w:sz w:val="18"/>
            <w:szCs w:val="18"/>
          </w:rPr>
          <w:t>6.</w:t>
        </w:r>
        <w:r w:rsidR="005A0D18" w:rsidRPr="005A0D18">
          <w:rPr>
            <w:rFonts w:eastAsiaTheme="minorEastAsia" w:cstheme="minorBidi"/>
            <w:b w:val="0"/>
            <w:bCs w:val="0"/>
            <w:caps w:val="0"/>
            <w:noProof/>
            <w:sz w:val="22"/>
            <w:szCs w:val="22"/>
            <w:lang w:eastAsia="en-GB"/>
          </w:rPr>
          <w:tab/>
        </w:r>
        <w:r w:rsidR="005A0D18" w:rsidRPr="005A0D18">
          <w:rPr>
            <w:rStyle w:val="Hyperlink"/>
            <w:rFonts w:ascii="Open Sans" w:hAnsi="Open Sans" w:cs="Open Sans"/>
            <w:noProof/>
            <w:sz w:val="18"/>
            <w:szCs w:val="18"/>
          </w:rPr>
          <w:t>Conclusion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_Toc138247518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68</w:t>
        </w:r>
        <w:r w:rsidR="005A0D18" w:rsidRPr="005A0D18">
          <w:rPr>
            <w:noProof/>
            <w:webHidden/>
            <w:sz w:val="18"/>
            <w:szCs w:val="18"/>
          </w:rPr>
          <w:fldChar w:fldCharType="end"/>
        </w:r>
      </w:hyperlink>
    </w:p>
    <w:p w14:paraId="127D8807" w14:textId="2EA827B2"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19" w:history="1">
        <w:r w:rsidR="005A0D18" w:rsidRPr="005A0D18">
          <w:rPr>
            <w:rStyle w:val="Hyperlink"/>
            <w:rFonts w:ascii="Open Sans" w:hAnsi="Open Sans" w:cs="Open Sans"/>
            <w:noProof/>
            <w:sz w:val="18"/>
            <w:szCs w:val="18"/>
          </w:rPr>
          <w:t>6.1.</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Research design</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_Toc138247519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68</w:t>
        </w:r>
        <w:r w:rsidR="005A0D18" w:rsidRPr="005A0D18">
          <w:rPr>
            <w:noProof/>
            <w:webHidden/>
            <w:sz w:val="18"/>
            <w:szCs w:val="18"/>
          </w:rPr>
          <w:fldChar w:fldCharType="end"/>
        </w:r>
      </w:hyperlink>
    </w:p>
    <w:p w14:paraId="74D82159" w14:textId="3054305B"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20" w:history="1">
        <w:r w:rsidR="005A0D18" w:rsidRPr="005A0D18">
          <w:rPr>
            <w:rStyle w:val="Hyperlink"/>
            <w:rFonts w:ascii="Open Sans" w:hAnsi="Open Sans" w:cs="Open Sans"/>
            <w:noProof/>
            <w:sz w:val="18"/>
            <w:szCs w:val="18"/>
          </w:rPr>
          <w:t>6.2.</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Methodology</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_Toc138247520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69</w:t>
        </w:r>
        <w:r w:rsidR="005A0D18" w:rsidRPr="005A0D18">
          <w:rPr>
            <w:noProof/>
            <w:webHidden/>
            <w:sz w:val="18"/>
            <w:szCs w:val="18"/>
          </w:rPr>
          <w:fldChar w:fldCharType="end"/>
        </w:r>
      </w:hyperlink>
    </w:p>
    <w:p w14:paraId="22844500" w14:textId="3C6CF76C"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21" w:history="1">
        <w:r w:rsidR="005A0D18" w:rsidRPr="005A0D18">
          <w:rPr>
            <w:rStyle w:val="Hyperlink"/>
            <w:rFonts w:ascii="Open Sans" w:hAnsi="Open Sans" w:cs="Open Sans"/>
            <w:noProof/>
            <w:sz w:val="18"/>
            <w:szCs w:val="18"/>
          </w:rPr>
          <w:t>6.3.</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Results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_Toc138247521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69</w:t>
        </w:r>
        <w:r w:rsidR="005A0D18" w:rsidRPr="005A0D18">
          <w:rPr>
            <w:noProof/>
            <w:webHidden/>
            <w:sz w:val="18"/>
            <w:szCs w:val="18"/>
          </w:rPr>
          <w:fldChar w:fldCharType="end"/>
        </w:r>
      </w:hyperlink>
    </w:p>
    <w:p w14:paraId="4757D99B" w14:textId="77D50597"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22" w:history="1">
        <w:r w:rsidR="005A0D18" w:rsidRPr="005A0D18">
          <w:rPr>
            <w:rStyle w:val="Hyperlink"/>
            <w:rFonts w:ascii="Open Sans" w:hAnsi="Open Sans" w:cs="Open Sans"/>
            <w:noProof/>
            <w:sz w:val="18"/>
            <w:szCs w:val="18"/>
          </w:rPr>
          <w:t>6.4.</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Key findings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_Toc138247522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70</w:t>
        </w:r>
        <w:r w:rsidR="005A0D18" w:rsidRPr="005A0D18">
          <w:rPr>
            <w:noProof/>
            <w:webHidden/>
            <w:sz w:val="18"/>
            <w:szCs w:val="18"/>
          </w:rPr>
          <w:fldChar w:fldCharType="end"/>
        </w:r>
      </w:hyperlink>
    </w:p>
    <w:p w14:paraId="1043E987" w14:textId="59AEA276"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23" w:history="1">
        <w:r w:rsidR="005A0D18" w:rsidRPr="005A0D18">
          <w:rPr>
            <w:rStyle w:val="Hyperlink"/>
            <w:rFonts w:ascii="Open Sans" w:hAnsi="Open Sans" w:cs="Open Sans"/>
            <w:noProof/>
            <w:sz w:val="18"/>
            <w:szCs w:val="18"/>
          </w:rPr>
          <w:t>6.5.</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Reflection, discussion &amp; recommendations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_Toc138247523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71</w:t>
        </w:r>
        <w:r w:rsidR="005A0D18" w:rsidRPr="005A0D18">
          <w:rPr>
            <w:noProof/>
            <w:webHidden/>
            <w:sz w:val="18"/>
            <w:szCs w:val="18"/>
          </w:rPr>
          <w:fldChar w:fldCharType="end"/>
        </w:r>
      </w:hyperlink>
    </w:p>
    <w:p w14:paraId="186287D5" w14:textId="417EB9A4" w:rsidR="005A0D18" w:rsidRPr="005A0D18" w:rsidRDefault="00F6709B">
      <w:pPr>
        <w:pStyle w:val="TOC2"/>
        <w:tabs>
          <w:tab w:val="left" w:pos="960"/>
          <w:tab w:val="right" w:pos="9016"/>
        </w:tabs>
        <w:rPr>
          <w:rFonts w:eastAsiaTheme="minorEastAsia" w:cstheme="minorBidi"/>
          <w:smallCaps w:val="0"/>
          <w:noProof/>
          <w:sz w:val="22"/>
          <w:szCs w:val="22"/>
          <w:lang w:eastAsia="en-GB"/>
        </w:rPr>
      </w:pPr>
      <w:hyperlink w:anchor="_Toc138247524" w:history="1">
        <w:r w:rsidR="005A0D18" w:rsidRPr="005A0D18">
          <w:rPr>
            <w:rStyle w:val="Hyperlink"/>
            <w:rFonts w:ascii="Open Sans" w:hAnsi="Open Sans" w:cs="Open Sans"/>
            <w:noProof/>
            <w:sz w:val="18"/>
            <w:szCs w:val="18"/>
          </w:rPr>
          <w:t>6.6.</w:t>
        </w:r>
        <w:r w:rsidR="005A0D18" w:rsidRPr="005A0D18">
          <w:rPr>
            <w:rFonts w:eastAsiaTheme="minorEastAsia" w:cstheme="minorBidi"/>
            <w:smallCaps w:val="0"/>
            <w:noProof/>
            <w:sz w:val="22"/>
            <w:szCs w:val="22"/>
            <w:lang w:eastAsia="en-GB"/>
          </w:rPr>
          <w:tab/>
        </w:r>
        <w:r w:rsidR="005A0D18" w:rsidRPr="005A0D18">
          <w:rPr>
            <w:rStyle w:val="Hyperlink"/>
            <w:rFonts w:ascii="Open Sans" w:hAnsi="Open Sans" w:cs="Open Sans"/>
            <w:noProof/>
            <w:sz w:val="18"/>
            <w:szCs w:val="18"/>
          </w:rPr>
          <w:t>Recommendations for future research and theoretical development</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_Toc138247524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72</w:t>
        </w:r>
        <w:r w:rsidR="005A0D18" w:rsidRPr="005A0D18">
          <w:rPr>
            <w:noProof/>
            <w:webHidden/>
            <w:sz w:val="18"/>
            <w:szCs w:val="18"/>
          </w:rPr>
          <w:fldChar w:fldCharType="end"/>
        </w:r>
      </w:hyperlink>
    </w:p>
    <w:p w14:paraId="1701BB2A" w14:textId="48C2F71F" w:rsidR="005A0D18" w:rsidRPr="005A0D18" w:rsidRDefault="00F6709B">
      <w:pPr>
        <w:pStyle w:val="TOC1"/>
        <w:tabs>
          <w:tab w:val="right" w:pos="9016"/>
        </w:tabs>
        <w:rPr>
          <w:rFonts w:eastAsiaTheme="minorEastAsia" w:cstheme="minorBidi"/>
          <w:b w:val="0"/>
          <w:bCs w:val="0"/>
          <w:caps w:val="0"/>
          <w:noProof/>
          <w:sz w:val="22"/>
          <w:szCs w:val="22"/>
          <w:lang w:eastAsia="en-GB"/>
        </w:rPr>
      </w:pPr>
      <w:hyperlink w:anchor="_Toc138247525" w:history="1">
        <w:r w:rsidR="005A0D18" w:rsidRPr="005A0D18">
          <w:rPr>
            <w:rStyle w:val="Hyperlink"/>
            <w:rFonts w:ascii="Open Sans" w:hAnsi="Open Sans" w:cs="Open Sans"/>
            <w:noProof/>
            <w:sz w:val="18"/>
            <w:szCs w:val="18"/>
          </w:rPr>
          <w:t>References</w:t>
        </w:r>
        <w:r w:rsidR="005A0D18" w:rsidRPr="005A0D18">
          <w:rPr>
            <w:noProof/>
            <w:webHidden/>
            <w:sz w:val="18"/>
            <w:szCs w:val="18"/>
          </w:rPr>
          <w:tab/>
        </w:r>
        <w:r w:rsidR="005A0D18" w:rsidRPr="005A0D18">
          <w:rPr>
            <w:noProof/>
            <w:webHidden/>
            <w:sz w:val="18"/>
            <w:szCs w:val="18"/>
          </w:rPr>
          <w:fldChar w:fldCharType="begin"/>
        </w:r>
        <w:r w:rsidR="005A0D18" w:rsidRPr="005A0D18">
          <w:rPr>
            <w:noProof/>
            <w:webHidden/>
            <w:sz w:val="18"/>
            <w:szCs w:val="18"/>
          </w:rPr>
          <w:instrText xml:space="preserve"> PAGEREF _Toc138247525 \h </w:instrText>
        </w:r>
        <w:r w:rsidR="005A0D18" w:rsidRPr="005A0D18">
          <w:rPr>
            <w:noProof/>
            <w:webHidden/>
            <w:sz w:val="18"/>
            <w:szCs w:val="18"/>
          </w:rPr>
        </w:r>
        <w:r w:rsidR="005A0D18" w:rsidRPr="005A0D18">
          <w:rPr>
            <w:noProof/>
            <w:webHidden/>
            <w:sz w:val="18"/>
            <w:szCs w:val="18"/>
          </w:rPr>
          <w:fldChar w:fldCharType="separate"/>
        </w:r>
        <w:r w:rsidR="005A0D18" w:rsidRPr="005A0D18">
          <w:rPr>
            <w:noProof/>
            <w:webHidden/>
            <w:sz w:val="18"/>
            <w:szCs w:val="18"/>
          </w:rPr>
          <w:t>73</w:t>
        </w:r>
        <w:r w:rsidR="005A0D18" w:rsidRPr="005A0D18">
          <w:rPr>
            <w:noProof/>
            <w:webHidden/>
            <w:sz w:val="18"/>
            <w:szCs w:val="18"/>
          </w:rPr>
          <w:fldChar w:fldCharType="end"/>
        </w:r>
      </w:hyperlink>
    </w:p>
    <w:p w14:paraId="641A8B50" w14:textId="38760A5B" w:rsidR="00194D08" w:rsidRPr="005E47A6" w:rsidRDefault="00194D08" w:rsidP="005A0D18">
      <w:pPr>
        <w:rPr>
          <w:rFonts w:ascii="Open Sans" w:hAnsi="Open Sans" w:cs="Open Sans"/>
          <w:color w:val="000000" w:themeColor="text1"/>
        </w:rPr>
      </w:pPr>
      <w:r w:rsidRPr="005A0D18">
        <w:rPr>
          <w:rFonts w:ascii="Open Sans" w:hAnsi="Open Sans" w:cs="Open Sans"/>
          <w:color w:val="000000" w:themeColor="text1"/>
          <w:sz w:val="20"/>
          <w:szCs w:val="20"/>
        </w:rPr>
        <w:lastRenderedPageBreak/>
        <w:fldChar w:fldCharType="end"/>
      </w:r>
    </w:p>
    <w:p w14:paraId="5FDEA599" w14:textId="77777777" w:rsidR="00404E69" w:rsidRPr="00744561" w:rsidRDefault="00404E69" w:rsidP="005E47A6">
      <w:pPr>
        <w:pStyle w:val="Heading2"/>
        <w:pBdr>
          <w:top w:val="single" w:sz="4" w:space="1" w:color="auto"/>
          <w:bottom w:val="single" w:sz="4" w:space="1" w:color="auto"/>
        </w:pBdr>
        <w:jc w:val="center"/>
        <w:rPr>
          <w:rFonts w:ascii="Open Sans" w:eastAsia="Times New Roman" w:hAnsi="Open Sans" w:cs="Open Sans"/>
          <w:color w:val="000000" w:themeColor="text1"/>
          <w:sz w:val="24"/>
          <w:szCs w:val="24"/>
          <w:lang w:eastAsia="en-GB"/>
        </w:rPr>
      </w:pPr>
      <w:bookmarkStart w:id="2" w:name="_Toc138247478"/>
      <w:r w:rsidRPr="00744561">
        <w:rPr>
          <w:rFonts w:ascii="Open Sans" w:eastAsia="Times New Roman" w:hAnsi="Open Sans" w:cs="Open Sans"/>
          <w:color w:val="000000" w:themeColor="text1"/>
          <w:sz w:val="24"/>
          <w:szCs w:val="24"/>
          <w:lang w:eastAsia="en-GB"/>
        </w:rPr>
        <w:t>List of Abbreviations</w:t>
      </w:r>
      <w:bookmarkEnd w:id="2"/>
    </w:p>
    <w:p w14:paraId="7B83C049" w14:textId="77777777" w:rsidR="00404E69" w:rsidRPr="00742342" w:rsidRDefault="00404E69" w:rsidP="00404E69">
      <w:pPr>
        <w:spacing w:line="276" w:lineRule="auto"/>
        <w:rPr>
          <w:rFonts w:ascii="Open Sans" w:eastAsia="Times New Roman" w:hAnsi="Open Sans" w:cs="Open Sans"/>
          <w:kern w:val="0"/>
          <w:sz w:val="22"/>
          <w:szCs w:val="22"/>
          <w:lang w:eastAsia="en-GB"/>
          <w14:ligatures w14:val="none"/>
        </w:rPr>
      </w:pPr>
    </w:p>
    <w:p w14:paraId="1C28510F" w14:textId="77777777" w:rsidR="004417A2" w:rsidRDefault="004417A2" w:rsidP="004417A2">
      <w:pPr>
        <w:spacing w:line="276" w:lineRule="auto"/>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IGO</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Intergovernmental organization</w:t>
      </w:r>
    </w:p>
    <w:p w14:paraId="51BA6D1D" w14:textId="77777777" w:rsidR="004417A2" w:rsidRPr="00742342" w:rsidRDefault="004417A2" w:rsidP="004417A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IMF</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International Monetary Fund</w:t>
      </w:r>
    </w:p>
    <w:p w14:paraId="77F8C201" w14:textId="77777777" w:rsidR="004417A2" w:rsidRPr="00742342" w:rsidRDefault="004417A2" w:rsidP="004417A2">
      <w:pPr>
        <w:spacing w:line="276" w:lineRule="auto"/>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IMO</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International Maritime Organization</w:t>
      </w:r>
    </w:p>
    <w:p w14:paraId="1D37A3B7" w14:textId="77777777" w:rsidR="004417A2" w:rsidRPr="00742342" w:rsidRDefault="004417A2" w:rsidP="004417A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NGO</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Non-governmental organization</w:t>
      </w:r>
    </w:p>
    <w:p w14:paraId="7A9066FD" w14:textId="77777777" w:rsidR="004417A2" w:rsidRPr="00742342" w:rsidRDefault="004417A2" w:rsidP="004417A2">
      <w:pPr>
        <w:spacing w:line="276" w:lineRule="auto"/>
        <w:ind w:left="3600" w:hanging="3600"/>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OSESGY</w:t>
      </w:r>
      <w:r w:rsidRPr="00742342">
        <w:rPr>
          <w:rFonts w:ascii="Open Sans" w:eastAsia="Times New Roman" w:hAnsi="Open Sans" w:cs="Open Sans"/>
          <w:kern w:val="0"/>
          <w:sz w:val="22"/>
          <w:szCs w:val="22"/>
          <w:lang w:eastAsia="en-GB"/>
          <w14:ligatures w14:val="none"/>
        </w:rPr>
        <w:tab/>
        <w:t>Office of the Special Envoy of the Secretary-General for Yemen</w:t>
      </w:r>
    </w:p>
    <w:p w14:paraId="10CBEB01" w14:textId="77777777" w:rsidR="004417A2" w:rsidRDefault="004417A2" w:rsidP="004417A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P-A</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Principal-agent</w:t>
      </w:r>
    </w:p>
    <w:p w14:paraId="7A0338D6" w14:textId="77777777" w:rsidR="004417A2" w:rsidRPr="00742342" w:rsidRDefault="004417A2" w:rsidP="004417A2">
      <w:pPr>
        <w:spacing w:line="276" w:lineRule="auto"/>
        <w:jc w:val="both"/>
        <w:rPr>
          <w:rFonts w:ascii="Open Sans" w:eastAsia="Times New Roman" w:hAnsi="Open Sans" w:cs="Open Sans"/>
          <w:kern w:val="0"/>
          <w:sz w:val="22"/>
          <w:szCs w:val="22"/>
          <w:lang w:eastAsia="en-GB"/>
          <w14:ligatures w14:val="none"/>
        </w:rPr>
      </w:pPr>
      <w:r w:rsidRPr="0065485A">
        <w:rPr>
          <w:rFonts w:ascii="Open Sans" w:eastAsia="Times New Roman" w:hAnsi="Open Sans" w:cs="Open Sans"/>
          <w:kern w:val="0"/>
          <w:sz w:val="22"/>
          <w:szCs w:val="22"/>
          <w:lang w:eastAsia="en-GB"/>
          <w14:ligatures w14:val="none"/>
        </w:rPr>
        <w:t>SPC</w:t>
      </w:r>
      <w:r w:rsidRPr="0065485A">
        <w:rPr>
          <w:rFonts w:ascii="Open Sans" w:eastAsia="Times New Roman" w:hAnsi="Open Sans" w:cs="Open Sans"/>
          <w:kern w:val="0"/>
          <w:sz w:val="22"/>
          <w:szCs w:val="22"/>
          <w:lang w:eastAsia="en-GB"/>
          <w14:ligatures w14:val="none"/>
        </w:rPr>
        <w:tab/>
      </w:r>
      <w:r w:rsidRPr="0065485A">
        <w:rPr>
          <w:rFonts w:ascii="Open Sans" w:eastAsia="Times New Roman" w:hAnsi="Open Sans" w:cs="Open Sans"/>
          <w:kern w:val="0"/>
          <w:sz w:val="22"/>
          <w:szCs w:val="22"/>
          <w:lang w:eastAsia="en-GB"/>
          <w14:ligatures w14:val="none"/>
        </w:rPr>
        <w:tab/>
      </w:r>
      <w:r w:rsidRPr="0065485A">
        <w:rPr>
          <w:rFonts w:ascii="Open Sans" w:eastAsia="Times New Roman" w:hAnsi="Open Sans" w:cs="Open Sans"/>
          <w:kern w:val="0"/>
          <w:sz w:val="22"/>
          <w:szCs w:val="22"/>
          <w:lang w:eastAsia="en-GB"/>
          <w14:ligatures w14:val="none"/>
        </w:rPr>
        <w:tab/>
      </w:r>
      <w:r w:rsidRPr="0065485A">
        <w:rPr>
          <w:rFonts w:ascii="Open Sans" w:eastAsia="Times New Roman" w:hAnsi="Open Sans" w:cs="Open Sans"/>
          <w:kern w:val="0"/>
          <w:sz w:val="22"/>
          <w:szCs w:val="22"/>
          <w:lang w:eastAsia="en-GB"/>
          <w14:ligatures w14:val="none"/>
        </w:rPr>
        <w:tab/>
      </w:r>
      <w:r w:rsidRPr="0065485A">
        <w:rPr>
          <w:rFonts w:ascii="Open Sans" w:eastAsia="Times New Roman" w:hAnsi="Open Sans" w:cs="Open Sans"/>
          <w:kern w:val="0"/>
          <w:sz w:val="22"/>
          <w:szCs w:val="22"/>
          <w:lang w:eastAsia="en-GB"/>
          <w14:ligatures w14:val="none"/>
        </w:rPr>
        <w:tab/>
        <w:t>Supreme Political Council</w:t>
      </w:r>
    </w:p>
    <w:p w14:paraId="68A861C6" w14:textId="77777777" w:rsidR="004417A2" w:rsidRPr="00742342" w:rsidRDefault="004417A2" w:rsidP="004417A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USSR</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Union of Soviet Socialist Republics</w:t>
      </w:r>
    </w:p>
    <w:p w14:paraId="1EBBE8AF" w14:textId="77777777" w:rsidR="004417A2" w:rsidRPr="00742342" w:rsidRDefault="004417A2" w:rsidP="004417A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UN</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United Nations</w:t>
      </w:r>
    </w:p>
    <w:p w14:paraId="29DA4FCD" w14:textId="77777777" w:rsidR="004417A2" w:rsidRPr="00742342" w:rsidRDefault="004417A2" w:rsidP="004417A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UNDPO</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United Nations Department of Peace Operations</w:t>
      </w:r>
    </w:p>
    <w:p w14:paraId="3734373A" w14:textId="77777777" w:rsidR="004417A2" w:rsidRDefault="004417A2" w:rsidP="004417A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UNHCR</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United Nations High Commissioner for Refugees</w:t>
      </w:r>
    </w:p>
    <w:p w14:paraId="6937780C" w14:textId="77777777" w:rsidR="004417A2" w:rsidRPr="0065485A" w:rsidRDefault="004417A2" w:rsidP="004417A2">
      <w:pPr>
        <w:spacing w:line="276" w:lineRule="auto"/>
        <w:jc w:val="both"/>
        <w:rPr>
          <w:rFonts w:ascii="Open Sans" w:eastAsia="Times New Roman" w:hAnsi="Open Sans" w:cs="Open Sans"/>
          <w:kern w:val="0"/>
          <w:sz w:val="22"/>
          <w:szCs w:val="22"/>
          <w:lang w:eastAsia="en-GB"/>
          <w14:ligatures w14:val="none"/>
        </w:rPr>
      </w:pPr>
      <w:r>
        <w:rPr>
          <w:rFonts w:ascii="Open Sans" w:eastAsia="Times New Roman" w:hAnsi="Open Sans" w:cs="Open Sans"/>
          <w:kern w:val="0"/>
          <w:sz w:val="22"/>
          <w:szCs w:val="22"/>
          <w:lang w:eastAsia="en-GB"/>
          <w14:ligatures w14:val="none"/>
        </w:rPr>
        <w:t>UNMHA</w:t>
      </w:r>
      <w:r>
        <w:rPr>
          <w:rFonts w:ascii="Open Sans" w:eastAsia="Times New Roman" w:hAnsi="Open Sans" w:cs="Open Sans"/>
          <w:kern w:val="0"/>
          <w:sz w:val="22"/>
          <w:szCs w:val="22"/>
          <w:lang w:eastAsia="en-GB"/>
          <w14:ligatures w14:val="none"/>
        </w:rPr>
        <w:tab/>
      </w:r>
      <w:r>
        <w:rPr>
          <w:rFonts w:ascii="Open Sans" w:eastAsia="Times New Roman" w:hAnsi="Open Sans" w:cs="Open Sans"/>
          <w:kern w:val="0"/>
          <w:sz w:val="22"/>
          <w:szCs w:val="22"/>
          <w:lang w:eastAsia="en-GB"/>
          <w14:ligatures w14:val="none"/>
        </w:rPr>
        <w:tab/>
      </w:r>
      <w:r>
        <w:rPr>
          <w:rFonts w:ascii="Open Sans" w:eastAsia="Times New Roman" w:hAnsi="Open Sans" w:cs="Open Sans"/>
          <w:kern w:val="0"/>
          <w:sz w:val="22"/>
          <w:szCs w:val="22"/>
          <w:lang w:eastAsia="en-GB"/>
          <w14:ligatures w14:val="none"/>
        </w:rPr>
        <w:tab/>
      </w:r>
      <w:r>
        <w:rPr>
          <w:rFonts w:ascii="Open Sans" w:eastAsia="Times New Roman" w:hAnsi="Open Sans" w:cs="Open Sans"/>
          <w:kern w:val="0"/>
          <w:sz w:val="22"/>
          <w:szCs w:val="22"/>
          <w:lang w:eastAsia="en-GB"/>
          <w14:ligatures w14:val="none"/>
        </w:rPr>
        <w:tab/>
      </w:r>
      <w:r w:rsidRPr="0065485A">
        <w:rPr>
          <w:rFonts w:ascii="Open Sans" w:eastAsia="Times New Roman" w:hAnsi="Open Sans" w:cs="Open Sans"/>
          <w:kern w:val="0"/>
          <w:sz w:val="22"/>
          <w:szCs w:val="22"/>
          <w:lang w:eastAsia="en-GB"/>
          <w14:ligatures w14:val="none"/>
        </w:rPr>
        <w:t>UN Mission to Support the Hodeidah Agreement</w:t>
      </w:r>
    </w:p>
    <w:p w14:paraId="1E74D000" w14:textId="0E92D76C" w:rsidR="00404E69" w:rsidRPr="00742342" w:rsidRDefault="004417A2" w:rsidP="0074234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VNSA</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Violent non-state actor</w:t>
      </w:r>
    </w:p>
    <w:p w14:paraId="025C4BA6" w14:textId="77777777" w:rsidR="00404E69" w:rsidRPr="00742342" w:rsidRDefault="00404E69" w:rsidP="00742342">
      <w:pPr>
        <w:spacing w:line="276" w:lineRule="auto"/>
        <w:jc w:val="both"/>
        <w:rPr>
          <w:rFonts w:ascii="Open Sans" w:eastAsia="Times New Roman" w:hAnsi="Open Sans" w:cs="Open Sans"/>
          <w:kern w:val="0"/>
          <w:sz w:val="22"/>
          <w:szCs w:val="22"/>
          <w:lang w:eastAsia="en-GB"/>
          <w14:ligatures w14:val="none"/>
        </w:rPr>
      </w:pPr>
    </w:p>
    <w:p w14:paraId="29CEC2E6" w14:textId="77777777" w:rsidR="00404E69" w:rsidRPr="00742342" w:rsidRDefault="00404E69" w:rsidP="00742342">
      <w:pPr>
        <w:spacing w:line="276" w:lineRule="auto"/>
        <w:jc w:val="both"/>
        <w:rPr>
          <w:rFonts w:ascii="Open Sans" w:eastAsia="Times New Roman" w:hAnsi="Open Sans" w:cs="Open Sans"/>
          <w:kern w:val="0"/>
          <w:sz w:val="22"/>
          <w:szCs w:val="22"/>
          <w:lang w:eastAsia="en-GB"/>
          <w14:ligatures w14:val="none"/>
        </w:rPr>
      </w:pPr>
    </w:p>
    <w:p w14:paraId="7C17AFBF" w14:textId="77777777" w:rsidR="00404E69" w:rsidRPr="00744561" w:rsidRDefault="00404E69" w:rsidP="005E47A6">
      <w:pPr>
        <w:pStyle w:val="Heading2"/>
        <w:pBdr>
          <w:top w:val="single" w:sz="4" w:space="1" w:color="auto"/>
          <w:bottom w:val="single" w:sz="4" w:space="1" w:color="auto"/>
        </w:pBdr>
        <w:jc w:val="center"/>
        <w:rPr>
          <w:rFonts w:ascii="Open Sans" w:eastAsia="Times New Roman" w:hAnsi="Open Sans" w:cs="Open Sans"/>
          <w:color w:val="000000" w:themeColor="text1"/>
          <w:sz w:val="24"/>
          <w:szCs w:val="24"/>
          <w:lang w:eastAsia="en-GB"/>
        </w:rPr>
      </w:pPr>
      <w:bookmarkStart w:id="3" w:name="_Toc138247479"/>
      <w:r w:rsidRPr="00744561">
        <w:rPr>
          <w:rFonts w:ascii="Open Sans" w:eastAsia="Times New Roman" w:hAnsi="Open Sans" w:cs="Open Sans"/>
          <w:color w:val="000000" w:themeColor="text1"/>
          <w:sz w:val="24"/>
          <w:szCs w:val="24"/>
          <w:lang w:eastAsia="en-GB"/>
        </w:rPr>
        <w:t>List of figures and tables</w:t>
      </w:r>
      <w:bookmarkEnd w:id="3"/>
    </w:p>
    <w:p w14:paraId="33BE1A17" w14:textId="77777777" w:rsidR="00404E69" w:rsidRPr="00742342" w:rsidRDefault="00404E69" w:rsidP="00742342">
      <w:pPr>
        <w:spacing w:line="276" w:lineRule="auto"/>
        <w:jc w:val="both"/>
        <w:rPr>
          <w:rFonts w:ascii="Open Sans" w:eastAsia="Times New Roman" w:hAnsi="Open Sans" w:cs="Open Sans"/>
          <w:kern w:val="0"/>
          <w:sz w:val="22"/>
          <w:szCs w:val="22"/>
          <w:lang w:eastAsia="en-GB"/>
          <w14:ligatures w14:val="none"/>
        </w:rPr>
      </w:pPr>
    </w:p>
    <w:p w14:paraId="1EFBA6D2" w14:textId="289C4B4A" w:rsidR="00404E69" w:rsidRPr="00742342" w:rsidRDefault="00404E69" w:rsidP="0074234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Figure 1</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Varying levels of autonomy</w:t>
      </w:r>
      <w:r w:rsidR="00951A82" w:rsidRPr="00742342">
        <w:rPr>
          <w:rFonts w:ascii="Open Sans" w:eastAsia="Times New Roman" w:hAnsi="Open Sans" w:cs="Open Sans"/>
          <w:kern w:val="0"/>
          <w:sz w:val="22"/>
          <w:szCs w:val="22"/>
          <w:lang w:eastAsia="en-GB"/>
          <w14:ligatures w14:val="none"/>
        </w:rPr>
        <w:t>.</w:t>
      </w:r>
    </w:p>
    <w:p w14:paraId="373B7E30" w14:textId="0F012C81" w:rsidR="00404E69" w:rsidRPr="00742342" w:rsidRDefault="00404E69" w:rsidP="00742342">
      <w:pPr>
        <w:spacing w:line="276" w:lineRule="auto"/>
        <w:ind w:left="3600" w:hanging="3600"/>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Figure 2</w:t>
      </w:r>
      <w:r w:rsidRPr="00742342">
        <w:rPr>
          <w:rFonts w:ascii="Open Sans" w:eastAsia="Times New Roman" w:hAnsi="Open Sans" w:cs="Open Sans"/>
          <w:kern w:val="0"/>
          <w:sz w:val="22"/>
          <w:szCs w:val="22"/>
          <w:lang w:eastAsia="en-GB"/>
          <w14:ligatures w14:val="none"/>
        </w:rPr>
        <w:tab/>
      </w:r>
      <w:r w:rsidR="00951A82" w:rsidRPr="00742342">
        <w:rPr>
          <w:rFonts w:ascii="Open Sans" w:eastAsia="Times New Roman" w:hAnsi="Open Sans" w:cs="Open Sans"/>
          <w:kern w:val="0"/>
          <w:sz w:val="22"/>
          <w:szCs w:val="22"/>
          <w:lang w:eastAsia="en-GB"/>
          <w14:ligatures w14:val="none"/>
        </w:rPr>
        <w:t>C</w:t>
      </w:r>
      <w:r w:rsidRPr="00742342">
        <w:rPr>
          <w:rFonts w:ascii="Open Sans" w:eastAsia="Times New Roman" w:hAnsi="Open Sans" w:cs="Open Sans"/>
          <w:kern w:val="0"/>
          <w:sz w:val="22"/>
          <w:szCs w:val="22"/>
          <w:lang w:eastAsia="en-GB"/>
          <w14:ligatures w14:val="none"/>
        </w:rPr>
        <w:t>onceptual model representing factors influencing intergovernmental autonomy when engaging with violent non-state actors</w:t>
      </w:r>
      <w:r w:rsidR="00951A82" w:rsidRPr="00742342">
        <w:rPr>
          <w:rFonts w:ascii="Open Sans" w:eastAsia="Times New Roman" w:hAnsi="Open Sans" w:cs="Open Sans"/>
          <w:kern w:val="0"/>
          <w:sz w:val="22"/>
          <w:szCs w:val="22"/>
          <w:lang w:eastAsia="en-GB"/>
          <w14:ligatures w14:val="none"/>
        </w:rPr>
        <w:t>.</w:t>
      </w:r>
    </w:p>
    <w:p w14:paraId="0064BE40" w14:textId="3B150371" w:rsidR="00404E69" w:rsidRPr="00742342" w:rsidRDefault="00404E69" w:rsidP="0074234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Figure 3</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Guide to process tracing</w:t>
      </w:r>
      <w:r w:rsidR="00951A82" w:rsidRPr="00742342">
        <w:rPr>
          <w:rFonts w:ascii="Open Sans" w:eastAsia="Times New Roman" w:hAnsi="Open Sans" w:cs="Open Sans"/>
          <w:kern w:val="0"/>
          <w:sz w:val="22"/>
          <w:szCs w:val="22"/>
          <w:lang w:eastAsia="en-GB"/>
          <w14:ligatures w14:val="none"/>
        </w:rPr>
        <w:t>.</w:t>
      </w:r>
    </w:p>
    <w:p w14:paraId="33E34351" w14:textId="3031D0D5" w:rsidR="00404E69" w:rsidRPr="00742342" w:rsidRDefault="00404E69" w:rsidP="0074234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Table 1</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Operationalization of independent variables</w:t>
      </w:r>
      <w:r w:rsidR="00951A82" w:rsidRPr="00742342">
        <w:rPr>
          <w:rFonts w:ascii="Open Sans" w:eastAsia="Times New Roman" w:hAnsi="Open Sans" w:cs="Open Sans"/>
          <w:kern w:val="0"/>
          <w:sz w:val="22"/>
          <w:szCs w:val="22"/>
          <w:lang w:eastAsia="en-GB"/>
          <w14:ligatures w14:val="none"/>
        </w:rPr>
        <w:t>.</w:t>
      </w:r>
    </w:p>
    <w:p w14:paraId="309A3865" w14:textId="02253980" w:rsidR="00404E69" w:rsidRPr="00742342" w:rsidRDefault="00404E69" w:rsidP="0074234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Table 2</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Methods of measurement</w:t>
      </w:r>
      <w:r w:rsidR="00951A82" w:rsidRPr="00742342">
        <w:rPr>
          <w:rFonts w:ascii="Open Sans" w:eastAsia="Times New Roman" w:hAnsi="Open Sans" w:cs="Open Sans"/>
          <w:kern w:val="0"/>
          <w:sz w:val="22"/>
          <w:szCs w:val="22"/>
          <w:lang w:eastAsia="en-GB"/>
          <w14:ligatures w14:val="none"/>
        </w:rPr>
        <w:t>.</w:t>
      </w:r>
    </w:p>
    <w:p w14:paraId="65C8F21B" w14:textId="2EE5403F" w:rsidR="00404E69" w:rsidRPr="00742342" w:rsidRDefault="00404E69" w:rsidP="0074234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 xml:space="preserve">Table </w:t>
      </w:r>
      <w:r w:rsidR="00C52CCC">
        <w:rPr>
          <w:rFonts w:ascii="Open Sans" w:eastAsia="Times New Roman" w:hAnsi="Open Sans" w:cs="Open Sans"/>
          <w:kern w:val="0"/>
          <w:sz w:val="22"/>
          <w:szCs w:val="22"/>
          <w:lang w:eastAsia="en-GB"/>
          <w14:ligatures w14:val="none"/>
        </w:rPr>
        <w:t>3</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Item scores prior to the 2022 truce</w:t>
      </w:r>
      <w:r w:rsidR="00951A82" w:rsidRPr="00742342">
        <w:rPr>
          <w:rFonts w:ascii="Open Sans" w:eastAsia="Times New Roman" w:hAnsi="Open Sans" w:cs="Open Sans"/>
          <w:kern w:val="0"/>
          <w:sz w:val="22"/>
          <w:szCs w:val="22"/>
          <w:lang w:eastAsia="en-GB"/>
          <w14:ligatures w14:val="none"/>
        </w:rPr>
        <w:t>.</w:t>
      </w:r>
    </w:p>
    <w:p w14:paraId="68FCE081" w14:textId="0FB6FEB3" w:rsidR="00404E69" w:rsidRPr="00742342" w:rsidRDefault="00404E69" w:rsidP="00742342">
      <w:pPr>
        <w:spacing w:line="276" w:lineRule="auto"/>
        <w:jc w:val="both"/>
        <w:rPr>
          <w:rFonts w:ascii="Open Sans" w:eastAsia="Times New Roman" w:hAnsi="Open Sans" w:cs="Open Sans"/>
          <w:kern w:val="0"/>
          <w:sz w:val="22"/>
          <w:szCs w:val="22"/>
          <w:lang w:eastAsia="en-GB"/>
          <w14:ligatures w14:val="none"/>
        </w:rPr>
      </w:pPr>
      <w:r w:rsidRPr="00742342">
        <w:rPr>
          <w:rFonts w:ascii="Open Sans" w:eastAsia="Times New Roman" w:hAnsi="Open Sans" w:cs="Open Sans"/>
          <w:kern w:val="0"/>
          <w:sz w:val="22"/>
          <w:szCs w:val="22"/>
          <w:lang w:eastAsia="en-GB"/>
          <w14:ligatures w14:val="none"/>
        </w:rPr>
        <w:t xml:space="preserve">Table </w:t>
      </w:r>
      <w:r w:rsidR="00C52CCC">
        <w:rPr>
          <w:rFonts w:ascii="Open Sans" w:eastAsia="Times New Roman" w:hAnsi="Open Sans" w:cs="Open Sans"/>
          <w:kern w:val="0"/>
          <w:sz w:val="22"/>
          <w:szCs w:val="22"/>
          <w:lang w:eastAsia="en-GB"/>
          <w14:ligatures w14:val="none"/>
        </w:rPr>
        <w:t>4</w:t>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r>
      <w:r w:rsidRPr="00742342">
        <w:rPr>
          <w:rFonts w:ascii="Open Sans" w:eastAsia="Times New Roman" w:hAnsi="Open Sans" w:cs="Open Sans"/>
          <w:kern w:val="0"/>
          <w:sz w:val="22"/>
          <w:szCs w:val="22"/>
          <w:lang w:eastAsia="en-GB"/>
          <w14:ligatures w14:val="none"/>
        </w:rPr>
        <w:tab/>
        <w:t>Item scores during the 2022 truce</w:t>
      </w:r>
      <w:r w:rsidR="00951A82" w:rsidRPr="00742342">
        <w:rPr>
          <w:rFonts w:ascii="Open Sans" w:eastAsia="Times New Roman" w:hAnsi="Open Sans" w:cs="Open Sans"/>
          <w:kern w:val="0"/>
          <w:sz w:val="22"/>
          <w:szCs w:val="22"/>
          <w:lang w:eastAsia="en-GB"/>
          <w14:ligatures w14:val="none"/>
        </w:rPr>
        <w:t>.</w:t>
      </w:r>
    </w:p>
    <w:p w14:paraId="483DA7E1" w14:textId="77777777" w:rsidR="00404E69" w:rsidRPr="00742342" w:rsidRDefault="00404E69" w:rsidP="00404E69">
      <w:pPr>
        <w:spacing w:line="276" w:lineRule="auto"/>
        <w:rPr>
          <w:rFonts w:ascii="Open Sans" w:eastAsia="Times New Roman" w:hAnsi="Open Sans" w:cs="Open Sans"/>
          <w:kern w:val="0"/>
          <w:sz w:val="22"/>
          <w:szCs w:val="22"/>
          <w:lang w:eastAsia="en-GB"/>
          <w14:ligatures w14:val="none"/>
        </w:rPr>
      </w:pPr>
    </w:p>
    <w:p w14:paraId="005E359D" w14:textId="77777777" w:rsidR="00404E69" w:rsidRPr="00742342" w:rsidRDefault="00404E69" w:rsidP="00404E69">
      <w:pPr>
        <w:spacing w:line="276" w:lineRule="auto"/>
        <w:rPr>
          <w:rFonts w:ascii="Open Sans" w:eastAsia="Times New Roman" w:hAnsi="Open Sans" w:cs="Open Sans"/>
          <w:kern w:val="0"/>
          <w:sz w:val="22"/>
          <w:szCs w:val="22"/>
          <w:lang w:eastAsia="en-GB"/>
          <w14:ligatures w14:val="none"/>
        </w:rPr>
      </w:pPr>
    </w:p>
    <w:p w14:paraId="393B7777" w14:textId="77777777" w:rsidR="00404E69" w:rsidRPr="00742342" w:rsidRDefault="00404E69" w:rsidP="00404E69">
      <w:pPr>
        <w:spacing w:line="276" w:lineRule="auto"/>
        <w:rPr>
          <w:rFonts w:ascii="Open Sans" w:eastAsia="Times New Roman" w:hAnsi="Open Sans" w:cs="Open Sans"/>
          <w:kern w:val="0"/>
          <w:sz w:val="22"/>
          <w:szCs w:val="22"/>
          <w:lang w:eastAsia="en-GB"/>
          <w14:ligatures w14:val="none"/>
        </w:rPr>
      </w:pPr>
    </w:p>
    <w:p w14:paraId="3962E93F" w14:textId="77777777" w:rsidR="00404E69" w:rsidRPr="00742342" w:rsidRDefault="00404E69" w:rsidP="00404E69">
      <w:pPr>
        <w:spacing w:line="276" w:lineRule="auto"/>
        <w:rPr>
          <w:rFonts w:ascii="Open Sans" w:eastAsia="Times New Roman" w:hAnsi="Open Sans" w:cs="Open Sans"/>
          <w:kern w:val="0"/>
          <w:sz w:val="22"/>
          <w:szCs w:val="22"/>
          <w:lang w:eastAsia="en-GB"/>
          <w14:ligatures w14:val="none"/>
        </w:rPr>
      </w:pPr>
    </w:p>
    <w:p w14:paraId="229AF606" w14:textId="77777777" w:rsidR="00404E69" w:rsidRPr="00742342" w:rsidRDefault="00404E69" w:rsidP="00404E69">
      <w:pPr>
        <w:spacing w:line="276" w:lineRule="auto"/>
        <w:rPr>
          <w:rFonts w:ascii="Open Sans" w:eastAsia="Times New Roman" w:hAnsi="Open Sans" w:cs="Open Sans"/>
          <w:kern w:val="0"/>
          <w:sz w:val="22"/>
          <w:szCs w:val="22"/>
          <w:lang w:eastAsia="en-GB"/>
          <w14:ligatures w14:val="none"/>
        </w:rPr>
      </w:pPr>
    </w:p>
    <w:p w14:paraId="603F6750" w14:textId="429BE3A2" w:rsidR="00140287" w:rsidRPr="00742342" w:rsidRDefault="00140287">
      <w:pPr>
        <w:rPr>
          <w:rFonts w:ascii="Open Sans" w:eastAsiaTheme="majorEastAsia" w:hAnsi="Open Sans" w:cs="Open Sans"/>
          <w:color w:val="000000" w:themeColor="text1"/>
          <w:sz w:val="28"/>
          <w:szCs w:val="28"/>
        </w:rPr>
      </w:pPr>
      <w:r w:rsidRPr="00742342">
        <w:rPr>
          <w:rFonts w:ascii="Open Sans" w:hAnsi="Open Sans" w:cs="Open Sans"/>
          <w:color w:val="000000" w:themeColor="text1"/>
          <w:sz w:val="28"/>
          <w:szCs w:val="28"/>
        </w:rPr>
        <w:br w:type="page"/>
      </w:r>
    </w:p>
    <w:p w14:paraId="6F76A1F0" w14:textId="77777777" w:rsidR="006751C0" w:rsidRPr="00742342" w:rsidRDefault="006751C0">
      <w:pPr>
        <w:rPr>
          <w:rFonts w:ascii="Open Sans" w:eastAsiaTheme="majorEastAsia" w:hAnsi="Open Sans" w:cs="Open Sans"/>
          <w:color w:val="000000" w:themeColor="text1"/>
          <w:sz w:val="28"/>
          <w:szCs w:val="28"/>
        </w:rPr>
      </w:pPr>
      <w:r w:rsidRPr="00742342">
        <w:rPr>
          <w:rFonts w:ascii="Open Sans" w:hAnsi="Open Sans" w:cs="Open Sans"/>
          <w:color w:val="000000" w:themeColor="text1"/>
          <w:sz w:val="28"/>
          <w:szCs w:val="28"/>
        </w:rPr>
        <w:lastRenderedPageBreak/>
        <w:br w:type="page"/>
      </w:r>
    </w:p>
    <w:p w14:paraId="5810F294" w14:textId="0831898D" w:rsidR="00420347" w:rsidRPr="00742342" w:rsidRDefault="0088523B" w:rsidP="00AC21C6">
      <w:pPr>
        <w:pStyle w:val="Heading1"/>
        <w:numPr>
          <w:ilvl w:val="0"/>
          <w:numId w:val="1"/>
        </w:numPr>
        <w:spacing w:line="276" w:lineRule="auto"/>
        <w:rPr>
          <w:rFonts w:ascii="Open Sans" w:hAnsi="Open Sans" w:cs="Open Sans"/>
          <w:color w:val="000000" w:themeColor="text1"/>
          <w:sz w:val="28"/>
          <w:szCs w:val="28"/>
        </w:rPr>
      </w:pPr>
      <w:bookmarkStart w:id="4" w:name="_Toc138247480"/>
      <w:r w:rsidRPr="00742342">
        <w:rPr>
          <w:rFonts w:ascii="Open Sans" w:hAnsi="Open Sans" w:cs="Open Sans"/>
          <w:color w:val="000000" w:themeColor="text1"/>
          <w:sz w:val="28"/>
          <w:szCs w:val="28"/>
        </w:rPr>
        <w:lastRenderedPageBreak/>
        <w:t>Introduction</w:t>
      </w:r>
      <w:bookmarkEnd w:id="0"/>
      <w:bookmarkEnd w:id="1"/>
      <w:bookmarkEnd w:id="4"/>
    </w:p>
    <w:p w14:paraId="2E98E8C1" w14:textId="7132524D" w:rsidR="00600128" w:rsidRPr="00742342" w:rsidRDefault="00A532FC" w:rsidP="00AC21C6">
      <w:pPr>
        <w:spacing w:line="276" w:lineRule="auto"/>
        <w:rPr>
          <w:rFonts w:ascii="Open Sans" w:hAnsi="Open Sans" w:cs="Open Sans"/>
          <w:color w:val="000000" w:themeColor="text1"/>
        </w:rPr>
      </w:pPr>
      <w:r w:rsidRPr="00742342">
        <w:rPr>
          <w:rFonts w:ascii="Open Sans" w:hAnsi="Open Sans" w:cs="Open Sans"/>
          <w:color w:val="000000" w:themeColor="text1"/>
        </w:rPr>
        <w:t xml:space="preserve"> </w:t>
      </w:r>
    </w:p>
    <w:p w14:paraId="05A3E4FB" w14:textId="4904195D" w:rsidR="00600128" w:rsidRPr="00742342" w:rsidRDefault="00600128"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Republic of Yemen is suffering from the largest humanitarian crisis in the world (United Nations Population Fund, 2023)</w:t>
      </w:r>
      <w:r w:rsidR="007639B7">
        <w:rPr>
          <w:rFonts w:ascii="Open Sans" w:hAnsi="Open Sans" w:cs="Open Sans"/>
          <w:color w:val="000000" w:themeColor="text1"/>
          <w:sz w:val="22"/>
          <w:szCs w:val="22"/>
        </w:rPr>
        <w:t>, where o</w:t>
      </w:r>
      <w:r w:rsidRPr="00742342">
        <w:rPr>
          <w:rFonts w:ascii="Open Sans" w:hAnsi="Open Sans" w:cs="Open Sans"/>
          <w:color w:val="000000" w:themeColor="text1"/>
          <w:sz w:val="22"/>
          <w:szCs w:val="22"/>
        </w:rPr>
        <w:t xml:space="preserve">ver 80% of Yemeni citizens are depending on foreign humanitarian aid (United Nations Yemen &amp; Office of the Special Envoy of the Secretary-General for Yemen., n.d.; World Food Programme, 2023). The situation is critical, and many </w:t>
      </w:r>
      <w:r w:rsidR="00767C6F">
        <w:rPr>
          <w:rFonts w:ascii="Open Sans" w:hAnsi="Open Sans" w:cs="Open Sans"/>
          <w:color w:val="000000" w:themeColor="text1"/>
          <w:sz w:val="22"/>
          <w:szCs w:val="22"/>
        </w:rPr>
        <w:t xml:space="preserve">domestic and international </w:t>
      </w:r>
      <w:r w:rsidRPr="00742342">
        <w:rPr>
          <w:rFonts w:ascii="Open Sans" w:hAnsi="Open Sans" w:cs="Open Sans"/>
          <w:color w:val="000000" w:themeColor="text1"/>
          <w:sz w:val="22"/>
          <w:szCs w:val="22"/>
        </w:rPr>
        <w:t>actors have called for an urgent solution to prevent further escalation</w:t>
      </w:r>
      <w:r w:rsidRPr="00742342">
        <w:rPr>
          <w:rStyle w:val="FootnoteReference"/>
          <w:rFonts w:ascii="Open Sans" w:hAnsi="Open Sans" w:cs="Open Sans"/>
          <w:color w:val="000000" w:themeColor="text1"/>
          <w:sz w:val="22"/>
          <w:szCs w:val="22"/>
        </w:rPr>
        <w:footnoteReference w:id="2"/>
      </w:r>
      <w:r w:rsidRPr="00742342">
        <w:rPr>
          <w:rFonts w:ascii="Open Sans" w:hAnsi="Open Sans" w:cs="Open Sans"/>
          <w:color w:val="000000" w:themeColor="text1"/>
          <w:sz w:val="22"/>
          <w:szCs w:val="22"/>
        </w:rPr>
        <w:t xml:space="preserve">. However, due to the nature of the ongoing hostilities in the area, the </w:t>
      </w:r>
      <w:r w:rsidR="008961F2">
        <w:rPr>
          <w:rFonts w:ascii="Open Sans" w:hAnsi="Open Sans" w:cs="Open Sans"/>
          <w:color w:val="000000" w:themeColor="text1"/>
          <w:sz w:val="22"/>
          <w:szCs w:val="22"/>
        </w:rPr>
        <w:t>Yemeni population</w:t>
      </w:r>
      <w:r w:rsidRPr="00742342">
        <w:rPr>
          <w:rFonts w:ascii="Open Sans" w:hAnsi="Open Sans" w:cs="Open Sans"/>
          <w:color w:val="000000" w:themeColor="text1"/>
          <w:sz w:val="22"/>
          <w:szCs w:val="22"/>
        </w:rPr>
        <w:t xml:space="preserve"> is trapped in a violent conflict between the </w:t>
      </w:r>
      <w:proofErr w:type="spellStart"/>
      <w:r w:rsidR="008477CF">
        <w:rPr>
          <w:rFonts w:ascii="Open Sans" w:hAnsi="Open Sans" w:cs="Open Sans"/>
          <w:color w:val="000000" w:themeColor="text1"/>
          <w:sz w:val="22"/>
          <w:szCs w:val="22"/>
        </w:rPr>
        <w:t>deposted</w:t>
      </w:r>
      <w:proofErr w:type="spellEnd"/>
      <w:r w:rsidRPr="00742342">
        <w:rPr>
          <w:rFonts w:ascii="Open Sans" w:hAnsi="Open Sans" w:cs="Open Sans"/>
          <w:color w:val="000000" w:themeColor="text1"/>
          <w:sz w:val="22"/>
          <w:szCs w:val="22"/>
        </w:rPr>
        <w:t xml:space="preserve"> government and violent rebel forces, fighting over the right to govern the Yemeni state. This leaves nearly 25 million Yemenis dependent on foreign aid, including food and clean drinking water, medicines, and other basic needs (Alterman &amp; Center for Strategic &amp; International Studies, 2022; Buys &amp; Garwood-Gowers, 2018). </w:t>
      </w:r>
    </w:p>
    <w:p w14:paraId="7B941C44" w14:textId="77777777" w:rsidR="00600128" w:rsidRPr="00742342" w:rsidRDefault="00600128" w:rsidP="00AC21C6">
      <w:pPr>
        <w:spacing w:line="276" w:lineRule="auto"/>
        <w:jc w:val="both"/>
        <w:rPr>
          <w:rFonts w:ascii="Open Sans" w:hAnsi="Open Sans" w:cs="Open Sans"/>
          <w:b/>
          <w:bCs/>
          <w:color w:val="000000" w:themeColor="text1"/>
          <w:sz w:val="22"/>
          <w:szCs w:val="22"/>
        </w:rPr>
      </w:pPr>
    </w:p>
    <w:p w14:paraId="7C0D478C" w14:textId="640C46EB" w:rsidR="00600128" w:rsidRPr="00742342" w:rsidRDefault="00600128" w:rsidP="003E2BDE">
      <w:pPr>
        <w:pStyle w:val="Heading2"/>
        <w:numPr>
          <w:ilvl w:val="1"/>
          <w:numId w:val="6"/>
        </w:numPr>
        <w:spacing w:line="276" w:lineRule="auto"/>
        <w:rPr>
          <w:rFonts w:ascii="Open Sans" w:hAnsi="Open Sans" w:cs="Open Sans"/>
          <w:color w:val="000000" w:themeColor="text1"/>
          <w:sz w:val="24"/>
          <w:szCs w:val="24"/>
        </w:rPr>
      </w:pPr>
      <w:bookmarkStart w:id="5" w:name="_Toc136372374"/>
      <w:bookmarkStart w:id="6" w:name="_Toc136706573"/>
      <w:bookmarkStart w:id="7" w:name="_Toc138247481"/>
      <w:r w:rsidRPr="00742342">
        <w:rPr>
          <w:rFonts w:ascii="Open Sans" w:hAnsi="Open Sans" w:cs="Open Sans"/>
          <w:color w:val="000000" w:themeColor="text1"/>
          <w:sz w:val="24"/>
          <w:szCs w:val="24"/>
        </w:rPr>
        <w:t>Context</w:t>
      </w:r>
      <w:bookmarkEnd w:id="5"/>
      <w:bookmarkEnd w:id="6"/>
      <w:bookmarkEnd w:id="7"/>
    </w:p>
    <w:p w14:paraId="247EC6F6" w14:textId="33C32291" w:rsidR="00600128" w:rsidRPr="00742342" w:rsidRDefault="00600128"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conflict in Yemen escalated when the politically </w:t>
      </w:r>
      <w:r w:rsidR="00AC482D" w:rsidRPr="00742342">
        <w:rPr>
          <w:rFonts w:ascii="Open Sans" w:hAnsi="Open Sans" w:cs="Open Sans"/>
          <w:color w:val="000000" w:themeColor="text1"/>
          <w:sz w:val="22"/>
          <w:szCs w:val="22"/>
        </w:rPr>
        <w:t>volatile</w:t>
      </w:r>
      <w:r w:rsidRPr="00742342">
        <w:rPr>
          <w:rFonts w:ascii="Open Sans" w:hAnsi="Open Sans" w:cs="Open Sans"/>
          <w:color w:val="000000" w:themeColor="text1"/>
          <w:sz w:val="22"/>
          <w:szCs w:val="22"/>
        </w:rPr>
        <w:t xml:space="preserve"> situation turned into a full-scale civil war between the internationally recognized Yemeni government</w:t>
      </w:r>
      <w:r w:rsidR="00F80720">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 and a </w:t>
      </w:r>
      <w:r w:rsidR="008F3810">
        <w:rPr>
          <w:rFonts w:ascii="Open Sans" w:hAnsi="Open Sans" w:cs="Open Sans"/>
          <w:color w:val="000000" w:themeColor="text1"/>
          <w:sz w:val="22"/>
          <w:szCs w:val="22"/>
        </w:rPr>
        <w:t>non-state group</w:t>
      </w:r>
      <w:r w:rsidRPr="00742342">
        <w:rPr>
          <w:rFonts w:ascii="Open Sans" w:hAnsi="Open Sans" w:cs="Open Sans"/>
          <w:color w:val="000000" w:themeColor="text1"/>
          <w:sz w:val="22"/>
          <w:szCs w:val="22"/>
        </w:rPr>
        <w:t xml:space="preserve"> known as the Houthi movement (Council on Foreign Relations, 2022). The internationally recognized government of Yemen, with support of a coalition of neighboring states led by Saudi Arabia, is </w:t>
      </w:r>
      <w:r w:rsidR="00145570">
        <w:rPr>
          <w:rFonts w:ascii="Open Sans" w:hAnsi="Open Sans" w:cs="Open Sans"/>
          <w:color w:val="000000" w:themeColor="text1"/>
          <w:sz w:val="22"/>
          <w:szCs w:val="22"/>
        </w:rPr>
        <w:t xml:space="preserve">currently </w:t>
      </w:r>
      <w:r w:rsidRPr="00742342">
        <w:rPr>
          <w:rFonts w:ascii="Open Sans" w:hAnsi="Open Sans" w:cs="Open Sans"/>
          <w:color w:val="000000" w:themeColor="text1"/>
          <w:sz w:val="22"/>
          <w:szCs w:val="22"/>
        </w:rPr>
        <w:t>at war with the Houthi’s. The Houthi’s challenge the</w:t>
      </w:r>
      <w:r w:rsidR="00145570">
        <w:rPr>
          <w:rFonts w:ascii="Open Sans" w:hAnsi="Open Sans" w:cs="Open Sans"/>
          <w:color w:val="000000" w:themeColor="text1"/>
          <w:sz w:val="22"/>
          <w:szCs w:val="22"/>
        </w:rPr>
        <w:t xml:space="preserve"> authority of the</w:t>
      </w:r>
      <w:r w:rsidRPr="00742342">
        <w:rPr>
          <w:rFonts w:ascii="Open Sans" w:hAnsi="Open Sans" w:cs="Open Sans"/>
          <w:color w:val="000000" w:themeColor="text1"/>
          <w:sz w:val="22"/>
          <w:szCs w:val="22"/>
        </w:rPr>
        <w:t xml:space="preserve"> Yemeni government and oppose their rule (Council on Foreign Relations, 2022). </w:t>
      </w:r>
      <w:r w:rsidR="009A66CC" w:rsidRPr="009A66CC">
        <w:rPr>
          <w:rFonts w:ascii="Open Sans" w:hAnsi="Open Sans" w:cs="Open Sans"/>
          <w:color w:val="000000" w:themeColor="text1"/>
          <w:sz w:val="22"/>
          <w:szCs w:val="22"/>
        </w:rPr>
        <w:t>The Houthi movement has persistently engaged in violent opposition against the Yemeni government since 2004</w:t>
      </w:r>
      <w:r w:rsidRPr="00742342">
        <w:rPr>
          <w:rFonts w:ascii="Open Sans" w:hAnsi="Open Sans" w:cs="Open Sans"/>
          <w:color w:val="000000" w:themeColor="text1"/>
          <w:sz w:val="22"/>
          <w:szCs w:val="22"/>
        </w:rPr>
        <w:t xml:space="preserve">. The violent Houthi’ takeover of Yemen’s capital Sana’a resulted in an active, armed conflict which has taken the lives of </w:t>
      </w:r>
      <w:r w:rsidR="00F93A94">
        <w:rPr>
          <w:rFonts w:ascii="Open Sans" w:hAnsi="Open Sans" w:cs="Open Sans"/>
          <w:color w:val="000000" w:themeColor="text1"/>
          <w:sz w:val="22"/>
          <w:szCs w:val="22"/>
        </w:rPr>
        <w:t xml:space="preserve">over </w:t>
      </w:r>
      <w:r w:rsidRPr="00742342">
        <w:rPr>
          <w:rFonts w:ascii="Open Sans" w:hAnsi="Open Sans" w:cs="Open Sans"/>
          <w:color w:val="000000" w:themeColor="text1"/>
          <w:sz w:val="22"/>
          <w:szCs w:val="22"/>
        </w:rPr>
        <w:t xml:space="preserve">150.000 people directly, and many more in the resulting humanitarian crisis which </w:t>
      </w:r>
      <w:r w:rsidR="00382AE8">
        <w:rPr>
          <w:rFonts w:ascii="Open Sans" w:hAnsi="Open Sans" w:cs="Open Sans"/>
          <w:color w:val="000000" w:themeColor="text1"/>
          <w:sz w:val="22"/>
          <w:szCs w:val="22"/>
        </w:rPr>
        <w:t>has been plaguing</w:t>
      </w:r>
      <w:r w:rsidRPr="00742342">
        <w:rPr>
          <w:rFonts w:ascii="Open Sans" w:hAnsi="Open Sans" w:cs="Open Sans"/>
          <w:color w:val="000000" w:themeColor="text1"/>
          <w:sz w:val="22"/>
          <w:szCs w:val="22"/>
        </w:rPr>
        <w:t xml:space="preserve"> Yemen for over 8 years (Council on Foreign Relations, 2022; Hill, 2017; United Nations Yemen &amp; Office of the Special Envoy of the Secretary-General for Yemen., n.d.; Wilson Center, 2022). As of early 2023, the Houthi’s govern an estimated 80 percent of the Yemeni population, making them one of the largest actors </w:t>
      </w:r>
      <w:r w:rsidR="00382AE8">
        <w:rPr>
          <w:rFonts w:ascii="Open Sans" w:hAnsi="Open Sans" w:cs="Open Sans"/>
          <w:color w:val="000000" w:themeColor="text1"/>
          <w:sz w:val="22"/>
          <w:szCs w:val="22"/>
        </w:rPr>
        <w:t>concerned with Yemeni governance, albeit unrecognized</w:t>
      </w:r>
      <w:r w:rsidR="00EB610A">
        <w:rPr>
          <w:rFonts w:ascii="Open Sans" w:hAnsi="Open Sans" w:cs="Open Sans"/>
          <w:color w:val="000000" w:themeColor="text1"/>
          <w:sz w:val="22"/>
          <w:szCs w:val="22"/>
        </w:rPr>
        <w:t xml:space="preserve"> by the global community</w:t>
      </w:r>
      <w:r w:rsidR="00382AE8">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 (Alterman &amp; Center for Strategic &amp; International Studies, 2022; Wilson Center, 2022).</w:t>
      </w:r>
    </w:p>
    <w:p w14:paraId="2EA3A402" w14:textId="77777777" w:rsidR="00600128" w:rsidRPr="00742342" w:rsidRDefault="00600128" w:rsidP="00AC21C6">
      <w:pPr>
        <w:spacing w:line="276" w:lineRule="auto"/>
        <w:jc w:val="both"/>
        <w:rPr>
          <w:rFonts w:ascii="Open Sans" w:hAnsi="Open Sans" w:cs="Open Sans"/>
          <w:color w:val="000000" w:themeColor="text1"/>
          <w:sz w:val="22"/>
          <w:szCs w:val="22"/>
        </w:rPr>
      </w:pPr>
    </w:p>
    <w:p w14:paraId="56D7B5FE" w14:textId="2283C89F" w:rsidR="00600128" w:rsidRPr="00742342" w:rsidRDefault="00600128"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Houthi</w:t>
      </w:r>
      <w:r w:rsidR="00B0099B">
        <w:rPr>
          <w:rFonts w:ascii="Open Sans" w:hAnsi="Open Sans" w:cs="Open Sans"/>
          <w:color w:val="000000" w:themeColor="text1"/>
          <w:sz w:val="22"/>
          <w:szCs w:val="22"/>
        </w:rPr>
        <w:t xml:space="preserve">’s </w:t>
      </w:r>
      <w:r w:rsidRPr="00742342">
        <w:rPr>
          <w:rFonts w:ascii="Open Sans" w:hAnsi="Open Sans" w:cs="Open Sans"/>
          <w:color w:val="000000" w:themeColor="text1"/>
          <w:sz w:val="22"/>
          <w:szCs w:val="22"/>
        </w:rPr>
        <w:t xml:space="preserve">are a politically motivated movement, primarily consisting of Zaidi Shi’a Muslims, that seeks to overthrow the Yemeni government and promote their religious ideology (Batati, 2015; Johnston et al., 2020). The movement can be characterized as a </w:t>
      </w:r>
      <w:r w:rsidRPr="00742342">
        <w:rPr>
          <w:rFonts w:ascii="Open Sans" w:hAnsi="Open Sans" w:cs="Open Sans"/>
          <w:color w:val="000000" w:themeColor="text1"/>
          <w:sz w:val="22"/>
          <w:szCs w:val="22"/>
        </w:rPr>
        <w:lastRenderedPageBreak/>
        <w:t>violent non-state actor (</w:t>
      </w:r>
      <w:proofErr w:type="spellStart"/>
      <w:r w:rsidRPr="00742342">
        <w:rPr>
          <w:rFonts w:ascii="Open Sans" w:hAnsi="Open Sans" w:cs="Open Sans"/>
          <w:color w:val="000000" w:themeColor="text1"/>
          <w:sz w:val="22"/>
          <w:szCs w:val="22"/>
        </w:rPr>
        <w:t>Aydinli</w:t>
      </w:r>
      <w:proofErr w:type="spellEnd"/>
      <w:r w:rsidRPr="00742342">
        <w:rPr>
          <w:rFonts w:ascii="Open Sans" w:hAnsi="Open Sans" w:cs="Open Sans"/>
          <w:color w:val="000000" w:themeColor="text1"/>
          <w:sz w:val="22"/>
          <w:szCs w:val="22"/>
        </w:rPr>
        <w:t xml:space="preserve">, 2016; </w:t>
      </w:r>
      <w:proofErr w:type="spellStart"/>
      <w:r w:rsidRPr="00742342">
        <w:rPr>
          <w:rFonts w:ascii="Open Sans" w:hAnsi="Open Sans" w:cs="Open Sans"/>
          <w:color w:val="000000" w:themeColor="text1"/>
          <w:sz w:val="22"/>
          <w:szCs w:val="22"/>
        </w:rPr>
        <w:t>Durac</w:t>
      </w:r>
      <w:proofErr w:type="spellEnd"/>
      <w:r w:rsidRPr="00742342">
        <w:rPr>
          <w:rFonts w:ascii="Open Sans" w:hAnsi="Open Sans" w:cs="Open Sans"/>
          <w:color w:val="000000" w:themeColor="text1"/>
          <w:sz w:val="22"/>
          <w:szCs w:val="22"/>
        </w:rPr>
        <w:t xml:space="preserve">, 2015). A violent non-state actor (VNSA) is a group or organization that uses force, coercion, or violence for political, ideological, or criminal </w:t>
      </w:r>
      <w:r w:rsidR="002F290C" w:rsidRPr="00742342">
        <w:rPr>
          <w:rFonts w:ascii="Open Sans" w:hAnsi="Open Sans" w:cs="Open Sans"/>
          <w:color w:val="000000" w:themeColor="text1"/>
          <w:sz w:val="22"/>
          <w:szCs w:val="22"/>
        </w:rPr>
        <w:t>motives</w:t>
      </w:r>
      <w:r w:rsidRPr="00742342">
        <w:rPr>
          <w:rFonts w:ascii="Open Sans" w:hAnsi="Open Sans" w:cs="Open Sans"/>
          <w:color w:val="000000" w:themeColor="text1"/>
          <w:sz w:val="22"/>
          <w:szCs w:val="22"/>
        </w:rPr>
        <w:t>, but is not associated with any recognized government (Aydinli, 2016). Sovereign</w:t>
      </w:r>
      <w:r w:rsidR="002F290C">
        <w:rPr>
          <w:rFonts w:ascii="Open Sans" w:hAnsi="Open Sans" w:cs="Open Sans"/>
          <w:color w:val="000000" w:themeColor="text1"/>
          <w:sz w:val="22"/>
          <w:szCs w:val="22"/>
        </w:rPr>
        <w:t xml:space="preserve"> domestic</w:t>
      </w:r>
      <w:r w:rsidRPr="00742342">
        <w:rPr>
          <w:rFonts w:ascii="Open Sans" w:hAnsi="Open Sans" w:cs="Open Sans"/>
          <w:color w:val="000000" w:themeColor="text1"/>
          <w:sz w:val="22"/>
          <w:szCs w:val="22"/>
        </w:rPr>
        <w:t xml:space="preserve"> authorities and international organizations experience </w:t>
      </w:r>
      <w:r w:rsidR="002F290C" w:rsidRPr="00742342">
        <w:rPr>
          <w:rFonts w:ascii="Open Sans" w:hAnsi="Open Sans" w:cs="Open Sans"/>
          <w:color w:val="000000" w:themeColor="text1"/>
          <w:sz w:val="22"/>
          <w:szCs w:val="22"/>
        </w:rPr>
        <w:t>difficulties</w:t>
      </w:r>
      <w:r w:rsidRPr="00742342">
        <w:rPr>
          <w:rFonts w:ascii="Open Sans" w:hAnsi="Open Sans" w:cs="Open Sans"/>
          <w:color w:val="000000" w:themeColor="text1"/>
          <w:sz w:val="22"/>
          <w:szCs w:val="22"/>
        </w:rPr>
        <w:t xml:space="preserve"> </w:t>
      </w:r>
      <w:r w:rsidR="004142A4">
        <w:rPr>
          <w:rFonts w:ascii="Open Sans" w:hAnsi="Open Sans" w:cs="Open Sans"/>
          <w:color w:val="000000" w:themeColor="text1"/>
          <w:sz w:val="22"/>
          <w:szCs w:val="22"/>
        </w:rPr>
        <w:t>in</w:t>
      </w:r>
      <w:r w:rsidRPr="00742342">
        <w:rPr>
          <w:rFonts w:ascii="Open Sans" w:hAnsi="Open Sans" w:cs="Open Sans"/>
          <w:color w:val="000000" w:themeColor="text1"/>
          <w:sz w:val="22"/>
          <w:szCs w:val="22"/>
        </w:rPr>
        <w:t xml:space="preserve"> dealing with violent non-state actors, as they do not conform to formal state structures and operate through means of violence and terrorism (Ibid, 2016). Violent non-state actors play a prominent, often destabilizing role in nearly every humanitarian and political crisis</w:t>
      </w:r>
      <w:r w:rsidR="004142A4">
        <w:rPr>
          <w:rFonts w:ascii="Open Sans" w:hAnsi="Open Sans" w:cs="Open Sans"/>
          <w:color w:val="000000" w:themeColor="text1"/>
          <w:sz w:val="22"/>
          <w:szCs w:val="22"/>
        </w:rPr>
        <w:t>, as well as in other intra-</w:t>
      </w:r>
      <w:r w:rsidR="00DB6BDB">
        <w:rPr>
          <w:rFonts w:ascii="Open Sans" w:hAnsi="Open Sans" w:cs="Open Sans"/>
          <w:color w:val="000000" w:themeColor="text1"/>
          <w:sz w:val="22"/>
          <w:szCs w:val="22"/>
        </w:rPr>
        <w:t xml:space="preserve"> and interstate conflicts. </w:t>
      </w:r>
      <w:r w:rsidRPr="00742342">
        <w:rPr>
          <w:rFonts w:ascii="Open Sans" w:hAnsi="Open Sans" w:cs="Open Sans"/>
          <w:color w:val="000000" w:themeColor="text1"/>
          <w:sz w:val="22"/>
          <w:szCs w:val="22"/>
        </w:rPr>
        <w:t>(</w:t>
      </w:r>
      <w:r w:rsidR="00DB6BDB" w:rsidRPr="00742342">
        <w:rPr>
          <w:rFonts w:ascii="Open Sans" w:hAnsi="Open Sans" w:cs="Open Sans"/>
          <w:color w:val="000000" w:themeColor="text1"/>
          <w:sz w:val="22"/>
          <w:szCs w:val="22"/>
        </w:rPr>
        <w:t>Hofmann &amp; Schneckener, 2011</w:t>
      </w:r>
      <w:r w:rsidR="00DB6BDB">
        <w:rPr>
          <w:rFonts w:ascii="Open Sans" w:hAnsi="Open Sans" w:cs="Open Sans"/>
          <w:color w:val="000000" w:themeColor="text1"/>
          <w:sz w:val="22"/>
          <w:szCs w:val="22"/>
        </w:rPr>
        <w:t xml:space="preserve">; </w:t>
      </w:r>
      <w:r w:rsidRPr="00742342">
        <w:rPr>
          <w:rFonts w:ascii="Open Sans" w:hAnsi="Open Sans" w:cs="Open Sans"/>
          <w:color w:val="000000" w:themeColor="text1"/>
          <w:sz w:val="22"/>
          <w:szCs w:val="22"/>
        </w:rPr>
        <w:t xml:space="preserve">Thomas et al., 2005). </w:t>
      </w:r>
      <w:r w:rsidR="00DB6BDB">
        <w:rPr>
          <w:rFonts w:ascii="Open Sans" w:hAnsi="Open Sans" w:cs="Open Sans"/>
          <w:color w:val="000000" w:themeColor="text1"/>
          <w:sz w:val="22"/>
          <w:szCs w:val="22"/>
        </w:rPr>
        <w:t>These VNSAs</w:t>
      </w:r>
      <w:r w:rsidRPr="00742342">
        <w:rPr>
          <w:rFonts w:ascii="Open Sans" w:hAnsi="Open Sans" w:cs="Open Sans"/>
          <w:color w:val="000000" w:themeColor="text1"/>
          <w:sz w:val="22"/>
          <w:szCs w:val="22"/>
        </w:rPr>
        <w:t xml:space="preserve"> are often held responsible for the violence associated with a non-peaceful </w:t>
      </w:r>
      <w:r w:rsidR="00B82B88">
        <w:rPr>
          <w:rFonts w:ascii="Open Sans" w:hAnsi="Open Sans" w:cs="Open Sans"/>
          <w:color w:val="000000" w:themeColor="text1"/>
          <w:sz w:val="22"/>
          <w:szCs w:val="22"/>
        </w:rPr>
        <w:t>transition</w:t>
      </w:r>
      <w:r w:rsidRPr="00742342">
        <w:rPr>
          <w:rFonts w:ascii="Open Sans" w:hAnsi="Open Sans" w:cs="Open Sans"/>
          <w:color w:val="000000" w:themeColor="text1"/>
          <w:sz w:val="22"/>
          <w:szCs w:val="22"/>
        </w:rPr>
        <w:t xml:space="preserve"> of governance, </w:t>
      </w:r>
      <w:r w:rsidR="00B82B88">
        <w:rPr>
          <w:rFonts w:ascii="Open Sans" w:hAnsi="Open Sans" w:cs="Open Sans"/>
          <w:color w:val="000000" w:themeColor="text1"/>
          <w:sz w:val="22"/>
          <w:szCs w:val="22"/>
        </w:rPr>
        <w:t xml:space="preserve">and </w:t>
      </w:r>
      <w:r w:rsidRPr="00742342">
        <w:rPr>
          <w:rFonts w:ascii="Open Sans" w:hAnsi="Open Sans" w:cs="Open Sans"/>
          <w:color w:val="000000" w:themeColor="text1"/>
          <w:sz w:val="22"/>
          <w:szCs w:val="22"/>
        </w:rPr>
        <w:t xml:space="preserve">the disturbance and dismantlement of social welfare programs and an organized judiciary system within a country struck by political crisis (Ibid, 2011). </w:t>
      </w:r>
    </w:p>
    <w:p w14:paraId="2C6DC63D" w14:textId="77777777" w:rsidR="00600128" w:rsidRPr="00742342" w:rsidRDefault="00600128" w:rsidP="00AC21C6">
      <w:pPr>
        <w:spacing w:line="276" w:lineRule="auto"/>
        <w:jc w:val="both"/>
        <w:rPr>
          <w:rFonts w:ascii="Open Sans" w:hAnsi="Open Sans" w:cs="Open Sans"/>
          <w:color w:val="000000" w:themeColor="text1"/>
          <w:sz w:val="22"/>
          <w:szCs w:val="22"/>
        </w:rPr>
      </w:pPr>
    </w:p>
    <w:p w14:paraId="0A5ADA65" w14:textId="7664C9C2" w:rsidR="00600128" w:rsidRPr="00742342" w:rsidRDefault="00600128" w:rsidP="003E2BDE">
      <w:pPr>
        <w:pStyle w:val="Heading2"/>
        <w:numPr>
          <w:ilvl w:val="1"/>
          <w:numId w:val="6"/>
        </w:numPr>
        <w:spacing w:line="276" w:lineRule="auto"/>
        <w:rPr>
          <w:rFonts w:ascii="Open Sans" w:hAnsi="Open Sans" w:cs="Open Sans"/>
          <w:color w:val="000000" w:themeColor="text1"/>
          <w:sz w:val="24"/>
          <w:szCs w:val="24"/>
        </w:rPr>
      </w:pPr>
      <w:bookmarkStart w:id="8" w:name="_Toc136372375"/>
      <w:bookmarkStart w:id="9" w:name="_Toc136706574"/>
      <w:bookmarkStart w:id="10" w:name="_Toc138247482"/>
      <w:r w:rsidRPr="00742342">
        <w:rPr>
          <w:rFonts w:ascii="Open Sans" w:hAnsi="Open Sans" w:cs="Open Sans"/>
          <w:color w:val="000000" w:themeColor="text1"/>
          <w:sz w:val="24"/>
          <w:szCs w:val="24"/>
        </w:rPr>
        <w:t>Theoretical framework &amp; significance</w:t>
      </w:r>
      <w:bookmarkEnd w:id="8"/>
      <w:bookmarkEnd w:id="9"/>
      <w:bookmarkEnd w:id="10"/>
    </w:p>
    <w:p w14:paraId="5A790C10" w14:textId="31261A70" w:rsidR="00600128" w:rsidRPr="00742342" w:rsidRDefault="00600128"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 addition to the Houthi movement and the internationally recognized Yemeni government, the Yemeni civil war is characterized by many other actors. The</w:t>
      </w:r>
      <w:r w:rsidR="00524103">
        <w:rPr>
          <w:rFonts w:ascii="Open Sans" w:hAnsi="Open Sans" w:cs="Open Sans"/>
          <w:color w:val="000000" w:themeColor="text1"/>
          <w:sz w:val="22"/>
          <w:szCs w:val="22"/>
        </w:rPr>
        <w:t xml:space="preserve"> </w:t>
      </w:r>
      <w:r w:rsidR="00665833">
        <w:rPr>
          <w:rFonts w:ascii="Open Sans" w:hAnsi="Open Sans" w:cs="Open Sans"/>
          <w:color w:val="000000" w:themeColor="text1"/>
          <w:sz w:val="22"/>
          <w:szCs w:val="22"/>
        </w:rPr>
        <w:t>population</w:t>
      </w:r>
      <w:r w:rsidR="00524103">
        <w:rPr>
          <w:rFonts w:ascii="Open Sans" w:hAnsi="Open Sans" w:cs="Open Sans"/>
          <w:color w:val="000000" w:themeColor="text1"/>
          <w:sz w:val="22"/>
          <w:szCs w:val="22"/>
        </w:rPr>
        <w:t xml:space="preserve"> of Yemen is</w:t>
      </w:r>
      <w:r w:rsidRPr="00742342">
        <w:rPr>
          <w:rFonts w:ascii="Open Sans" w:hAnsi="Open Sans" w:cs="Open Sans"/>
          <w:color w:val="000000" w:themeColor="text1"/>
          <w:sz w:val="22"/>
          <w:szCs w:val="22"/>
        </w:rPr>
        <w:t xml:space="preserve"> </w:t>
      </w:r>
      <w:r w:rsidR="00471DAF">
        <w:rPr>
          <w:rFonts w:ascii="Open Sans" w:hAnsi="Open Sans" w:cs="Open Sans"/>
          <w:color w:val="000000" w:themeColor="text1"/>
          <w:sz w:val="22"/>
          <w:szCs w:val="22"/>
        </w:rPr>
        <w:t>dependent</w:t>
      </w:r>
      <w:r w:rsidRPr="00742342">
        <w:rPr>
          <w:rFonts w:ascii="Open Sans" w:hAnsi="Open Sans" w:cs="Open Sans"/>
          <w:color w:val="000000" w:themeColor="text1"/>
          <w:sz w:val="22"/>
          <w:szCs w:val="22"/>
        </w:rPr>
        <w:t xml:space="preserve"> on the involvement of international non-governmental organizations (NGOs) to provide humanitarian aid. In addition to NGOs, the Yemeni civil war has attracted the attention of intergovernmental organizations (IGOs). An IGO is an entity that is established by a formal agreement between multiple nation-states (Volgy et al., 2008). IGOs have different characteristics compared to NGOs, focusing not just on humanitarian assistance, but </w:t>
      </w:r>
      <w:r w:rsidR="0094175D">
        <w:rPr>
          <w:rFonts w:ascii="Open Sans" w:hAnsi="Open Sans" w:cs="Open Sans"/>
          <w:color w:val="000000" w:themeColor="text1"/>
          <w:sz w:val="22"/>
          <w:szCs w:val="22"/>
        </w:rPr>
        <w:t xml:space="preserve">often </w:t>
      </w:r>
      <w:r w:rsidRPr="00742342">
        <w:rPr>
          <w:rFonts w:ascii="Open Sans" w:hAnsi="Open Sans" w:cs="Open Sans"/>
          <w:color w:val="000000" w:themeColor="text1"/>
          <w:sz w:val="22"/>
          <w:szCs w:val="22"/>
        </w:rPr>
        <w:t>also engaging in diplomacy (Warnecke, 2020). IGOs are therefore inherently more politicized, compared to NGOs. Intergovernmental organizations are frequently involved in regional disputes</w:t>
      </w:r>
      <w:r w:rsidR="0094175D">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 promoting peace and stability, protecting human rights, and promoting economic growth (Olsson Gardell &amp; Verbeek, 2013). </w:t>
      </w:r>
    </w:p>
    <w:p w14:paraId="70D0A491" w14:textId="77777777" w:rsidR="00600128" w:rsidRPr="00742342" w:rsidRDefault="00600128" w:rsidP="00AC21C6">
      <w:pPr>
        <w:spacing w:line="276" w:lineRule="auto"/>
        <w:jc w:val="both"/>
        <w:rPr>
          <w:rFonts w:ascii="Open Sans" w:hAnsi="Open Sans" w:cs="Open Sans"/>
          <w:color w:val="000000" w:themeColor="text1"/>
          <w:sz w:val="22"/>
          <w:szCs w:val="22"/>
        </w:rPr>
      </w:pPr>
    </w:p>
    <w:p w14:paraId="0F4637F4" w14:textId="39B30EDF" w:rsidR="00600128" w:rsidRPr="00742342" w:rsidRDefault="00600128"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United Nations</w:t>
      </w:r>
      <w:r w:rsidR="00AB4C19">
        <w:rPr>
          <w:rFonts w:ascii="Open Sans" w:hAnsi="Open Sans" w:cs="Open Sans"/>
          <w:color w:val="000000" w:themeColor="text1"/>
          <w:sz w:val="22"/>
          <w:szCs w:val="22"/>
        </w:rPr>
        <w:t xml:space="preserve"> (UN) </w:t>
      </w:r>
      <w:r w:rsidRPr="00742342">
        <w:rPr>
          <w:rFonts w:ascii="Open Sans" w:hAnsi="Open Sans" w:cs="Open Sans"/>
          <w:color w:val="000000" w:themeColor="text1"/>
          <w:sz w:val="22"/>
          <w:szCs w:val="22"/>
        </w:rPr>
        <w:t>is one of the largest</w:t>
      </w:r>
      <w:r w:rsidRPr="00742342">
        <w:rPr>
          <w:rStyle w:val="FootnoteReference"/>
          <w:rFonts w:ascii="Open Sans" w:hAnsi="Open Sans" w:cs="Open Sans"/>
          <w:color w:val="000000" w:themeColor="text1"/>
          <w:sz w:val="22"/>
          <w:szCs w:val="22"/>
        </w:rPr>
        <w:footnoteReference w:id="3"/>
      </w:r>
      <w:r w:rsidRPr="00742342">
        <w:rPr>
          <w:rFonts w:ascii="Open Sans" w:hAnsi="Open Sans" w:cs="Open Sans"/>
          <w:color w:val="000000" w:themeColor="text1"/>
          <w:sz w:val="22"/>
          <w:szCs w:val="22"/>
        </w:rPr>
        <w:t xml:space="preserve"> and most influential intergovernmental organizations. </w:t>
      </w:r>
      <w:r w:rsidR="009B01F2" w:rsidRPr="009B01F2">
        <w:rPr>
          <w:rFonts w:ascii="Open Sans" w:hAnsi="Open Sans" w:cs="Open Sans"/>
          <w:color w:val="000000" w:themeColor="text1"/>
          <w:sz w:val="22"/>
          <w:szCs w:val="22"/>
        </w:rPr>
        <w:t xml:space="preserve">The </w:t>
      </w:r>
      <w:r w:rsidR="00C30EFE">
        <w:rPr>
          <w:rFonts w:ascii="Open Sans" w:hAnsi="Open Sans" w:cs="Open Sans"/>
          <w:color w:val="000000" w:themeColor="text1"/>
          <w:sz w:val="22"/>
          <w:szCs w:val="22"/>
        </w:rPr>
        <w:t>organization</w:t>
      </w:r>
      <w:r w:rsidR="009B01F2" w:rsidRPr="009B01F2">
        <w:rPr>
          <w:rFonts w:ascii="Open Sans" w:hAnsi="Open Sans" w:cs="Open Sans"/>
          <w:color w:val="000000" w:themeColor="text1"/>
          <w:sz w:val="22"/>
          <w:szCs w:val="22"/>
        </w:rPr>
        <w:t xml:space="preserve"> actively participates in the Yemeni civil war and plays a pivotal role in its resolution</w:t>
      </w:r>
      <w:r w:rsidRPr="00742342">
        <w:rPr>
          <w:rFonts w:ascii="Open Sans" w:hAnsi="Open Sans" w:cs="Open Sans"/>
          <w:color w:val="000000" w:themeColor="text1"/>
          <w:sz w:val="22"/>
          <w:szCs w:val="22"/>
        </w:rPr>
        <w:t xml:space="preserve">. The UN </w:t>
      </w:r>
      <w:r w:rsidR="008677FD">
        <w:rPr>
          <w:rFonts w:ascii="Open Sans" w:hAnsi="Open Sans" w:cs="Open Sans"/>
          <w:color w:val="000000" w:themeColor="text1"/>
          <w:sz w:val="22"/>
          <w:szCs w:val="22"/>
        </w:rPr>
        <w:t>features</w:t>
      </w:r>
      <w:r w:rsidRPr="00742342">
        <w:rPr>
          <w:rFonts w:ascii="Open Sans" w:hAnsi="Open Sans" w:cs="Open Sans"/>
          <w:color w:val="000000" w:themeColor="text1"/>
          <w:sz w:val="22"/>
          <w:szCs w:val="22"/>
        </w:rPr>
        <w:t xml:space="preserve"> many different subordinate divisions that are concerned with international security and peacebuilding, state-building and providing humanitarian aid. Due to an eruption of violence which led to the subsequent civil war, the Secretary-General of the UN has founded a permanent Special Envoy in Yemen, which is concerned with "enabling the resumption of a peaceful, inclusive, orderly and Yemeni-led political transition process” (Office of the Special Envoy of the Secretary-General for Yemen, 2023). The Office of the Special Envoy of the Secretary-General in Yemen (OSESGY) </w:t>
      </w:r>
      <w:r w:rsidR="003B40C2">
        <w:rPr>
          <w:rFonts w:ascii="Open Sans" w:hAnsi="Open Sans" w:cs="Open Sans"/>
          <w:color w:val="000000" w:themeColor="text1"/>
          <w:sz w:val="22"/>
          <w:szCs w:val="22"/>
        </w:rPr>
        <w:t>plays</w:t>
      </w:r>
      <w:r w:rsidRPr="00742342">
        <w:rPr>
          <w:rFonts w:ascii="Open Sans" w:hAnsi="Open Sans" w:cs="Open Sans"/>
          <w:color w:val="000000" w:themeColor="text1"/>
          <w:sz w:val="22"/>
          <w:szCs w:val="22"/>
        </w:rPr>
        <w:t xml:space="preserve"> an important role in representing the interests of the United Nations in </w:t>
      </w:r>
      <w:r w:rsidRPr="00742342">
        <w:rPr>
          <w:rFonts w:ascii="Open Sans" w:hAnsi="Open Sans" w:cs="Open Sans"/>
          <w:color w:val="000000" w:themeColor="text1"/>
          <w:sz w:val="22"/>
          <w:szCs w:val="22"/>
        </w:rPr>
        <w:lastRenderedPageBreak/>
        <w:t>Yemen. In</w:t>
      </w:r>
      <w:r w:rsidR="007B40ED">
        <w:rPr>
          <w:rFonts w:ascii="Open Sans" w:hAnsi="Open Sans" w:cs="Open Sans"/>
          <w:color w:val="000000" w:themeColor="text1"/>
          <w:sz w:val="22"/>
          <w:szCs w:val="22"/>
        </w:rPr>
        <w:t xml:space="preserve"> April</w:t>
      </w:r>
      <w:r w:rsidRPr="00742342">
        <w:rPr>
          <w:rFonts w:ascii="Open Sans" w:hAnsi="Open Sans" w:cs="Open Sans"/>
          <w:color w:val="000000" w:themeColor="text1"/>
          <w:sz w:val="22"/>
          <w:szCs w:val="22"/>
        </w:rPr>
        <w:t xml:space="preserve"> 2022, the OSESGY brokered a truce between the </w:t>
      </w:r>
      <w:r w:rsidR="008168C9">
        <w:rPr>
          <w:rFonts w:ascii="Open Sans" w:hAnsi="Open Sans" w:cs="Open Sans"/>
          <w:color w:val="000000" w:themeColor="text1"/>
          <w:sz w:val="22"/>
          <w:szCs w:val="22"/>
        </w:rPr>
        <w:t>hostile</w:t>
      </w:r>
      <w:r w:rsidRPr="00742342">
        <w:rPr>
          <w:rFonts w:ascii="Open Sans" w:hAnsi="Open Sans" w:cs="Open Sans"/>
          <w:color w:val="000000" w:themeColor="text1"/>
          <w:sz w:val="22"/>
          <w:szCs w:val="22"/>
        </w:rPr>
        <w:t xml:space="preserve"> </w:t>
      </w:r>
      <w:r w:rsidR="008168C9">
        <w:rPr>
          <w:rFonts w:ascii="Open Sans" w:hAnsi="Open Sans" w:cs="Open Sans"/>
          <w:color w:val="000000" w:themeColor="text1"/>
          <w:sz w:val="22"/>
          <w:szCs w:val="22"/>
        </w:rPr>
        <w:t>groups</w:t>
      </w:r>
      <w:r w:rsidRPr="00742342">
        <w:rPr>
          <w:rFonts w:ascii="Open Sans" w:hAnsi="Open Sans" w:cs="Open Sans"/>
          <w:color w:val="000000" w:themeColor="text1"/>
          <w:sz w:val="22"/>
          <w:szCs w:val="22"/>
        </w:rPr>
        <w:t xml:space="preserve"> in Yemen (United Nations, 2022). This truce produced a temporary ceasefire and proved to be the first successful demonstration of negotiations between the Houthi movement and the OSESGY since 2016. Although the truce was temporary in nature, and it did eventually not lead to a sustainable ceasefire, it proved that cooperation between the United Nations and the Houthi movement </w:t>
      </w:r>
      <w:r w:rsidR="008168C9">
        <w:rPr>
          <w:rFonts w:ascii="Open Sans" w:hAnsi="Open Sans" w:cs="Open Sans"/>
          <w:color w:val="000000" w:themeColor="text1"/>
          <w:sz w:val="22"/>
          <w:szCs w:val="22"/>
        </w:rPr>
        <w:t>was</w:t>
      </w:r>
      <w:r w:rsidRPr="00742342">
        <w:rPr>
          <w:rFonts w:ascii="Open Sans" w:hAnsi="Open Sans" w:cs="Open Sans"/>
          <w:color w:val="000000" w:themeColor="text1"/>
          <w:sz w:val="22"/>
          <w:szCs w:val="22"/>
        </w:rPr>
        <w:t xml:space="preserve"> possible. </w:t>
      </w:r>
    </w:p>
    <w:p w14:paraId="13DD4710" w14:textId="77777777" w:rsidR="00600128" w:rsidRPr="00742342" w:rsidRDefault="00600128" w:rsidP="00AC21C6">
      <w:pPr>
        <w:spacing w:line="276" w:lineRule="auto"/>
        <w:jc w:val="both"/>
        <w:rPr>
          <w:rFonts w:ascii="Open Sans" w:hAnsi="Open Sans" w:cs="Open Sans"/>
          <w:color w:val="000000" w:themeColor="text1"/>
          <w:sz w:val="22"/>
          <w:szCs w:val="22"/>
        </w:rPr>
      </w:pPr>
    </w:p>
    <w:p w14:paraId="2AFBE5DD" w14:textId="2CBF1CDA" w:rsidR="00600128" w:rsidRPr="00742342" w:rsidRDefault="00600128" w:rsidP="003E2BDE">
      <w:pPr>
        <w:pStyle w:val="Heading2"/>
        <w:numPr>
          <w:ilvl w:val="1"/>
          <w:numId w:val="6"/>
        </w:numPr>
        <w:spacing w:line="276" w:lineRule="auto"/>
        <w:rPr>
          <w:rFonts w:ascii="Open Sans" w:hAnsi="Open Sans" w:cs="Open Sans"/>
          <w:color w:val="000000" w:themeColor="text1"/>
          <w:sz w:val="24"/>
          <w:szCs w:val="24"/>
        </w:rPr>
      </w:pPr>
      <w:bookmarkStart w:id="11" w:name="_Toc136372376"/>
      <w:bookmarkStart w:id="12" w:name="_Toc136706575"/>
      <w:bookmarkStart w:id="13" w:name="_Toc138247483"/>
      <w:r w:rsidRPr="00742342">
        <w:rPr>
          <w:rFonts w:ascii="Open Sans" w:hAnsi="Open Sans" w:cs="Open Sans"/>
          <w:color w:val="000000" w:themeColor="text1"/>
          <w:sz w:val="24"/>
          <w:szCs w:val="24"/>
        </w:rPr>
        <w:t>Research design</w:t>
      </w:r>
      <w:bookmarkEnd w:id="11"/>
      <w:bookmarkEnd w:id="12"/>
      <w:bookmarkEnd w:id="13"/>
    </w:p>
    <w:p w14:paraId="1CAE19D7" w14:textId="0E13AABF" w:rsidR="00600128" w:rsidRPr="00742342" w:rsidRDefault="00600128"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It is important to analyze what factors constituted to the realization of the 202</w:t>
      </w:r>
      <w:r w:rsidR="008168C9">
        <w:rPr>
          <w:rFonts w:ascii="Open Sans" w:hAnsi="Open Sans" w:cs="Open Sans"/>
          <w:color w:val="000000" w:themeColor="text1"/>
          <w:sz w:val="22"/>
          <w:szCs w:val="22"/>
        </w:rPr>
        <w:t>2</w:t>
      </w:r>
      <w:r w:rsidRPr="00742342">
        <w:rPr>
          <w:rFonts w:ascii="Open Sans" w:hAnsi="Open Sans" w:cs="Open Sans"/>
          <w:color w:val="000000" w:themeColor="text1"/>
          <w:sz w:val="22"/>
          <w:szCs w:val="22"/>
        </w:rPr>
        <w:t xml:space="preserve"> truce, as it can provide valuable insights into the conflict resolving capabilities of an intergovernmental organization like the OSESGY. Although the OSESGY is founded by the Secretary-General, it has a certain degree of autonomy from the UN </w:t>
      </w:r>
      <w:r w:rsidR="0044352B">
        <w:rPr>
          <w:rFonts w:ascii="Open Sans" w:hAnsi="Open Sans" w:cs="Open Sans"/>
          <w:color w:val="000000" w:themeColor="text1"/>
          <w:sz w:val="22"/>
          <w:szCs w:val="22"/>
        </w:rPr>
        <w:t>S</w:t>
      </w:r>
      <w:r w:rsidRPr="00742342">
        <w:rPr>
          <w:rFonts w:ascii="Open Sans" w:hAnsi="Open Sans" w:cs="Open Sans"/>
          <w:color w:val="000000" w:themeColor="text1"/>
          <w:sz w:val="22"/>
          <w:szCs w:val="22"/>
        </w:rPr>
        <w:t xml:space="preserve">ecretariat. This autonomy can influence how the OSESGY engages with violent non-state actors. It might be possible for a partly autonomous institute of the United Nations to engage with violent non-state actors, whereas this would not be possible for certain other divisions of the UN. The level of autonomy that the OSESGY possesses from not only the Secretary-General, but other UN institutions, can shape the dynamics of negotiating with a violent non-state actor. </w:t>
      </w:r>
    </w:p>
    <w:p w14:paraId="5E221CAE" w14:textId="77777777" w:rsidR="00600128" w:rsidRPr="00742342" w:rsidRDefault="00600128" w:rsidP="00AC21C6">
      <w:pPr>
        <w:spacing w:line="276" w:lineRule="auto"/>
        <w:rPr>
          <w:rFonts w:ascii="Open Sans" w:hAnsi="Open Sans" w:cs="Open Sans"/>
          <w:color w:val="000000" w:themeColor="text1"/>
          <w:sz w:val="22"/>
          <w:szCs w:val="22"/>
        </w:rPr>
      </w:pPr>
    </w:p>
    <w:p w14:paraId="5DB3154D" w14:textId="53C5D2C3" w:rsidR="00600128" w:rsidRPr="00742342" w:rsidRDefault="00600128"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This thesis aims to establish how the OSESGY has engaged with violent non-state actors, and what consequences their autonomy has had for the outcome of the engagements. I hypothesize that the level of autonomy that an intergovernmental organization possesses, influences how it can engage with violent non-state actors. The autonomy of the OSESGY is in part determined by its relationship with other UN institutions, primarily the Secretary-General and the Security Council. As the OSESGY has an important role in shaping the dynamics of the Yemeni conflict, there is a need to further research the influence of the autonomy of the OSESGY. This research can contribute to case-specific knowledge, but findings about the OSESGY in Yemen can </w:t>
      </w:r>
      <w:r w:rsidR="00980DF3">
        <w:rPr>
          <w:rFonts w:ascii="Open Sans" w:hAnsi="Open Sans" w:cs="Open Sans"/>
          <w:color w:val="000000" w:themeColor="text1"/>
          <w:sz w:val="22"/>
          <w:szCs w:val="22"/>
        </w:rPr>
        <w:t xml:space="preserve">perchance </w:t>
      </w:r>
      <w:r w:rsidRPr="00742342">
        <w:rPr>
          <w:rFonts w:ascii="Open Sans" w:hAnsi="Open Sans" w:cs="Open Sans"/>
          <w:color w:val="000000" w:themeColor="text1"/>
          <w:sz w:val="22"/>
          <w:szCs w:val="22"/>
        </w:rPr>
        <w:t xml:space="preserve">also contribute to developing a broader </w:t>
      </w:r>
      <w:r w:rsidR="00980DF3" w:rsidRPr="00742342">
        <w:rPr>
          <w:rFonts w:ascii="Open Sans" w:hAnsi="Open Sans" w:cs="Open Sans"/>
          <w:color w:val="000000" w:themeColor="text1"/>
          <w:sz w:val="22"/>
          <w:szCs w:val="22"/>
        </w:rPr>
        <w:t>understanding</w:t>
      </w:r>
      <w:r w:rsidRPr="00742342">
        <w:rPr>
          <w:rFonts w:ascii="Open Sans" w:hAnsi="Open Sans" w:cs="Open Sans"/>
          <w:color w:val="000000" w:themeColor="text1"/>
          <w:sz w:val="22"/>
          <w:szCs w:val="22"/>
        </w:rPr>
        <w:t xml:space="preserve"> </w:t>
      </w:r>
      <w:r w:rsidR="00980DF3">
        <w:rPr>
          <w:rFonts w:ascii="Open Sans" w:hAnsi="Open Sans" w:cs="Open Sans"/>
          <w:color w:val="000000" w:themeColor="text1"/>
          <w:sz w:val="22"/>
          <w:szCs w:val="22"/>
        </w:rPr>
        <w:t>of</w:t>
      </w:r>
      <w:r w:rsidRPr="00742342">
        <w:rPr>
          <w:rFonts w:ascii="Open Sans" w:hAnsi="Open Sans" w:cs="Open Sans"/>
          <w:color w:val="000000" w:themeColor="text1"/>
          <w:sz w:val="22"/>
          <w:szCs w:val="22"/>
        </w:rPr>
        <w:t xml:space="preserve"> intergovernmental autonomy. The primary research question of this thesis is therefore:</w:t>
      </w:r>
    </w:p>
    <w:p w14:paraId="3A451FDD" w14:textId="77777777" w:rsidR="00600128" w:rsidRPr="00742342" w:rsidRDefault="00600128" w:rsidP="00AC21C6">
      <w:pPr>
        <w:spacing w:line="276" w:lineRule="auto"/>
        <w:jc w:val="both"/>
        <w:rPr>
          <w:rFonts w:ascii="Open Sans" w:hAnsi="Open Sans" w:cs="Open Sans"/>
          <w:color w:val="000000" w:themeColor="text1"/>
          <w:sz w:val="22"/>
          <w:szCs w:val="22"/>
        </w:rPr>
      </w:pPr>
    </w:p>
    <w:p w14:paraId="08E4228D" w14:textId="77777777" w:rsidR="00600128" w:rsidRPr="00742342" w:rsidRDefault="00600128" w:rsidP="00AC21C6">
      <w:pPr>
        <w:spacing w:line="276" w:lineRule="auto"/>
        <w:jc w:val="center"/>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How does the level of autonomy of an intergovernmental organization influence the effectiveness and efficiency when engaging with a violent non-state actor?</w:t>
      </w:r>
    </w:p>
    <w:p w14:paraId="330E36B8" w14:textId="77777777" w:rsidR="00600128" w:rsidRPr="00742342" w:rsidRDefault="00600128" w:rsidP="00AC21C6">
      <w:pPr>
        <w:spacing w:line="276" w:lineRule="auto"/>
        <w:jc w:val="both"/>
        <w:rPr>
          <w:rFonts w:ascii="Open Sans" w:hAnsi="Open Sans" w:cs="Open Sans"/>
          <w:i/>
          <w:iCs/>
          <w:color w:val="000000" w:themeColor="text1"/>
          <w:sz w:val="22"/>
          <w:szCs w:val="22"/>
        </w:rPr>
      </w:pPr>
    </w:p>
    <w:p w14:paraId="4355ECDD" w14:textId="14F7C4CA" w:rsidR="00600128" w:rsidRPr="00742342" w:rsidRDefault="00600128"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To find a possible answer to this research question, I will first need to identify what constitutes intergovernmental autonomy. The second chapter of this thesis will feature an introduction to intergovernmental organizations and violent non-state actors. Following an outline of their characteristics I will perform a literature review on what constitutes intergovernmental autonomy. I will </w:t>
      </w:r>
      <w:r w:rsidR="00673CE9">
        <w:rPr>
          <w:rFonts w:ascii="Open Sans" w:hAnsi="Open Sans" w:cs="Open Sans"/>
          <w:color w:val="000000" w:themeColor="text1"/>
          <w:sz w:val="22"/>
          <w:szCs w:val="22"/>
        </w:rPr>
        <w:t>explore</w:t>
      </w:r>
      <w:r w:rsidRPr="00742342">
        <w:rPr>
          <w:rFonts w:ascii="Open Sans" w:hAnsi="Open Sans" w:cs="Open Sans"/>
          <w:color w:val="000000" w:themeColor="text1"/>
          <w:sz w:val="22"/>
          <w:szCs w:val="22"/>
        </w:rPr>
        <w:t xml:space="preserve"> the principal-agent theory, as I believe that it can contribute to the conception of intergovernmental autonomy. The </w:t>
      </w:r>
      <w:r w:rsidRPr="00742342">
        <w:rPr>
          <w:rFonts w:ascii="Open Sans" w:hAnsi="Open Sans" w:cs="Open Sans"/>
          <w:color w:val="000000" w:themeColor="text1"/>
          <w:sz w:val="22"/>
          <w:szCs w:val="22"/>
        </w:rPr>
        <w:lastRenderedPageBreak/>
        <w:t xml:space="preserve">second chapter will conclude with the identification of dimensions that constitute intergovernmental autonomy, originating from the literature review. </w:t>
      </w:r>
    </w:p>
    <w:p w14:paraId="526CA0B8" w14:textId="77777777" w:rsidR="00600128" w:rsidRPr="00742342" w:rsidRDefault="00600128" w:rsidP="00AC21C6">
      <w:pPr>
        <w:spacing w:line="276" w:lineRule="auto"/>
        <w:jc w:val="both"/>
        <w:rPr>
          <w:rFonts w:ascii="Open Sans" w:hAnsi="Open Sans" w:cs="Open Sans"/>
          <w:i/>
          <w:iCs/>
          <w:color w:val="000000" w:themeColor="text1"/>
          <w:sz w:val="22"/>
          <w:szCs w:val="22"/>
        </w:rPr>
      </w:pPr>
    </w:p>
    <w:p w14:paraId="2C5E82CB" w14:textId="77777777" w:rsidR="00600128" w:rsidRPr="00742342" w:rsidRDefault="00600128"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Following the theoretical outline of this thesis, the third chapter will feature an operationalization of the identified dimensions, as without operationalizing the dimensions they are not properly identifiable. Following the operationalization, the third chapter will also include an overview of the methodology that this thesis employs. In between the methodological chapter and the empirical analysis, I have chosen to include a chapter dedicated to providing a historical timeline and a reconstruction of the relevant context of the Yemeni civil war. Afterwards, I will employ the methodology of process tracing to uncover which causal mechanisms contributed to an increase- or decrease in IGO autonomy. The empirical analysis will be testing hypotheses that are based on the theoretical analysis presented in the second chapter of this thesis, but I will also in part focus on theory-developing, as it is possible that there are other factors that constitute to autonomy, which can lead to more effective and efficient engagements with violent non-state actors. </w:t>
      </w:r>
    </w:p>
    <w:p w14:paraId="7556211C" w14:textId="77777777" w:rsidR="00926E52" w:rsidRPr="00742342" w:rsidRDefault="00926E52" w:rsidP="00AC21C6">
      <w:pPr>
        <w:spacing w:line="276" w:lineRule="auto"/>
        <w:rPr>
          <w:rFonts w:ascii="Open Sans" w:hAnsi="Open Sans" w:cs="Open Sans"/>
          <w:color w:val="000000" w:themeColor="text1"/>
        </w:rPr>
      </w:pPr>
    </w:p>
    <w:p w14:paraId="7B92DF95" w14:textId="77777777" w:rsidR="00600128" w:rsidRPr="00742342" w:rsidRDefault="00600128" w:rsidP="00AC21C6">
      <w:pPr>
        <w:spacing w:line="276" w:lineRule="auto"/>
        <w:rPr>
          <w:rFonts w:ascii="Open Sans" w:eastAsiaTheme="majorEastAsia" w:hAnsi="Open Sans" w:cs="Open Sans"/>
          <w:color w:val="000000" w:themeColor="text1"/>
          <w:sz w:val="28"/>
          <w:szCs w:val="28"/>
        </w:rPr>
      </w:pPr>
      <w:r w:rsidRPr="00742342">
        <w:rPr>
          <w:rFonts w:ascii="Open Sans" w:hAnsi="Open Sans" w:cs="Open Sans"/>
          <w:color w:val="000000" w:themeColor="text1"/>
          <w:sz w:val="28"/>
          <w:szCs w:val="28"/>
        </w:rPr>
        <w:br w:type="page"/>
      </w:r>
    </w:p>
    <w:p w14:paraId="1D10E53A" w14:textId="6C37C65C" w:rsidR="0003749C" w:rsidRPr="00742342" w:rsidRDefault="0003749C" w:rsidP="003E2BDE">
      <w:pPr>
        <w:pStyle w:val="Heading1"/>
        <w:numPr>
          <w:ilvl w:val="0"/>
          <w:numId w:val="6"/>
        </w:numPr>
        <w:spacing w:line="276" w:lineRule="auto"/>
        <w:rPr>
          <w:rFonts w:ascii="Open Sans" w:hAnsi="Open Sans" w:cs="Open Sans"/>
          <w:color w:val="000000" w:themeColor="text1"/>
          <w:sz w:val="28"/>
          <w:szCs w:val="28"/>
        </w:rPr>
      </w:pPr>
      <w:bookmarkStart w:id="14" w:name="_Toc136372377"/>
      <w:bookmarkStart w:id="15" w:name="_Toc136706576"/>
      <w:bookmarkStart w:id="16" w:name="_Toc138247484"/>
      <w:r w:rsidRPr="00742342">
        <w:rPr>
          <w:rFonts w:ascii="Open Sans" w:hAnsi="Open Sans" w:cs="Open Sans"/>
          <w:color w:val="000000" w:themeColor="text1"/>
          <w:sz w:val="28"/>
          <w:szCs w:val="28"/>
        </w:rPr>
        <w:lastRenderedPageBreak/>
        <w:t xml:space="preserve">Theoretical </w:t>
      </w:r>
      <w:bookmarkEnd w:id="14"/>
      <w:r w:rsidR="003C3329" w:rsidRPr="00742342">
        <w:rPr>
          <w:rFonts w:ascii="Open Sans" w:hAnsi="Open Sans" w:cs="Open Sans"/>
          <w:color w:val="000000" w:themeColor="text1"/>
          <w:sz w:val="28"/>
          <w:szCs w:val="28"/>
        </w:rPr>
        <w:t>analysis</w:t>
      </w:r>
      <w:bookmarkEnd w:id="15"/>
      <w:bookmarkEnd w:id="16"/>
    </w:p>
    <w:p w14:paraId="72B750FE" w14:textId="77777777" w:rsidR="00C4198B" w:rsidRPr="00742342" w:rsidRDefault="00C4198B" w:rsidP="00AC21C6">
      <w:pPr>
        <w:spacing w:line="276" w:lineRule="auto"/>
        <w:rPr>
          <w:rFonts w:ascii="Open Sans" w:hAnsi="Open Sans" w:cs="Open Sans"/>
          <w:color w:val="000000" w:themeColor="text1"/>
          <w:sz w:val="22"/>
          <w:szCs w:val="22"/>
        </w:rPr>
      </w:pPr>
    </w:p>
    <w:p w14:paraId="19E55F7E" w14:textId="367BFFE3" w:rsidR="00C4198B" w:rsidRPr="00742342" w:rsidRDefault="00C4198B" w:rsidP="003E2BDE">
      <w:pPr>
        <w:pStyle w:val="Heading2"/>
        <w:numPr>
          <w:ilvl w:val="1"/>
          <w:numId w:val="6"/>
        </w:numPr>
        <w:spacing w:line="276" w:lineRule="auto"/>
        <w:jc w:val="both"/>
        <w:rPr>
          <w:rFonts w:ascii="Open Sans" w:hAnsi="Open Sans" w:cs="Open Sans"/>
          <w:color w:val="000000" w:themeColor="text1"/>
          <w:sz w:val="24"/>
          <w:szCs w:val="24"/>
        </w:rPr>
      </w:pPr>
      <w:bookmarkStart w:id="17" w:name="_Toc136372378"/>
      <w:bookmarkStart w:id="18" w:name="_Toc136706577"/>
      <w:bookmarkStart w:id="19" w:name="_Toc138247485"/>
      <w:r w:rsidRPr="00742342">
        <w:rPr>
          <w:rFonts w:ascii="Open Sans" w:hAnsi="Open Sans" w:cs="Open Sans"/>
          <w:color w:val="000000" w:themeColor="text1"/>
          <w:sz w:val="24"/>
          <w:szCs w:val="24"/>
        </w:rPr>
        <w:t>Introduction</w:t>
      </w:r>
      <w:bookmarkEnd w:id="17"/>
      <w:bookmarkEnd w:id="18"/>
      <w:bookmarkEnd w:id="19"/>
    </w:p>
    <w:p w14:paraId="0F8D2EE1" w14:textId="175C07DA"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 times of crises, it is almost impossible to work towards a successful solution as a single actor. Especially in hostile situations, one is forced to cooperate with multiple parties. The context of intrastate war often includes actors such as political factions, national armed </w:t>
      </w:r>
      <w:r w:rsidR="00C04DFB" w:rsidRPr="00742342">
        <w:rPr>
          <w:rFonts w:ascii="Open Sans" w:hAnsi="Open Sans" w:cs="Open Sans"/>
          <w:color w:val="000000" w:themeColor="text1"/>
          <w:sz w:val="22"/>
          <w:szCs w:val="22"/>
        </w:rPr>
        <w:t>forces,</w:t>
      </w:r>
      <w:r w:rsidRPr="00742342">
        <w:rPr>
          <w:rFonts w:ascii="Open Sans" w:hAnsi="Open Sans" w:cs="Open Sans"/>
          <w:color w:val="000000" w:themeColor="text1"/>
          <w:sz w:val="22"/>
          <w:szCs w:val="22"/>
        </w:rPr>
        <w:t xml:space="preserve"> and rebel alliances (Steinwand &amp; Metternich, 2022). All </w:t>
      </w:r>
      <w:r w:rsidR="004672C5">
        <w:rPr>
          <w:rFonts w:ascii="Open Sans" w:hAnsi="Open Sans" w:cs="Open Sans"/>
          <w:color w:val="000000" w:themeColor="text1"/>
          <w:sz w:val="22"/>
          <w:szCs w:val="22"/>
        </w:rPr>
        <w:t>involved</w:t>
      </w:r>
      <w:r w:rsidRPr="00742342">
        <w:rPr>
          <w:rFonts w:ascii="Open Sans" w:hAnsi="Open Sans" w:cs="Open Sans"/>
          <w:color w:val="000000" w:themeColor="text1"/>
          <w:sz w:val="22"/>
          <w:szCs w:val="22"/>
        </w:rPr>
        <w:t xml:space="preserve"> actors have different ideals and preferred outcomes that motivate them to actively engage in a conflict situation (Gersovitz &amp; Kriger, 2013). Cooperation seems essential in conflicts, due to the complexity of the context and the number of involved actors. Cooperation can promote dialogue, leading to a deeper understanding of the conflict, and can contribute to short-term relief, and offer a possible start to conflict resolution. But cooperation is not as easily facilitated as one might assume. There are a lot of potential pitfalls. It is often difficult to connect warring factions, as they have strong opposing ideals and ambitions. Therefore, cooperation in conflict situations calls for some level of compromise by all involved parties. The level of compromise an actor is willing to make </w:t>
      </w:r>
      <w:r w:rsidR="00CF5F8A" w:rsidRPr="00742342">
        <w:rPr>
          <w:rFonts w:ascii="Open Sans" w:hAnsi="Open Sans" w:cs="Open Sans"/>
          <w:color w:val="000000" w:themeColor="text1"/>
          <w:sz w:val="22"/>
          <w:szCs w:val="22"/>
        </w:rPr>
        <w:t>in part</w:t>
      </w:r>
      <w:r w:rsidRPr="00742342">
        <w:rPr>
          <w:rFonts w:ascii="Open Sans" w:hAnsi="Open Sans" w:cs="Open Sans"/>
          <w:color w:val="000000" w:themeColor="text1"/>
          <w:sz w:val="22"/>
          <w:szCs w:val="22"/>
        </w:rPr>
        <w:t xml:space="preserve"> depends on the nature of organization, and that of other factions involved. But the intentions and motivations of actors are not always clear. The international political playing field is becoming more complex due to the changing of relative importance of state- and non-state actors. Intergovernmental organizations play an increasingly important role in connecting this variety of players, especially in conflict situations.</w:t>
      </w:r>
    </w:p>
    <w:p w14:paraId="364C39DE"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2554C21B" w14:textId="658630BE"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As intergovernmental organizations have become one of the most </w:t>
      </w:r>
      <w:r w:rsidR="008B0DA4">
        <w:rPr>
          <w:rFonts w:ascii="Open Sans" w:hAnsi="Open Sans" w:cs="Open Sans"/>
          <w:color w:val="000000" w:themeColor="text1"/>
          <w:sz w:val="22"/>
          <w:szCs w:val="22"/>
        </w:rPr>
        <w:t>relevant</w:t>
      </w:r>
      <w:r w:rsidR="008A46FC">
        <w:rPr>
          <w:rFonts w:ascii="Open Sans" w:hAnsi="Open Sans" w:cs="Open Sans"/>
          <w:color w:val="000000" w:themeColor="text1"/>
          <w:sz w:val="22"/>
          <w:szCs w:val="22"/>
        </w:rPr>
        <w:t xml:space="preserve"> and prominent</w:t>
      </w:r>
      <w:r w:rsidRPr="00742342">
        <w:rPr>
          <w:rFonts w:ascii="Open Sans" w:hAnsi="Open Sans" w:cs="Open Sans"/>
          <w:color w:val="000000" w:themeColor="text1"/>
          <w:sz w:val="22"/>
          <w:szCs w:val="22"/>
        </w:rPr>
        <w:t xml:space="preserve"> actors in both national- and international politics, their decision-making processes may greatly influence the outcome of complex political events. Perhaps nowhere is this more visible than in conflict situations. Especially in regional conflicts, where intergovernmental organizations must engage with a plethora of different regional actors. One of these kinds of actors often involved with regional conflict is the violent non-state actor, such as rebel alliances and terrorist organizations. The central hypothesis of this thesis is that the decision-making process of intergovernmental organizations influences how intergovernmental organizations engage with these violent non-state actors. To further explore this subject, this chapter will start with an exposition of international actors, diving into their origins, focusing specifically on intergovernmental organizations. Afterwards, insights about intergovernmental organizations will be coupled to the dynamic of conflict, which greatly influences the decision-making processes of intergovernmental organizations. These understandings will lead to certain conditions in which intergovernmental organizations can achieve relative achievements in their ambitions in dealing with violent non-state actors. These conditions will shape a theoretical framework, which will serve as the theoretical foundation of this thesis. </w:t>
      </w:r>
    </w:p>
    <w:p w14:paraId="3FA75216"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1104EC63" w14:textId="77777777" w:rsidR="00C4198B" w:rsidRPr="00742342" w:rsidRDefault="00C4198B" w:rsidP="00AC21C6">
      <w:pPr>
        <w:pStyle w:val="Heading2"/>
        <w:spacing w:line="276" w:lineRule="auto"/>
        <w:rPr>
          <w:rFonts w:ascii="Open Sans" w:hAnsi="Open Sans" w:cs="Open Sans"/>
          <w:color w:val="000000" w:themeColor="text1"/>
          <w:sz w:val="24"/>
          <w:szCs w:val="24"/>
        </w:rPr>
      </w:pPr>
    </w:p>
    <w:p w14:paraId="04ED5601" w14:textId="5DDF0CB7" w:rsidR="00C4198B" w:rsidRPr="00742342" w:rsidRDefault="00C4198B" w:rsidP="003E2BDE">
      <w:pPr>
        <w:pStyle w:val="Heading2"/>
        <w:numPr>
          <w:ilvl w:val="1"/>
          <w:numId w:val="6"/>
        </w:numPr>
        <w:spacing w:line="276" w:lineRule="auto"/>
        <w:rPr>
          <w:rFonts w:ascii="Open Sans" w:hAnsi="Open Sans" w:cs="Open Sans"/>
          <w:color w:val="000000" w:themeColor="text1"/>
          <w:sz w:val="24"/>
          <w:szCs w:val="24"/>
        </w:rPr>
      </w:pPr>
      <w:bookmarkStart w:id="20" w:name="_Toc136372379"/>
      <w:bookmarkStart w:id="21" w:name="_Toc136706578"/>
      <w:bookmarkStart w:id="22" w:name="_Toc138247486"/>
      <w:r w:rsidRPr="00742342">
        <w:rPr>
          <w:rFonts w:ascii="Open Sans" w:hAnsi="Open Sans" w:cs="Open Sans"/>
          <w:color w:val="000000" w:themeColor="text1"/>
          <w:sz w:val="24"/>
          <w:szCs w:val="24"/>
        </w:rPr>
        <w:t>Intergovernmental organizations in international conflicts</w:t>
      </w:r>
      <w:bookmarkEnd w:id="20"/>
      <w:bookmarkEnd w:id="21"/>
      <w:bookmarkEnd w:id="22"/>
    </w:p>
    <w:p w14:paraId="2E141B9F" w14:textId="2A8F95A9"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Modern-day conflict often includes a great diversity of involved actors. There has been an increase in activity by global non-state actors (Langhorne, 2005). The fall of the Soviet Union led to a shift in threats to security (Ibid, 2005). The fall of the bipolar world order made the risk of a large interstate war</w:t>
      </w:r>
      <w:r w:rsidR="006418CE" w:rsidRPr="00742342">
        <w:rPr>
          <w:rFonts w:ascii="Open Sans" w:hAnsi="Open Sans" w:cs="Open Sans"/>
          <w:color w:val="000000" w:themeColor="text1"/>
          <w:sz w:val="22"/>
          <w:szCs w:val="22"/>
        </w:rPr>
        <w:t>s</w:t>
      </w:r>
      <w:r w:rsidRPr="00742342">
        <w:rPr>
          <w:rFonts w:ascii="Open Sans" w:hAnsi="Open Sans" w:cs="Open Sans"/>
          <w:color w:val="000000" w:themeColor="text1"/>
          <w:sz w:val="22"/>
          <w:szCs w:val="22"/>
        </w:rPr>
        <w:t xml:space="preserve"> less present, </w:t>
      </w:r>
      <w:r w:rsidR="000143B7">
        <w:rPr>
          <w:rFonts w:ascii="Open Sans" w:hAnsi="Open Sans" w:cs="Open Sans"/>
          <w:color w:val="000000" w:themeColor="text1"/>
          <w:sz w:val="22"/>
          <w:szCs w:val="22"/>
        </w:rPr>
        <w:t>as</w:t>
      </w:r>
      <w:r w:rsidRPr="00742342">
        <w:rPr>
          <w:rFonts w:ascii="Open Sans" w:hAnsi="Open Sans" w:cs="Open Sans"/>
          <w:color w:val="000000" w:themeColor="text1"/>
          <w:sz w:val="22"/>
          <w:szCs w:val="22"/>
        </w:rPr>
        <w:t xml:space="preserve"> nation-states faced different threats to their peace and stability (Ibid, 2005). The dissolution of the USSR led to the emergence of new nation-states in Eastern Europe and large parts of Asia, where struggles for new leadership often led to conflict. These intrastate conflicts were often politically, ethnically, or religiously motivated. When a state is plagued by a political unstable system, the risk of escalation of a conflict is increased (McGillivray et al., 2011). So-called fragile states</w:t>
      </w:r>
      <w:r w:rsidRPr="00742342">
        <w:rPr>
          <w:rStyle w:val="FootnoteReference"/>
          <w:rFonts w:ascii="Open Sans" w:hAnsi="Open Sans" w:cs="Open Sans"/>
          <w:color w:val="000000" w:themeColor="text1"/>
          <w:sz w:val="22"/>
          <w:szCs w:val="22"/>
        </w:rPr>
        <w:footnoteReference w:id="4"/>
      </w:r>
      <w:r w:rsidRPr="00742342">
        <w:rPr>
          <w:rFonts w:ascii="Open Sans" w:hAnsi="Open Sans" w:cs="Open Sans"/>
          <w:color w:val="000000" w:themeColor="text1"/>
          <w:sz w:val="22"/>
          <w:szCs w:val="22"/>
        </w:rPr>
        <w:t xml:space="preserve"> are especially vulnerable to forced leadership change, often including violent conflict. In these cases, there is an increased risk of escalation. In such a situation, a conflict that occurs within the borders of a state can have large international effects. To face national- and international crises, nation-states often turn to international organizations (Olsson &amp; Verbeek, 2013). International organizations serve as one of the most important actors in modern-day world politics. </w:t>
      </w:r>
    </w:p>
    <w:p w14:paraId="54746380"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1019FCF2" w14:textId="1D19FA52"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International organizations have played a major role in striving for peace among nations. Throughout history increased interdependence has led to increased international cooperation, resulting in efforts to create and maintain stability. In the 19</w:t>
      </w:r>
      <w:r w:rsidRPr="00742342">
        <w:rPr>
          <w:rFonts w:ascii="Open Sans" w:hAnsi="Open Sans" w:cs="Open Sans"/>
          <w:color w:val="000000" w:themeColor="text1"/>
          <w:sz w:val="22"/>
          <w:szCs w:val="22"/>
          <w:vertAlign w:val="superscript"/>
        </w:rPr>
        <w:t>th</w:t>
      </w:r>
      <w:r w:rsidRPr="00742342">
        <w:rPr>
          <w:rFonts w:ascii="Open Sans" w:hAnsi="Open Sans" w:cs="Open Sans"/>
          <w:color w:val="000000" w:themeColor="text1"/>
          <w:sz w:val="22"/>
          <w:szCs w:val="22"/>
        </w:rPr>
        <w:t xml:space="preserve"> century, the great powers of Europe formed a loose alliance to maintain the power of balance, known as the Concert of Europe (Elrod, 1976). Although not strictly an international organization, the congress of Vienna (1814 - 1815) saw nation-states cooperating with the aim of creating a stable European political system, which some see as the first international organization in the form that we know it today (Elrod, 1976). Some scholars identify the League of Nations (1919) as the first modern intergovernmental organization (Goodrich, 1947; Reinalda, 2014). The League aimed to secure collective peace worldwide, through negotiation and global cooperation (Goodrich, 1947). Although the League was successful in negotiating truces in regional conflicts</w:t>
      </w:r>
      <w:r w:rsidRPr="00742342">
        <w:rPr>
          <w:rStyle w:val="FootnoteReference"/>
          <w:rFonts w:ascii="Open Sans" w:hAnsi="Open Sans" w:cs="Open Sans"/>
          <w:color w:val="000000" w:themeColor="text1"/>
          <w:sz w:val="22"/>
          <w:szCs w:val="22"/>
        </w:rPr>
        <w:footnoteReference w:id="5"/>
      </w:r>
      <w:r w:rsidRPr="00742342">
        <w:rPr>
          <w:rFonts w:ascii="Open Sans" w:hAnsi="Open Sans" w:cs="Open Sans"/>
          <w:color w:val="000000" w:themeColor="text1"/>
          <w:sz w:val="22"/>
          <w:szCs w:val="22"/>
        </w:rPr>
        <w:t>, it eventually did not prevent the outbreak of the Second World War, which eventually led to its dismantlement. After the Second World War, countries recognized the failure of the League of Nations in its initial purpose; preventing war (Goodrich, 1947). To reiterate international ambitions to preserve world-</w:t>
      </w:r>
      <w:r w:rsidRPr="00742342">
        <w:rPr>
          <w:rFonts w:ascii="Open Sans" w:hAnsi="Open Sans" w:cs="Open Sans"/>
          <w:color w:val="000000" w:themeColor="text1"/>
          <w:sz w:val="22"/>
          <w:szCs w:val="22"/>
        </w:rPr>
        <w:lastRenderedPageBreak/>
        <w:t>wide peace, the great post</w:t>
      </w:r>
      <w:r w:rsidR="00651ABC">
        <w:rPr>
          <w:rFonts w:ascii="Open Sans" w:hAnsi="Open Sans" w:cs="Open Sans"/>
          <w:color w:val="000000" w:themeColor="text1"/>
          <w:sz w:val="22"/>
          <w:szCs w:val="22"/>
        </w:rPr>
        <w:t>-</w:t>
      </w:r>
      <w:r w:rsidR="006B7427" w:rsidRPr="00742342">
        <w:rPr>
          <w:rFonts w:ascii="Open Sans" w:hAnsi="Open Sans" w:cs="Open Sans"/>
          <w:color w:val="000000" w:themeColor="text1"/>
          <w:sz w:val="22"/>
          <w:szCs w:val="22"/>
        </w:rPr>
        <w:t xml:space="preserve">World War </w:t>
      </w:r>
      <w:r w:rsidR="0071446E" w:rsidRPr="00742342">
        <w:rPr>
          <w:rFonts w:ascii="Open Sans" w:hAnsi="Open Sans" w:cs="Open Sans"/>
          <w:color w:val="000000" w:themeColor="text1"/>
          <w:sz w:val="22"/>
          <w:szCs w:val="22"/>
        </w:rPr>
        <w:t>II</w:t>
      </w:r>
      <w:r w:rsidRPr="00742342">
        <w:rPr>
          <w:rFonts w:ascii="Open Sans" w:hAnsi="Open Sans" w:cs="Open Sans"/>
          <w:color w:val="000000" w:themeColor="text1"/>
          <w:sz w:val="22"/>
          <w:szCs w:val="22"/>
        </w:rPr>
        <w:t xml:space="preserve"> powers drafted the concept of the UN Charter, which was ratified on 24 October 1945, signaling the birth of the United Nations (Edis, 1992). </w:t>
      </w:r>
    </w:p>
    <w:p w14:paraId="5009826A"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17DD06AF" w14:textId="25D5B896"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influence of international organizations in regional conflicts, interstate wars, and global engagements has expanded over the years (Heyse, 2007). Non-governmental organizations such as the International Red Cross, Médecins Sans Frontières and Amnesty International are committed to protecting civilians in conflict situations. NGOs rarely perform a political function within the conflict zone (Heyse, 2007). NGOs are often arguably better in performing the necessary action required to relieve those in need than a nation-state’s government would be (Ibid, 2007). This is mostly due to the depoliticized nature of NGOs, often resulting in less resistance both internally and internationally in operating in a conflict zone (Ibid, 2007). In addition to the involvement of non-governmental organizations in (inter)national conflict, the global political sphere is continuously influenced by intergovernmental organizations. Intergovernmental organizations differ significantly from non-governmental organizations in both their origin and scope. </w:t>
      </w:r>
    </w:p>
    <w:p w14:paraId="155629D0"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258ED9EB" w14:textId="77777777" w:rsidR="00C4198B" w:rsidRPr="00742342" w:rsidRDefault="00C4198B" w:rsidP="003E2BDE">
      <w:pPr>
        <w:pStyle w:val="Heading2"/>
        <w:numPr>
          <w:ilvl w:val="1"/>
          <w:numId w:val="6"/>
        </w:numPr>
        <w:spacing w:line="276" w:lineRule="auto"/>
        <w:rPr>
          <w:rFonts w:ascii="Open Sans" w:hAnsi="Open Sans" w:cs="Open Sans"/>
          <w:color w:val="000000" w:themeColor="text1"/>
          <w:sz w:val="24"/>
          <w:szCs w:val="24"/>
        </w:rPr>
      </w:pPr>
      <w:bookmarkStart w:id="23" w:name="_Toc136372381"/>
      <w:bookmarkStart w:id="24" w:name="_Toc136706579"/>
      <w:bookmarkStart w:id="25" w:name="_Toc138247487"/>
      <w:r w:rsidRPr="00742342">
        <w:rPr>
          <w:rFonts w:ascii="Open Sans" w:hAnsi="Open Sans" w:cs="Open Sans"/>
          <w:color w:val="000000" w:themeColor="text1"/>
          <w:sz w:val="24"/>
          <w:szCs w:val="24"/>
        </w:rPr>
        <w:t>Intergovernmental organizations: governance and control</w:t>
      </w:r>
      <w:bookmarkEnd w:id="23"/>
      <w:bookmarkEnd w:id="24"/>
      <w:bookmarkEnd w:id="25"/>
    </w:p>
    <w:p w14:paraId="744ADF8A" w14:textId="328768CD"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Non-governmental organizations are often organized as charitable organizations, meaning they are legally not allowed to profit financially from their endeavors. This means that NGOs are often organized as a foundation, with a board of directors as the highest governing institution within the NGO. Intergovernmental organizations are structured differently. IGOs originate to combat transborder problems (Gardell &amp; Verbeek, 2016). IGOs are primarily governed by their member-states but enjoy varying degrees of autonomy in their leadership (Volgy et al, 2008). Shared goals and the need for cross-border approaches to global problems motivate nation-states to organize themselves in intergovernmental organizations (Gardell &amp; Verbeek, 2016). When the ideals and interests of nation-states align, they can be inclined to participate in international cooperation (Keohane, 2005). </w:t>
      </w:r>
      <w:r w:rsidR="006D47FD" w:rsidRPr="006D47FD">
        <w:rPr>
          <w:rFonts w:ascii="Open Sans" w:hAnsi="Open Sans" w:cs="Open Sans"/>
          <w:color w:val="000000" w:themeColor="text1"/>
          <w:sz w:val="22"/>
          <w:szCs w:val="22"/>
        </w:rPr>
        <w:t xml:space="preserve">However, accomplishing </w:t>
      </w:r>
      <w:r w:rsidR="00DF2D20">
        <w:rPr>
          <w:rFonts w:ascii="Open Sans" w:hAnsi="Open Sans" w:cs="Open Sans"/>
          <w:color w:val="000000" w:themeColor="text1"/>
          <w:sz w:val="22"/>
          <w:szCs w:val="22"/>
        </w:rPr>
        <w:t xml:space="preserve">this task is often </w:t>
      </w:r>
      <w:r w:rsidR="006D47FD" w:rsidRPr="006D47FD">
        <w:rPr>
          <w:rFonts w:ascii="Open Sans" w:hAnsi="Open Sans" w:cs="Open Sans"/>
          <w:color w:val="000000" w:themeColor="text1"/>
          <w:sz w:val="22"/>
          <w:szCs w:val="22"/>
        </w:rPr>
        <w:t>a complex endeavor.</w:t>
      </w:r>
      <w:r w:rsidR="00DF2D20">
        <w:rPr>
          <w:rFonts w:ascii="Open Sans" w:hAnsi="Open Sans" w:cs="Open Sans"/>
          <w:color w:val="000000" w:themeColor="text1"/>
          <w:sz w:val="22"/>
          <w:szCs w:val="22"/>
        </w:rPr>
        <w:t xml:space="preserve"> </w:t>
      </w:r>
      <w:r w:rsidRPr="00742342">
        <w:rPr>
          <w:rFonts w:ascii="Open Sans" w:hAnsi="Open Sans" w:cs="Open Sans"/>
          <w:color w:val="000000" w:themeColor="text1"/>
          <w:sz w:val="22"/>
          <w:szCs w:val="22"/>
        </w:rPr>
        <w:t xml:space="preserve">Collaboration is often not just </w:t>
      </w:r>
      <w:r w:rsidR="00B10213" w:rsidRPr="00742342">
        <w:rPr>
          <w:rFonts w:ascii="Open Sans" w:hAnsi="Open Sans" w:cs="Open Sans"/>
          <w:color w:val="000000" w:themeColor="text1"/>
          <w:sz w:val="22"/>
          <w:szCs w:val="22"/>
        </w:rPr>
        <w:t>founded</w:t>
      </w:r>
      <w:r w:rsidRPr="00742342">
        <w:rPr>
          <w:rFonts w:ascii="Open Sans" w:hAnsi="Open Sans" w:cs="Open Sans"/>
          <w:color w:val="000000" w:themeColor="text1"/>
          <w:sz w:val="22"/>
          <w:szCs w:val="22"/>
        </w:rPr>
        <w:t xml:space="preserve"> on the shared interests and preferences (Ibid, 2005)</w:t>
      </w:r>
      <w:r w:rsidR="00B10213">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 In order to accomplish a desired common goal, international collaboration necessitates the partial sacrifice of one's interests (Ibid, 2005). This creates interdependence, the involved actors are dependent on each other to pursue common interests. This is also reflected in the financial organization of intergovernmental organizations, where funding comes from member</w:t>
      </w:r>
      <w:r w:rsidR="00111368">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states (Baumann &amp; Weinlich, 2020), leading to sunken costs, reflecting the value of interdependence in intergovernmental organizations. </w:t>
      </w:r>
    </w:p>
    <w:p w14:paraId="776EA2CC"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6A685B13" w14:textId="77777777" w:rsidR="00C4198B" w:rsidRPr="00742342" w:rsidRDefault="00C4198B" w:rsidP="003E2BDE">
      <w:pPr>
        <w:pStyle w:val="Heading2"/>
        <w:numPr>
          <w:ilvl w:val="1"/>
          <w:numId w:val="6"/>
        </w:numPr>
        <w:spacing w:line="276" w:lineRule="auto"/>
        <w:rPr>
          <w:rFonts w:ascii="Open Sans" w:hAnsi="Open Sans" w:cs="Open Sans"/>
          <w:color w:val="000000" w:themeColor="text1"/>
          <w:sz w:val="24"/>
          <w:szCs w:val="24"/>
        </w:rPr>
      </w:pPr>
      <w:bookmarkStart w:id="26" w:name="_Toc136372382"/>
      <w:bookmarkStart w:id="27" w:name="_Toc136706580"/>
      <w:bookmarkStart w:id="28" w:name="_Toc138247488"/>
      <w:r w:rsidRPr="00742342">
        <w:rPr>
          <w:rFonts w:ascii="Open Sans" w:hAnsi="Open Sans" w:cs="Open Sans"/>
          <w:color w:val="000000" w:themeColor="text1"/>
          <w:sz w:val="24"/>
          <w:szCs w:val="24"/>
        </w:rPr>
        <w:lastRenderedPageBreak/>
        <w:t>The scope of intergovernmental organizations</w:t>
      </w:r>
      <w:bookmarkEnd w:id="26"/>
      <w:bookmarkEnd w:id="27"/>
      <w:bookmarkEnd w:id="28"/>
    </w:p>
    <w:p w14:paraId="463864B4" w14:textId="47327F5F"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Intergovernmental organizations are established by nation-states to serve a multitude of possible purposes. They facilitate international collaboration and further the collective interests of nation-states (Reinalda, 2014).</w:t>
      </w:r>
      <w:r w:rsidR="008E54CF">
        <w:rPr>
          <w:rFonts w:ascii="Open Sans" w:hAnsi="Open Sans" w:cs="Open Sans"/>
          <w:color w:val="000000" w:themeColor="text1"/>
          <w:sz w:val="22"/>
          <w:szCs w:val="22"/>
        </w:rPr>
        <w:t xml:space="preserve"> IGOs have specific </w:t>
      </w:r>
      <w:r w:rsidRPr="00742342">
        <w:rPr>
          <w:rFonts w:ascii="Open Sans" w:hAnsi="Open Sans" w:cs="Open Sans"/>
          <w:color w:val="000000" w:themeColor="text1"/>
          <w:sz w:val="22"/>
          <w:szCs w:val="22"/>
        </w:rPr>
        <w:t xml:space="preserve">goals depending on their respective mandates, but through cooperation and combined coordination intergovernmental organizations often seek to improve upon global problems (Ibid, 2014). A common area of interest for IGOs is world-wide economic development, signified by the existence of the World Bank, the International Monetary Fund, and regional development banks. Besides economic development, a large part of IGOs focus on humanitarian assistance. The attention to humanitarianism is suited to an organization like an IGO because humanitarian issues are often not </w:t>
      </w:r>
      <w:r w:rsidR="00D46C25" w:rsidRPr="00742342">
        <w:rPr>
          <w:rFonts w:ascii="Open Sans" w:hAnsi="Open Sans" w:cs="Open Sans"/>
          <w:color w:val="000000" w:themeColor="text1"/>
          <w:sz w:val="22"/>
          <w:szCs w:val="22"/>
        </w:rPr>
        <w:t>constrained</w:t>
      </w:r>
      <w:r w:rsidRPr="00742342">
        <w:rPr>
          <w:rFonts w:ascii="Open Sans" w:hAnsi="Open Sans" w:cs="Open Sans"/>
          <w:color w:val="000000" w:themeColor="text1"/>
          <w:sz w:val="22"/>
          <w:szCs w:val="22"/>
        </w:rPr>
        <w:t xml:space="preserve"> to a single nation-state and require a cross-border solution (Autesserre, 2014; Baumann &amp; Weinlich, 2020). Different organizations may focus on human rights, healthcare, social welfare, or development aid. This is no different from the humanitarian ambitions of certain non-governmental organizations. </w:t>
      </w:r>
    </w:p>
    <w:p w14:paraId="7C7C346A"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43F3BD58"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distinction between IGOs and non-governmental organizations (NGOs) lies in their mandate and the scope and ambition of their international aid (Volgy et al., 2008). NGOs focus on relieving immediate pain and suffering of a population in need, while IGOs often go a step further, actively engaging in solving the root causes of the conflict (Ibid, 2008). They do this both to prevent further harm and to advance their own agenda. Formally, intergovernmental organizations are based on interstate treaties, but the way they are organized makes them an actor in their own right. This makes intergovernmental organizations inherently more politicized because their ambitions often overlap or clash with local governance. In no specific area is the politicization of IGOs more visible than with peacebuilding and -keeping. Collective desired outcomes of a violent crisis are determined by a shared agenda of the member-states. While problems with the involvement of intergovernmental organizations exists, as I will discuss later in this chapter, one can generally expect that the nature of an IGO is to further improve upon global conflicts and inequalities.  </w:t>
      </w:r>
    </w:p>
    <w:p w14:paraId="78B3B61A" w14:textId="77777777" w:rsidR="00C4198B" w:rsidRPr="00742342" w:rsidRDefault="00C4198B" w:rsidP="00AC21C6">
      <w:pPr>
        <w:tabs>
          <w:tab w:val="left" w:pos="1108"/>
        </w:tabs>
        <w:spacing w:line="276" w:lineRule="auto"/>
        <w:jc w:val="both"/>
        <w:rPr>
          <w:rFonts w:ascii="Open Sans" w:hAnsi="Open Sans" w:cs="Open Sans"/>
          <w:color w:val="000000" w:themeColor="text1"/>
          <w:sz w:val="22"/>
          <w:szCs w:val="22"/>
        </w:rPr>
      </w:pPr>
    </w:p>
    <w:p w14:paraId="215DFB2F" w14:textId="77777777" w:rsidR="00C4198B" w:rsidRPr="00742342" w:rsidRDefault="00C4198B" w:rsidP="003E2BDE">
      <w:pPr>
        <w:pStyle w:val="Heading2"/>
        <w:numPr>
          <w:ilvl w:val="1"/>
          <w:numId w:val="6"/>
        </w:numPr>
        <w:spacing w:line="276" w:lineRule="auto"/>
        <w:rPr>
          <w:rFonts w:ascii="Open Sans" w:hAnsi="Open Sans" w:cs="Open Sans"/>
          <w:color w:val="000000" w:themeColor="text1"/>
          <w:sz w:val="24"/>
          <w:szCs w:val="24"/>
        </w:rPr>
      </w:pPr>
      <w:bookmarkStart w:id="29" w:name="_Toc136372383"/>
      <w:bookmarkStart w:id="30" w:name="_Toc136706581"/>
      <w:bookmarkStart w:id="31" w:name="_Toc138247489"/>
      <w:r w:rsidRPr="00742342">
        <w:rPr>
          <w:rFonts w:ascii="Open Sans" w:hAnsi="Open Sans" w:cs="Open Sans"/>
          <w:color w:val="000000" w:themeColor="text1"/>
          <w:sz w:val="24"/>
          <w:szCs w:val="24"/>
        </w:rPr>
        <w:t>The formal organization of IGOs</w:t>
      </w:r>
      <w:bookmarkEnd w:id="29"/>
      <w:bookmarkEnd w:id="30"/>
      <w:bookmarkEnd w:id="31"/>
    </w:p>
    <w:p w14:paraId="2D79F7BE" w14:textId="03293729" w:rsidR="00C4198B" w:rsidRPr="00451128"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What makes an intergovernmental organization stand out from other treaties and forms of planned</w:t>
      </w:r>
      <w:r w:rsidR="00AD31EB">
        <w:rPr>
          <w:rFonts w:ascii="Open Sans" w:hAnsi="Open Sans" w:cs="Open Sans"/>
          <w:color w:val="000000" w:themeColor="text1"/>
          <w:sz w:val="22"/>
          <w:szCs w:val="22"/>
        </w:rPr>
        <w:t xml:space="preserve"> international</w:t>
      </w:r>
      <w:r w:rsidRPr="00742342">
        <w:rPr>
          <w:rFonts w:ascii="Open Sans" w:hAnsi="Open Sans" w:cs="Open Sans"/>
          <w:color w:val="000000" w:themeColor="text1"/>
          <w:sz w:val="22"/>
          <w:szCs w:val="22"/>
        </w:rPr>
        <w:t xml:space="preserve"> cooperation is the formal organization. A formal intergovernmental organization is formally established by an international treaty between nation-states (Gardell &amp; Verbeek, 2021). The organization often features a secretariat, to which the implementation of tasks is delegated to (Ibid, 2021). The secretariat can be seen as a broker, uniting the different interests of the involved member states (Olsson &amp; Verbeek, 2013). </w:t>
      </w:r>
      <w:r w:rsidR="001543EF">
        <w:rPr>
          <w:rFonts w:ascii="Open Sans" w:hAnsi="Open Sans" w:cs="Open Sans"/>
          <w:color w:val="000000" w:themeColor="text1"/>
          <w:sz w:val="22"/>
          <w:szCs w:val="22"/>
        </w:rPr>
        <w:t>Sometimes secretariats</w:t>
      </w:r>
      <w:r w:rsidR="001E18D7">
        <w:rPr>
          <w:rFonts w:ascii="Open Sans" w:hAnsi="Open Sans" w:cs="Open Sans"/>
          <w:color w:val="000000" w:themeColor="text1"/>
          <w:sz w:val="22"/>
          <w:szCs w:val="22"/>
        </w:rPr>
        <w:t xml:space="preserve"> have a lot of influence</w:t>
      </w:r>
      <w:r w:rsidRPr="00742342">
        <w:rPr>
          <w:rFonts w:ascii="Open Sans" w:hAnsi="Open Sans" w:cs="Open Sans"/>
          <w:color w:val="000000" w:themeColor="text1"/>
          <w:sz w:val="22"/>
          <w:szCs w:val="22"/>
        </w:rPr>
        <w:t>,</w:t>
      </w:r>
      <w:r w:rsidR="001543EF">
        <w:rPr>
          <w:rFonts w:ascii="Open Sans" w:hAnsi="Open Sans" w:cs="Open Sans"/>
          <w:color w:val="000000" w:themeColor="text1"/>
          <w:sz w:val="22"/>
          <w:szCs w:val="22"/>
        </w:rPr>
        <w:t xml:space="preserve"> and are able to act as an independent agent itself</w:t>
      </w:r>
      <w:r w:rsidRPr="00742342">
        <w:rPr>
          <w:rFonts w:ascii="Open Sans" w:hAnsi="Open Sans" w:cs="Open Sans"/>
          <w:color w:val="000000" w:themeColor="text1"/>
          <w:sz w:val="22"/>
          <w:szCs w:val="22"/>
        </w:rPr>
        <w:t xml:space="preserve"> (Olsson &amp; Verbeek, 2013). When the secretariat </w:t>
      </w:r>
      <w:r w:rsidRPr="00742342">
        <w:rPr>
          <w:rFonts w:ascii="Open Sans" w:hAnsi="Open Sans" w:cs="Open Sans"/>
          <w:color w:val="000000" w:themeColor="text1"/>
          <w:sz w:val="22"/>
          <w:szCs w:val="22"/>
        </w:rPr>
        <w:lastRenderedPageBreak/>
        <w:t>is involved with promoting their own agenda</w:t>
      </w:r>
      <w:r w:rsidR="001543EF">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 the autonomy of the IGO increases (Vogly et al, 2008). An IGO can be involved in differing stages of international intervention, varying from anticipating and supporting to a leadership role (Olsson &amp; Verbeek, 2013, p. 325). The relation between the IGO and the member states can also assume different levels of integration, which reflect their power dynamics (Vogly et al, 2008). </w:t>
      </w:r>
      <w:r w:rsidR="00C82282">
        <w:rPr>
          <w:rFonts w:ascii="Open Sans" w:hAnsi="Open Sans" w:cs="Open Sans"/>
          <w:color w:val="000000" w:themeColor="text1"/>
          <w:sz w:val="22"/>
          <w:szCs w:val="22"/>
        </w:rPr>
        <w:t xml:space="preserve">Intergovernmental organizations often feature a general assembly, where sovereign nation-states </w:t>
      </w:r>
      <w:r w:rsidR="00451128">
        <w:rPr>
          <w:rFonts w:ascii="Open Sans" w:hAnsi="Open Sans" w:cs="Open Sans"/>
          <w:color w:val="000000" w:themeColor="text1"/>
          <w:sz w:val="22"/>
          <w:szCs w:val="22"/>
        </w:rPr>
        <w:t xml:space="preserve">convene. The general assembly </w:t>
      </w:r>
      <w:r w:rsidRPr="00742342">
        <w:rPr>
          <w:rFonts w:ascii="Open Sans" w:hAnsi="Open Sans" w:cs="Open Sans"/>
          <w:color w:val="000000" w:themeColor="text1"/>
          <w:sz w:val="22"/>
          <w:szCs w:val="22"/>
        </w:rPr>
        <w:t>controls and influences the actions carried out by the IGO. The various executive organizations of the intergovernmental organization are accountable to the assembly. As a result, the member-states have great influence over the policies of the IGO. This dependency relationship manifests itself both during the policy making and agenda-setting process, and subsequently when the policy is carried out.</w:t>
      </w:r>
    </w:p>
    <w:p w14:paraId="3B21FA4F"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218C6AB7" w14:textId="04B5CDAB"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Combining insights about governance and control, the purpose, and the organizational </w:t>
      </w:r>
      <w:r w:rsidR="00D34D32">
        <w:rPr>
          <w:rFonts w:ascii="Open Sans" w:hAnsi="Open Sans" w:cs="Open Sans"/>
          <w:color w:val="000000" w:themeColor="text1"/>
          <w:sz w:val="22"/>
          <w:szCs w:val="22"/>
        </w:rPr>
        <w:t>properties</w:t>
      </w:r>
      <w:r w:rsidRPr="00742342">
        <w:rPr>
          <w:rFonts w:ascii="Open Sans" w:hAnsi="Open Sans" w:cs="Open Sans"/>
          <w:color w:val="000000" w:themeColor="text1"/>
          <w:sz w:val="22"/>
          <w:szCs w:val="22"/>
        </w:rPr>
        <w:t xml:space="preserve"> of</w:t>
      </w:r>
      <w:r w:rsidR="00D34D32">
        <w:rPr>
          <w:rFonts w:ascii="Open Sans" w:hAnsi="Open Sans" w:cs="Open Sans"/>
          <w:color w:val="000000" w:themeColor="text1"/>
          <w:sz w:val="22"/>
          <w:szCs w:val="22"/>
        </w:rPr>
        <w:t xml:space="preserve"> intergovernmental organizations, </w:t>
      </w:r>
      <w:r w:rsidRPr="00742342">
        <w:rPr>
          <w:rFonts w:ascii="Open Sans" w:hAnsi="Open Sans" w:cs="Open Sans"/>
          <w:color w:val="000000" w:themeColor="text1"/>
          <w:sz w:val="22"/>
          <w:szCs w:val="22"/>
        </w:rPr>
        <w:t xml:space="preserve">for the remaining chapters of this thesis chapter I will use the definition provided by Vogly et al. (2008).  </w:t>
      </w:r>
    </w:p>
    <w:p w14:paraId="22E6A2EF"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05056400" w14:textId="1E7B77A9" w:rsidR="00C4198B" w:rsidRPr="00742342" w:rsidRDefault="00C4198B" w:rsidP="00AC21C6">
      <w:pPr>
        <w:spacing w:line="276" w:lineRule="auto"/>
        <w:jc w:val="center"/>
        <w:rPr>
          <w:rStyle w:val="SubtleEmphasis"/>
          <w:rFonts w:ascii="Open Sans" w:hAnsi="Open Sans" w:cs="Open Sans"/>
          <w:color w:val="000000" w:themeColor="text1"/>
          <w:sz w:val="22"/>
          <w:szCs w:val="22"/>
        </w:rPr>
      </w:pPr>
      <w:r w:rsidRPr="00742342">
        <w:rPr>
          <w:rStyle w:val="SubtleEmphasis"/>
          <w:rFonts w:ascii="Open Sans" w:hAnsi="Open Sans" w:cs="Open Sans"/>
          <w:color w:val="000000" w:themeColor="text1"/>
          <w:sz w:val="22"/>
          <w:szCs w:val="22"/>
        </w:rPr>
        <w:t xml:space="preserve"> (Intergovernmental organizations are) entities created with sufficient organizational structure and autonomy to provide formal, ongoing, multilateral processes of decision-making between states, along with the capacity to execute the collective will of their member states – </w:t>
      </w:r>
      <w:r w:rsidRPr="00103E07">
        <w:rPr>
          <w:rStyle w:val="SubtleEmphasis"/>
          <w:rFonts w:ascii="Open Sans" w:hAnsi="Open Sans" w:cs="Open Sans"/>
          <w:i w:val="0"/>
          <w:iCs w:val="0"/>
          <w:color w:val="000000" w:themeColor="text1"/>
          <w:sz w:val="22"/>
          <w:szCs w:val="22"/>
        </w:rPr>
        <w:t>Volgy, Fausett, Grant &amp; Rodgers, 2008</w:t>
      </w:r>
      <w:r w:rsidR="00103E07">
        <w:rPr>
          <w:rStyle w:val="SubtleEmphasis"/>
          <w:rFonts w:ascii="Open Sans" w:hAnsi="Open Sans" w:cs="Open Sans"/>
          <w:i w:val="0"/>
          <w:iCs w:val="0"/>
          <w:color w:val="000000" w:themeColor="text1"/>
          <w:sz w:val="22"/>
          <w:szCs w:val="22"/>
        </w:rPr>
        <w:t>.</w:t>
      </w:r>
    </w:p>
    <w:p w14:paraId="3AD9F7D1" w14:textId="77777777" w:rsidR="00C4198B" w:rsidRPr="00742342" w:rsidRDefault="00C4198B" w:rsidP="00AC21C6">
      <w:pPr>
        <w:spacing w:line="276" w:lineRule="auto"/>
        <w:jc w:val="center"/>
        <w:rPr>
          <w:rStyle w:val="SubtleEmphasis"/>
          <w:rFonts w:ascii="Open Sans" w:hAnsi="Open Sans" w:cs="Open Sans"/>
          <w:i w:val="0"/>
          <w:color w:val="000000" w:themeColor="text1"/>
          <w:sz w:val="22"/>
          <w:szCs w:val="22"/>
        </w:rPr>
      </w:pPr>
    </w:p>
    <w:p w14:paraId="5704E005" w14:textId="52D6F268" w:rsidR="00C4198B" w:rsidRPr="00742342" w:rsidRDefault="00C4198B" w:rsidP="00AC21C6">
      <w:pPr>
        <w:spacing w:line="276" w:lineRule="auto"/>
        <w:jc w:val="both"/>
        <w:rPr>
          <w:rStyle w:val="SubtleEmphasis"/>
          <w:rFonts w:ascii="Open Sans" w:hAnsi="Open Sans" w:cs="Open Sans"/>
          <w:i w:val="0"/>
          <w:color w:val="000000" w:themeColor="text1"/>
          <w:sz w:val="22"/>
          <w:szCs w:val="22"/>
        </w:rPr>
      </w:pPr>
      <w:r w:rsidRPr="00742342">
        <w:rPr>
          <w:rStyle w:val="SubtleEmphasis"/>
          <w:rFonts w:ascii="Open Sans" w:hAnsi="Open Sans" w:cs="Open Sans"/>
          <w:i w:val="0"/>
          <w:color w:val="000000" w:themeColor="text1"/>
          <w:sz w:val="22"/>
          <w:szCs w:val="22"/>
        </w:rPr>
        <w:t xml:space="preserve">In the following section of this theoretical analysis, I will dive deeper into the dynamics of conflict, and how this influences the decision-making processes of intergovernmental organizations. The actors characterizing regional conflict can be quite different to actors involved in other kinds of conflict, which shapes how intergovernmental organizations aim to engage with them. In conflict situations there is often a heightened urgency to act, as the risks of escalation are grave. </w:t>
      </w:r>
      <w:r w:rsidR="007A156E">
        <w:rPr>
          <w:rStyle w:val="SubtleEmphasis"/>
          <w:rFonts w:ascii="Open Sans" w:hAnsi="Open Sans" w:cs="Open Sans"/>
          <w:i w:val="0"/>
          <w:color w:val="000000" w:themeColor="text1"/>
          <w:sz w:val="22"/>
          <w:szCs w:val="22"/>
        </w:rPr>
        <w:t>Therefore, o</w:t>
      </w:r>
      <w:r w:rsidRPr="00742342">
        <w:rPr>
          <w:rStyle w:val="SubtleEmphasis"/>
          <w:rFonts w:ascii="Open Sans" w:hAnsi="Open Sans" w:cs="Open Sans"/>
          <w:i w:val="0"/>
          <w:color w:val="000000" w:themeColor="text1"/>
          <w:sz w:val="22"/>
          <w:szCs w:val="22"/>
        </w:rPr>
        <w:t xml:space="preserve">perating in conflict has influences on the decision-making processes of intergovernmental organizations. </w:t>
      </w:r>
      <w:r w:rsidR="007A156E">
        <w:rPr>
          <w:rStyle w:val="SubtleEmphasis"/>
          <w:rFonts w:ascii="Open Sans" w:hAnsi="Open Sans" w:cs="Open Sans"/>
          <w:i w:val="0"/>
          <w:color w:val="000000" w:themeColor="text1"/>
          <w:sz w:val="22"/>
          <w:szCs w:val="22"/>
        </w:rPr>
        <w:t xml:space="preserve">The following paragraphs will further explore this context. </w:t>
      </w:r>
    </w:p>
    <w:p w14:paraId="71130A83" w14:textId="77777777" w:rsidR="00C4198B" w:rsidRPr="00742342" w:rsidRDefault="00C4198B" w:rsidP="00AC21C6">
      <w:pPr>
        <w:spacing w:line="276" w:lineRule="auto"/>
        <w:rPr>
          <w:rStyle w:val="SubtleEmphasis"/>
          <w:rFonts w:ascii="Open Sans" w:hAnsi="Open Sans" w:cs="Open Sans"/>
          <w:i w:val="0"/>
          <w:color w:val="000000" w:themeColor="text1"/>
          <w:sz w:val="22"/>
          <w:szCs w:val="22"/>
        </w:rPr>
      </w:pPr>
    </w:p>
    <w:p w14:paraId="0287369C" w14:textId="0FEAB02B" w:rsidR="00C4198B" w:rsidRPr="00742342" w:rsidRDefault="00C4198B" w:rsidP="003E2BDE">
      <w:pPr>
        <w:pStyle w:val="Heading2"/>
        <w:numPr>
          <w:ilvl w:val="1"/>
          <w:numId w:val="6"/>
        </w:numPr>
        <w:spacing w:line="276" w:lineRule="auto"/>
        <w:rPr>
          <w:rFonts w:ascii="Open Sans" w:hAnsi="Open Sans" w:cs="Open Sans"/>
          <w:color w:val="000000" w:themeColor="text1"/>
          <w:sz w:val="24"/>
          <w:szCs w:val="24"/>
        </w:rPr>
      </w:pPr>
      <w:bookmarkStart w:id="32" w:name="_Toc136372384"/>
      <w:bookmarkStart w:id="33" w:name="_Toc136706582"/>
      <w:bookmarkStart w:id="34" w:name="_Toc138247490"/>
      <w:r w:rsidRPr="00742342">
        <w:rPr>
          <w:rFonts w:ascii="Open Sans" w:hAnsi="Open Sans" w:cs="Open Sans"/>
          <w:color w:val="000000" w:themeColor="text1"/>
          <w:sz w:val="24"/>
          <w:szCs w:val="24"/>
        </w:rPr>
        <w:t>Conflict dynamics in regional conflicts</w:t>
      </w:r>
      <w:bookmarkEnd w:id="32"/>
      <w:bookmarkEnd w:id="33"/>
      <w:bookmarkEnd w:id="34"/>
    </w:p>
    <w:p w14:paraId="1846AB42" w14:textId="6D00B2C1"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context of international relations has always been influenced by a multitude of involved actors. But the focus of international political analysis seems to be shifting from its original theoretical boundaries. In addition to the </w:t>
      </w:r>
      <w:r w:rsidR="00545091" w:rsidRPr="00742342">
        <w:rPr>
          <w:rFonts w:ascii="Open Sans" w:hAnsi="Open Sans" w:cs="Open Sans"/>
          <w:color w:val="000000" w:themeColor="text1"/>
          <w:sz w:val="22"/>
          <w:szCs w:val="22"/>
        </w:rPr>
        <w:t>ever-continuing</w:t>
      </w:r>
      <w:r w:rsidRPr="00742342">
        <w:rPr>
          <w:rFonts w:ascii="Open Sans" w:hAnsi="Open Sans" w:cs="Open Sans"/>
          <w:color w:val="000000" w:themeColor="text1"/>
          <w:sz w:val="22"/>
          <w:szCs w:val="22"/>
        </w:rPr>
        <w:t xml:space="preserve"> relevance of nation</w:t>
      </w:r>
      <w:r w:rsidR="00545091">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states, </w:t>
      </w:r>
      <w:r w:rsidR="00B15BAE">
        <w:rPr>
          <w:rFonts w:ascii="Open Sans" w:hAnsi="Open Sans" w:cs="Open Sans"/>
          <w:color w:val="000000" w:themeColor="text1"/>
          <w:sz w:val="22"/>
          <w:szCs w:val="22"/>
        </w:rPr>
        <w:t xml:space="preserve">the </w:t>
      </w:r>
      <w:r w:rsidRPr="00742342">
        <w:rPr>
          <w:rFonts w:ascii="Open Sans" w:hAnsi="Open Sans" w:cs="Open Sans"/>
          <w:color w:val="000000" w:themeColor="text1"/>
          <w:sz w:val="22"/>
          <w:szCs w:val="22"/>
        </w:rPr>
        <w:t xml:space="preserve">international </w:t>
      </w:r>
      <w:r w:rsidR="00B15BAE">
        <w:rPr>
          <w:rFonts w:ascii="Open Sans" w:hAnsi="Open Sans" w:cs="Open Sans"/>
          <w:color w:val="000000" w:themeColor="text1"/>
          <w:sz w:val="22"/>
          <w:szCs w:val="22"/>
        </w:rPr>
        <w:t>political spectrum</w:t>
      </w:r>
      <w:r w:rsidRPr="00742342">
        <w:rPr>
          <w:rFonts w:ascii="Open Sans" w:hAnsi="Open Sans" w:cs="Open Sans"/>
          <w:color w:val="000000" w:themeColor="text1"/>
          <w:sz w:val="22"/>
          <w:szCs w:val="22"/>
        </w:rPr>
        <w:t xml:space="preserve"> is increasingly shaped by non-state actors (Aydinli, 2016). Non-state actors come in many forms and are not easily captured by one single definition. It is implied that non-state actors often exercise some form of power (Ataman, 2003), and seek to use their power to achieve objectives, such as political power, economic gain, territorial control, or philanthropic and humanitarian goals (Ataman, </w:t>
      </w:r>
      <w:r w:rsidRPr="00742342">
        <w:rPr>
          <w:rFonts w:ascii="Open Sans" w:hAnsi="Open Sans" w:cs="Open Sans"/>
          <w:color w:val="000000" w:themeColor="text1"/>
          <w:sz w:val="22"/>
          <w:szCs w:val="22"/>
        </w:rPr>
        <w:lastRenderedPageBreak/>
        <w:t xml:space="preserve">2003; Aydinli, 2016; Ezrow, 2017). Non-state actors operate largely or entirely outside of the traditional mandate of a sovereign state and can have varying levels of independence from government control, depending on the type. Different types of non-state actors can impact global politics, economics, and (inter)-national security (Josselin &amp; Wallace, 2001). </w:t>
      </w:r>
    </w:p>
    <w:p w14:paraId="7C1FA158" w14:textId="77777777" w:rsidR="008170D3" w:rsidRPr="00742342" w:rsidRDefault="008170D3" w:rsidP="00AC21C6">
      <w:pPr>
        <w:spacing w:line="276" w:lineRule="auto"/>
        <w:jc w:val="both"/>
        <w:rPr>
          <w:rFonts w:ascii="Open Sans" w:hAnsi="Open Sans" w:cs="Open Sans"/>
          <w:color w:val="000000" w:themeColor="text1"/>
          <w:sz w:val="22"/>
          <w:szCs w:val="22"/>
        </w:rPr>
      </w:pPr>
    </w:p>
    <w:p w14:paraId="1DE883C6" w14:textId="28147482" w:rsidR="00C4198B" w:rsidRPr="00742342" w:rsidRDefault="005A00A3"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 some cases,</w:t>
      </w:r>
      <w:r w:rsidR="00C4198B" w:rsidRPr="00742342">
        <w:rPr>
          <w:rFonts w:ascii="Open Sans" w:hAnsi="Open Sans" w:cs="Open Sans"/>
          <w:color w:val="000000" w:themeColor="text1"/>
          <w:sz w:val="22"/>
          <w:szCs w:val="22"/>
        </w:rPr>
        <w:t xml:space="preserve"> non-state actors attempt to achieve their goals by force, harnessing military power to gain influence. These so-called violent non-state actors (VNSAs) challenge the sovereign state’s monopoly on violence (Waters &amp; Weber, 2015), imposing their political agenda upon others with force. Violent non-state actors can take many forms, including ethnic or religious insurgent groups, terrorist organizations and criminal organizations</w:t>
      </w:r>
      <w:r w:rsidR="00AF4617" w:rsidRPr="00742342">
        <w:rPr>
          <w:rStyle w:val="FootnoteReference"/>
          <w:rFonts w:ascii="Open Sans" w:hAnsi="Open Sans" w:cs="Open Sans"/>
          <w:color w:val="000000" w:themeColor="text1"/>
          <w:sz w:val="22"/>
          <w:szCs w:val="22"/>
        </w:rPr>
        <w:footnoteReference w:id="6"/>
      </w:r>
      <w:r w:rsidR="00C4198B" w:rsidRPr="00742342">
        <w:rPr>
          <w:rFonts w:ascii="Open Sans" w:hAnsi="Open Sans" w:cs="Open Sans"/>
          <w:color w:val="000000" w:themeColor="text1"/>
          <w:sz w:val="22"/>
          <w:szCs w:val="22"/>
        </w:rPr>
        <w:t xml:space="preserve"> (San-Akca, 2017). VNSAs like rebel alliances and terrorist organizations are very diverse in their goals and methods, but often share ‘the potential to disturb, undermine, or completely truncate processes of peace- and state-building (Hofmann &amp; Schneckener, 2011, p. 604). Violent non-state actors have an increasingly important role in modern day conflict. </w:t>
      </w:r>
      <w:r w:rsidR="00DA67FF" w:rsidRPr="00742342">
        <w:rPr>
          <w:rFonts w:ascii="Open Sans" w:hAnsi="Open Sans" w:cs="Open Sans"/>
          <w:color w:val="000000" w:themeColor="text1"/>
          <w:sz w:val="22"/>
          <w:szCs w:val="22"/>
        </w:rPr>
        <w:t>After</w:t>
      </w:r>
      <w:r w:rsidR="00C4198B" w:rsidRPr="00742342">
        <w:rPr>
          <w:rFonts w:ascii="Open Sans" w:hAnsi="Open Sans" w:cs="Open Sans"/>
          <w:color w:val="000000" w:themeColor="text1"/>
          <w:sz w:val="22"/>
          <w:szCs w:val="22"/>
        </w:rPr>
        <w:t xml:space="preserve"> the end of the Cold War, the international community believed that the change of an interstate war of great size was declining (Josselin &amp; Wallace, 2001). Instead, modern day conflict is increasingly shaped by a plethora of different regional, national, and international actors.  This does not mean that sovereign governments no longer intervene in conflict situations, but the quantity of involved actors is far greater than before (Josselin &amp; Wallace, 2001; Ezrow, 2017; Lhote, 2021; Paczyńska, 2021). This results in an increased focus on regional conflicts, as violent inter-state conflicts and </w:t>
      </w:r>
      <w:r w:rsidR="00563B02" w:rsidRPr="00742342">
        <w:rPr>
          <w:rFonts w:ascii="Open Sans" w:hAnsi="Open Sans" w:cs="Open Sans"/>
          <w:color w:val="000000" w:themeColor="text1"/>
          <w:sz w:val="22"/>
          <w:szCs w:val="22"/>
        </w:rPr>
        <w:t xml:space="preserve">global, </w:t>
      </w:r>
      <w:r w:rsidR="00ED781B" w:rsidRPr="00742342">
        <w:rPr>
          <w:rFonts w:ascii="Open Sans" w:hAnsi="Open Sans" w:cs="Open Sans"/>
          <w:color w:val="000000" w:themeColor="text1"/>
          <w:sz w:val="22"/>
          <w:szCs w:val="22"/>
        </w:rPr>
        <w:t>large-scale</w:t>
      </w:r>
      <w:r w:rsidR="00563B02" w:rsidRPr="00742342">
        <w:rPr>
          <w:rFonts w:ascii="Open Sans" w:hAnsi="Open Sans" w:cs="Open Sans"/>
          <w:color w:val="000000" w:themeColor="text1"/>
          <w:sz w:val="22"/>
          <w:szCs w:val="22"/>
        </w:rPr>
        <w:t xml:space="preserve"> wars </w:t>
      </w:r>
      <w:r w:rsidR="00C4198B" w:rsidRPr="00742342">
        <w:rPr>
          <w:rFonts w:ascii="Open Sans" w:hAnsi="Open Sans" w:cs="Open Sans"/>
          <w:color w:val="000000" w:themeColor="text1"/>
          <w:sz w:val="22"/>
          <w:szCs w:val="22"/>
        </w:rPr>
        <w:t xml:space="preserve">are less prevalent. This diversification of involved actors does not only apply to sheer number of organizations involved; different types of VNSAs can vary greatly in scope, ambition, and method. Engaging with violent non-state actors can prove to be a challenge for IGOs, as VNSAs do often not conform to traditional standards of governance and cooperation. </w:t>
      </w:r>
      <w:r w:rsidR="00950746">
        <w:rPr>
          <w:rFonts w:ascii="Open Sans" w:hAnsi="Open Sans" w:cs="Open Sans"/>
          <w:color w:val="000000" w:themeColor="text1"/>
          <w:sz w:val="22"/>
          <w:szCs w:val="22"/>
        </w:rPr>
        <w:t xml:space="preserve">Violent non-state actors often operate on a domestic or regional scale. </w:t>
      </w:r>
      <w:r w:rsidR="00C4198B" w:rsidRPr="00742342">
        <w:rPr>
          <w:rFonts w:ascii="Open Sans" w:hAnsi="Open Sans" w:cs="Open Sans"/>
          <w:color w:val="000000" w:themeColor="text1"/>
          <w:sz w:val="22"/>
          <w:szCs w:val="22"/>
        </w:rPr>
        <w:t xml:space="preserve">This leads to a greater involvement of intergovernmental organizations in regional conflicts. Regional conflicts often include a plethora of actors, both domestic and international (Ibid, 2017). Within regional crises, there is often a risk of humanitarian suffering, as government- and non-state forces engage in a struggle for the power to govern, leaving the population suffering the consequences. </w:t>
      </w:r>
    </w:p>
    <w:p w14:paraId="7C140BFB"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281CA036" w14:textId="03EE1851"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Oftentimes, these problems take the shape of, or are perceived as a crisis. What constitutes a crisis depends on the conceptualization, which is determined by the scope the researcher uses. In International Relations theory, researchers use an objectivist definition of crisis (Gardell &amp; Verbeek, 2021). This means that a crisis is observed when a </w:t>
      </w:r>
      <w:r w:rsidRPr="00742342">
        <w:rPr>
          <w:rFonts w:ascii="Open Sans" w:hAnsi="Open Sans" w:cs="Open Sans"/>
          <w:color w:val="000000" w:themeColor="text1"/>
          <w:sz w:val="22"/>
          <w:szCs w:val="22"/>
        </w:rPr>
        <w:lastRenderedPageBreak/>
        <w:t>social system is on the verge of collapse (</w:t>
      </w:r>
      <w:proofErr w:type="spellStart"/>
      <w:r w:rsidRPr="00742342">
        <w:rPr>
          <w:rFonts w:ascii="Open Sans" w:hAnsi="Open Sans" w:cs="Open Sans"/>
          <w:color w:val="000000" w:themeColor="text1"/>
          <w:sz w:val="22"/>
          <w:szCs w:val="22"/>
        </w:rPr>
        <w:t>Brecher</w:t>
      </w:r>
      <w:proofErr w:type="spellEnd"/>
      <w:r w:rsidRPr="00742342">
        <w:rPr>
          <w:rFonts w:ascii="Open Sans" w:hAnsi="Open Sans" w:cs="Open Sans"/>
          <w:color w:val="000000" w:themeColor="text1"/>
          <w:sz w:val="22"/>
          <w:szCs w:val="22"/>
        </w:rPr>
        <w:t xml:space="preserve"> &amp; Wilkenfeld, 1997). In contrast to the objectivist definition, one can also define a crisis by the subjective notion, often utilized by crisis management and public administration scholars. The subjective definition of crisis puts not the system, but the actors, and their perception central (Hermann, 1963). This leads to a definition of crisis where “events threaten actors’ high-priority goals that restrict the amount of time available” (Gardell &amp; Verbeek, 2021, p. 277; Hermann 1963). Following this definition, there are many types of events that can threaten an actor. Crises can have far-reaching consequences on the day-to-day activities of states, domestic non-state actors and international organizations. Different types of crises are often interconnected and can reinforce one another. This is the case with regional conflicts. Often starting out as political crises, political instability can lead to violent conflicts, plummeting a country into a regional war. These crises can affect international actors through the spread of refugees and cause widespread geopolitical instability, which leads to the involvement of international actors, including intergovernmental organizations. </w:t>
      </w:r>
    </w:p>
    <w:p w14:paraId="6D3AED30"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08AA45C6" w14:textId="312CE656" w:rsidR="00C4198B" w:rsidRPr="00742342" w:rsidRDefault="00C4198B" w:rsidP="00AC21C6">
      <w:pPr>
        <w:spacing w:line="276" w:lineRule="auto"/>
        <w:jc w:val="both"/>
        <w:rPr>
          <w:rStyle w:val="SubtleEmphasis"/>
          <w:rFonts w:ascii="Open Sans" w:hAnsi="Open Sans" w:cs="Open Sans"/>
          <w:i w:val="0"/>
          <w:color w:val="000000" w:themeColor="text1"/>
          <w:sz w:val="22"/>
          <w:szCs w:val="22"/>
        </w:rPr>
      </w:pPr>
      <w:r w:rsidRPr="00742342">
        <w:rPr>
          <w:rFonts w:ascii="Open Sans" w:hAnsi="Open Sans" w:cs="Open Sans"/>
          <w:color w:val="000000" w:themeColor="text1"/>
          <w:sz w:val="22"/>
          <w:szCs w:val="22"/>
        </w:rPr>
        <w:t>As discussed before, intergovernmental organizations are often involved in regional conflicts. By trying to find a diplomatic solution to a political emergency, IGOs can often be seen intervening in crisis situations, to prevent human suffering and build towards a stable, peaceful permanent solution. For this ambition to realize, IGOs sometimes need to engage with violent non-state actors. VNSAs are often involved in conflicts that require the intervention of IGOs to provide humanitarian aid and peacekeeping efforts. Consequently, IGOs depend on VNSAs to allow access to affected populations and to negotiate ceasefires and peace agreements. VNSAs often have the power to hinder the presence of both IGOs and NGOs in the affected area, as they feel that such organizations undermine their power. But the aid the IGO provides, often also benefits the VNSAs (Autesserre, 2014). The same dependency can be seen with IGOs themselves. They are often involved in a conflict that the VNSA plays a major, oftentimes founding role in. Intergovernmental organizations must cooperate with VNSAs to establish diplomatic relations, which can later lead to de-escalation of the conflict. Cooperation can give the violent non-state actor a perceived degree of legitimacy and recognition. They seek this legitimacy from central actors like intergovernmental actors, which can serve as reinforcement to their governmental claims. This creates a mutual dependency relationship between violent non-state actors and intergovernmental organizations. One could argue that intergovernmental organizations and violent non-state actors need each other to realize their ambitions, how diverse these might be. This drives IGOs to engage with VNSAs, as they serve as a means to achieve their end. However, cooperation with a violent non-state actor is complicated. Member</w:t>
      </w:r>
      <w:r w:rsidR="00721F7D">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states of the intergovernmental organization are often averse to cooperation, regarding the VNSAs as a </w:t>
      </w:r>
      <w:r w:rsidR="00721F7D" w:rsidRPr="00742342">
        <w:rPr>
          <w:rFonts w:ascii="Open Sans" w:hAnsi="Open Sans" w:cs="Open Sans"/>
          <w:color w:val="000000" w:themeColor="text1"/>
          <w:sz w:val="22"/>
          <w:szCs w:val="22"/>
        </w:rPr>
        <w:t>threatening</w:t>
      </w:r>
      <w:r w:rsidRPr="00742342">
        <w:rPr>
          <w:rFonts w:ascii="Open Sans" w:hAnsi="Open Sans" w:cs="Open Sans"/>
          <w:color w:val="000000" w:themeColor="text1"/>
          <w:sz w:val="22"/>
          <w:szCs w:val="22"/>
        </w:rPr>
        <w:t xml:space="preserve">, non-legitimate organization. This suits the role of the intergovernmental organization, as they are further removed from the opinions and interests of the nation-state and can operate </w:t>
      </w:r>
      <w:r w:rsidRPr="00742342">
        <w:rPr>
          <w:rFonts w:ascii="Open Sans" w:hAnsi="Open Sans" w:cs="Open Sans"/>
          <w:color w:val="000000" w:themeColor="text1"/>
          <w:sz w:val="22"/>
          <w:szCs w:val="22"/>
        </w:rPr>
        <w:lastRenderedPageBreak/>
        <w:t xml:space="preserve">on their behalf. I </w:t>
      </w:r>
      <w:r w:rsidR="00A34DE8">
        <w:rPr>
          <w:rFonts w:ascii="Open Sans" w:hAnsi="Open Sans" w:cs="Open Sans"/>
          <w:color w:val="000000" w:themeColor="text1"/>
          <w:sz w:val="22"/>
          <w:szCs w:val="22"/>
        </w:rPr>
        <w:t>hypothesize</w:t>
      </w:r>
      <w:r w:rsidRPr="00742342">
        <w:rPr>
          <w:rFonts w:ascii="Open Sans" w:hAnsi="Open Sans" w:cs="Open Sans"/>
          <w:color w:val="000000" w:themeColor="text1"/>
          <w:sz w:val="22"/>
          <w:szCs w:val="22"/>
        </w:rPr>
        <w:t xml:space="preserve"> that the degree in which an intergovernmental organization is free to develop its own policy, thus being able to interact with VNSAs, is greatly influencing the potential outcomes of regional crises. The level of self-determination within an intergovernmental organization, </w:t>
      </w:r>
      <w:r w:rsidR="008D0B65">
        <w:rPr>
          <w:rFonts w:ascii="Open Sans" w:hAnsi="Open Sans" w:cs="Open Sans"/>
          <w:color w:val="000000" w:themeColor="text1"/>
          <w:sz w:val="22"/>
          <w:szCs w:val="22"/>
        </w:rPr>
        <w:t>referred to as intergovernmental autonomy</w:t>
      </w:r>
      <w:r w:rsidRPr="00742342">
        <w:rPr>
          <w:rFonts w:ascii="Open Sans" w:hAnsi="Open Sans" w:cs="Open Sans"/>
          <w:color w:val="000000" w:themeColor="text1"/>
          <w:sz w:val="22"/>
          <w:szCs w:val="22"/>
        </w:rPr>
        <w:t xml:space="preserve">, will be the central theme in the following paragraphs. </w:t>
      </w:r>
    </w:p>
    <w:p w14:paraId="07436FCF" w14:textId="77777777" w:rsidR="00C4198B" w:rsidRPr="00742342" w:rsidRDefault="00C4198B" w:rsidP="00AC21C6">
      <w:pPr>
        <w:pStyle w:val="Heading2"/>
        <w:spacing w:line="276" w:lineRule="auto"/>
        <w:rPr>
          <w:rFonts w:ascii="Open Sans" w:hAnsi="Open Sans" w:cs="Open Sans"/>
          <w:color w:val="000000" w:themeColor="text1"/>
          <w:sz w:val="24"/>
          <w:szCs w:val="24"/>
        </w:rPr>
      </w:pPr>
    </w:p>
    <w:p w14:paraId="4125187D" w14:textId="13BB90A8" w:rsidR="00C4198B" w:rsidRPr="00742342" w:rsidRDefault="00CD4184" w:rsidP="003E2BDE">
      <w:pPr>
        <w:pStyle w:val="Heading2"/>
        <w:numPr>
          <w:ilvl w:val="1"/>
          <w:numId w:val="6"/>
        </w:numPr>
        <w:spacing w:line="276" w:lineRule="auto"/>
        <w:rPr>
          <w:rFonts w:ascii="Open Sans" w:hAnsi="Open Sans" w:cs="Open Sans"/>
          <w:color w:val="000000" w:themeColor="text1"/>
          <w:sz w:val="24"/>
          <w:szCs w:val="24"/>
        </w:rPr>
      </w:pPr>
      <w:bookmarkStart w:id="35" w:name="_Toc136706583"/>
      <w:bookmarkStart w:id="36" w:name="_Toc138247491"/>
      <w:r w:rsidRPr="00742342">
        <w:rPr>
          <w:rFonts w:ascii="Open Sans" w:hAnsi="Open Sans" w:cs="Open Sans"/>
          <w:color w:val="000000" w:themeColor="text1"/>
          <w:sz w:val="24"/>
          <w:szCs w:val="24"/>
        </w:rPr>
        <w:t>The question of IGO autonomy</w:t>
      </w:r>
      <w:bookmarkEnd w:id="35"/>
      <w:bookmarkEnd w:id="36"/>
    </w:p>
    <w:p w14:paraId="47294768" w14:textId="0531A23F"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Since the emergence of intergovernmental organizations, their purpose and scope has changed significantly (Koch, 2009). While IGOs were </w:t>
      </w:r>
      <w:r w:rsidR="00B56E44">
        <w:rPr>
          <w:rFonts w:ascii="Open Sans" w:hAnsi="Open Sans" w:cs="Open Sans"/>
          <w:color w:val="000000" w:themeColor="text1"/>
          <w:sz w:val="22"/>
          <w:szCs w:val="22"/>
        </w:rPr>
        <w:t>initially</w:t>
      </w:r>
      <w:r w:rsidRPr="00742342">
        <w:rPr>
          <w:rFonts w:ascii="Open Sans" w:hAnsi="Open Sans" w:cs="Open Sans"/>
          <w:color w:val="000000" w:themeColor="text1"/>
          <w:sz w:val="22"/>
          <w:szCs w:val="22"/>
        </w:rPr>
        <w:t xml:space="preserve"> founded to deal with a specific </w:t>
      </w:r>
      <w:r w:rsidR="004A0B49" w:rsidRPr="00742342">
        <w:rPr>
          <w:rFonts w:ascii="Open Sans" w:hAnsi="Open Sans" w:cs="Open Sans"/>
          <w:color w:val="000000" w:themeColor="text1"/>
          <w:sz w:val="22"/>
          <w:szCs w:val="22"/>
        </w:rPr>
        <w:t>subject</w:t>
      </w:r>
      <w:r w:rsidRPr="00742342">
        <w:rPr>
          <w:rFonts w:ascii="Open Sans" w:hAnsi="Open Sans" w:cs="Open Sans"/>
          <w:color w:val="000000" w:themeColor="text1"/>
          <w:sz w:val="22"/>
          <w:szCs w:val="22"/>
        </w:rPr>
        <w:t>, their mandate has often expanded to dealing with various issues outside of their original goal (Ibid, 2009). This often makes them responsible for tasks that the organizations were not primarily designed for (Ibid, 2009). This new role not only facilitate</w:t>
      </w:r>
      <w:r w:rsidR="00115AF5" w:rsidRPr="00742342">
        <w:rPr>
          <w:rFonts w:ascii="Open Sans" w:hAnsi="Open Sans" w:cs="Open Sans"/>
          <w:color w:val="000000" w:themeColor="text1"/>
          <w:sz w:val="22"/>
          <w:szCs w:val="22"/>
        </w:rPr>
        <w:t>s</w:t>
      </w:r>
      <w:r w:rsidRPr="00742342">
        <w:rPr>
          <w:rFonts w:ascii="Open Sans" w:hAnsi="Open Sans" w:cs="Open Sans"/>
          <w:color w:val="000000" w:themeColor="text1"/>
          <w:sz w:val="22"/>
          <w:szCs w:val="22"/>
        </w:rPr>
        <w:t xml:space="preserve"> interstate cooperation, but </w:t>
      </w:r>
      <w:r w:rsidR="00BA53EA" w:rsidRPr="00742342">
        <w:rPr>
          <w:rFonts w:ascii="Open Sans" w:hAnsi="Open Sans" w:cs="Open Sans"/>
          <w:color w:val="000000" w:themeColor="text1"/>
          <w:sz w:val="22"/>
          <w:szCs w:val="22"/>
        </w:rPr>
        <w:t xml:space="preserve">also </w:t>
      </w:r>
      <w:r w:rsidRPr="00742342">
        <w:rPr>
          <w:rFonts w:ascii="Open Sans" w:hAnsi="Open Sans" w:cs="Open Sans"/>
          <w:color w:val="000000" w:themeColor="text1"/>
          <w:sz w:val="22"/>
          <w:szCs w:val="22"/>
        </w:rPr>
        <w:t xml:space="preserve">enables IGOs to </w:t>
      </w:r>
      <w:r w:rsidR="00E22EF1" w:rsidRPr="00742342">
        <w:rPr>
          <w:rFonts w:ascii="Open Sans" w:hAnsi="Open Sans" w:cs="Open Sans"/>
          <w:color w:val="000000" w:themeColor="text1"/>
          <w:sz w:val="22"/>
          <w:szCs w:val="22"/>
        </w:rPr>
        <w:t xml:space="preserve">create </w:t>
      </w:r>
      <w:r w:rsidRPr="00742342">
        <w:rPr>
          <w:rFonts w:ascii="Open Sans" w:hAnsi="Open Sans" w:cs="Open Sans"/>
          <w:color w:val="000000" w:themeColor="text1"/>
          <w:sz w:val="22"/>
          <w:szCs w:val="22"/>
        </w:rPr>
        <w:t>their own standards</w:t>
      </w:r>
      <w:r w:rsidR="00E22EF1" w:rsidRPr="00742342">
        <w:rPr>
          <w:rFonts w:ascii="Open Sans" w:hAnsi="Open Sans" w:cs="Open Sans"/>
          <w:color w:val="000000" w:themeColor="text1"/>
          <w:sz w:val="22"/>
          <w:szCs w:val="22"/>
        </w:rPr>
        <w:t>, informed by their own policy preferences</w:t>
      </w:r>
      <w:r w:rsidR="00DA1D00" w:rsidRPr="00742342">
        <w:rPr>
          <w:rFonts w:ascii="Open Sans" w:hAnsi="Open Sans" w:cs="Open Sans"/>
          <w:color w:val="000000" w:themeColor="text1"/>
          <w:sz w:val="22"/>
          <w:szCs w:val="22"/>
        </w:rPr>
        <w:t xml:space="preserve"> (Ibid, 2009).</w:t>
      </w:r>
      <w:r w:rsidRPr="00742342">
        <w:rPr>
          <w:rFonts w:ascii="Open Sans" w:hAnsi="Open Sans" w:cs="Open Sans"/>
          <w:color w:val="000000" w:themeColor="text1"/>
          <w:sz w:val="22"/>
          <w:szCs w:val="22"/>
        </w:rPr>
        <w:t xml:space="preserve"> </w:t>
      </w:r>
      <w:r w:rsidR="00DA1D00" w:rsidRPr="00742342">
        <w:rPr>
          <w:rFonts w:ascii="Open Sans" w:hAnsi="Open Sans" w:cs="Open Sans"/>
          <w:color w:val="000000" w:themeColor="text1"/>
          <w:sz w:val="22"/>
          <w:szCs w:val="22"/>
        </w:rPr>
        <w:t xml:space="preserve">These standards are distributed </w:t>
      </w:r>
      <w:r w:rsidRPr="00742342">
        <w:rPr>
          <w:rFonts w:ascii="Open Sans" w:hAnsi="Open Sans" w:cs="Open Sans"/>
          <w:color w:val="000000" w:themeColor="text1"/>
          <w:sz w:val="22"/>
          <w:szCs w:val="22"/>
        </w:rPr>
        <w:t>among those subjected to the IGO’s mandate (Ibid, 2009). In some cases, IGOs are able to actively enforce their own policy, like with the United Nations Protection Force during the Yugoslav wars</w:t>
      </w:r>
      <w:r w:rsidRPr="00742342">
        <w:rPr>
          <w:rStyle w:val="FootnoteReference"/>
          <w:rFonts w:ascii="Open Sans" w:hAnsi="Open Sans" w:cs="Open Sans"/>
          <w:color w:val="000000" w:themeColor="text1"/>
          <w:sz w:val="22"/>
          <w:szCs w:val="22"/>
        </w:rPr>
        <w:footnoteReference w:id="7"/>
      </w:r>
      <w:r w:rsidRPr="00742342">
        <w:rPr>
          <w:rFonts w:ascii="Open Sans" w:hAnsi="Open Sans" w:cs="Open Sans"/>
          <w:color w:val="000000" w:themeColor="text1"/>
          <w:sz w:val="22"/>
          <w:szCs w:val="22"/>
        </w:rPr>
        <w:t>. This increasing level of self-determination is shifting IGOs towards</w:t>
      </w:r>
      <w:r w:rsidR="00721E60" w:rsidRPr="00742342">
        <w:rPr>
          <w:rFonts w:ascii="Open Sans" w:hAnsi="Open Sans" w:cs="Open Sans"/>
          <w:color w:val="000000" w:themeColor="text1"/>
          <w:sz w:val="22"/>
          <w:szCs w:val="22"/>
        </w:rPr>
        <w:t xml:space="preserve"> becoming</w:t>
      </w:r>
      <w:r w:rsidRPr="00742342">
        <w:rPr>
          <w:rFonts w:ascii="Open Sans" w:hAnsi="Open Sans" w:cs="Open Sans"/>
          <w:color w:val="000000" w:themeColor="text1"/>
          <w:sz w:val="22"/>
          <w:szCs w:val="22"/>
        </w:rPr>
        <w:t xml:space="preserve"> an international </w:t>
      </w:r>
      <w:r w:rsidR="0031771F" w:rsidRPr="00742342">
        <w:rPr>
          <w:rFonts w:ascii="Open Sans" w:hAnsi="Open Sans" w:cs="Open Sans"/>
          <w:color w:val="000000" w:themeColor="text1"/>
          <w:sz w:val="22"/>
          <w:szCs w:val="22"/>
        </w:rPr>
        <w:t>player with agency</w:t>
      </w:r>
      <w:r w:rsidRPr="00742342">
        <w:rPr>
          <w:rFonts w:ascii="Open Sans" w:hAnsi="Open Sans" w:cs="Open Sans"/>
          <w:color w:val="000000" w:themeColor="text1"/>
          <w:sz w:val="22"/>
          <w:szCs w:val="22"/>
        </w:rPr>
        <w:t xml:space="preserve"> in </w:t>
      </w:r>
      <w:r w:rsidR="0031771F" w:rsidRPr="00742342">
        <w:rPr>
          <w:rFonts w:ascii="Open Sans" w:hAnsi="Open Sans" w:cs="Open Sans"/>
          <w:color w:val="000000" w:themeColor="text1"/>
          <w:sz w:val="22"/>
          <w:szCs w:val="22"/>
        </w:rPr>
        <w:t>their</w:t>
      </w:r>
      <w:r w:rsidRPr="00742342">
        <w:rPr>
          <w:rFonts w:ascii="Open Sans" w:hAnsi="Open Sans" w:cs="Open Sans"/>
          <w:color w:val="000000" w:themeColor="text1"/>
          <w:sz w:val="22"/>
          <w:szCs w:val="22"/>
        </w:rPr>
        <w:t xml:space="preserve"> own right (Koch, 2009). </w:t>
      </w:r>
    </w:p>
    <w:p w14:paraId="15A52C03"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7C9630A6" w14:textId="3420D6DD"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This leads to a new understanding of the relation between the intergovernmental organization as its own actor, and the member-states. There is a certain dependency relationship between the IGO and the member-states, flowing both ways. The IGO is dependent </w:t>
      </w:r>
      <w:r w:rsidR="008E5AF3">
        <w:rPr>
          <w:rFonts w:ascii="Open Sans" w:hAnsi="Open Sans" w:cs="Open Sans"/>
          <w:color w:val="000000" w:themeColor="text1"/>
          <w:sz w:val="22"/>
          <w:szCs w:val="22"/>
        </w:rPr>
        <w:t>on</w:t>
      </w:r>
      <w:r w:rsidRPr="00742342">
        <w:rPr>
          <w:rFonts w:ascii="Open Sans" w:hAnsi="Open Sans" w:cs="Open Sans"/>
          <w:color w:val="000000" w:themeColor="text1"/>
          <w:sz w:val="22"/>
          <w:szCs w:val="22"/>
        </w:rPr>
        <w:t xml:space="preserve"> the member-states to provide funding (Baumann &amp; Weinlich, 2020), and maintaining the trust in the organization that they can uphold the promises in their respective mandate. Respectively, member-states depend on IGOs to facilitate and promote their international agenda, and to operate in their best interests (Vaubel, 2006). The interaction and level of control by the member-states can thus vary. This leads to a certain level of autonomy for the intergovernmental organization. In essence, autonomy reflects an organization’s political independence in decision-making (D’Aspremont, 2011). It can be seen as a combination of different relationships member-states have with the intergovernmental organization, on multiple aspects. The level of control, subordination and the degree of partnership influence an IGO’s autonomy (D’Aspremont, 2011, p. 63). This constitutes to a level of self-governance and self-determination, which reflects the autonomy of an intergovernmental organization. The autonomy of an organization can be very high, in that case we speak of a (mostly) autonomously operating IGO. In other cases, autonomy might be very low, in which case we speak of an IGO with a strong degree of control (D’Aspremont, 2011; Freitas, 2005). The degree of control is in that case </w:t>
      </w:r>
      <w:r w:rsidRPr="00742342">
        <w:rPr>
          <w:rFonts w:ascii="Open Sans" w:hAnsi="Open Sans" w:cs="Open Sans"/>
          <w:color w:val="000000" w:themeColor="text1"/>
          <w:sz w:val="22"/>
          <w:szCs w:val="22"/>
        </w:rPr>
        <w:lastRenderedPageBreak/>
        <w:t xml:space="preserve">exercised by the member-states. The level of intergovernmental autonomy is not binary, meaning an IGOs autonomy cannot be described as either fully controlled or fully autonomous (Freitas, 2005). The balance between control and autonomous is not fixed either, meaning it can vary, depending on various parameters and political developments (Freitas, 2005). This leads to the theoretical depiction of the level of autonomy as a continuum, as first proposed by Freitas (2005). </w:t>
      </w:r>
    </w:p>
    <w:p w14:paraId="28D54E09" w14:textId="77777777" w:rsidR="00C4198B" w:rsidRPr="00742342" w:rsidRDefault="00C4198B" w:rsidP="00AC21C6">
      <w:pPr>
        <w:keepNext/>
        <w:spacing w:line="276" w:lineRule="auto"/>
        <w:jc w:val="center"/>
        <w:rPr>
          <w:rFonts w:ascii="Open Sans" w:hAnsi="Open Sans" w:cs="Open Sans"/>
          <w:color w:val="000000" w:themeColor="text1"/>
          <w:sz w:val="22"/>
          <w:szCs w:val="22"/>
        </w:rPr>
      </w:pPr>
      <w:r w:rsidRPr="00742342">
        <w:rPr>
          <w:rFonts w:ascii="Open Sans" w:hAnsi="Open Sans" w:cs="Open Sans"/>
          <w:noProof/>
          <w:color w:val="000000" w:themeColor="text1"/>
          <w:sz w:val="22"/>
          <w:szCs w:val="22"/>
        </w:rPr>
        <w:drawing>
          <wp:inline distT="0" distB="0" distL="0" distR="0" wp14:anchorId="589D33E4" wp14:editId="21DCA525">
            <wp:extent cx="5149653" cy="1720800"/>
            <wp:effectExtent l="0" t="0" r="0"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149653" cy="1720800"/>
                    </a:xfrm>
                    <a:prstGeom prst="rect">
                      <a:avLst/>
                    </a:prstGeom>
                  </pic:spPr>
                </pic:pic>
              </a:graphicData>
            </a:graphic>
          </wp:inline>
        </w:drawing>
      </w:r>
    </w:p>
    <w:p w14:paraId="1A1F8152" w14:textId="09A15FC9" w:rsidR="00C4198B" w:rsidRPr="00742342" w:rsidRDefault="00C4198B" w:rsidP="00AC21C6">
      <w:pPr>
        <w:pStyle w:val="Caption"/>
        <w:spacing w:line="276" w:lineRule="auto"/>
        <w:jc w:val="center"/>
        <w:rPr>
          <w:rFonts w:ascii="Open Sans" w:hAnsi="Open Sans" w:cs="Open Sans"/>
          <w:color w:val="000000" w:themeColor="text1"/>
          <w:sz w:val="16"/>
          <w:szCs w:val="16"/>
        </w:rPr>
      </w:pPr>
      <w:r w:rsidRPr="00742342">
        <w:rPr>
          <w:rFonts w:ascii="Open Sans" w:hAnsi="Open Sans" w:cs="Open Sans"/>
          <w:color w:val="000000" w:themeColor="text1"/>
          <w:sz w:val="16"/>
          <w:szCs w:val="16"/>
        </w:rPr>
        <w:t xml:space="preserve">Figure </w:t>
      </w:r>
      <w:r w:rsidRPr="00742342">
        <w:rPr>
          <w:rFonts w:ascii="Open Sans" w:hAnsi="Open Sans" w:cs="Open Sans"/>
          <w:color w:val="000000" w:themeColor="text1"/>
          <w:sz w:val="16"/>
          <w:szCs w:val="16"/>
        </w:rPr>
        <w:fldChar w:fldCharType="begin"/>
      </w:r>
      <w:r w:rsidRPr="00742342">
        <w:rPr>
          <w:rFonts w:ascii="Open Sans" w:hAnsi="Open Sans" w:cs="Open Sans"/>
          <w:color w:val="000000" w:themeColor="text1"/>
          <w:sz w:val="16"/>
          <w:szCs w:val="16"/>
        </w:rPr>
        <w:instrText xml:space="preserve"> SEQ Figure \* ARABIC </w:instrText>
      </w:r>
      <w:r w:rsidRPr="00742342">
        <w:rPr>
          <w:rFonts w:ascii="Open Sans" w:hAnsi="Open Sans" w:cs="Open Sans"/>
          <w:color w:val="000000" w:themeColor="text1"/>
          <w:sz w:val="16"/>
          <w:szCs w:val="16"/>
        </w:rPr>
        <w:fldChar w:fldCharType="separate"/>
      </w:r>
      <w:r w:rsidR="007639B7">
        <w:rPr>
          <w:rFonts w:ascii="Open Sans" w:hAnsi="Open Sans" w:cs="Open Sans"/>
          <w:noProof/>
          <w:color w:val="000000" w:themeColor="text1"/>
          <w:sz w:val="16"/>
          <w:szCs w:val="16"/>
        </w:rPr>
        <w:t>1</w:t>
      </w:r>
      <w:r w:rsidRPr="00742342">
        <w:rPr>
          <w:rFonts w:ascii="Open Sans" w:hAnsi="Open Sans" w:cs="Open Sans"/>
          <w:color w:val="000000" w:themeColor="text1"/>
          <w:sz w:val="16"/>
          <w:szCs w:val="16"/>
        </w:rPr>
        <w:fldChar w:fldCharType="end"/>
      </w:r>
      <w:r w:rsidRPr="00742342">
        <w:rPr>
          <w:rFonts w:ascii="Open Sans" w:hAnsi="Open Sans" w:cs="Open Sans"/>
          <w:color w:val="000000" w:themeColor="text1"/>
          <w:sz w:val="16"/>
          <w:szCs w:val="16"/>
        </w:rPr>
        <w:t>, varying levels of autonom</w:t>
      </w:r>
      <w:r w:rsidR="006E696D" w:rsidRPr="00742342">
        <w:rPr>
          <w:rFonts w:ascii="Open Sans" w:hAnsi="Open Sans" w:cs="Open Sans"/>
          <w:color w:val="000000" w:themeColor="text1"/>
          <w:sz w:val="16"/>
          <w:szCs w:val="16"/>
        </w:rPr>
        <w:t>y.</w:t>
      </w:r>
      <w:r w:rsidRPr="00742342">
        <w:rPr>
          <w:rFonts w:ascii="Open Sans" w:hAnsi="Open Sans" w:cs="Open Sans"/>
          <w:color w:val="000000" w:themeColor="text1"/>
          <w:sz w:val="16"/>
          <w:szCs w:val="16"/>
        </w:rPr>
        <w:t xml:space="preserve"> </w:t>
      </w:r>
      <w:r w:rsidR="006E696D" w:rsidRPr="00742342">
        <w:rPr>
          <w:rFonts w:ascii="Open Sans" w:hAnsi="Open Sans" w:cs="Open Sans"/>
          <w:color w:val="000000" w:themeColor="text1"/>
          <w:sz w:val="16"/>
          <w:szCs w:val="16"/>
        </w:rPr>
        <w:t>B</w:t>
      </w:r>
      <w:r w:rsidRPr="00742342">
        <w:rPr>
          <w:rFonts w:ascii="Open Sans" w:hAnsi="Open Sans" w:cs="Open Sans"/>
          <w:color w:val="000000" w:themeColor="text1"/>
          <w:sz w:val="16"/>
          <w:szCs w:val="16"/>
        </w:rPr>
        <w:t>ased on Freitas, 2005.</w:t>
      </w:r>
    </w:p>
    <w:p w14:paraId="45B0D64B"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Freitas (2005) introduces the concept of relative control and -autonomy as dimensions between full control, or full autonomy. The levels of autonomy are the direct result of the hierarchical relation between the intergovernmental organization and their member-states. The struggle between control and autonomy represents a conflict of preferences (Ibid, 2005). This leads to the continuum where the level of autonomy is the “distance between the preferences of the two actors” (Freitas, 2005, p. 56). </w:t>
      </w:r>
    </w:p>
    <w:p w14:paraId="2C19DB3B"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76FC340E" w14:textId="67CAE6DC" w:rsidR="00C4198B" w:rsidRPr="00742342" w:rsidRDefault="00805AF5" w:rsidP="003E2BDE">
      <w:pPr>
        <w:pStyle w:val="Heading2"/>
        <w:numPr>
          <w:ilvl w:val="1"/>
          <w:numId w:val="6"/>
        </w:numPr>
        <w:spacing w:line="276" w:lineRule="auto"/>
        <w:rPr>
          <w:rFonts w:ascii="Open Sans" w:hAnsi="Open Sans" w:cs="Open Sans"/>
          <w:color w:val="000000" w:themeColor="text1"/>
          <w:sz w:val="24"/>
          <w:szCs w:val="24"/>
        </w:rPr>
      </w:pPr>
      <w:bookmarkStart w:id="37" w:name="_Toc136372386"/>
      <w:bookmarkStart w:id="38" w:name="_Toc136706584"/>
      <w:bookmarkStart w:id="39" w:name="_Toc138247492"/>
      <w:r w:rsidRPr="00742342">
        <w:rPr>
          <w:rFonts w:ascii="Open Sans" w:hAnsi="Open Sans" w:cs="Open Sans"/>
          <w:color w:val="000000" w:themeColor="text1"/>
          <w:sz w:val="24"/>
          <w:szCs w:val="24"/>
        </w:rPr>
        <w:t>T</w:t>
      </w:r>
      <w:r w:rsidR="00C4198B" w:rsidRPr="00742342">
        <w:rPr>
          <w:rFonts w:ascii="Open Sans" w:hAnsi="Open Sans" w:cs="Open Sans"/>
          <w:color w:val="000000" w:themeColor="text1"/>
          <w:sz w:val="24"/>
          <w:szCs w:val="24"/>
        </w:rPr>
        <w:t>he spectrum of autonomy</w:t>
      </w:r>
      <w:bookmarkEnd w:id="37"/>
      <w:bookmarkEnd w:id="38"/>
      <w:bookmarkEnd w:id="39"/>
    </w:p>
    <w:p w14:paraId="4466042F" w14:textId="605D5E6A"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When </w:t>
      </w:r>
      <w:r w:rsidR="00DC52A9" w:rsidRPr="00742342">
        <w:rPr>
          <w:rFonts w:ascii="Open Sans" w:hAnsi="Open Sans" w:cs="Open Sans"/>
          <w:color w:val="000000" w:themeColor="text1"/>
          <w:sz w:val="22"/>
          <w:szCs w:val="22"/>
        </w:rPr>
        <w:t>considering</w:t>
      </w:r>
      <w:r w:rsidRPr="00742342">
        <w:rPr>
          <w:rFonts w:ascii="Open Sans" w:hAnsi="Open Sans" w:cs="Open Sans"/>
          <w:color w:val="000000" w:themeColor="text1"/>
          <w:sz w:val="22"/>
          <w:szCs w:val="22"/>
        </w:rPr>
        <w:t xml:space="preserve"> control in decision-making, the level of control represents the influence the actor has in both the decision-making, as the eventual execution of said decisions. This conception of control is thus broader than the strict monitoring of implementation. The political aspect of control is perhaps better defined as the concept of power. To define the level of control, one must assess the capacity of one actor to “exert determinant pressure over the other to make him change its contrary preference” (Freitas, 2005, p. 56). In the context of intergovernmental organizations, this means that the member-states heavily influence the agenda setting, decision-making and execution of IGO policy. </w:t>
      </w:r>
    </w:p>
    <w:p w14:paraId="18BB45BC"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636EFBC9"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opposite of strong control is strong autonomy. The relation between strong autonomy and strong control can be seen as bipolar, the two oppose one another (Freitas, 2005). There are two distinct ways to gain autonomy in policy development and -execution. The first possibility to gain strong autonomy is that member-states bestow autonomy upon the intergovernmental organization. This autonomy is often gained through a less specific mandate, where IGOs are less bound by their respective member-states (Ibid, 2005). Said member-states can choose to give the IGO a high degree of </w:t>
      </w:r>
      <w:r w:rsidRPr="00742342">
        <w:rPr>
          <w:rFonts w:ascii="Open Sans" w:hAnsi="Open Sans" w:cs="Open Sans"/>
          <w:color w:val="000000" w:themeColor="text1"/>
          <w:sz w:val="22"/>
          <w:szCs w:val="22"/>
        </w:rPr>
        <w:lastRenderedPageBreak/>
        <w:t xml:space="preserve">autonomy if they have faith in the strength of the institution, and trust that the IGO is a better fit to execute certain tasks, than (cooperating) member-states would be on their own. When delegating power means a loss of power and relative control for member-states, this often facilitates IGO autonomy. With a high level of delegated autonomy, it is important that the relation between the member-states and the IGOs is good. This removes a part of the disjuncture of preferences (Ibid, 2005). When the disjuncture reaches a pressure point, an IGO can take matters in their own hands, creating ‘rogue’ autonomy, no longer following the guidelines provided by the member-states. </w:t>
      </w:r>
    </w:p>
    <w:p w14:paraId="33BE3A97" w14:textId="77777777" w:rsidR="00C4198B" w:rsidRPr="00742342" w:rsidRDefault="00C4198B" w:rsidP="00AC21C6">
      <w:pPr>
        <w:spacing w:line="276" w:lineRule="auto"/>
        <w:rPr>
          <w:rFonts w:ascii="Open Sans" w:hAnsi="Open Sans" w:cs="Open Sans"/>
          <w:color w:val="000000" w:themeColor="text1"/>
          <w:sz w:val="22"/>
          <w:szCs w:val="22"/>
        </w:rPr>
      </w:pPr>
    </w:p>
    <w:p w14:paraId="23DA9444" w14:textId="4122EE25" w:rsidR="00C4198B" w:rsidRPr="00742342" w:rsidRDefault="00C4198B" w:rsidP="003E2BDE">
      <w:pPr>
        <w:pStyle w:val="Heading2"/>
        <w:numPr>
          <w:ilvl w:val="1"/>
          <w:numId w:val="6"/>
        </w:numPr>
        <w:spacing w:line="276" w:lineRule="auto"/>
        <w:rPr>
          <w:rFonts w:ascii="Open Sans" w:hAnsi="Open Sans" w:cs="Open Sans"/>
          <w:color w:val="000000" w:themeColor="text1"/>
        </w:rPr>
      </w:pPr>
      <w:bookmarkStart w:id="40" w:name="_Toc136372387"/>
      <w:bookmarkStart w:id="41" w:name="_Toc136706585"/>
      <w:bookmarkStart w:id="42" w:name="_Toc138247493"/>
      <w:r w:rsidRPr="00742342">
        <w:rPr>
          <w:rFonts w:ascii="Open Sans" w:hAnsi="Open Sans" w:cs="Open Sans"/>
          <w:color w:val="000000" w:themeColor="text1"/>
        </w:rPr>
        <w:t>Relative autonomy</w:t>
      </w:r>
      <w:bookmarkEnd w:id="40"/>
      <w:bookmarkEnd w:id="41"/>
      <w:bookmarkEnd w:id="42"/>
    </w:p>
    <w:p w14:paraId="1376AD47" w14:textId="59A7E745"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aforementioned levels of control, strong control and -autonomy are technically feasible, but in reality, not very prevalent (Freitas, 2005). Although absolute control and autonomy can be explained by the evaluation of the contrast of preferences, the relation between control and autonomy is a continuum between two polar opposites (Ibid, 2005). Intergovernmental organizations often have a varying degree of independence, with regards to decision-making, their </w:t>
      </w:r>
      <w:r w:rsidR="00D46C25" w:rsidRPr="00742342">
        <w:rPr>
          <w:rFonts w:ascii="Open Sans" w:hAnsi="Open Sans" w:cs="Open Sans"/>
          <w:color w:val="000000" w:themeColor="text1"/>
          <w:sz w:val="22"/>
          <w:szCs w:val="22"/>
        </w:rPr>
        <w:t>policies,</w:t>
      </w:r>
      <w:r w:rsidRPr="00742342">
        <w:rPr>
          <w:rFonts w:ascii="Open Sans" w:hAnsi="Open Sans" w:cs="Open Sans"/>
          <w:color w:val="000000" w:themeColor="text1"/>
          <w:sz w:val="22"/>
          <w:szCs w:val="22"/>
        </w:rPr>
        <w:t xml:space="preserve"> and the execution of their policy (Vaubel, 2005). But within this relative independence, IGOs still </w:t>
      </w:r>
      <w:r w:rsidR="00A3065E" w:rsidRPr="00742342">
        <w:rPr>
          <w:rFonts w:ascii="Open Sans" w:hAnsi="Open Sans" w:cs="Open Sans"/>
          <w:color w:val="000000" w:themeColor="text1"/>
          <w:sz w:val="22"/>
          <w:szCs w:val="22"/>
        </w:rPr>
        <w:t>must</w:t>
      </w:r>
      <w:r w:rsidRPr="00742342">
        <w:rPr>
          <w:rFonts w:ascii="Open Sans" w:hAnsi="Open Sans" w:cs="Open Sans"/>
          <w:color w:val="000000" w:themeColor="text1"/>
          <w:sz w:val="22"/>
          <w:szCs w:val="22"/>
        </w:rPr>
        <w:t xml:space="preserve"> operate in the framework of the type of organization that they are. This means that IGOs are restricted in their preferences and actions by their member-states (Vaubel, 2005). Freitas (2005) concludes that autonomy is never total. The continuing struggle between power and autonomy is influenced by both actors, being the member-states and the intergovernmental secretariat (Freitas, 2005). The level of constraint, and with that the disjuncture of policy preference is constantly influenced by the interaction between IGO and member-state (Freitas, 2005; Vaubel, 2006). This relation can be characterized as a case of the principal-agent problem. By analyzing the principal-agent relation, and finding solutions to coordinate its possible pitfalls, the role of intergovernmental organizations in regional conflicts can be understood better, which can lead to better cooperation. </w:t>
      </w:r>
    </w:p>
    <w:p w14:paraId="4AE23597"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632EAF8E" w14:textId="77777777" w:rsidR="00C4198B" w:rsidRPr="00742342" w:rsidRDefault="00C4198B" w:rsidP="003E2BDE">
      <w:pPr>
        <w:pStyle w:val="Heading2"/>
        <w:numPr>
          <w:ilvl w:val="1"/>
          <w:numId w:val="6"/>
        </w:numPr>
        <w:spacing w:line="276" w:lineRule="auto"/>
        <w:rPr>
          <w:rFonts w:ascii="Open Sans" w:hAnsi="Open Sans" w:cs="Open Sans"/>
          <w:color w:val="000000" w:themeColor="text1"/>
          <w:sz w:val="24"/>
          <w:szCs w:val="24"/>
        </w:rPr>
      </w:pPr>
      <w:bookmarkStart w:id="43" w:name="_Toc136372388"/>
      <w:bookmarkStart w:id="44" w:name="_Toc136706586"/>
      <w:bookmarkStart w:id="45" w:name="_Toc138247494"/>
      <w:r w:rsidRPr="00742342">
        <w:rPr>
          <w:rFonts w:ascii="Open Sans" w:hAnsi="Open Sans" w:cs="Open Sans"/>
          <w:color w:val="000000" w:themeColor="text1"/>
          <w:sz w:val="24"/>
          <w:szCs w:val="24"/>
        </w:rPr>
        <w:t>Principal – agent relations in intergovernmental organizations</w:t>
      </w:r>
      <w:bookmarkEnd w:id="43"/>
      <w:bookmarkEnd w:id="44"/>
      <w:bookmarkEnd w:id="45"/>
    </w:p>
    <w:p w14:paraId="1111C24A"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When one actor delegates certain powers towards another actor, there are multiple problems that can arise. This is also the case with member-states delegating their interests to the IGO. The principal-agent theory analyzes these problems. The basis of the principal-agent (P-A) model features an actor that undertakes action on behalf of another actor (</w:t>
      </w:r>
      <w:proofErr w:type="spellStart"/>
      <w:r w:rsidRPr="00742342">
        <w:rPr>
          <w:rFonts w:ascii="Open Sans" w:hAnsi="Open Sans" w:cs="Open Sans"/>
          <w:color w:val="000000" w:themeColor="text1"/>
          <w:sz w:val="22"/>
          <w:szCs w:val="22"/>
        </w:rPr>
        <w:t>Bovens</w:t>
      </w:r>
      <w:proofErr w:type="spellEnd"/>
      <w:r w:rsidRPr="00742342">
        <w:rPr>
          <w:rFonts w:ascii="Open Sans" w:hAnsi="Open Sans" w:cs="Open Sans"/>
          <w:color w:val="000000" w:themeColor="text1"/>
          <w:sz w:val="22"/>
          <w:szCs w:val="22"/>
        </w:rPr>
        <w:t xml:space="preserve"> et al., 2014). The actor to which the action is delegated to is called the agent, which makes the actor delegating the tasks the principal (Ibid, 2014). The general assumption of the P-A model is that the principal provides some kind of incentive to the agent, as a compensation for its actions (Ibid, 2014). Following this assumption, the incentive is considered as an encouragement for the agent to act in the principal’s best interests (Vaubel, 2006). In an ideal situation, the distribution and outsourcing of tasks by the principal leads to increased efficiency and effectivity (</w:t>
      </w:r>
      <w:proofErr w:type="spellStart"/>
      <w:r w:rsidRPr="00742342">
        <w:rPr>
          <w:rFonts w:ascii="Open Sans" w:hAnsi="Open Sans" w:cs="Open Sans"/>
          <w:color w:val="000000" w:themeColor="text1"/>
          <w:sz w:val="22"/>
          <w:szCs w:val="22"/>
        </w:rPr>
        <w:t>Bovens</w:t>
      </w:r>
      <w:proofErr w:type="spellEnd"/>
      <w:r w:rsidRPr="00742342">
        <w:rPr>
          <w:rFonts w:ascii="Open Sans" w:hAnsi="Open Sans" w:cs="Open Sans"/>
          <w:color w:val="000000" w:themeColor="text1"/>
          <w:sz w:val="22"/>
          <w:szCs w:val="22"/>
        </w:rPr>
        <w:t xml:space="preserve"> et al., 2014; Vaubel, </w:t>
      </w:r>
      <w:r w:rsidRPr="00742342">
        <w:rPr>
          <w:rFonts w:ascii="Open Sans" w:hAnsi="Open Sans" w:cs="Open Sans"/>
          <w:color w:val="000000" w:themeColor="text1"/>
          <w:sz w:val="22"/>
          <w:szCs w:val="22"/>
        </w:rPr>
        <w:lastRenderedPageBreak/>
        <w:t>2006). Oftentimes though, the principal and the agent have diverging interests, which can lead to a discrepancy between them. This discrepancy facilitates the agent, as it can make independent decisions, not considering the preferences of the principal, thus increasing its autonomy. This disjuncture of interests leads to the principal -agent problem (</w:t>
      </w:r>
      <w:proofErr w:type="spellStart"/>
      <w:r w:rsidRPr="00742342">
        <w:rPr>
          <w:rFonts w:ascii="Open Sans" w:hAnsi="Open Sans" w:cs="Open Sans"/>
          <w:color w:val="000000" w:themeColor="text1"/>
          <w:sz w:val="22"/>
          <w:szCs w:val="22"/>
        </w:rPr>
        <w:t>Bovens</w:t>
      </w:r>
      <w:proofErr w:type="spellEnd"/>
      <w:r w:rsidRPr="00742342">
        <w:rPr>
          <w:rFonts w:ascii="Open Sans" w:hAnsi="Open Sans" w:cs="Open Sans"/>
          <w:color w:val="000000" w:themeColor="text1"/>
          <w:sz w:val="22"/>
          <w:szCs w:val="22"/>
        </w:rPr>
        <w:t xml:space="preserve"> et al, 2014; Freitas, 2005). An important aspect of the principal-agent problem is the information asymmetry (</w:t>
      </w:r>
      <w:proofErr w:type="spellStart"/>
      <w:r w:rsidRPr="00742342">
        <w:rPr>
          <w:rFonts w:ascii="Open Sans" w:hAnsi="Open Sans" w:cs="Open Sans"/>
          <w:color w:val="000000" w:themeColor="text1"/>
          <w:sz w:val="22"/>
          <w:szCs w:val="22"/>
        </w:rPr>
        <w:t>Bovens</w:t>
      </w:r>
      <w:proofErr w:type="spellEnd"/>
      <w:r w:rsidRPr="00742342">
        <w:rPr>
          <w:rFonts w:ascii="Open Sans" w:hAnsi="Open Sans" w:cs="Open Sans"/>
          <w:color w:val="000000" w:themeColor="text1"/>
          <w:sz w:val="22"/>
          <w:szCs w:val="22"/>
        </w:rPr>
        <w:t xml:space="preserve"> et al., 2014). Information asymmetry occurs when the agent has more information than the principal, which facilitates the disjuncture of interests. To a greater extent, I would argue that information asymmetry can also be seen as knowledge- and connection asymmetry. The agent is more involved in policy implementation, leading to better knowledge of implementation and access to key other actors. Although the principal-agent theory is applicable in a lot of situations, from business to public administration, it is not always easy to define the relevant actors and their relationships. Difficulties arise when applying the principal-agent problem to intergovernmental organizations, on which the following paragraphs will go into further detail. </w:t>
      </w:r>
    </w:p>
    <w:p w14:paraId="71575357"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3E25353B"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As one might assume, the principal-agent problem has great implications on the autonomy of an IGO. principal-agent relations are built upon the foundation that the principal outsources responsibilities towards an agent, which is incentivized to carry out those delegated tasks. In a vacuum, one might assume that the agent will carry out those tasks in the principals’ best interests, but this is not always the case. Before diving into this disjuncture any further, we must first identify the major actors in the P-A theory, specified to the case of intergovernmental organizations. </w:t>
      </w:r>
    </w:p>
    <w:p w14:paraId="3477DF64"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75C1D9B0" w14:textId="77777777" w:rsidR="00C4198B" w:rsidRPr="00742342" w:rsidRDefault="00C4198B" w:rsidP="003E2BDE">
      <w:pPr>
        <w:pStyle w:val="Heading2"/>
        <w:numPr>
          <w:ilvl w:val="1"/>
          <w:numId w:val="6"/>
        </w:numPr>
        <w:spacing w:line="276" w:lineRule="auto"/>
        <w:rPr>
          <w:rFonts w:ascii="Open Sans" w:hAnsi="Open Sans" w:cs="Open Sans"/>
          <w:color w:val="000000" w:themeColor="text1"/>
          <w:sz w:val="24"/>
          <w:szCs w:val="24"/>
        </w:rPr>
      </w:pPr>
      <w:bookmarkStart w:id="46" w:name="_Toc136372389"/>
      <w:bookmarkStart w:id="47" w:name="_Toc136706587"/>
      <w:bookmarkStart w:id="48" w:name="_Toc138247495"/>
      <w:r w:rsidRPr="00742342">
        <w:rPr>
          <w:rFonts w:ascii="Open Sans" w:hAnsi="Open Sans" w:cs="Open Sans"/>
          <w:color w:val="000000" w:themeColor="text1"/>
          <w:sz w:val="24"/>
          <w:szCs w:val="24"/>
        </w:rPr>
        <w:t>Defining the principal and the agent</w:t>
      </w:r>
      <w:bookmarkEnd w:id="46"/>
      <w:bookmarkEnd w:id="47"/>
      <w:bookmarkEnd w:id="48"/>
    </w:p>
    <w:p w14:paraId="28C93764" w14:textId="6B289BE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member-states of intergovernmental organizations delegate a certain kind of mandate towards the organization itself, often manifested by the organization’s secretariat. The assignment, or mandate, of the intergovernmental organization can be broad, or very specific, but often features tasks that benefit from international cooperation (Vaubel, 2005). This view of the principal-agent model would make the nation-states that are members of the IGO the principal, as they are the ones delegating certain actions towards a different entity (Freitas, 2005). The intergovernmental organization features as the agent, in theory acting in the best interest of their principal (Ibid, 2005). There are multiple facets that make the relation between the intergovernmental organization and the member-states less clear-cut than initially argued. This is </w:t>
      </w:r>
      <w:r w:rsidR="00CF5F8A" w:rsidRPr="00742342">
        <w:rPr>
          <w:rFonts w:ascii="Open Sans" w:hAnsi="Open Sans" w:cs="Open Sans"/>
          <w:color w:val="000000" w:themeColor="text1"/>
          <w:sz w:val="22"/>
          <w:szCs w:val="22"/>
        </w:rPr>
        <w:t>in part</w:t>
      </w:r>
      <w:r w:rsidRPr="00742342">
        <w:rPr>
          <w:rFonts w:ascii="Open Sans" w:hAnsi="Open Sans" w:cs="Open Sans"/>
          <w:color w:val="000000" w:themeColor="text1"/>
          <w:sz w:val="22"/>
          <w:szCs w:val="22"/>
        </w:rPr>
        <w:t xml:space="preserve"> explained by the fact that an intergovernmental organization and its respective member-states are inherently intertwined. As discussed in a previous paragraph of this chapter, nation-states choose to start an intergovernmental organization to deal with certain, often transborder, problems that require a global approach. Because the IGO is thus founded by its member-states, it cannot exist without </w:t>
      </w:r>
      <w:r w:rsidRPr="00742342">
        <w:rPr>
          <w:rFonts w:ascii="Open Sans" w:hAnsi="Open Sans" w:cs="Open Sans"/>
          <w:color w:val="000000" w:themeColor="text1"/>
          <w:sz w:val="22"/>
          <w:szCs w:val="22"/>
        </w:rPr>
        <w:lastRenderedPageBreak/>
        <w:t xml:space="preserve">the </w:t>
      </w:r>
      <w:r w:rsidR="009748BD" w:rsidRPr="00742342">
        <w:rPr>
          <w:rFonts w:ascii="Open Sans" w:hAnsi="Open Sans" w:cs="Open Sans"/>
          <w:color w:val="000000" w:themeColor="text1"/>
          <w:sz w:val="22"/>
          <w:szCs w:val="22"/>
        </w:rPr>
        <w:t>enduring support</w:t>
      </w:r>
      <w:r w:rsidRPr="00742342">
        <w:rPr>
          <w:rFonts w:ascii="Open Sans" w:hAnsi="Open Sans" w:cs="Open Sans"/>
          <w:color w:val="000000" w:themeColor="text1"/>
          <w:sz w:val="22"/>
          <w:szCs w:val="22"/>
        </w:rPr>
        <w:t xml:space="preserve"> of its member-states. This makes the relation between member-states and intergovernmental organizations different from other implementations of P-A theory, where the principal and the actor share no relation before engaging in the P-A role. </w:t>
      </w:r>
      <w:r w:rsidR="00A81EF5" w:rsidRPr="00742342">
        <w:rPr>
          <w:rFonts w:ascii="Open Sans" w:hAnsi="Open Sans" w:cs="Open Sans"/>
          <w:color w:val="000000" w:themeColor="text1"/>
          <w:sz w:val="22"/>
          <w:szCs w:val="22"/>
        </w:rPr>
        <w:t xml:space="preserve">Another </w:t>
      </w:r>
      <w:r w:rsidR="005E6535" w:rsidRPr="00742342">
        <w:rPr>
          <w:rFonts w:ascii="Open Sans" w:hAnsi="Open Sans" w:cs="Open Sans"/>
          <w:color w:val="000000" w:themeColor="text1"/>
          <w:sz w:val="22"/>
          <w:szCs w:val="22"/>
        </w:rPr>
        <w:t>notable departure from the classical interpretation of P-A theory is that the relation between IGO and member-states is a skewed one. The IGO</w:t>
      </w:r>
      <w:r w:rsidR="005E6535" w:rsidRPr="00742342">
        <w:rPr>
          <w:rStyle w:val="FootnoteReference"/>
          <w:rFonts w:ascii="Open Sans" w:hAnsi="Open Sans" w:cs="Open Sans"/>
          <w:color w:val="000000" w:themeColor="text1"/>
          <w:sz w:val="22"/>
          <w:szCs w:val="22"/>
        </w:rPr>
        <w:footnoteReference w:id="8"/>
      </w:r>
      <w:r w:rsidR="005E6535" w:rsidRPr="00742342">
        <w:rPr>
          <w:rFonts w:ascii="Open Sans" w:hAnsi="Open Sans" w:cs="Open Sans"/>
          <w:color w:val="000000" w:themeColor="text1"/>
          <w:sz w:val="22"/>
          <w:szCs w:val="22"/>
        </w:rPr>
        <w:t xml:space="preserve"> </w:t>
      </w:r>
      <w:r w:rsidR="00EA1B8F" w:rsidRPr="00742342">
        <w:rPr>
          <w:rFonts w:ascii="Open Sans" w:hAnsi="Open Sans" w:cs="Open Sans"/>
          <w:color w:val="000000" w:themeColor="text1"/>
          <w:sz w:val="22"/>
          <w:szCs w:val="22"/>
        </w:rPr>
        <w:t xml:space="preserve">is the agent, but instead of one principal, it has to deal with the interests of many, in this case the member-states. </w:t>
      </w:r>
      <w:r w:rsidR="00DD4188" w:rsidRPr="00742342">
        <w:rPr>
          <w:rFonts w:ascii="Open Sans" w:hAnsi="Open Sans" w:cs="Open Sans"/>
          <w:color w:val="000000" w:themeColor="text1"/>
          <w:sz w:val="22"/>
          <w:szCs w:val="22"/>
        </w:rPr>
        <w:t>But</w:t>
      </w:r>
      <w:r w:rsidR="00396958" w:rsidRPr="00742342">
        <w:rPr>
          <w:rFonts w:ascii="Open Sans" w:hAnsi="Open Sans" w:cs="Open Sans"/>
          <w:color w:val="000000" w:themeColor="text1"/>
          <w:sz w:val="22"/>
          <w:szCs w:val="22"/>
        </w:rPr>
        <w:t xml:space="preserve"> one </w:t>
      </w:r>
      <w:r w:rsidR="006558FF" w:rsidRPr="00742342">
        <w:rPr>
          <w:rFonts w:ascii="Open Sans" w:hAnsi="Open Sans" w:cs="Open Sans"/>
          <w:color w:val="000000" w:themeColor="text1"/>
          <w:sz w:val="22"/>
          <w:szCs w:val="22"/>
        </w:rPr>
        <w:t>may</w:t>
      </w:r>
      <w:r w:rsidR="00396958" w:rsidRPr="00742342">
        <w:rPr>
          <w:rFonts w:ascii="Open Sans" w:hAnsi="Open Sans" w:cs="Open Sans"/>
          <w:color w:val="000000" w:themeColor="text1"/>
          <w:sz w:val="22"/>
          <w:szCs w:val="22"/>
        </w:rPr>
        <w:t xml:space="preserve"> assume that the general interests of the principals are </w:t>
      </w:r>
      <w:r w:rsidR="006558FF" w:rsidRPr="00742342">
        <w:rPr>
          <w:rFonts w:ascii="Open Sans" w:hAnsi="Open Sans" w:cs="Open Sans"/>
          <w:color w:val="000000" w:themeColor="text1"/>
          <w:sz w:val="22"/>
          <w:szCs w:val="22"/>
        </w:rPr>
        <w:t>largely compatible with one another</w:t>
      </w:r>
      <w:r w:rsidR="00B82A8C" w:rsidRPr="00742342">
        <w:rPr>
          <w:rFonts w:ascii="Open Sans" w:hAnsi="Open Sans" w:cs="Open Sans"/>
          <w:color w:val="000000" w:themeColor="text1"/>
          <w:sz w:val="22"/>
          <w:szCs w:val="22"/>
        </w:rPr>
        <w:t>, as membership of the intergovernmental organization is voluntary and beneficial to the member-states.</w:t>
      </w:r>
    </w:p>
    <w:p w14:paraId="4A5EB3F2" w14:textId="77777777" w:rsidR="00C4198B" w:rsidRPr="00742342" w:rsidRDefault="00C4198B" w:rsidP="00AC21C6">
      <w:pPr>
        <w:spacing w:line="276" w:lineRule="auto"/>
        <w:jc w:val="both"/>
        <w:rPr>
          <w:rFonts w:ascii="Open Sans" w:hAnsi="Open Sans" w:cs="Open Sans"/>
          <w:b/>
          <w:color w:val="000000" w:themeColor="text1"/>
          <w:sz w:val="22"/>
          <w:szCs w:val="22"/>
        </w:rPr>
      </w:pPr>
    </w:p>
    <w:p w14:paraId="2E2A22BB" w14:textId="476A34D3"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There is a power relationship between the principal and the agent. In the case of intergovernmental organizations and the member-states, the relationship manifests itself in both ways. The agent is dependent on the principal for financial contributions to the organization. Its justification for existence is solely dependent on the support of member-states. But the relation goes both ways. The agent often has an information advantage, which gives the IGO a powerful position in international politics. IGOs deal with problems that nation-states </w:t>
      </w:r>
      <w:r w:rsidR="00B039F9" w:rsidRPr="00742342">
        <w:rPr>
          <w:rFonts w:ascii="Open Sans" w:hAnsi="Open Sans" w:cs="Open Sans"/>
          <w:color w:val="000000" w:themeColor="text1"/>
          <w:sz w:val="22"/>
          <w:szCs w:val="22"/>
        </w:rPr>
        <w:t>cannot</w:t>
      </w:r>
      <w:r w:rsidRPr="00742342">
        <w:rPr>
          <w:rFonts w:ascii="Open Sans" w:hAnsi="Open Sans" w:cs="Open Sans"/>
          <w:color w:val="000000" w:themeColor="text1"/>
          <w:sz w:val="22"/>
          <w:szCs w:val="22"/>
        </w:rPr>
        <w:t xml:space="preserve"> deal with on a state-level, so nation-states depend on the IGO to act in their best interest.  </w:t>
      </w:r>
    </w:p>
    <w:p w14:paraId="21833547" w14:textId="77777777" w:rsidR="00C4198B" w:rsidRPr="00742342" w:rsidRDefault="00C4198B" w:rsidP="00AC21C6">
      <w:pPr>
        <w:spacing w:line="276" w:lineRule="auto"/>
        <w:jc w:val="both"/>
        <w:rPr>
          <w:rFonts w:ascii="Open Sans" w:hAnsi="Open Sans" w:cs="Open Sans"/>
          <w:b/>
          <w:color w:val="000000" w:themeColor="text1"/>
          <w:sz w:val="22"/>
          <w:szCs w:val="22"/>
        </w:rPr>
      </w:pPr>
    </w:p>
    <w:p w14:paraId="419FBA5C" w14:textId="54ABD232"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assumption featuring the intergovernmental organization as actor and the member-states as principals depend on several assumptions which may be theoretically viable, but fundamentally not realistic. In this chapter I have identified the intergovernmental organization as an important actor in contemporary international relations theory. The role of member-states is not easily underestimated, because they are providing the mandate and act as a principal in the mutual relationship. This is based on the classic realist assumption that the involved actors can be seen as a unitary actor (Clinton et al., 2005). Unitary actors are entities that operate as a single, cohesive unit with a well-defined set of aims and objectives (Ibid, 20005). Since realism has been contested, and competing theories have developed, the idea of the state as a unitary actor has shifted. A nation-state can be seen as some form of organization in its own right, where different stakeholders work together. Although one might assume that all actors within a state serve a common goal and share mutual interests, the plurality of different entities within a state make for the depiction of a nation-state as a pluriform, diverse actor with differing goals and ambitions. The same can be said for intergovernmental organizations, which are made up of member-states with varying interests and goals, which can lead to conflicts and diverging actions inside the organization. In this situation there is one agent, the IGO, and many principals, the member-states. This works to the advantage of the agent, as the asymmetry of information and knowledge is only broadened by the high </w:t>
      </w:r>
      <w:r w:rsidRPr="00742342">
        <w:rPr>
          <w:rFonts w:ascii="Open Sans" w:hAnsi="Open Sans" w:cs="Open Sans"/>
          <w:color w:val="000000" w:themeColor="text1"/>
          <w:sz w:val="22"/>
          <w:szCs w:val="22"/>
        </w:rPr>
        <w:lastRenderedPageBreak/>
        <w:t xml:space="preserve">number of principals. The United Nations, for example, is made up of 193 member nations, each with its own political, economic, and strategic interests, making it impossible for the </w:t>
      </w:r>
      <w:r w:rsidR="0044352B">
        <w:rPr>
          <w:rFonts w:ascii="Open Sans" w:hAnsi="Open Sans" w:cs="Open Sans"/>
          <w:color w:val="000000" w:themeColor="text1"/>
          <w:sz w:val="22"/>
          <w:szCs w:val="22"/>
        </w:rPr>
        <w:t>UN Secretariat</w:t>
      </w:r>
      <w:r w:rsidRPr="00742342">
        <w:rPr>
          <w:rFonts w:ascii="Open Sans" w:hAnsi="Open Sans" w:cs="Open Sans"/>
          <w:color w:val="000000" w:themeColor="text1"/>
          <w:sz w:val="22"/>
          <w:szCs w:val="22"/>
        </w:rPr>
        <w:t xml:space="preserve"> to function as a unified entity in some situations. Other IGOs are less politicized and function in a more unitary fashion, although the assumption that both nation-states and intergovernmental organizations can be seen as strictly unitary actors has been dismissed. </w:t>
      </w:r>
    </w:p>
    <w:p w14:paraId="27BD45E6"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232F404E" w14:textId="37C10FD8"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If we remove the assumed unitarity of the nation-state from the previous portrayal of the principal-agent relation between intergovernmental organizations and member-states, there must be an alternative interpretation of the concept of principal. There are many institutions, groups and individuals that can exercise influence over an intergovernmental organization (Vaubel, 2006). Among others, domestic political institutions such as parliaments and governments can exert influence on intergovernmental organizations (Ibid, 2006). In addition to having the possibility to influence IGOs, domestic national institutions such as parliaments and ministries have a legitimate claim to the role of principal in their relationship with intergovernmental organizations, as they are often the one who’s interests an IGO should aim to protect (Ibid, 2006). But this creates an additional question, when looking at the domestic powers influencing IGOs. Most national parliaments are elected democratically, with citizens either directly or indirectly voting for their own parliament (Ibid, 2006). This leads to a possible theoretical scenario where the collective of individual voters forms the principal. The problem with P-A relations on this level is no different than on the nation-state level. The disjuncture of preferences and the information asymmetry is as prevalent as when one is to presume the nation-state as sole unitary principal but takes place on a more individual scale than when one is to presume the nation-state as unitary actor. For the purposes I assume that the member-states operate as a unitary actor.</w:t>
      </w:r>
    </w:p>
    <w:p w14:paraId="66C2A934"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54E22AEC" w14:textId="77777777" w:rsidR="00C4198B" w:rsidRPr="00742342" w:rsidRDefault="00C4198B" w:rsidP="003E2BDE">
      <w:pPr>
        <w:pStyle w:val="Heading2"/>
        <w:numPr>
          <w:ilvl w:val="1"/>
          <w:numId w:val="6"/>
        </w:numPr>
        <w:spacing w:line="276" w:lineRule="auto"/>
        <w:rPr>
          <w:rFonts w:ascii="Open Sans" w:hAnsi="Open Sans" w:cs="Open Sans"/>
          <w:color w:val="000000" w:themeColor="text1"/>
          <w:sz w:val="24"/>
          <w:szCs w:val="24"/>
        </w:rPr>
      </w:pPr>
      <w:bookmarkStart w:id="49" w:name="_Toc136372390"/>
      <w:bookmarkStart w:id="50" w:name="_Toc136706588"/>
      <w:bookmarkStart w:id="51" w:name="_Toc138247496"/>
      <w:r w:rsidRPr="00742342">
        <w:rPr>
          <w:rFonts w:ascii="Open Sans" w:hAnsi="Open Sans" w:cs="Open Sans"/>
          <w:color w:val="000000" w:themeColor="text1"/>
          <w:sz w:val="24"/>
          <w:szCs w:val="24"/>
        </w:rPr>
        <w:t>Intergovernmental organizations as the principal?</w:t>
      </w:r>
      <w:bookmarkEnd w:id="49"/>
      <w:bookmarkEnd w:id="50"/>
      <w:bookmarkEnd w:id="51"/>
      <w:r w:rsidRPr="00742342">
        <w:rPr>
          <w:rFonts w:ascii="Open Sans" w:hAnsi="Open Sans" w:cs="Open Sans"/>
          <w:color w:val="000000" w:themeColor="text1"/>
          <w:sz w:val="24"/>
          <w:szCs w:val="24"/>
        </w:rPr>
        <w:t xml:space="preserve"> </w:t>
      </w:r>
    </w:p>
    <w:p w14:paraId="03958351" w14:textId="4CAAE7B2"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Intergovernmental organizations play a limited role in international politics according to realists (Mearsheimer, 1995). From the realist viewpoint, nation-states delegate tasks to intergovernmental organizations strictly out of self-interest (Ibid, 1995). This severely constraints the autonomy of the intergovernmental organization, as in theory they will only act upon the interests of the member-states, if only because they anticipate the member-state’ retribution if they deviate, thus removing any freedom in designing their own policy. This leads to a clear divide between principal and agent. The United Nations Security Council is a prime example of this, the permanent members can veto any possible decision that negatively implicates themselves (Mahmood, 2013). The perspective of constructivists differs from the traditional realist, rationalist interpretation of an intergovernmental organization. Constructivists do not see an intergovernmental organization as an extension of the power of nation-states, but as a powerful, self-</w:t>
      </w:r>
      <w:r w:rsidRPr="00742342">
        <w:rPr>
          <w:rFonts w:ascii="Open Sans" w:hAnsi="Open Sans" w:cs="Open Sans"/>
          <w:color w:val="000000" w:themeColor="text1"/>
          <w:sz w:val="22"/>
          <w:szCs w:val="22"/>
        </w:rPr>
        <w:lastRenderedPageBreak/>
        <w:t xml:space="preserve">sufficient actor in its own right, </w:t>
      </w:r>
      <w:r w:rsidR="007B488C">
        <w:rPr>
          <w:rFonts w:ascii="Open Sans" w:hAnsi="Open Sans" w:cs="Open Sans"/>
          <w:color w:val="000000" w:themeColor="text1"/>
          <w:sz w:val="22"/>
          <w:szCs w:val="22"/>
        </w:rPr>
        <w:t>driven not by the</w:t>
      </w:r>
      <w:r w:rsidRPr="00742342">
        <w:rPr>
          <w:rFonts w:ascii="Open Sans" w:hAnsi="Open Sans" w:cs="Open Sans"/>
          <w:color w:val="000000" w:themeColor="text1"/>
          <w:sz w:val="22"/>
          <w:szCs w:val="22"/>
        </w:rPr>
        <w:t xml:space="preserve"> </w:t>
      </w:r>
      <w:proofErr w:type="spellStart"/>
      <w:r w:rsidRPr="00742342">
        <w:rPr>
          <w:rFonts w:ascii="Open Sans" w:hAnsi="Open Sans" w:cs="Open Sans"/>
          <w:color w:val="000000" w:themeColor="text1"/>
          <w:sz w:val="22"/>
          <w:szCs w:val="22"/>
        </w:rPr>
        <w:t>the</w:t>
      </w:r>
      <w:proofErr w:type="spellEnd"/>
      <w:r w:rsidRPr="00742342">
        <w:rPr>
          <w:rFonts w:ascii="Open Sans" w:hAnsi="Open Sans" w:cs="Open Sans"/>
          <w:color w:val="000000" w:themeColor="text1"/>
          <w:sz w:val="22"/>
          <w:szCs w:val="22"/>
        </w:rPr>
        <w:t xml:space="preserve"> accumulation of power, but </w:t>
      </w:r>
      <w:r w:rsidR="007B488C">
        <w:rPr>
          <w:rFonts w:ascii="Open Sans" w:hAnsi="Open Sans" w:cs="Open Sans"/>
          <w:color w:val="000000" w:themeColor="text1"/>
          <w:sz w:val="22"/>
          <w:szCs w:val="22"/>
        </w:rPr>
        <w:t xml:space="preserve">by </w:t>
      </w:r>
      <w:r w:rsidRPr="00742342">
        <w:rPr>
          <w:rFonts w:ascii="Open Sans" w:hAnsi="Open Sans" w:cs="Open Sans"/>
          <w:color w:val="000000" w:themeColor="text1"/>
          <w:sz w:val="22"/>
          <w:szCs w:val="22"/>
        </w:rPr>
        <w:t xml:space="preserve">the power of ideas that serve a greater good (Barnett &amp; </w:t>
      </w:r>
      <w:proofErr w:type="spellStart"/>
      <w:r w:rsidRPr="00742342">
        <w:rPr>
          <w:rFonts w:ascii="Open Sans" w:hAnsi="Open Sans" w:cs="Open Sans"/>
          <w:color w:val="000000" w:themeColor="text1"/>
          <w:sz w:val="22"/>
          <w:szCs w:val="22"/>
        </w:rPr>
        <w:t>Finnemore</w:t>
      </w:r>
      <w:proofErr w:type="spellEnd"/>
      <w:r w:rsidRPr="00742342">
        <w:rPr>
          <w:rFonts w:ascii="Open Sans" w:hAnsi="Open Sans" w:cs="Open Sans"/>
          <w:color w:val="000000" w:themeColor="text1"/>
          <w:sz w:val="22"/>
          <w:szCs w:val="22"/>
        </w:rPr>
        <w:t xml:space="preserve">, 1999). </w:t>
      </w:r>
      <w:r w:rsidR="00AB5101">
        <w:rPr>
          <w:rFonts w:ascii="Open Sans" w:hAnsi="Open Sans" w:cs="Open Sans"/>
          <w:color w:val="000000" w:themeColor="text1"/>
          <w:sz w:val="22"/>
          <w:szCs w:val="22"/>
        </w:rPr>
        <w:t xml:space="preserve">This viewpoint on intergovernmental organizations better fits this thesis, as it sees intergovernmental organizations as actors with agency. </w:t>
      </w:r>
      <w:r w:rsidRPr="00742342">
        <w:rPr>
          <w:rFonts w:ascii="Open Sans" w:hAnsi="Open Sans" w:cs="Open Sans"/>
          <w:color w:val="000000" w:themeColor="text1"/>
          <w:sz w:val="22"/>
          <w:szCs w:val="22"/>
        </w:rPr>
        <w:t xml:space="preserve">Barnett and </w:t>
      </w:r>
      <w:proofErr w:type="spellStart"/>
      <w:r w:rsidRPr="00742342">
        <w:rPr>
          <w:rFonts w:ascii="Open Sans" w:hAnsi="Open Sans" w:cs="Open Sans"/>
          <w:color w:val="000000" w:themeColor="text1"/>
          <w:sz w:val="22"/>
          <w:szCs w:val="22"/>
        </w:rPr>
        <w:t>Finnemore</w:t>
      </w:r>
      <w:proofErr w:type="spellEnd"/>
      <w:r w:rsidRPr="00742342">
        <w:rPr>
          <w:rFonts w:ascii="Open Sans" w:hAnsi="Open Sans" w:cs="Open Sans"/>
          <w:color w:val="000000" w:themeColor="text1"/>
          <w:sz w:val="22"/>
          <w:szCs w:val="22"/>
        </w:rPr>
        <w:t xml:space="preserve"> (1999) illustrate this by first going into detail about the internal affairs of an intergovernmental organization. Rather than assuming an IGO to be a unitary actor working strictly on behalf of its member-states, they describe an intergovernmental organization as a bureaucracy (Ibid, 1999). A bureaucracy is in this case assumed to be a large and complex hierarchical organization (Grigorescu, 2010). Specifically, an IGO as bureaucracy features classic aspects of bureaucratic organizations, deriving from public administration, such as the division of labor, specialization, and formal procedures (Weber &amp; Tribe, 2019). </w:t>
      </w:r>
    </w:p>
    <w:p w14:paraId="19DB7D44"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14614E15" w14:textId="4D51D4CE"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Due to the bureaucratic nature of the organization, Barnett and </w:t>
      </w:r>
      <w:proofErr w:type="spellStart"/>
      <w:r w:rsidRPr="00742342">
        <w:rPr>
          <w:rFonts w:ascii="Open Sans" w:hAnsi="Open Sans" w:cs="Open Sans"/>
          <w:color w:val="000000" w:themeColor="text1"/>
          <w:sz w:val="22"/>
          <w:szCs w:val="22"/>
        </w:rPr>
        <w:t>Finnemore</w:t>
      </w:r>
      <w:proofErr w:type="spellEnd"/>
      <w:r w:rsidRPr="00742342">
        <w:rPr>
          <w:rFonts w:ascii="Open Sans" w:hAnsi="Open Sans" w:cs="Open Sans"/>
          <w:color w:val="000000" w:themeColor="text1"/>
          <w:sz w:val="22"/>
          <w:szCs w:val="22"/>
        </w:rPr>
        <w:t xml:space="preserve"> (1999) argue that the intergovernmental organization gains some form of credibility from the member-states and other interacting actors. This then leads to an increase in legitimate authority, based on the perception of a stable organization, with increased effectiveness and neutrality (Ibid, 1999). Bureaucracies are valued differently from highly politicized organizations, which is most likely the reason that bureaucratic intergovernmental organizations receive a higher degree of legitimate authority. As bureaucratic mechanisms tend to create more stable organizations, with a perceived degree of efficiency, this could make for a more reliable partner. This stability and efficiency can be seen as a source of autonomy, as actors perceive the IGO as not just an extension of the ambitions and interests of its member-states, but as a powerful actor in its own right. Bureaucratic mechanisms are also put in place to create more distance between the member-states and the effective policy. This is done to mitigate the risk of one powerful member-state influencing IGO policy on its own and using the IGO as a cover for their own interests. One can also assume that bureaucratic organizations, due to their structured nature, follow a rational decision-making process (Grigorescu, 2010; Weber &amp; Tribe, 2019). The combination of rational decision-making and the value of rules within an organization can become the basis for the creation of norms (Barnett &amp; </w:t>
      </w:r>
      <w:proofErr w:type="spellStart"/>
      <w:r w:rsidRPr="00742342">
        <w:rPr>
          <w:rFonts w:ascii="Open Sans" w:hAnsi="Open Sans" w:cs="Open Sans"/>
          <w:color w:val="000000" w:themeColor="text1"/>
          <w:sz w:val="22"/>
          <w:szCs w:val="22"/>
        </w:rPr>
        <w:t>Finnemore</w:t>
      </w:r>
      <w:proofErr w:type="spellEnd"/>
      <w:r w:rsidRPr="00742342">
        <w:rPr>
          <w:rFonts w:ascii="Open Sans" w:hAnsi="Open Sans" w:cs="Open Sans"/>
          <w:color w:val="000000" w:themeColor="text1"/>
          <w:sz w:val="22"/>
          <w:szCs w:val="22"/>
        </w:rPr>
        <w:t xml:space="preserve">, 1999). This norm-setting power influences other actors in their network, and provides the IGO power (Ibid, 1999). Due to the rational-legal authority that the intergovernmental organization exemplifies, </w:t>
      </w:r>
      <w:r w:rsidR="00171BC8">
        <w:rPr>
          <w:rFonts w:ascii="Open Sans" w:hAnsi="Open Sans" w:cs="Open Sans"/>
          <w:color w:val="000000" w:themeColor="text1"/>
          <w:sz w:val="22"/>
          <w:szCs w:val="22"/>
        </w:rPr>
        <w:t>they</w:t>
      </w:r>
      <w:r w:rsidRPr="00742342">
        <w:rPr>
          <w:rFonts w:ascii="Open Sans" w:hAnsi="Open Sans" w:cs="Open Sans"/>
          <w:color w:val="000000" w:themeColor="text1"/>
          <w:sz w:val="22"/>
          <w:szCs w:val="22"/>
        </w:rPr>
        <w:t xml:space="preserve"> become powerful actors in their own right (Ibid, 1999). Their specialized technical expertise and expertise makes IGOs able to interact with other actors on their own authority (Vaubel, 2006). Therefore, IGOs have the potential to reach a level of autonomy that they can become principals (Barnett &amp; </w:t>
      </w:r>
      <w:proofErr w:type="spellStart"/>
      <w:r w:rsidRPr="00742342">
        <w:rPr>
          <w:rFonts w:ascii="Open Sans" w:hAnsi="Open Sans" w:cs="Open Sans"/>
          <w:color w:val="000000" w:themeColor="text1"/>
          <w:sz w:val="22"/>
          <w:szCs w:val="22"/>
        </w:rPr>
        <w:t>Finnemore</w:t>
      </w:r>
      <w:proofErr w:type="spellEnd"/>
      <w:r w:rsidRPr="00742342">
        <w:rPr>
          <w:rFonts w:ascii="Open Sans" w:hAnsi="Open Sans" w:cs="Open Sans"/>
          <w:color w:val="000000" w:themeColor="text1"/>
          <w:sz w:val="22"/>
          <w:szCs w:val="22"/>
        </w:rPr>
        <w:t>, 1999; Grigorescu, 2010; Vaubel, 2006). This is especially visible in the case of the United Nations and its many specialized agencies</w:t>
      </w:r>
      <w:r w:rsidRPr="00742342">
        <w:rPr>
          <w:rStyle w:val="FootnoteReference"/>
          <w:rFonts w:ascii="Open Sans" w:hAnsi="Open Sans" w:cs="Open Sans"/>
          <w:color w:val="000000" w:themeColor="text1"/>
          <w:sz w:val="22"/>
          <w:szCs w:val="22"/>
        </w:rPr>
        <w:footnoteReference w:id="9"/>
      </w:r>
      <w:r w:rsidRPr="00742342">
        <w:rPr>
          <w:rFonts w:ascii="Open Sans" w:hAnsi="Open Sans" w:cs="Open Sans"/>
          <w:color w:val="000000" w:themeColor="text1"/>
          <w:sz w:val="22"/>
          <w:szCs w:val="22"/>
        </w:rPr>
        <w:t xml:space="preserve">, which undertake various operations, including </w:t>
      </w:r>
      <w:r w:rsidRPr="00742342">
        <w:rPr>
          <w:rFonts w:ascii="Open Sans" w:hAnsi="Open Sans" w:cs="Open Sans"/>
          <w:color w:val="000000" w:themeColor="text1"/>
          <w:sz w:val="22"/>
          <w:szCs w:val="22"/>
        </w:rPr>
        <w:lastRenderedPageBreak/>
        <w:t xml:space="preserve">peacekeeping and -building. These are responsibilities which are generally associated with nation-states, but are performed by an intergovernmental organization (Grigorescu, 2010). When executing these tasks, the IGO often engages with various other involved actors, including nation-states, NGOs, other IGOs or violent non-state actors, creating its own principal-agent relation. Noting that member-states can still have far-reaching influence on intergovernmental organizations, by providing their mandate and instructing them to act upon the member-state’s best interests, we can conclude that an intergovernmental organization can be an agent, or a principal. In most cases there are multiple P-A relations playing out simultaneously, determining that an IGO can be an agent and a principal at the same time. </w:t>
      </w:r>
    </w:p>
    <w:p w14:paraId="7A4BF47C" w14:textId="77777777" w:rsidR="00E03594" w:rsidRPr="00742342" w:rsidRDefault="00E03594" w:rsidP="00AC21C6">
      <w:pPr>
        <w:spacing w:line="276" w:lineRule="auto"/>
        <w:jc w:val="both"/>
        <w:rPr>
          <w:rFonts w:ascii="Open Sans" w:hAnsi="Open Sans" w:cs="Open Sans"/>
          <w:color w:val="000000" w:themeColor="text1"/>
          <w:sz w:val="22"/>
          <w:szCs w:val="22"/>
        </w:rPr>
      </w:pPr>
    </w:p>
    <w:p w14:paraId="09674FE6" w14:textId="542F345C" w:rsidR="003C3329" w:rsidRPr="00742342" w:rsidRDefault="00E03594" w:rsidP="003E2BDE">
      <w:pPr>
        <w:pStyle w:val="Heading2"/>
        <w:numPr>
          <w:ilvl w:val="1"/>
          <w:numId w:val="6"/>
        </w:numPr>
        <w:spacing w:line="276" w:lineRule="auto"/>
        <w:rPr>
          <w:rFonts w:ascii="Open Sans" w:hAnsi="Open Sans" w:cs="Open Sans"/>
          <w:color w:val="000000" w:themeColor="text1"/>
          <w:sz w:val="24"/>
          <w:szCs w:val="24"/>
        </w:rPr>
      </w:pPr>
      <w:bookmarkStart w:id="52" w:name="_Toc136706589"/>
      <w:bookmarkStart w:id="53" w:name="_Toc138247497"/>
      <w:bookmarkStart w:id="54" w:name="_Toc136372391"/>
      <w:r w:rsidRPr="00742342">
        <w:rPr>
          <w:rFonts w:ascii="Open Sans" w:hAnsi="Open Sans" w:cs="Open Sans"/>
          <w:color w:val="000000" w:themeColor="text1"/>
          <w:sz w:val="24"/>
          <w:szCs w:val="24"/>
        </w:rPr>
        <w:t>Theoretical analysis</w:t>
      </w:r>
      <w:bookmarkEnd w:id="52"/>
      <w:bookmarkEnd w:id="53"/>
    </w:p>
    <w:bookmarkEnd w:id="54"/>
    <w:p w14:paraId="461ECB8D"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Combining insights about the autonomy of intergovernmental organizations, their bureaucratic properties, and the manifestation of the principal-agent problem, IGOs face multiple problems in executing the tasks they are designed to do. Discrepancies in the relation with member-states can lead to questions of autonomy. I argue that it is important to find a balance between autonomy and control. The intergovernmental organization is founded with a specific goal and must therefore adhere to its given mandate. At the same time however, it has been proven that intergovernmental organizations exist for a reason. They are often specifically founded and are equipped to deal with global problems (Gardell &amp; Verbeek, 2021), and can act upon these problems more effectively and efficiently than individual nation-states can (Ezrow, 2017; Gardell &amp; Verbeek, 2021; Olsson &amp; Verbeek, 2013). A balance between a good enough relation with member-states and relative autonomy seems easier said than done, but could mean relative autonomy for the IGO, without the member-states contesting this. The same conclusion can be made regarding the bureaucratization of an intergovernmental organization. Barnett and </w:t>
      </w:r>
      <w:proofErr w:type="spellStart"/>
      <w:r w:rsidRPr="00742342">
        <w:rPr>
          <w:rFonts w:ascii="Open Sans" w:hAnsi="Open Sans" w:cs="Open Sans"/>
          <w:color w:val="000000" w:themeColor="text1"/>
          <w:sz w:val="22"/>
          <w:szCs w:val="22"/>
        </w:rPr>
        <w:t>Finnemore</w:t>
      </w:r>
      <w:proofErr w:type="spellEnd"/>
      <w:r w:rsidRPr="00742342">
        <w:rPr>
          <w:rFonts w:ascii="Open Sans" w:hAnsi="Open Sans" w:cs="Open Sans"/>
          <w:color w:val="000000" w:themeColor="text1"/>
          <w:sz w:val="22"/>
          <w:szCs w:val="22"/>
        </w:rPr>
        <w:t xml:space="preserve"> (1999) have proven that certain elements of bureaucratization in IGOs can make it a reliable, (largely) autonomous actor, capable of performing the role of principal, delegating tasks to other actors. But bureaucracy is also associated with slow decision-making due to their large, hierarchical organization. Additionally, bureaucracies are known to be slow in adapting new policies, which can be detrimental in crisis situations many IGOs find themselves in. </w:t>
      </w:r>
    </w:p>
    <w:p w14:paraId="2673BD5C"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413443CB" w14:textId="4EB0987C"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 argue that the perception of crisis in conflict situations will influence IGO decision making. The heightened sense of urgency that comes with a crisis will directly influence how intergovernmental organizations react to a crisis. Especially in violent conflicts, where an urgent reaction can potentially save lives, a timely response is essential. I reason that in situations with heightened urgency an intergovernmental organization will profit from increased autonomy, as it will benefit the speed of the decision-making process, thus increasing the possible effectivity of IGO policy. Another reason why </w:t>
      </w:r>
      <w:r w:rsidRPr="00742342">
        <w:rPr>
          <w:rFonts w:ascii="Open Sans" w:hAnsi="Open Sans" w:cs="Open Sans"/>
          <w:color w:val="000000" w:themeColor="text1"/>
          <w:sz w:val="22"/>
          <w:szCs w:val="22"/>
        </w:rPr>
        <w:lastRenderedPageBreak/>
        <w:t>intergovernmental organizations will gain more autonomy during crisis situations is that regional conflicts are often political in nature. Highly politicized conflicts can prove to be challenging and complicated to deal with, especially when nation-states are hesitant to form an alliance with any involved party, to lower the risk of getting involved directly. The involvement of international organizations, both non-governmental and</w:t>
      </w:r>
      <w:r w:rsidR="00927018" w:rsidRPr="00742342">
        <w:rPr>
          <w:rFonts w:ascii="Open Sans" w:hAnsi="Open Sans" w:cs="Open Sans"/>
          <w:color w:val="000000" w:themeColor="text1"/>
          <w:sz w:val="22"/>
          <w:szCs w:val="22"/>
        </w:rPr>
        <w:t xml:space="preserve"> </w:t>
      </w:r>
      <w:r w:rsidRPr="00742342">
        <w:rPr>
          <w:rFonts w:ascii="Open Sans" w:hAnsi="Open Sans" w:cs="Open Sans"/>
          <w:color w:val="000000" w:themeColor="text1"/>
          <w:sz w:val="22"/>
          <w:szCs w:val="22"/>
        </w:rPr>
        <w:t xml:space="preserve">intergovernmental, will mitigate the level of political influence a single nation-state can have on the conflict, thus strengthening IGO autonomy. This increase in self-determining rights the intergovernmental organization receives leads to increased political support for IGOs, as other international actors are likely to engage with intergovernmental organizations, mobilizing political support by creating shared goals and building consensus. Concluding the role of crisis in IGO autonomy, I predict that intergovernmental autonomy will benefit from crisis, as in urgent, highly politicized conditions IGOs are best suited to handling these kinds of situations. Additionally, I predict that a crisis will also enhance and promote intergovernmental autonomy, especially when IGOs are successful in their approach to handling the crisis. The main hypothesis of this thesis is that the level of autonomy leads to influences in the decision-making process of intergovernmental organizations. Following the previous theoretical analysis, it is my assumption that a higher level of autonomy would lead to an increase in the decisiveness of intergovernmental organizations when dealing with actors in a regional conflict. Combining insights from the analysis of intergovernmental autonomy in regional crises, I indicate three </w:t>
      </w:r>
      <w:r w:rsidR="00360890" w:rsidRPr="00742342">
        <w:rPr>
          <w:rFonts w:ascii="Open Sans" w:hAnsi="Open Sans" w:cs="Open Sans"/>
          <w:color w:val="000000" w:themeColor="text1"/>
          <w:sz w:val="22"/>
          <w:szCs w:val="22"/>
        </w:rPr>
        <w:t>dimensions</w:t>
      </w:r>
      <w:r w:rsidRPr="00742342">
        <w:rPr>
          <w:rFonts w:ascii="Open Sans" w:hAnsi="Open Sans" w:cs="Open Sans"/>
          <w:color w:val="000000" w:themeColor="text1"/>
          <w:sz w:val="22"/>
          <w:szCs w:val="22"/>
        </w:rPr>
        <w:t xml:space="preserve"> that will serve as the basis for the empirical analysis of this thesis</w:t>
      </w:r>
      <w:r w:rsidR="00F229B1" w:rsidRPr="00742342">
        <w:rPr>
          <w:rFonts w:ascii="Open Sans" w:hAnsi="Open Sans" w:cs="Open Sans"/>
          <w:color w:val="000000" w:themeColor="text1"/>
          <w:sz w:val="22"/>
          <w:szCs w:val="22"/>
        </w:rPr>
        <w:t xml:space="preserve">. </w:t>
      </w:r>
      <w:r w:rsidR="00FE4E47" w:rsidRPr="00742342">
        <w:rPr>
          <w:rFonts w:ascii="Open Sans" w:hAnsi="Open Sans" w:cs="Open Sans"/>
          <w:color w:val="000000" w:themeColor="text1"/>
          <w:sz w:val="22"/>
          <w:szCs w:val="22"/>
        </w:rPr>
        <w:t>These three dimensions represent three hypotheses</w:t>
      </w:r>
      <w:r w:rsidR="007C27A2">
        <w:rPr>
          <w:rFonts w:ascii="Open Sans" w:hAnsi="Open Sans" w:cs="Open Sans"/>
          <w:color w:val="000000" w:themeColor="text1"/>
          <w:sz w:val="22"/>
          <w:szCs w:val="22"/>
        </w:rPr>
        <w:t xml:space="preserve">, that serve the </w:t>
      </w:r>
      <w:r w:rsidR="00366004" w:rsidRPr="00742342">
        <w:rPr>
          <w:rFonts w:ascii="Open Sans" w:hAnsi="Open Sans" w:cs="Open Sans"/>
          <w:color w:val="000000" w:themeColor="text1"/>
          <w:sz w:val="22"/>
          <w:szCs w:val="22"/>
        </w:rPr>
        <w:t>general hypothesis of this thesis</w:t>
      </w:r>
      <w:r w:rsidR="008B5C22" w:rsidRPr="00742342">
        <w:rPr>
          <w:rFonts w:ascii="Open Sans" w:hAnsi="Open Sans" w:cs="Open Sans"/>
          <w:color w:val="000000" w:themeColor="text1"/>
          <w:sz w:val="22"/>
          <w:szCs w:val="22"/>
        </w:rPr>
        <w:t>:</w:t>
      </w:r>
    </w:p>
    <w:p w14:paraId="0D19A6A1"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2C1A26D6" w14:textId="04F019E9" w:rsidR="00C4198B" w:rsidRPr="00742342" w:rsidRDefault="00366004" w:rsidP="00AC21C6">
      <w:pPr>
        <w:spacing w:line="276" w:lineRule="auto"/>
        <w:ind w:left="360"/>
        <w:jc w:val="both"/>
        <w:rPr>
          <w:rFonts w:ascii="Open Sans" w:hAnsi="Open Sans" w:cs="Open Sans"/>
          <w:bCs/>
          <w:i/>
          <w:iCs/>
          <w:color w:val="000000" w:themeColor="text1"/>
          <w:sz w:val="22"/>
          <w:szCs w:val="22"/>
        </w:rPr>
      </w:pPr>
      <w:r w:rsidRPr="00742342">
        <w:rPr>
          <w:rFonts w:ascii="Open Sans" w:hAnsi="Open Sans" w:cs="Open Sans"/>
          <w:bCs/>
          <w:i/>
          <w:iCs/>
          <w:color w:val="000000" w:themeColor="text1"/>
          <w:sz w:val="22"/>
          <w:szCs w:val="22"/>
        </w:rPr>
        <w:t xml:space="preserve">H1: </w:t>
      </w:r>
      <w:r w:rsidR="00AE786A">
        <w:rPr>
          <w:rFonts w:ascii="Open Sans" w:hAnsi="Open Sans" w:cs="Open Sans"/>
          <w:bCs/>
          <w:i/>
          <w:iCs/>
          <w:color w:val="000000" w:themeColor="text1"/>
          <w:sz w:val="22"/>
          <w:szCs w:val="22"/>
        </w:rPr>
        <w:t xml:space="preserve">The more depoliticized the IGO is, the more autonomy they </w:t>
      </w:r>
      <w:r w:rsidR="00807A5E">
        <w:rPr>
          <w:rFonts w:ascii="Open Sans" w:hAnsi="Open Sans" w:cs="Open Sans"/>
          <w:bCs/>
          <w:i/>
          <w:iCs/>
          <w:color w:val="000000" w:themeColor="text1"/>
          <w:sz w:val="22"/>
          <w:szCs w:val="22"/>
        </w:rPr>
        <w:t>enjoy</w:t>
      </w:r>
      <w:r w:rsidR="00AE786A">
        <w:rPr>
          <w:rFonts w:ascii="Open Sans" w:hAnsi="Open Sans" w:cs="Open Sans"/>
          <w:bCs/>
          <w:i/>
          <w:iCs/>
          <w:color w:val="000000" w:themeColor="text1"/>
          <w:sz w:val="22"/>
          <w:szCs w:val="22"/>
        </w:rPr>
        <w:t>.</w:t>
      </w:r>
    </w:p>
    <w:p w14:paraId="0250AA00"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Intergovernmental organizations are often comprised of member-states that agree that the organizational properties of an IGO are suited to deal with global problems. By doing so they put their trust in the IGO, to act in their best interest. As seen before, this can cause certain problems, especially when looking at the principal-agent problem that often occurs in the relation between intergovernmental organizations and their member-states. But I argue that the P-A problem also has one main advantage. The information asymmetry that leads to the P-A problem can sometimes benefit the IGO. As IGOs often have more knowledge and experience in dealing with global or regional crises, they can divert from the interests of the principal (the member-states), and formulate their own policy, based not on political interests, but on their specific mandate. This leads to the assumption that intergovernmental organizations are often ‘neutral’ when it comes to political alliances in conflicts. While not strictly neutral in nature, their mandate instructs the IGO to act in the best interests of those affected by the conflict. </w:t>
      </w:r>
    </w:p>
    <w:p w14:paraId="6B9675B3"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062E3A9C"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lastRenderedPageBreak/>
        <w:t xml:space="preserve">In addition to increasing the autonomy of an intergovernmental organization, the depoliticized nature of IGOs also benefits the interactions between the IGO and violent non-state actors. As IGOs are less concerned with political interests and more with long-term stability and the de-escalation of crises, they are less likely to engage in political conflict with violent non-state actors. The depoliticized interactions between the IGO and VNSA are therefore more likely to succeed, as the political tension that the VNSA experiences with other actors is (largely) removed. </w:t>
      </w:r>
    </w:p>
    <w:p w14:paraId="368B3057"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14CA3FE4" w14:textId="1C73C2F9" w:rsidR="00C4198B" w:rsidRPr="00742342" w:rsidRDefault="00366004" w:rsidP="00AC21C6">
      <w:pPr>
        <w:spacing w:line="276" w:lineRule="auto"/>
        <w:ind w:left="360"/>
        <w:jc w:val="both"/>
        <w:rPr>
          <w:rFonts w:ascii="Open Sans" w:hAnsi="Open Sans" w:cs="Open Sans"/>
          <w:bCs/>
          <w:i/>
          <w:iCs/>
          <w:color w:val="000000" w:themeColor="text1"/>
          <w:sz w:val="22"/>
          <w:szCs w:val="22"/>
        </w:rPr>
      </w:pPr>
      <w:r w:rsidRPr="00742342">
        <w:rPr>
          <w:rFonts w:ascii="Open Sans" w:hAnsi="Open Sans" w:cs="Open Sans"/>
          <w:bCs/>
          <w:i/>
          <w:iCs/>
          <w:color w:val="000000" w:themeColor="text1"/>
          <w:sz w:val="22"/>
          <w:szCs w:val="22"/>
        </w:rPr>
        <w:t xml:space="preserve">H2: </w:t>
      </w:r>
      <w:r w:rsidR="00C4198B" w:rsidRPr="00742342">
        <w:rPr>
          <w:rFonts w:ascii="Open Sans" w:hAnsi="Open Sans" w:cs="Open Sans"/>
          <w:bCs/>
          <w:i/>
          <w:iCs/>
          <w:color w:val="000000" w:themeColor="text1"/>
          <w:sz w:val="22"/>
          <w:szCs w:val="22"/>
        </w:rPr>
        <w:t xml:space="preserve">Time sensitivity </w:t>
      </w:r>
      <w:r w:rsidRPr="00742342">
        <w:rPr>
          <w:rFonts w:ascii="Open Sans" w:hAnsi="Open Sans" w:cs="Open Sans"/>
          <w:bCs/>
          <w:i/>
          <w:iCs/>
          <w:color w:val="000000" w:themeColor="text1"/>
          <w:sz w:val="22"/>
          <w:szCs w:val="22"/>
        </w:rPr>
        <w:t xml:space="preserve">increases </w:t>
      </w:r>
      <w:r w:rsidR="00AE706C">
        <w:rPr>
          <w:rFonts w:ascii="Open Sans" w:hAnsi="Open Sans" w:cs="Open Sans"/>
          <w:bCs/>
          <w:i/>
          <w:iCs/>
          <w:color w:val="000000" w:themeColor="text1"/>
          <w:sz w:val="22"/>
          <w:szCs w:val="22"/>
        </w:rPr>
        <w:t>intergovernmental</w:t>
      </w:r>
      <w:r w:rsidRPr="00742342">
        <w:rPr>
          <w:rFonts w:ascii="Open Sans" w:hAnsi="Open Sans" w:cs="Open Sans"/>
          <w:bCs/>
          <w:i/>
          <w:iCs/>
          <w:color w:val="000000" w:themeColor="text1"/>
          <w:sz w:val="22"/>
          <w:szCs w:val="22"/>
        </w:rPr>
        <w:t xml:space="preserve"> autonomy</w:t>
      </w:r>
      <w:r w:rsidR="009B25BD" w:rsidRPr="00742342">
        <w:rPr>
          <w:rFonts w:ascii="Open Sans" w:hAnsi="Open Sans" w:cs="Open Sans"/>
          <w:bCs/>
          <w:i/>
          <w:iCs/>
          <w:color w:val="000000" w:themeColor="text1"/>
          <w:sz w:val="22"/>
          <w:szCs w:val="22"/>
        </w:rPr>
        <w:t>.</w:t>
      </w:r>
    </w:p>
    <w:p w14:paraId="2E01CFD7"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 crisis situations, time sensitivity influences the IGO decision-making processes. If the IGO is not able to find a swift, short-term solution, there is an increased risk of escalation of the conflict, with the addition of possible further casualties. The added importance of a rapid response to an acute crisis will ask for greater IGO autonomy, as the risk of a possible deadlock can have severe consequences for the affected population. This ties in with the depoliticized nature of IGOs. As IGOs are possibly perceived as less politicized in nature, they have the ability to focus on preventing short term harm. </w:t>
      </w:r>
    </w:p>
    <w:p w14:paraId="168F45EC"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117A27E8"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 addition to this, intergovernmental organizations have a lot of specific experience with dealing with time-sensitive crises. IGOs have streamlined decision-making processes, which is key in responding to a crisis. This experience leads to the ability to mobilize and structure aid quickly, based on predetermined mechanisms. Member-states do not have this capability, and thus outsources the necessary action to the IGO. This leads to an increase in autonomy, as IGOs do not feature large bureaucratic organizations, at least not on the same scale as member-states do.  Increased experience in dealing with time sensitive conflicts also directly benefits the interactions between the IGO and the VNSA. As non-state actors often do not have extensive experience with governance, the population of the governed area can often not rely on the violent non-state actor for humanitarian aid. If intergovernmental organizations are willing and capable to aid in humanitarian crises, violent non-state actors might be more inclined to engage in dialogue with the IGO, which can function as a first step towards a peaceful crisis resolution. </w:t>
      </w:r>
    </w:p>
    <w:p w14:paraId="1659B977"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0B2CB6F7" w14:textId="77589AFC" w:rsidR="00C4198B" w:rsidRPr="00742342" w:rsidRDefault="00366004" w:rsidP="00AC21C6">
      <w:pPr>
        <w:spacing w:line="276" w:lineRule="auto"/>
        <w:ind w:left="360"/>
        <w:jc w:val="both"/>
        <w:rPr>
          <w:rFonts w:ascii="Open Sans" w:hAnsi="Open Sans" w:cs="Open Sans"/>
          <w:bCs/>
          <w:i/>
          <w:iCs/>
          <w:color w:val="000000" w:themeColor="text1"/>
          <w:sz w:val="22"/>
          <w:szCs w:val="22"/>
        </w:rPr>
      </w:pPr>
      <w:r w:rsidRPr="00742342">
        <w:rPr>
          <w:rFonts w:ascii="Open Sans" w:hAnsi="Open Sans" w:cs="Open Sans"/>
          <w:bCs/>
          <w:i/>
          <w:iCs/>
          <w:color w:val="000000" w:themeColor="text1"/>
          <w:sz w:val="22"/>
          <w:szCs w:val="22"/>
        </w:rPr>
        <w:t xml:space="preserve">H3: </w:t>
      </w:r>
      <w:r w:rsidR="00C4198B" w:rsidRPr="00742342">
        <w:rPr>
          <w:rFonts w:ascii="Open Sans" w:hAnsi="Open Sans" w:cs="Open Sans"/>
          <w:bCs/>
          <w:i/>
          <w:iCs/>
          <w:color w:val="000000" w:themeColor="text1"/>
          <w:sz w:val="22"/>
          <w:szCs w:val="22"/>
        </w:rPr>
        <w:t>Increased credibility through perceived independence and field knowledge</w:t>
      </w:r>
      <w:r w:rsidRPr="00742342">
        <w:rPr>
          <w:rFonts w:ascii="Open Sans" w:hAnsi="Open Sans" w:cs="Open Sans"/>
          <w:bCs/>
          <w:i/>
          <w:iCs/>
          <w:color w:val="000000" w:themeColor="text1"/>
          <w:sz w:val="22"/>
          <w:szCs w:val="22"/>
        </w:rPr>
        <w:t xml:space="preserve"> increases </w:t>
      </w:r>
      <w:r w:rsidR="00AE706C">
        <w:rPr>
          <w:rFonts w:ascii="Open Sans" w:hAnsi="Open Sans" w:cs="Open Sans"/>
          <w:bCs/>
          <w:i/>
          <w:iCs/>
          <w:color w:val="000000" w:themeColor="text1"/>
          <w:sz w:val="22"/>
          <w:szCs w:val="22"/>
        </w:rPr>
        <w:t>intergovernmental</w:t>
      </w:r>
      <w:r w:rsidRPr="00742342">
        <w:rPr>
          <w:rFonts w:ascii="Open Sans" w:hAnsi="Open Sans" w:cs="Open Sans"/>
          <w:bCs/>
          <w:i/>
          <w:iCs/>
          <w:color w:val="000000" w:themeColor="text1"/>
          <w:sz w:val="22"/>
          <w:szCs w:val="22"/>
        </w:rPr>
        <w:t xml:space="preserve"> autonomy</w:t>
      </w:r>
      <w:r w:rsidR="009B25BD" w:rsidRPr="00742342">
        <w:rPr>
          <w:rFonts w:ascii="Open Sans" w:hAnsi="Open Sans" w:cs="Open Sans"/>
          <w:bCs/>
          <w:i/>
          <w:iCs/>
          <w:color w:val="000000" w:themeColor="text1"/>
          <w:sz w:val="22"/>
          <w:szCs w:val="22"/>
        </w:rPr>
        <w:t>.</w:t>
      </w:r>
    </w:p>
    <w:p w14:paraId="4D73E611"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 addition to an increase in autonomy through the depoliticized nature of IGOs and the dimension of time sensitivity through crisis situations, the perceived independence of intergovernmental organizations can enhance their autonomy. Particularly in dealing with violent non-state actors, perceived independence from member-states can open new possibilities for negotiating. This ties in with the depoliticized nature of IGOs, as they are perceived as neutral, or at least partly neutral, negotiating partners. As IGOs are </w:t>
      </w:r>
      <w:r w:rsidRPr="00742342">
        <w:rPr>
          <w:rFonts w:ascii="Open Sans" w:hAnsi="Open Sans" w:cs="Open Sans"/>
          <w:color w:val="000000" w:themeColor="text1"/>
          <w:sz w:val="22"/>
          <w:szCs w:val="22"/>
        </w:rPr>
        <w:lastRenderedPageBreak/>
        <w:t xml:space="preserve">perceived as acting in the interest of the public good, they are supposed to be unbiased. This reputation also reaches the violent non-state actor, which can influence how the VNSA choses to interact with the IGO. In addition, intergovernmental organizations are often staffed by experts in their field, with a specific focus on humanitarian aid and diplomacy. This greatly benefits their negotiation position, and enhances their legitimacy, both internationally as regionally. </w:t>
      </w:r>
    </w:p>
    <w:p w14:paraId="724DE6D3" w14:textId="77777777" w:rsidR="00C4198B" w:rsidRPr="00742342" w:rsidRDefault="00C4198B" w:rsidP="00AC21C6">
      <w:pPr>
        <w:spacing w:line="276" w:lineRule="auto"/>
        <w:jc w:val="both"/>
        <w:rPr>
          <w:rFonts w:ascii="Open Sans" w:hAnsi="Open Sans" w:cs="Open Sans"/>
          <w:color w:val="000000" w:themeColor="text1"/>
          <w:sz w:val="22"/>
          <w:szCs w:val="22"/>
        </w:rPr>
      </w:pPr>
    </w:p>
    <w:p w14:paraId="319D25E3"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As was previously discussed with the principal-agent problem between the member-states and the intergovernmental organization, the perceived independence also works in two ways. In addition to increased legitimacy that IGOs receive from violent non-state actors, the perceived independence also has an influence on the relation between the IGO and its member states. Member-states may be hesitant to commit to specific actions or policies that could be unpopular with other member-states, or that contradict the interest of the IGO. In such instances, IGOs can use their apparent independence to put pressure on member-states. Furthermore, IGOs can use their autonomy to define agendas and prioritize topics that may be unimportant to individual member nations but are critical to the entire community.</w:t>
      </w:r>
    </w:p>
    <w:p w14:paraId="74C34B68" w14:textId="77777777" w:rsidR="00C4198B" w:rsidRPr="00742342" w:rsidRDefault="00C4198B" w:rsidP="00AC21C6">
      <w:pPr>
        <w:spacing w:line="276" w:lineRule="auto"/>
        <w:rPr>
          <w:rFonts w:ascii="Open Sans" w:hAnsi="Open Sans" w:cs="Open Sans"/>
          <w:color w:val="000000" w:themeColor="text1"/>
          <w:sz w:val="22"/>
          <w:szCs w:val="22"/>
        </w:rPr>
      </w:pPr>
    </w:p>
    <w:p w14:paraId="0330BBBD" w14:textId="35AF0533" w:rsidR="00C4198B" w:rsidRPr="00742342" w:rsidRDefault="00C4198B" w:rsidP="003E2BDE">
      <w:pPr>
        <w:pStyle w:val="Heading2"/>
        <w:numPr>
          <w:ilvl w:val="1"/>
          <w:numId w:val="6"/>
        </w:numPr>
        <w:spacing w:line="276" w:lineRule="auto"/>
        <w:rPr>
          <w:rFonts w:ascii="Open Sans" w:hAnsi="Open Sans" w:cs="Open Sans"/>
          <w:color w:val="000000" w:themeColor="text1"/>
          <w:sz w:val="24"/>
          <w:szCs w:val="24"/>
        </w:rPr>
      </w:pPr>
      <w:bookmarkStart w:id="55" w:name="_Toc136372392"/>
      <w:bookmarkStart w:id="56" w:name="_Toc136706590"/>
      <w:bookmarkStart w:id="57" w:name="_Toc138247498"/>
      <w:r w:rsidRPr="00742342">
        <w:rPr>
          <w:rFonts w:ascii="Open Sans" w:hAnsi="Open Sans" w:cs="Open Sans"/>
          <w:color w:val="000000" w:themeColor="text1"/>
          <w:sz w:val="24"/>
          <w:szCs w:val="24"/>
        </w:rPr>
        <w:t>Conclusion</w:t>
      </w:r>
      <w:bookmarkEnd w:id="55"/>
      <w:bookmarkEnd w:id="56"/>
      <w:bookmarkEnd w:id="57"/>
    </w:p>
    <w:p w14:paraId="7F9EE4F3" w14:textId="08EAB001"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It seems obvious that the three identified factors that contribute towards intergovernmental autonomy are interconnected. Although they are positioned as independent factors, and are thus independently measurable, they reinforce one another. The central hypothesis of this thesis is that the level of autonomy has an influence on how intergovernmental organizations engage with violent non-state actors in crises situations. It is my assumption that the way IGOs can determine how they interact with VNSAs, directly influences their effectivity and efficiency in crisis situations. The relationship between the two main actors is complex, but has grave consequences for global political stability, and regional conflicts. This leads to the following visual representation of the perceived relation between the autonomy of an intergovernmental organization in their relationship with violent non-state actors.</w:t>
      </w:r>
      <w:r w:rsidR="006A1005">
        <w:rPr>
          <w:rFonts w:ascii="Open Sans" w:hAnsi="Open Sans" w:cs="Open Sans"/>
          <w:color w:val="000000" w:themeColor="text1"/>
          <w:sz w:val="22"/>
          <w:szCs w:val="22"/>
        </w:rPr>
        <w:t xml:space="preserve"> The three hypotheses form the dimensions that constitute autonomy. The increase in intergovernmental autonomy serves as a</w:t>
      </w:r>
      <w:r w:rsidR="00BE68F8">
        <w:rPr>
          <w:rFonts w:ascii="Open Sans" w:hAnsi="Open Sans" w:cs="Open Sans"/>
          <w:color w:val="000000" w:themeColor="text1"/>
          <w:sz w:val="22"/>
          <w:szCs w:val="22"/>
        </w:rPr>
        <w:t>n intervening variable. The following table displays the conceptual model:</w:t>
      </w:r>
    </w:p>
    <w:p w14:paraId="0DC22D54" w14:textId="51F23F4E" w:rsidR="00C4198B" w:rsidRPr="00742342" w:rsidRDefault="0036704E" w:rsidP="00AC21C6">
      <w:pPr>
        <w:spacing w:line="276" w:lineRule="auto"/>
        <w:jc w:val="both"/>
        <w:rPr>
          <w:rFonts w:ascii="Open Sans" w:hAnsi="Open Sans" w:cs="Open Sans"/>
          <w:color w:val="000000" w:themeColor="text1"/>
          <w:sz w:val="22"/>
          <w:szCs w:val="22"/>
        </w:rPr>
      </w:pPr>
      <w:r>
        <w:rPr>
          <w:rFonts w:ascii="Open Sans" w:hAnsi="Open Sans" w:cs="Open Sans"/>
          <w:noProof/>
          <w:color w:val="000000" w:themeColor="text1"/>
          <w:sz w:val="22"/>
          <w:szCs w:val="22"/>
        </w:rPr>
        <w:lastRenderedPageBreak/>
        <w:drawing>
          <wp:inline distT="0" distB="0" distL="0" distR="0" wp14:anchorId="5573630F" wp14:editId="09923A1C">
            <wp:extent cx="5731510" cy="2895600"/>
            <wp:effectExtent l="0" t="0" r="0" b="0"/>
            <wp:docPr id="1433875978" name="Picture 1" descr="A picture containing text, diagram,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75978" name="Picture 1" descr="A picture containing text, diagram, screenshot, fon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731510" cy="2895600"/>
                    </a:xfrm>
                    <a:prstGeom prst="rect">
                      <a:avLst/>
                    </a:prstGeom>
                  </pic:spPr>
                </pic:pic>
              </a:graphicData>
            </a:graphic>
          </wp:inline>
        </w:drawing>
      </w:r>
    </w:p>
    <w:p w14:paraId="6D519B0C" w14:textId="45A6B4EC" w:rsidR="00C4198B" w:rsidRPr="00742342" w:rsidRDefault="00C4198B" w:rsidP="00AC21C6">
      <w:pPr>
        <w:pStyle w:val="Caption"/>
        <w:spacing w:line="276" w:lineRule="auto"/>
        <w:jc w:val="center"/>
        <w:rPr>
          <w:rFonts w:ascii="Open Sans" w:hAnsi="Open Sans" w:cs="Open Sans"/>
          <w:color w:val="000000" w:themeColor="text1"/>
          <w:sz w:val="16"/>
          <w:szCs w:val="16"/>
        </w:rPr>
      </w:pPr>
      <w:r w:rsidRPr="00742342">
        <w:rPr>
          <w:rFonts w:ascii="Open Sans" w:hAnsi="Open Sans" w:cs="Open Sans"/>
          <w:color w:val="000000" w:themeColor="text1"/>
          <w:sz w:val="16"/>
          <w:szCs w:val="16"/>
        </w:rPr>
        <w:t xml:space="preserve">Figure </w:t>
      </w:r>
      <w:r w:rsidRPr="00742342">
        <w:rPr>
          <w:rFonts w:ascii="Open Sans" w:hAnsi="Open Sans" w:cs="Open Sans"/>
          <w:color w:val="000000" w:themeColor="text1"/>
          <w:sz w:val="16"/>
          <w:szCs w:val="16"/>
        </w:rPr>
        <w:fldChar w:fldCharType="begin"/>
      </w:r>
      <w:r w:rsidRPr="00742342">
        <w:rPr>
          <w:rFonts w:ascii="Open Sans" w:hAnsi="Open Sans" w:cs="Open Sans"/>
          <w:color w:val="000000" w:themeColor="text1"/>
          <w:sz w:val="16"/>
          <w:szCs w:val="16"/>
        </w:rPr>
        <w:instrText xml:space="preserve"> SEQ Figure \* ARABIC </w:instrText>
      </w:r>
      <w:r w:rsidRPr="00742342">
        <w:rPr>
          <w:rFonts w:ascii="Open Sans" w:hAnsi="Open Sans" w:cs="Open Sans"/>
          <w:color w:val="000000" w:themeColor="text1"/>
          <w:sz w:val="16"/>
          <w:szCs w:val="16"/>
        </w:rPr>
        <w:fldChar w:fldCharType="separate"/>
      </w:r>
      <w:r w:rsidR="007639B7">
        <w:rPr>
          <w:rFonts w:ascii="Open Sans" w:hAnsi="Open Sans" w:cs="Open Sans"/>
          <w:noProof/>
          <w:color w:val="000000" w:themeColor="text1"/>
          <w:sz w:val="16"/>
          <w:szCs w:val="16"/>
        </w:rPr>
        <w:t>2</w:t>
      </w:r>
      <w:r w:rsidRPr="00742342">
        <w:rPr>
          <w:rFonts w:ascii="Open Sans" w:hAnsi="Open Sans" w:cs="Open Sans"/>
          <w:color w:val="000000" w:themeColor="text1"/>
          <w:sz w:val="16"/>
          <w:szCs w:val="16"/>
        </w:rPr>
        <w:fldChar w:fldCharType="end"/>
      </w:r>
      <w:r w:rsidRPr="00742342">
        <w:rPr>
          <w:rFonts w:ascii="Open Sans" w:hAnsi="Open Sans" w:cs="Open Sans"/>
          <w:color w:val="000000" w:themeColor="text1"/>
          <w:sz w:val="16"/>
          <w:szCs w:val="16"/>
        </w:rPr>
        <w:t xml:space="preserve">, conceptual model representing factors influencing </w:t>
      </w:r>
      <w:r w:rsidR="00F1145E" w:rsidRPr="00742342">
        <w:rPr>
          <w:rFonts w:ascii="Open Sans" w:hAnsi="Open Sans" w:cs="Open Sans"/>
          <w:color w:val="000000" w:themeColor="text1"/>
          <w:sz w:val="16"/>
          <w:szCs w:val="16"/>
        </w:rPr>
        <w:t>intergovernmental</w:t>
      </w:r>
      <w:r w:rsidRPr="00742342">
        <w:rPr>
          <w:rFonts w:ascii="Open Sans" w:hAnsi="Open Sans" w:cs="Open Sans"/>
          <w:color w:val="000000" w:themeColor="text1"/>
          <w:sz w:val="16"/>
          <w:szCs w:val="16"/>
        </w:rPr>
        <w:t xml:space="preserve"> autonomy </w:t>
      </w:r>
      <w:r w:rsidR="00E37BEF" w:rsidRPr="00742342">
        <w:rPr>
          <w:rFonts w:ascii="Open Sans" w:hAnsi="Open Sans" w:cs="Open Sans"/>
          <w:color w:val="000000" w:themeColor="text1"/>
          <w:sz w:val="16"/>
          <w:szCs w:val="16"/>
        </w:rPr>
        <w:t xml:space="preserve">when engaging </w:t>
      </w:r>
      <w:r w:rsidRPr="00742342">
        <w:rPr>
          <w:rFonts w:ascii="Open Sans" w:hAnsi="Open Sans" w:cs="Open Sans"/>
          <w:color w:val="000000" w:themeColor="text1"/>
          <w:sz w:val="16"/>
          <w:szCs w:val="16"/>
        </w:rPr>
        <w:t xml:space="preserve">with </w:t>
      </w:r>
      <w:r w:rsidR="00E37BEF" w:rsidRPr="00742342">
        <w:rPr>
          <w:rFonts w:ascii="Open Sans" w:hAnsi="Open Sans" w:cs="Open Sans"/>
          <w:color w:val="000000" w:themeColor="text1"/>
          <w:sz w:val="16"/>
          <w:szCs w:val="16"/>
        </w:rPr>
        <w:t>violent non-state actors</w:t>
      </w:r>
      <w:r w:rsidR="008B5C22" w:rsidRPr="00742342">
        <w:rPr>
          <w:rFonts w:ascii="Open Sans" w:hAnsi="Open Sans" w:cs="Open Sans"/>
          <w:color w:val="000000" w:themeColor="text1"/>
          <w:sz w:val="16"/>
          <w:szCs w:val="16"/>
        </w:rPr>
        <w:t>.</w:t>
      </w:r>
    </w:p>
    <w:p w14:paraId="6EB609A7" w14:textId="77777777" w:rsidR="00C4198B" w:rsidRPr="00742342" w:rsidRDefault="00C4198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Following this theoretical outline, I will dive deeper into the concepts of autonomy and crises. This will be done by operationalizing the central concepts. This will serve as the base for the empirical analysis. By operationalizing the concepts of autonomy and crisis in relation with dealing with violent non-state actors from the perspective of an intergovernmental organization, I will map out how these relationships manifest themselves, and how they can be made measurable. The methodological chapter will further include an overview of the chosen research methodology. This will include the methods of data-collection, how this data is handled and the approaches to data analysis. </w:t>
      </w:r>
    </w:p>
    <w:p w14:paraId="460DB332" w14:textId="77777777" w:rsidR="0003749C" w:rsidRPr="00742342" w:rsidRDefault="0003749C" w:rsidP="00AC21C6">
      <w:pPr>
        <w:spacing w:line="276" w:lineRule="auto"/>
        <w:rPr>
          <w:rFonts w:ascii="Open Sans" w:hAnsi="Open Sans" w:cs="Open Sans"/>
          <w:color w:val="000000" w:themeColor="text1"/>
          <w:sz w:val="22"/>
          <w:szCs w:val="22"/>
        </w:rPr>
      </w:pPr>
    </w:p>
    <w:p w14:paraId="220D53AA" w14:textId="77777777" w:rsidR="0003749C" w:rsidRPr="00742342" w:rsidRDefault="0003749C" w:rsidP="00AC21C6">
      <w:pPr>
        <w:spacing w:line="276" w:lineRule="auto"/>
        <w:rPr>
          <w:rFonts w:ascii="Open Sans" w:hAnsi="Open Sans" w:cs="Open Sans"/>
          <w:color w:val="000000" w:themeColor="text1"/>
          <w:sz w:val="22"/>
          <w:szCs w:val="22"/>
        </w:rPr>
      </w:pPr>
    </w:p>
    <w:p w14:paraId="11267FD0" w14:textId="77777777" w:rsidR="00E03594" w:rsidRPr="00742342" w:rsidRDefault="00E03594" w:rsidP="00AC21C6">
      <w:pPr>
        <w:spacing w:line="276" w:lineRule="auto"/>
        <w:rPr>
          <w:rFonts w:ascii="Open Sans" w:eastAsiaTheme="majorEastAsia" w:hAnsi="Open Sans" w:cs="Open Sans"/>
          <w:color w:val="000000" w:themeColor="text1"/>
          <w:sz w:val="28"/>
          <w:szCs w:val="28"/>
        </w:rPr>
      </w:pPr>
      <w:bookmarkStart w:id="58" w:name="_Toc136372393"/>
      <w:r w:rsidRPr="00742342">
        <w:rPr>
          <w:rFonts w:ascii="Open Sans" w:hAnsi="Open Sans" w:cs="Open Sans"/>
          <w:color w:val="000000" w:themeColor="text1"/>
          <w:sz w:val="28"/>
          <w:szCs w:val="28"/>
        </w:rPr>
        <w:br w:type="page"/>
      </w:r>
    </w:p>
    <w:p w14:paraId="2758BA2E" w14:textId="166739F1" w:rsidR="0003749C" w:rsidRPr="00742342" w:rsidRDefault="0003749C" w:rsidP="003E2BDE">
      <w:pPr>
        <w:pStyle w:val="Heading1"/>
        <w:numPr>
          <w:ilvl w:val="0"/>
          <w:numId w:val="6"/>
        </w:numPr>
        <w:spacing w:line="276" w:lineRule="auto"/>
        <w:rPr>
          <w:rFonts w:ascii="Open Sans" w:hAnsi="Open Sans" w:cs="Open Sans"/>
          <w:color w:val="000000" w:themeColor="text1"/>
          <w:sz w:val="28"/>
          <w:szCs w:val="28"/>
        </w:rPr>
      </w:pPr>
      <w:bookmarkStart w:id="59" w:name="_Toc136706591"/>
      <w:bookmarkStart w:id="60" w:name="_Toc138247499"/>
      <w:r w:rsidRPr="00742342">
        <w:rPr>
          <w:rFonts w:ascii="Open Sans" w:hAnsi="Open Sans" w:cs="Open Sans"/>
          <w:color w:val="000000" w:themeColor="text1"/>
          <w:sz w:val="28"/>
          <w:szCs w:val="28"/>
        </w:rPr>
        <w:lastRenderedPageBreak/>
        <w:t>Methodology</w:t>
      </w:r>
      <w:bookmarkEnd w:id="58"/>
      <w:bookmarkEnd w:id="59"/>
      <w:bookmarkEnd w:id="60"/>
    </w:p>
    <w:p w14:paraId="3C8DE591" w14:textId="25F7F8EB" w:rsidR="0088523B" w:rsidRPr="00742342" w:rsidRDefault="0088523B" w:rsidP="00AC21C6">
      <w:pPr>
        <w:spacing w:line="276" w:lineRule="auto"/>
        <w:rPr>
          <w:rFonts w:ascii="Open Sans" w:hAnsi="Open Sans" w:cs="Open Sans"/>
          <w:color w:val="000000" w:themeColor="text1"/>
          <w:sz w:val="22"/>
          <w:szCs w:val="22"/>
        </w:rPr>
      </w:pPr>
    </w:p>
    <w:p w14:paraId="0289A27A" w14:textId="20A6932E" w:rsidR="006F2AEF" w:rsidRPr="00742342" w:rsidRDefault="006F2AEF" w:rsidP="003E2BDE">
      <w:pPr>
        <w:pStyle w:val="Heading2"/>
        <w:numPr>
          <w:ilvl w:val="1"/>
          <w:numId w:val="6"/>
        </w:numPr>
        <w:spacing w:line="276" w:lineRule="auto"/>
        <w:rPr>
          <w:rFonts w:ascii="Open Sans" w:hAnsi="Open Sans" w:cs="Open Sans"/>
          <w:color w:val="000000" w:themeColor="text1"/>
          <w:sz w:val="24"/>
          <w:szCs w:val="24"/>
        </w:rPr>
      </w:pPr>
      <w:bookmarkStart w:id="61" w:name="_Toc136372394"/>
      <w:bookmarkStart w:id="62" w:name="_Toc136706592"/>
      <w:bookmarkStart w:id="63" w:name="_Toc138247500"/>
      <w:r w:rsidRPr="00742342">
        <w:rPr>
          <w:rFonts w:ascii="Open Sans" w:hAnsi="Open Sans" w:cs="Open Sans"/>
          <w:color w:val="000000" w:themeColor="text1"/>
          <w:sz w:val="24"/>
          <w:szCs w:val="24"/>
        </w:rPr>
        <w:t>Introduction</w:t>
      </w:r>
      <w:bookmarkEnd w:id="61"/>
      <w:bookmarkEnd w:id="62"/>
      <w:bookmarkEnd w:id="63"/>
      <w:r w:rsidRPr="00742342">
        <w:rPr>
          <w:rFonts w:ascii="Open Sans" w:hAnsi="Open Sans" w:cs="Open Sans"/>
          <w:color w:val="000000" w:themeColor="text1"/>
          <w:sz w:val="24"/>
          <w:szCs w:val="24"/>
        </w:rPr>
        <w:t xml:space="preserve"> </w:t>
      </w:r>
    </w:p>
    <w:p w14:paraId="752ACD54" w14:textId="405A9F19"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This thesis aims to investigate how the level of autonomy an intergovernmental organization influences its decision-making in dealing with violent non-state actors. In this chapter I will dive deeper into the methodology that has shaped this thesis. As the methodologies of choice will have large implications for the course of this thesis, the relevance of </w:t>
      </w:r>
      <w:r w:rsidR="001B3ABC">
        <w:rPr>
          <w:rFonts w:ascii="Open Sans" w:hAnsi="Open Sans" w:cs="Open Sans"/>
          <w:color w:val="000000" w:themeColor="text1"/>
          <w:sz w:val="22"/>
          <w:szCs w:val="22"/>
        </w:rPr>
        <w:t>a methodological framework is not easily overstated</w:t>
      </w:r>
      <w:r w:rsidRPr="00742342">
        <w:rPr>
          <w:rFonts w:ascii="Open Sans" w:hAnsi="Open Sans" w:cs="Open Sans"/>
          <w:color w:val="000000" w:themeColor="text1"/>
          <w:sz w:val="22"/>
          <w:szCs w:val="22"/>
        </w:rPr>
        <w:t xml:space="preserve">. This chapter will serve multiple purposes. Further defining the research subject through the use of operationalization techniques, will improve the theoretical and methodological grounding of this thesis. By defining what this thesis encompasses, and what it does not deal with, one can have a better understanding of its contribution to the debate this thesis aims to engage with. This chapter will feature an outline of the approaches and techniques used to deal with the central research question. The methodological chapter will thus function as a roadmap, defining the process this thesis will follow. In addition to defining the methods used in this thesis, the methodological chapter will also engage with the question of the relative quality of the research performed in this chapter. The aim of this chapter is to establish the rigor of this research. When every component of the study methodology is systematic and transparent through thorough, methodical, and accurate reporting, the research process and results are more rigorous (Johnson et al., 2020). As this thesis features a qualitative approach, the researcher is the primary instrument for data-collection and -interpretation (Ibid, 2020). This warrants a thorough analysis of the role of the researcher, in indicators of research quality, but also in their own positionality (Bourke, 2014). </w:t>
      </w:r>
    </w:p>
    <w:p w14:paraId="0613F367"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466D5F67" w14:textId="77777777"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research design and its implications will be the central focus point of this chapter. The way the research is defined greatly influences the potential outcomes, so a thorough exposition of the chosen methods of analysis is required. In the research design I will outline the type of design utilized and offer a justification for the choices I have made to come to this research outline. Following the outline of the design, I will dive deeper into the rigor of this research. I will deal with questions of validity, reliability, and the possible shortcomings of my chosen research design, as well as reflect critically on my own role as researcher. I will conclude this chapter with an introduction to the empirical analysis of this thesis, which combines insights about the theoretical analysis with observations from the methodological chapter in a framework for empirical analysis. </w:t>
      </w:r>
    </w:p>
    <w:p w14:paraId="6CF1D9F7"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1543D9FC" w14:textId="77777777"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Before anything else however, we must dive deeper into the concepts defined in the theoretical analysis of this thesis. I have identified three dimensions that contribute to an increase in intergovernmental autonomy, with the hypothesis that increased autonomy leads to more efficient and effective engagement with violent non-state actors. To </w:t>
      </w:r>
      <w:r w:rsidRPr="00742342">
        <w:rPr>
          <w:rFonts w:ascii="Open Sans" w:hAnsi="Open Sans" w:cs="Open Sans"/>
          <w:color w:val="000000" w:themeColor="text1"/>
          <w:sz w:val="22"/>
          <w:szCs w:val="22"/>
        </w:rPr>
        <w:lastRenderedPageBreak/>
        <w:t xml:space="preserve">effectively analyze these dimensions, they must be measurable (Klotz &amp; Prakash, 2008). This requires an operationalization of the research dimensions, which will be the starting point of this methodological chapter. </w:t>
      </w:r>
    </w:p>
    <w:p w14:paraId="670E58C2"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2C6FFDDE" w14:textId="29B4DE4B" w:rsidR="006F2AEF" w:rsidRPr="00742342" w:rsidRDefault="006F2AEF" w:rsidP="003E2BDE">
      <w:pPr>
        <w:pStyle w:val="Heading2"/>
        <w:numPr>
          <w:ilvl w:val="1"/>
          <w:numId w:val="6"/>
        </w:numPr>
        <w:spacing w:line="276" w:lineRule="auto"/>
        <w:rPr>
          <w:rFonts w:ascii="Open Sans" w:hAnsi="Open Sans" w:cs="Open Sans"/>
          <w:color w:val="000000" w:themeColor="text1"/>
          <w:sz w:val="24"/>
          <w:szCs w:val="24"/>
        </w:rPr>
      </w:pPr>
      <w:bookmarkStart w:id="64" w:name="_Toc136372395"/>
      <w:bookmarkStart w:id="65" w:name="_Toc136706593"/>
      <w:bookmarkStart w:id="66" w:name="_Toc138247501"/>
      <w:r w:rsidRPr="00742342">
        <w:rPr>
          <w:rFonts w:ascii="Open Sans" w:hAnsi="Open Sans" w:cs="Open Sans"/>
          <w:color w:val="000000" w:themeColor="text1"/>
          <w:sz w:val="24"/>
          <w:szCs w:val="24"/>
        </w:rPr>
        <w:t>Operationalization</w:t>
      </w:r>
      <w:bookmarkEnd w:id="64"/>
      <w:bookmarkEnd w:id="65"/>
      <w:bookmarkEnd w:id="66"/>
    </w:p>
    <w:p w14:paraId="5F6AFCFF" w14:textId="118AE03A"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process of operationalization involves transforming theoretical </w:t>
      </w:r>
      <w:r w:rsidR="006F3A1B" w:rsidRPr="00742342">
        <w:rPr>
          <w:rFonts w:ascii="Open Sans" w:hAnsi="Open Sans" w:cs="Open Sans"/>
          <w:color w:val="000000" w:themeColor="text1"/>
          <w:sz w:val="22"/>
          <w:szCs w:val="22"/>
        </w:rPr>
        <w:t>concepts</w:t>
      </w:r>
      <w:r w:rsidRPr="00742342">
        <w:rPr>
          <w:rFonts w:ascii="Open Sans" w:hAnsi="Open Sans" w:cs="Open Sans"/>
          <w:color w:val="000000" w:themeColor="text1"/>
          <w:sz w:val="22"/>
          <w:szCs w:val="22"/>
        </w:rPr>
        <w:t xml:space="preserve"> into measurable indicators, that serve as the basis for empirical analysis (Andrade, 2021).</w:t>
      </w:r>
      <w:r w:rsidR="000C4B59" w:rsidRPr="00742342">
        <w:rPr>
          <w:rFonts w:ascii="Open Sans" w:hAnsi="Open Sans" w:cs="Open Sans"/>
          <w:color w:val="000000" w:themeColor="text1"/>
          <w:sz w:val="22"/>
          <w:szCs w:val="22"/>
        </w:rPr>
        <w:t xml:space="preserve"> These theoretical concepts are also referred to as dimensions.</w:t>
      </w:r>
      <w:r w:rsidRPr="00742342">
        <w:rPr>
          <w:rFonts w:ascii="Open Sans" w:hAnsi="Open Sans" w:cs="Open Sans"/>
          <w:color w:val="000000" w:themeColor="text1"/>
          <w:sz w:val="22"/>
          <w:szCs w:val="22"/>
        </w:rPr>
        <w:t xml:space="preserve"> Operationalization is all about strictly defining </w:t>
      </w:r>
      <w:r w:rsidR="008C0C20" w:rsidRPr="00742342">
        <w:rPr>
          <w:rFonts w:ascii="Open Sans" w:hAnsi="Open Sans" w:cs="Open Sans"/>
          <w:color w:val="000000" w:themeColor="text1"/>
          <w:sz w:val="22"/>
          <w:szCs w:val="22"/>
        </w:rPr>
        <w:t xml:space="preserve">these </w:t>
      </w:r>
      <w:r w:rsidRPr="00742342">
        <w:rPr>
          <w:rFonts w:ascii="Open Sans" w:hAnsi="Open Sans" w:cs="Open Sans"/>
          <w:color w:val="000000" w:themeColor="text1"/>
          <w:sz w:val="22"/>
          <w:szCs w:val="22"/>
        </w:rPr>
        <w:t xml:space="preserve">identified theoretical dimensions. By identifying which items constitute a dimension, the researcher can analyze how these </w:t>
      </w:r>
      <w:r w:rsidR="008C0C20" w:rsidRPr="00742342">
        <w:rPr>
          <w:rFonts w:ascii="Open Sans" w:hAnsi="Open Sans" w:cs="Open Sans"/>
          <w:color w:val="000000" w:themeColor="text1"/>
          <w:sz w:val="22"/>
          <w:szCs w:val="22"/>
        </w:rPr>
        <w:t>concepts</w:t>
      </w:r>
      <w:r w:rsidRPr="00742342">
        <w:rPr>
          <w:rFonts w:ascii="Open Sans" w:hAnsi="Open Sans" w:cs="Open Sans"/>
          <w:color w:val="000000" w:themeColor="text1"/>
          <w:sz w:val="22"/>
          <w:szCs w:val="22"/>
        </w:rPr>
        <w:t xml:space="preserve"> function towards their hypothesis. Oftentimes, although carefully constructed on the basis of a theoretical study, </w:t>
      </w:r>
      <w:r w:rsidR="009366E8" w:rsidRPr="00742342">
        <w:rPr>
          <w:rFonts w:ascii="Open Sans" w:hAnsi="Open Sans" w:cs="Open Sans"/>
          <w:color w:val="000000" w:themeColor="text1"/>
          <w:sz w:val="22"/>
          <w:szCs w:val="22"/>
        </w:rPr>
        <w:t>theoretical concepts</w:t>
      </w:r>
      <w:r w:rsidRPr="00742342">
        <w:rPr>
          <w:rFonts w:ascii="Open Sans" w:hAnsi="Open Sans" w:cs="Open Sans"/>
          <w:color w:val="000000" w:themeColor="text1"/>
          <w:sz w:val="22"/>
          <w:szCs w:val="22"/>
        </w:rPr>
        <w:t xml:space="preserve"> are not directly measurable (Singh, 2015). This is because they do not translate to questions that can be directly answered on the basis of an empirical analysis (Ibid, 2015). Although this is mostly a practical reason to operationalize the </w:t>
      </w:r>
      <w:r w:rsidR="009366E8" w:rsidRPr="00742342">
        <w:rPr>
          <w:rFonts w:ascii="Open Sans" w:hAnsi="Open Sans" w:cs="Open Sans"/>
          <w:color w:val="000000" w:themeColor="text1"/>
          <w:sz w:val="22"/>
          <w:szCs w:val="22"/>
        </w:rPr>
        <w:t>theoretical concepts</w:t>
      </w:r>
      <w:r w:rsidRPr="00742342">
        <w:rPr>
          <w:rFonts w:ascii="Open Sans" w:hAnsi="Open Sans" w:cs="Open Sans"/>
          <w:color w:val="000000" w:themeColor="text1"/>
          <w:sz w:val="22"/>
          <w:szCs w:val="22"/>
        </w:rPr>
        <w:t>, it has a methodological rationale. By classifying which items construct a dimension, one can remove the ambiguity that is often associated with conceptual</w:t>
      </w:r>
      <w:r w:rsidR="009366E8" w:rsidRPr="00742342">
        <w:rPr>
          <w:rFonts w:ascii="Open Sans" w:hAnsi="Open Sans" w:cs="Open Sans"/>
          <w:color w:val="000000" w:themeColor="text1"/>
          <w:sz w:val="22"/>
          <w:szCs w:val="22"/>
        </w:rPr>
        <w:t xml:space="preserve">ization </w:t>
      </w:r>
      <w:r w:rsidRPr="00742342">
        <w:rPr>
          <w:rFonts w:ascii="Open Sans" w:hAnsi="Open Sans" w:cs="Open Sans"/>
          <w:color w:val="000000" w:themeColor="text1"/>
          <w:sz w:val="22"/>
          <w:szCs w:val="22"/>
        </w:rPr>
        <w:t xml:space="preserve">(Bleijenbergh, 2013). While dimensions are often abstract concepts, the items that construct them are measurable. This systematic approach increases the measurability of your research-subjects, and therefore benefits the feasibility of the research. It also increases the reproducibility of your research, as the structured and standardized nature of items is, at least in theory, easier to reproduce by another researcher. A clear and precise operationalization serves as the basis of the methodological foundation of a thesis. </w:t>
      </w:r>
    </w:p>
    <w:p w14:paraId="2678AA31"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7E25CE52" w14:textId="1FB3B9E6"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 the previous chapter of this thesis, I have identified three </w:t>
      </w:r>
      <w:r w:rsidR="00754B73" w:rsidRPr="00742342">
        <w:rPr>
          <w:rFonts w:ascii="Open Sans" w:hAnsi="Open Sans" w:cs="Open Sans"/>
          <w:color w:val="000000" w:themeColor="text1"/>
          <w:sz w:val="22"/>
          <w:szCs w:val="22"/>
        </w:rPr>
        <w:t>theoretical concepts</w:t>
      </w:r>
      <w:r w:rsidRPr="00742342">
        <w:rPr>
          <w:rFonts w:ascii="Open Sans" w:hAnsi="Open Sans" w:cs="Open Sans"/>
          <w:color w:val="000000" w:themeColor="text1"/>
          <w:sz w:val="22"/>
          <w:szCs w:val="22"/>
        </w:rPr>
        <w:t xml:space="preserve"> that can contribute to the autonomy of intergovernmental organizations. </w:t>
      </w:r>
      <w:r w:rsidR="00754B73" w:rsidRPr="00742342">
        <w:rPr>
          <w:rFonts w:ascii="Open Sans" w:hAnsi="Open Sans" w:cs="Open Sans"/>
          <w:color w:val="000000" w:themeColor="text1"/>
          <w:sz w:val="22"/>
          <w:szCs w:val="22"/>
        </w:rPr>
        <w:t xml:space="preserve">These concepts </w:t>
      </w:r>
      <w:r w:rsidR="0009275C" w:rsidRPr="00742342">
        <w:rPr>
          <w:rFonts w:ascii="Open Sans" w:hAnsi="Open Sans" w:cs="Open Sans"/>
          <w:color w:val="000000" w:themeColor="text1"/>
          <w:sz w:val="22"/>
          <w:szCs w:val="22"/>
        </w:rPr>
        <w:t xml:space="preserve">are based on the hypotheses that I have formed and discussed in the previous chapter of this thesis, </w:t>
      </w:r>
      <w:r w:rsidR="00530DC1" w:rsidRPr="00742342">
        <w:rPr>
          <w:rFonts w:ascii="Open Sans" w:hAnsi="Open Sans" w:cs="Open Sans"/>
          <w:color w:val="000000" w:themeColor="text1"/>
          <w:sz w:val="22"/>
          <w:szCs w:val="22"/>
        </w:rPr>
        <w:t xml:space="preserve">in paragraph </w:t>
      </w:r>
      <w:r w:rsidR="00CF35B4" w:rsidRPr="00742342">
        <w:rPr>
          <w:rFonts w:ascii="Open Sans" w:hAnsi="Open Sans" w:cs="Open Sans"/>
          <w:color w:val="000000" w:themeColor="text1"/>
          <w:sz w:val="22"/>
          <w:szCs w:val="22"/>
        </w:rPr>
        <w:t>2.4</w:t>
      </w:r>
      <w:r w:rsidR="00530DC1" w:rsidRPr="00742342">
        <w:rPr>
          <w:rFonts w:ascii="Open Sans" w:hAnsi="Open Sans" w:cs="Open Sans"/>
          <w:color w:val="000000" w:themeColor="text1"/>
          <w:sz w:val="22"/>
          <w:szCs w:val="22"/>
        </w:rPr>
        <w:t xml:space="preserve">. </w:t>
      </w:r>
      <w:r w:rsidRPr="00742342">
        <w:rPr>
          <w:rFonts w:ascii="Open Sans" w:hAnsi="Open Sans" w:cs="Open Sans"/>
          <w:color w:val="000000" w:themeColor="text1"/>
          <w:sz w:val="22"/>
          <w:szCs w:val="22"/>
        </w:rPr>
        <w:t xml:space="preserve">It is my hypothesis that the formulated </w:t>
      </w:r>
      <w:r w:rsidR="00530DC1" w:rsidRPr="00742342">
        <w:rPr>
          <w:rFonts w:ascii="Open Sans" w:hAnsi="Open Sans" w:cs="Open Sans"/>
          <w:color w:val="000000" w:themeColor="text1"/>
          <w:sz w:val="22"/>
          <w:szCs w:val="22"/>
        </w:rPr>
        <w:t>concepts</w:t>
      </w:r>
      <w:r w:rsidRPr="00742342">
        <w:rPr>
          <w:rFonts w:ascii="Open Sans" w:hAnsi="Open Sans" w:cs="Open Sans"/>
          <w:color w:val="000000" w:themeColor="text1"/>
          <w:sz w:val="22"/>
          <w:szCs w:val="22"/>
        </w:rPr>
        <w:t xml:space="preserve"> can contribute to a higher degree of intergovernmental autonomy, which in terms affects the efficiency and effectiveness with which an intergovernmental organization deals with violent non-state actors. Based on a literature review performed in the theoretical chapter, I formulated the following dimensions that I believe affect the autonomy of an intergovernmental organization:</w:t>
      </w:r>
    </w:p>
    <w:p w14:paraId="0B692CA8"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5CE2EF16" w14:textId="22C69CA1" w:rsidR="006F2AEF" w:rsidRPr="00742342" w:rsidRDefault="006F2AEF" w:rsidP="003E2BDE">
      <w:pPr>
        <w:pStyle w:val="ListParagraph"/>
        <w:numPr>
          <w:ilvl w:val="0"/>
          <w:numId w:val="2"/>
        </w:num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w:t>
      </w:r>
      <w:r w:rsidR="0086613B">
        <w:rPr>
          <w:rFonts w:ascii="Open Sans" w:hAnsi="Open Sans" w:cs="Open Sans"/>
          <w:color w:val="000000" w:themeColor="text1"/>
          <w:sz w:val="22"/>
          <w:szCs w:val="22"/>
        </w:rPr>
        <w:t>depoliticization</w:t>
      </w:r>
      <w:r w:rsidRPr="00742342">
        <w:rPr>
          <w:rFonts w:ascii="Open Sans" w:hAnsi="Open Sans" w:cs="Open Sans"/>
          <w:color w:val="000000" w:themeColor="text1"/>
          <w:sz w:val="22"/>
          <w:szCs w:val="22"/>
        </w:rPr>
        <w:t xml:space="preserve"> of intergovernmental organizations</w:t>
      </w:r>
    </w:p>
    <w:p w14:paraId="08FB18D4" w14:textId="77777777" w:rsidR="006F2AEF" w:rsidRPr="00742342" w:rsidRDefault="006F2AEF" w:rsidP="003E2BDE">
      <w:pPr>
        <w:pStyle w:val="ListParagraph"/>
        <w:numPr>
          <w:ilvl w:val="0"/>
          <w:numId w:val="2"/>
        </w:num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Time sensitivity</w:t>
      </w:r>
    </w:p>
    <w:p w14:paraId="23F43DD5" w14:textId="77777777" w:rsidR="006F2AEF" w:rsidRPr="00742342" w:rsidRDefault="006F2AEF" w:rsidP="003E2BDE">
      <w:pPr>
        <w:pStyle w:val="ListParagraph"/>
        <w:numPr>
          <w:ilvl w:val="0"/>
          <w:numId w:val="2"/>
        </w:num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increased credibility through perceived independence and field knowledge</w:t>
      </w:r>
    </w:p>
    <w:p w14:paraId="6BF4CC6C"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29534658" w14:textId="5A57A91D"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These dimensions </w:t>
      </w:r>
      <w:r w:rsidR="00A718BA" w:rsidRPr="00742342">
        <w:rPr>
          <w:rFonts w:ascii="Open Sans" w:hAnsi="Open Sans" w:cs="Open Sans"/>
          <w:color w:val="000000" w:themeColor="text1"/>
          <w:sz w:val="22"/>
          <w:szCs w:val="22"/>
        </w:rPr>
        <w:t>are expected to</w:t>
      </w:r>
      <w:r w:rsidRPr="00742342">
        <w:rPr>
          <w:rFonts w:ascii="Open Sans" w:hAnsi="Open Sans" w:cs="Open Sans"/>
          <w:color w:val="000000" w:themeColor="text1"/>
          <w:sz w:val="22"/>
          <w:szCs w:val="22"/>
        </w:rPr>
        <w:t xml:space="preserve"> have a positive impact on the autonomy of an intergovernmental organization. Meaning that if the relative value or score that </w:t>
      </w:r>
      <w:r w:rsidRPr="00742342">
        <w:rPr>
          <w:rFonts w:ascii="Open Sans" w:hAnsi="Open Sans" w:cs="Open Sans"/>
          <w:color w:val="000000" w:themeColor="text1"/>
          <w:sz w:val="22"/>
          <w:szCs w:val="22"/>
        </w:rPr>
        <w:lastRenderedPageBreak/>
        <w:t xml:space="preserve">composes the variable increases, the general effect on autonomy increases, which leads to an increase in autonomy for the intergovernmental organization. In the following paragraphs I will operationalize the three identified dimensions one by one, after which I will dive deeper into the properties of the dimension of crises. </w:t>
      </w:r>
      <w:r w:rsidR="00530DC1" w:rsidRPr="00742342">
        <w:rPr>
          <w:rFonts w:ascii="Open Sans" w:hAnsi="Open Sans" w:cs="Open Sans"/>
          <w:color w:val="000000" w:themeColor="text1"/>
          <w:sz w:val="22"/>
          <w:szCs w:val="22"/>
        </w:rPr>
        <w:t>The</w:t>
      </w:r>
      <w:r w:rsidR="00E12CC6" w:rsidRPr="00742342">
        <w:rPr>
          <w:rFonts w:ascii="Open Sans" w:hAnsi="Open Sans" w:cs="Open Sans"/>
          <w:color w:val="000000" w:themeColor="text1"/>
          <w:sz w:val="22"/>
          <w:szCs w:val="22"/>
        </w:rPr>
        <w:t xml:space="preserve"> operationalization into items is</w:t>
      </w:r>
      <w:r w:rsidR="00530DC1" w:rsidRPr="00742342">
        <w:rPr>
          <w:rFonts w:ascii="Open Sans" w:hAnsi="Open Sans" w:cs="Open Sans"/>
          <w:color w:val="000000" w:themeColor="text1"/>
          <w:sz w:val="22"/>
          <w:szCs w:val="22"/>
        </w:rPr>
        <w:t xml:space="preserve"> displayed in table 1 on page </w:t>
      </w:r>
      <w:r w:rsidR="0048667B" w:rsidRPr="00742342">
        <w:rPr>
          <w:rFonts w:ascii="Open Sans" w:hAnsi="Open Sans" w:cs="Open Sans"/>
          <w:color w:val="000000" w:themeColor="text1"/>
          <w:sz w:val="22"/>
          <w:szCs w:val="22"/>
        </w:rPr>
        <w:t>31.</w:t>
      </w:r>
    </w:p>
    <w:p w14:paraId="7ABE623A"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74CB371D" w14:textId="148BE2E4" w:rsidR="006F2AEF" w:rsidRPr="00742342" w:rsidRDefault="006F2AEF" w:rsidP="003E2BDE">
      <w:pPr>
        <w:pStyle w:val="Heading4"/>
        <w:numPr>
          <w:ilvl w:val="0"/>
          <w:numId w:val="3"/>
        </w:numPr>
        <w:spacing w:line="276" w:lineRule="auto"/>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w:t>
      </w:r>
      <w:r w:rsidR="00070788">
        <w:rPr>
          <w:rFonts w:ascii="Open Sans" w:hAnsi="Open Sans" w:cs="Open Sans"/>
          <w:color w:val="000000" w:themeColor="text1"/>
          <w:sz w:val="22"/>
          <w:szCs w:val="22"/>
        </w:rPr>
        <w:t>depoliticization</w:t>
      </w:r>
      <w:r w:rsidRPr="00742342">
        <w:rPr>
          <w:rFonts w:ascii="Open Sans" w:hAnsi="Open Sans" w:cs="Open Sans"/>
          <w:color w:val="000000" w:themeColor="text1"/>
          <w:sz w:val="22"/>
          <w:szCs w:val="22"/>
        </w:rPr>
        <w:t xml:space="preserve"> of intergovernmental organizations</w:t>
      </w:r>
    </w:p>
    <w:p w14:paraId="330E510B" w14:textId="34541483"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As discussed before, intergovernmental organizations are made up of the collective interests of their member-states (Reinalda, 2014). Those member-states each have their own set of political values and ideas, which sometimes largely correspond with each other, but can also clash (Ibid, 2014). The IGO, or more specifically, its secretariat and executive organizations need to unite different preferences, with the aim to remove political tensions between the member-states, which can infiltrate the intergovernmental organization (Louis &amp; Maertens, 2021). Intergovernmental organizations are often concerned with highly politicized activities, dealing with violent conflicts, humanitarian aid in crises, and peacekeeping and -building (Ezrow, 2017). Despite taking part in such undertakings, intergovernmental organizations often claim not</w:t>
      </w:r>
      <w:r w:rsidR="00714AC8" w:rsidRPr="00742342">
        <w:rPr>
          <w:rFonts w:ascii="Open Sans" w:hAnsi="Open Sans" w:cs="Open Sans"/>
          <w:color w:val="000000" w:themeColor="text1"/>
          <w:sz w:val="22"/>
          <w:szCs w:val="22"/>
        </w:rPr>
        <w:t xml:space="preserve"> to</w:t>
      </w:r>
      <w:r w:rsidRPr="00742342">
        <w:rPr>
          <w:rFonts w:ascii="Open Sans" w:hAnsi="Open Sans" w:cs="Open Sans"/>
          <w:color w:val="000000" w:themeColor="text1"/>
          <w:sz w:val="22"/>
          <w:szCs w:val="22"/>
        </w:rPr>
        <w:t xml:space="preserve"> engage with politics, as they merely act in the interests of others (Louis &amp; Maertens, 2021). Intergovernmental organizations claim </w:t>
      </w:r>
      <w:r w:rsidR="007A3575" w:rsidRPr="00742342">
        <w:rPr>
          <w:rFonts w:ascii="Open Sans" w:hAnsi="Open Sans" w:cs="Open Sans"/>
          <w:color w:val="000000" w:themeColor="text1"/>
          <w:sz w:val="22"/>
          <w:szCs w:val="22"/>
        </w:rPr>
        <w:t xml:space="preserve">to have at least some form of </w:t>
      </w:r>
      <w:r w:rsidRPr="00742342">
        <w:rPr>
          <w:rFonts w:ascii="Open Sans" w:hAnsi="Open Sans" w:cs="Open Sans"/>
          <w:color w:val="000000" w:themeColor="text1"/>
          <w:sz w:val="22"/>
          <w:szCs w:val="22"/>
        </w:rPr>
        <w:t xml:space="preserve">political autonomy, both from their member-states and in the conflicts they engage in (Ibid, 2021). The first dimension of this analysis is focused on the first part, the lack of political allegiance to their respective member-states. The depoliticized nature is notable in the interaction between the intergovernmental organization and its member-states, which spills through to the policies intergovernmental organizations adopt (Ezrow, 2017; Freitas, 2005; Louis &amp; Maertens, 2021). For this operationalization I have identified four items that construct the dimension ‘the </w:t>
      </w:r>
      <w:r w:rsidR="00375FEC">
        <w:rPr>
          <w:rFonts w:ascii="Open Sans" w:hAnsi="Open Sans" w:cs="Open Sans"/>
          <w:color w:val="000000" w:themeColor="text1"/>
          <w:sz w:val="22"/>
          <w:szCs w:val="22"/>
        </w:rPr>
        <w:t>depoliticization</w:t>
      </w:r>
      <w:r w:rsidRPr="00742342">
        <w:rPr>
          <w:rFonts w:ascii="Open Sans" w:hAnsi="Open Sans" w:cs="Open Sans"/>
          <w:color w:val="000000" w:themeColor="text1"/>
          <w:sz w:val="22"/>
          <w:szCs w:val="22"/>
        </w:rPr>
        <w:t xml:space="preserve"> of intergovernmental organizations’. </w:t>
      </w:r>
    </w:p>
    <w:p w14:paraId="4747D010"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5F32A8E2" w14:textId="113AAE6E"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first item is the </w:t>
      </w:r>
      <w:r w:rsidRPr="00742342">
        <w:rPr>
          <w:rFonts w:ascii="Open Sans" w:hAnsi="Open Sans" w:cs="Open Sans"/>
          <w:b/>
          <w:color w:val="000000" w:themeColor="text1"/>
          <w:sz w:val="22"/>
          <w:szCs w:val="22"/>
        </w:rPr>
        <w:t xml:space="preserve">political neutrality of the </w:t>
      </w:r>
      <w:r w:rsidR="0044352B">
        <w:rPr>
          <w:rFonts w:ascii="Open Sans" w:hAnsi="Open Sans" w:cs="Open Sans"/>
          <w:b/>
          <w:color w:val="000000" w:themeColor="text1"/>
          <w:sz w:val="22"/>
          <w:szCs w:val="22"/>
        </w:rPr>
        <w:t>S</w:t>
      </w:r>
      <w:r w:rsidRPr="00742342">
        <w:rPr>
          <w:rFonts w:ascii="Open Sans" w:hAnsi="Open Sans" w:cs="Open Sans"/>
          <w:b/>
          <w:color w:val="000000" w:themeColor="text1"/>
          <w:sz w:val="22"/>
          <w:szCs w:val="22"/>
        </w:rPr>
        <w:t>ecretariat</w:t>
      </w:r>
      <w:r w:rsidR="005348E1" w:rsidRPr="00742342">
        <w:rPr>
          <w:rFonts w:ascii="Open Sans" w:hAnsi="Open Sans" w:cs="Open Sans"/>
          <w:b/>
          <w:color w:val="000000" w:themeColor="text1"/>
          <w:sz w:val="22"/>
          <w:szCs w:val="22"/>
        </w:rPr>
        <w:t xml:space="preserve"> towards member-states</w:t>
      </w:r>
      <w:r w:rsidRPr="00742342">
        <w:rPr>
          <w:rFonts w:ascii="Open Sans" w:hAnsi="Open Sans" w:cs="Open Sans"/>
          <w:color w:val="000000" w:themeColor="text1"/>
          <w:sz w:val="22"/>
          <w:szCs w:val="22"/>
        </w:rPr>
        <w:t xml:space="preserve"> of the intergovernmental organization. This refers to the level the </w:t>
      </w:r>
      <w:r w:rsidR="0044352B">
        <w:rPr>
          <w:rFonts w:ascii="Open Sans" w:hAnsi="Open Sans" w:cs="Open Sans"/>
          <w:color w:val="000000" w:themeColor="text1"/>
          <w:sz w:val="22"/>
          <w:szCs w:val="22"/>
        </w:rPr>
        <w:t>UN S</w:t>
      </w:r>
      <w:r w:rsidRPr="00742342">
        <w:rPr>
          <w:rFonts w:ascii="Open Sans" w:hAnsi="Open Sans" w:cs="Open Sans"/>
          <w:color w:val="000000" w:themeColor="text1"/>
          <w:sz w:val="22"/>
          <w:szCs w:val="22"/>
        </w:rPr>
        <w:t xml:space="preserve">ecretariat of the intergovernmental organization is influenced to adhere to political preferences by the member-states, and the how the </w:t>
      </w:r>
      <w:r w:rsidR="0044352B">
        <w:rPr>
          <w:rFonts w:ascii="Open Sans" w:hAnsi="Open Sans" w:cs="Open Sans"/>
          <w:color w:val="000000" w:themeColor="text1"/>
          <w:sz w:val="22"/>
          <w:szCs w:val="22"/>
        </w:rPr>
        <w:t>S</w:t>
      </w:r>
      <w:r w:rsidRPr="00742342">
        <w:rPr>
          <w:rFonts w:ascii="Open Sans" w:hAnsi="Open Sans" w:cs="Open Sans"/>
          <w:color w:val="000000" w:themeColor="text1"/>
          <w:sz w:val="22"/>
          <w:szCs w:val="22"/>
        </w:rPr>
        <w:t xml:space="preserve">ecretariat decides to act on those influences (Warnecke, 2020). The second item identified in this operationalization is the </w:t>
      </w:r>
      <w:r w:rsidRPr="00742342">
        <w:rPr>
          <w:rFonts w:ascii="Open Sans" w:hAnsi="Open Sans" w:cs="Open Sans"/>
          <w:b/>
          <w:color w:val="000000" w:themeColor="text1"/>
          <w:sz w:val="22"/>
          <w:szCs w:val="22"/>
        </w:rPr>
        <w:t>transparency of the decision-making process</w:t>
      </w:r>
      <w:r w:rsidRPr="00742342">
        <w:rPr>
          <w:rFonts w:ascii="Open Sans" w:hAnsi="Open Sans" w:cs="Open Sans"/>
          <w:color w:val="000000" w:themeColor="text1"/>
          <w:sz w:val="22"/>
          <w:szCs w:val="22"/>
        </w:rPr>
        <w:t xml:space="preserve">. By analyzing how policies came to be, one can make claims about the level of influence political preferences had (Grigorescu, 2010). This can be done by assessing the accessibility and openness of the decision-making process and identifying who participates in the process (Ibid, 2010). This item is linked with item 3, the </w:t>
      </w:r>
      <w:r w:rsidR="00651E0B">
        <w:rPr>
          <w:rFonts w:ascii="Open Sans" w:hAnsi="Open Sans" w:cs="Open Sans"/>
          <w:b/>
          <w:color w:val="000000" w:themeColor="text1"/>
          <w:sz w:val="22"/>
          <w:szCs w:val="22"/>
        </w:rPr>
        <w:t>policy consistency</w:t>
      </w:r>
      <w:r w:rsidRPr="00742342">
        <w:rPr>
          <w:rFonts w:ascii="Open Sans" w:hAnsi="Open Sans" w:cs="Open Sans"/>
          <w:color w:val="000000" w:themeColor="text1"/>
          <w:sz w:val="22"/>
          <w:szCs w:val="22"/>
        </w:rPr>
        <w:t xml:space="preserve">. The aim of this item is to measure if member-states can influence policy towards actors that they favor, or they have aversion against (Ibid, 2010). Ultimately, this item serves to measure if individual member-states or groups can directly influence policy. In this case, a high consistency of policy implementation </w:t>
      </w:r>
      <w:r w:rsidRPr="00742342">
        <w:rPr>
          <w:rFonts w:ascii="Open Sans" w:hAnsi="Open Sans" w:cs="Open Sans"/>
          <w:color w:val="000000" w:themeColor="text1"/>
          <w:sz w:val="22"/>
          <w:szCs w:val="22"/>
        </w:rPr>
        <w:lastRenderedPageBreak/>
        <w:t xml:space="preserve">indicates less political interference. Finally, the item </w:t>
      </w:r>
      <w:r w:rsidRPr="00742342">
        <w:rPr>
          <w:rFonts w:ascii="Open Sans" w:hAnsi="Open Sans" w:cs="Open Sans"/>
          <w:b/>
          <w:color w:val="000000" w:themeColor="text1"/>
          <w:sz w:val="22"/>
          <w:szCs w:val="22"/>
        </w:rPr>
        <w:t>institutional autonomy</w:t>
      </w:r>
      <w:r w:rsidRPr="00742342">
        <w:rPr>
          <w:rFonts w:ascii="Open Sans" w:hAnsi="Open Sans" w:cs="Open Sans"/>
          <w:color w:val="000000" w:themeColor="text1"/>
          <w:sz w:val="22"/>
          <w:szCs w:val="22"/>
        </w:rPr>
        <w:t xml:space="preserve"> is identified in the operationalization of this dimension. This is determined by the organizational structure of the intergovernmental organization, which could shield the IGO from political interference (Collins &amp; White, 2011). </w:t>
      </w:r>
    </w:p>
    <w:p w14:paraId="06844C11" w14:textId="77777777" w:rsidR="00C139DA" w:rsidRPr="00742342" w:rsidRDefault="00C139DA" w:rsidP="00AC21C6">
      <w:pPr>
        <w:spacing w:line="276" w:lineRule="auto"/>
        <w:jc w:val="both"/>
        <w:rPr>
          <w:rFonts w:ascii="Open Sans" w:hAnsi="Open Sans" w:cs="Open Sans"/>
          <w:color w:val="000000" w:themeColor="text1"/>
          <w:sz w:val="22"/>
          <w:szCs w:val="22"/>
        </w:rPr>
      </w:pPr>
    </w:p>
    <w:p w14:paraId="3585BDEB" w14:textId="77777777" w:rsidR="006F2AEF" w:rsidRPr="00742342" w:rsidRDefault="006F2AEF" w:rsidP="003E2BDE">
      <w:pPr>
        <w:pStyle w:val="Heading4"/>
        <w:numPr>
          <w:ilvl w:val="0"/>
          <w:numId w:val="3"/>
        </w:numPr>
        <w:spacing w:line="276" w:lineRule="auto"/>
        <w:rPr>
          <w:rFonts w:ascii="Open Sans" w:hAnsi="Open Sans" w:cs="Open Sans"/>
          <w:color w:val="000000" w:themeColor="text1"/>
          <w:sz w:val="22"/>
          <w:szCs w:val="22"/>
        </w:rPr>
      </w:pPr>
      <w:r w:rsidRPr="00742342">
        <w:rPr>
          <w:rFonts w:ascii="Open Sans" w:hAnsi="Open Sans" w:cs="Open Sans"/>
          <w:color w:val="000000" w:themeColor="text1"/>
          <w:sz w:val="22"/>
          <w:szCs w:val="22"/>
        </w:rPr>
        <w:t>Time sensitivity</w:t>
      </w:r>
    </w:p>
    <w:p w14:paraId="66D3B5B6" w14:textId="026B0BE8"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second identified dimension is time sensitivity. Intergovernmental organizations often react to a crisis caused by political change, natural disasters, or poverty. During such crises, a rapid response can prove to be vital in finding a solution to deescalate the situation, and possibly save lives. Intergovernmental organizations need to be aware of this time sensitivity when assigning resources. The sensitivity of time in crisis situations can also benefit an intergovernmental organization (Gardell &amp; Verbeek, 2021, p. 277; Hermann 1963). As IGOs often have a lot of expertise in dealing with crisis situations, one can assume that IGOs often take up a leading role, coordinating aid to those in need. This can increase the legitimacy of the intergovernmental organization as a stand-alone actor, and lead to increased legitimacy and autonomy. To map out how time sensitivity can add to the autonomy of an intergovernmental organization, I have identified </w:t>
      </w:r>
      <w:r w:rsidR="00111E7F" w:rsidRPr="00742342">
        <w:rPr>
          <w:rFonts w:ascii="Open Sans" w:hAnsi="Open Sans" w:cs="Open Sans"/>
          <w:color w:val="000000" w:themeColor="text1"/>
          <w:sz w:val="22"/>
          <w:szCs w:val="22"/>
        </w:rPr>
        <w:t>2</w:t>
      </w:r>
      <w:r w:rsidRPr="00742342">
        <w:rPr>
          <w:rFonts w:ascii="Open Sans" w:hAnsi="Open Sans" w:cs="Open Sans"/>
          <w:color w:val="000000" w:themeColor="text1"/>
          <w:sz w:val="22"/>
          <w:szCs w:val="22"/>
        </w:rPr>
        <w:t xml:space="preserve"> measurable items that together constitute the dimension. </w:t>
      </w:r>
    </w:p>
    <w:p w14:paraId="1C46EBA1" w14:textId="77777777" w:rsidR="00111E7F" w:rsidRPr="00742342" w:rsidRDefault="00111E7F" w:rsidP="00AC21C6">
      <w:pPr>
        <w:spacing w:line="276" w:lineRule="auto"/>
        <w:jc w:val="both"/>
        <w:rPr>
          <w:rFonts w:ascii="Open Sans" w:hAnsi="Open Sans" w:cs="Open Sans"/>
          <w:color w:val="000000" w:themeColor="text1"/>
          <w:sz w:val="22"/>
          <w:szCs w:val="22"/>
        </w:rPr>
      </w:pPr>
    </w:p>
    <w:p w14:paraId="0654CDD6" w14:textId="07F6A5E5"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w:t>
      </w:r>
      <w:r w:rsidR="00111E7F" w:rsidRPr="00742342">
        <w:rPr>
          <w:rFonts w:ascii="Open Sans" w:hAnsi="Open Sans" w:cs="Open Sans"/>
          <w:color w:val="000000" w:themeColor="text1"/>
          <w:sz w:val="22"/>
          <w:szCs w:val="22"/>
        </w:rPr>
        <w:t>first</w:t>
      </w:r>
      <w:r w:rsidRPr="00742342">
        <w:rPr>
          <w:rFonts w:ascii="Open Sans" w:hAnsi="Open Sans" w:cs="Open Sans"/>
          <w:color w:val="000000" w:themeColor="text1"/>
          <w:sz w:val="22"/>
          <w:szCs w:val="22"/>
        </w:rPr>
        <w:t xml:space="preserve"> item for this dimension is the </w:t>
      </w:r>
      <w:r w:rsidRPr="00742342">
        <w:rPr>
          <w:rFonts w:ascii="Open Sans" w:hAnsi="Open Sans" w:cs="Open Sans"/>
          <w:b/>
          <w:color w:val="000000" w:themeColor="text1"/>
          <w:sz w:val="22"/>
          <w:szCs w:val="22"/>
        </w:rPr>
        <w:t>policy implementation pipeline</w:t>
      </w:r>
      <w:r w:rsidRPr="00742342">
        <w:rPr>
          <w:rFonts w:ascii="Open Sans" w:hAnsi="Open Sans" w:cs="Open Sans"/>
          <w:color w:val="000000" w:themeColor="text1"/>
          <w:sz w:val="22"/>
          <w:szCs w:val="22"/>
        </w:rPr>
        <w:t xml:space="preserve"> and is concerned with the medium- to long-term implementation of IGO policy. This item is concerned with deadline adherence and the ability of an IGO to act out their policy without interference. The </w:t>
      </w:r>
      <w:r w:rsidRPr="00742342">
        <w:rPr>
          <w:rFonts w:ascii="Open Sans" w:hAnsi="Open Sans" w:cs="Open Sans"/>
          <w:b/>
          <w:color w:val="000000" w:themeColor="text1"/>
          <w:sz w:val="22"/>
          <w:szCs w:val="22"/>
        </w:rPr>
        <w:t>level of urgency</w:t>
      </w:r>
      <w:r w:rsidRPr="00742342">
        <w:rPr>
          <w:rFonts w:ascii="Open Sans" w:hAnsi="Open Sans" w:cs="Open Sans"/>
          <w:b/>
          <w:i/>
          <w:color w:val="000000" w:themeColor="text1"/>
          <w:sz w:val="22"/>
          <w:szCs w:val="22"/>
        </w:rPr>
        <w:t xml:space="preserve"> </w:t>
      </w:r>
      <w:r w:rsidRPr="00742342">
        <w:rPr>
          <w:rFonts w:ascii="Open Sans" w:hAnsi="Open Sans" w:cs="Open Sans"/>
          <w:color w:val="000000" w:themeColor="text1"/>
          <w:sz w:val="22"/>
          <w:szCs w:val="22"/>
        </w:rPr>
        <w:t xml:space="preserve">is the last item for the dimension. The level of urgency has to do with the perception of crisis by the involved actors (Gardell &amp; Verbeek, 2021; Hermann 1963). An increased sense of urgency can influence risk assessments, and lead to a quicker response (Ibid, 2021). In addition to a swift reaction, a perceived sense of urgency can also lead to increased resource allocation and a collective pressure for action and collaboration. </w:t>
      </w:r>
    </w:p>
    <w:p w14:paraId="7E69427C"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272894A5" w14:textId="77777777" w:rsidR="006F2AEF" w:rsidRPr="00742342" w:rsidRDefault="006F2AEF" w:rsidP="003E2BDE">
      <w:pPr>
        <w:pStyle w:val="Heading4"/>
        <w:numPr>
          <w:ilvl w:val="0"/>
          <w:numId w:val="3"/>
        </w:numPr>
        <w:spacing w:line="276" w:lineRule="auto"/>
        <w:rPr>
          <w:rFonts w:ascii="Open Sans" w:hAnsi="Open Sans" w:cs="Open Sans"/>
          <w:color w:val="000000" w:themeColor="text1"/>
          <w:sz w:val="22"/>
          <w:szCs w:val="22"/>
        </w:rPr>
      </w:pPr>
      <w:r w:rsidRPr="00742342">
        <w:rPr>
          <w:rFonts w:ascii="Open Sans" w:hAnsi="Open Sans" w:cs="Open Sans"/>
          <w:color w:val="000000" w:themeColor="text1"/>
          <w:sz w:val="22"/>
          <w:szCs w:val="22"/>
        </w:rPr>
        <w:t>Increased credibility through perceived independence and field knowledge</w:t>
      </w:r>
    </w:p>
    <w:p w14:paraId="5ADB52AF" w14:textId="012491DB"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third and final dimension for this operationalization is concerned with actors that an intergovernmental organization engages with, that are not its own member-states. The interaction between member-states and the intergovernmental organization and its </w:t>
      </w:r>
      <w:r w:rsidR="0044352B">
        <w:rPr>
          <w:rFonts w:ascii="Open Sans" w:hAnsi="Open Sans" w:cs="Open Sans"/>
          <w:color w:val="000000" w:themeColor="text1"/>
          <w:sz w:val="22"/>
          <w:szCs w:val="22"/>
        </w:rPr>
        <w:t>s</w:t>
      </w:r>
      <w:r w:rsidRPr="00742342">
        <w:rPr>
          <w:rFonts w:ascii="Open Sans" w:hAnsi="Open Sans" w:cs="Open Sans"/>
          <w:color w:val="000000" w:themeColor="text1"/>
          <w:sz w:val="22"/>
          <w:szCs w:val="22"/>
        </w:rPr>
        <w:t xml:space="preserve">ecretariat have previously been discussed in the first dimension, the </w:t>
      </w:r>
      <w:r w:rsidR="005F6DFC">
        <w:rPr>
          <w:rFonts w:ascii="Open Sans" w:hAnsi="Open Sans" w:cs="Open Sans"/>
          <w:i/>
          <w:color w:val="000000" w:themeColor="text1"/>
          <w:sz w:val="22"/>
          <w:szCs w:val="22"/>
        </w:rPr>
        <w:t>depoliticization</w:t>
      </w:r>
      <w:r w:rsidRPr="00742342">
        <w:rPr>
          <w:rFonts w:ascii="Open Sans" w:hAnsi="Open Sans" w:cs="Open Sans"/>
          <w:i/>
          <w:color w:val="000000" w:themeColor="text1"/>
          <w:sz w:val="22"/>
          <w:szCs w:val="22"/>
        </w:rPr>
        <w:t xml:space="preserve"> of intergovernmental organizations</w:t>
      </w:r>
      <w:r w:rsidRPr="00742342">
        <w:rPr>
          <w:rFonts w:ascii="Open Sans" w:hAnsi="Open Sans" w:cs="Open Sans"/>
          <w:color w:val="000000" w:themeColor="text1"/>
          <w:sz w:val="22"/>
          <w:szCs w:val="22"/>
        </w:rPr>
        <w:t xml:space="preserve">. Independence is an important virtue for an intergovernmental organization, as perceived independence makes them a reliable partner to cooperate with. The same goes for their level of expertise, demonstrated by the knowledge they have in the field. These two properties combined lead to an increase in credibility of an intergovernmental organization. Perceived independence and </w:t>
      </w:r>
      <w:r w:rsidRPr="00742342">
        <w:rPr>
          <w:rFonts w:ascii="Open Sans" w:hAnsi="Open Sans" w:cs="Open Sans"/>
          <w:color w:val="000000" w:themeColor="text1"/>
          <w:sz w:val="22"/>
          <w:szCs w:val="22"/>
        </w:rPr>
        <w:lastRenderedPageBreak/>
        <w:t xml:space="preserve">expertise then </w:t>
      </w:r>
      <w:r w:rsidR="0057089E" w:rsidRPr="00742342">
        <w:rPr>
          <w:rFonts w:ascii="Open Sans" w:hAnsi="Open Sans" w:cs="Open Sans"/>
          <w:color w:val="000000" w:themeColor="text1"/>
          <w:sz w:val="22"/>
          <w:szCs w:val="22"/>
        </w:rPr>
        <w:t>lead</w:t>
      </w:r>
      <w:r w:rsidRPr="00742342">
        <w:rPr>
          <w:rFonts w:ascii="Open Sans" w:hAnsi="Open Sans" w:cs="Open Sans"/>
          <w:color w:val="000000" w:themeColor="text1"/>
          <w:sz w:val="22"/>
          <w:szCs w:val="22"/>
        </w:rPr>
        <w:t xml:space="preserve"> to more trust in the actions of the IGO as an organization in its own right, which in turn supports the intergovernmental autonomy. </w:t>
      </w:r>
    </w:p>
    <w:p w14:paraId="2AFFEE20"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375F0057" w14:textId="4B695F5B"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For this dimension I have identified </w:t>
      </w:r>
      <w:r w:rsidR="002B4988" w:rsidRPr="00742342">
        <w:rPr>
          <w:rFonts w:ascii="Open Sans" w:hAnsi="Open Sans" w:cs="Open Sans"/>
          <w:color w:val="000000" w:themeColor="text1"/>
          <w:sz w:val="22"/>
          <w:szCs w:val="22"/>
        </w:rPr>
        <w:t>two</w:t>
      </w:r>
      <w:r w:rsidRPr="00742342">
        <w:rPr>
          <w:rFonts w:ascii="Open Sans" w:hAnsi="Open Sans" w:cs="Open Sans"/>
          <w:color w:val="000000" w:themeColor="text1"/>
          <w:sz w:val="22"/>
          <w:szCs w:val="22"/>
        </w:rPr>
        <w:t xml:space="preserve"> items that contribute to the independence and expertise of an intergovernmental organization. The first item is the </w:t>
      </w:r>
      <w:r w:rsidRPr="00742342">
        <w:rPr>
          <w:rFonts w:ascii="Open Sans" w:hAnsi="Open Sans" w:cs="Open Sans"/>
          <w:b/>
          <w:color w:val="000000" w:themeColor="text1"/>
          <w:sz w:val="22"/>
          <w:szCs w:val="22"/>
        </w:rPr>
        <w:t>perception of unbiased and impartial actions</w:t>
      </w:r>
      <w:r w:rsidR="005348E1" w:rsidRPr="00742342">
        <w:rPr>
          <w:rFonts w:ascii="Open Sans" w:hAnsi="Open Sans" w:cs="Open Sans"/>
          <w:b/>
          <w:color w:val="000000" w:themeColor="text1"/>
          <w:sz w:val="22"/>
          <w:szCs w:val="22"/>
        </w:rPr>
        <w:t xml:space="preserve"> towards external actors</w:t>
      </w:r>
      <w:r w:rsidRPr="00742342">
        <w:rPr>
          <w:rFonts w:ascii="Open Sans" w:hAnsi="Open Sans" w:cs="Open Sans"/>
          <w:color w:val="000000" w:themeColor="text1"/>
          <w:sz w:val="22"/>
          <w:szCs w:val="22"/>
        </w:rPr>
        <w:t xml:space="preserve"> by the intergovernmental organization. If an IGO is perceived to strictly favor one actor in negotiations, this could lead to questions about its impartiality (Barnett &amp; </w:t>
      </w:r>
      <w:proofErr w:type="spellStart"/>
      <w:r w:rsidRPr="00742342">
        <w:rPr>
          <w:rFonts w:ascii="Open Sans" w:hAnsi="Open Sans" w:cs="Open Sans"/>
          <w:color w:val="000000" w:themeColor="text1"/>
          <w:sz w:val="22"/>
          <w:szCs w:val="22"/>
        </w:rPr>
        <w:t>Finnemore</w:t>
      </w:r>
      <w:proofErr w:type="spellEnd"/>
      <w:r w:rsidRPr="00742342">
        <w:rPr>
          <w:rFonts w:ascii="Open Sans" w:hAnsi="Open Sans" w:cs="Open Sans"/>
          <w:color w:val="000000" w:themeColor="text1"/>
          <w:sz w:val="22"/>
          <w:szCs w:val="22"/>
        </w:rPr>
        <w:t>, 1999). Therefore, it is important to conclude if an IGO carries a bias towards actors. This is not an ‘easy’ item to observe however, as biases are often present, even when they are not observed. Presumably, an IGO has some kind of bias towards their own member-</w:t>
      </w:r>
      <w:r w:rsidR="0053624B" w:rsidRPr="00742342">
        <w:rPr>
          <w:rFonts w:ascii="Open Sans" w:hAnsi="Open Sans" w:cs="Open Sans"/>
          <w:color w:val="000000" w:themeColor="text1"/>
          <w:sz w:val="22"/>
          <w:szCs w:val="22"/>
        </w:rPr>
        <w:t>states if</w:t>
      </w:r>
      <w:r w:rsidRPr="00742342">
        <w:rPr>
          <w:rFonts w:ascii="Open Sans" w:hAnsi="Open Sans" w:cs="Open Sans"/>
          <w:color w:val="000000" w:themeColor="text1"/>
          <w:sz w:val="22"/>
          <w:szCs w:val="22"/>
        </w:rPr>
        <w:t xml:space="preserve"> they are involved in a crisis. That is why it is likely that an IGO cannot (fully) fulfil the conditions for this item. I still chose to keep the item in this operationalization however, as it can prove insightful for the construction of the dimension. The second item for this dimension is the </w:t>
      </w:r>
      <w:r w:rsidRPr="00742342">
        <w:rPr>
          <w:rFonts w:ascii="Open Sans" w:hAnsi="Open Sans" w:cs="Open Sans"/>
          <w:b/>
          <w:color w:val="000000" w:themeColor="text1"/>
          <w:sz w:val="22"/>
          <w:szCs w:val="22"/>
        </w:rPr>
        <w:t>demonstrated expertise</w:t>
      </w:r>
      <w:r w:rsidR="001B47F9" w:rsidRPr="00742342">
        <w:rPr>
          <w:rFonts w:ascii="Open Sans" w:hAnsi="Open Sans" w:cs="Open Sans"/>
          <w:b/>
          <w:color w:val="000000" w:themeColor="text1"/>
          <w:sz w:val="22"/>
          <w:szCs w:val="22"/>
        </w:rPr>
        <w:t xml:space="preserve"> and transparent </w:t>
      </w:r>
      <w:r w:rsidR="00435F63" w:rsidRPr="00742342">
        <w:rPr>
          <w:rFonts w:ascii="Open Sans" w:hAnsi="Open Sans" w:cs="Open Sans"/>
          <w:b/>
          <w:color w:val="000000" w:themeColor="text1"/>
          <w:sz w:val="22"/>
          <w:szCs w:val="22"/>
        </w:rPr>
        <w:t>practices</w:t>
      </w:r>
      <w:r w:rsidRPr="00742342">
        <w:rPr>
          <w:rFonts w:ascii="Open Sans" w:hAnsi="Open Sans" w:cs="Open Sans"/>
          <w:color w:val="000000" w:themeColor="text1"/>
          <w:sz w:val="22"/>
          <w:szCs w:val="22"/>
        </w:rPr>
        <w:t xml:space="preserve"> of an intergovernmental organization. As IGOs have elaborate experience with operating in crisis situations, their stature strengthens. This leads to increased credibility for the organization. </w:t>
      </w:r>
      <w:r w:rsidR="001B47F9" w:rsidRPr="00742342">
        <w:rPr>
          <w:rFonts w:ascii="Open Sans" w:hAnsi="Open Sans" w:cs="Open Sans"/>
          <w:color w:val="000000" w:themeColor="text1"/>
          <w:sz w:val="22"/>
          <w:szCs w:val="22"/>
        </w:rPr>
        <w:t>This combined with the</w:t>
      </w:r>
      <w:r w:rsidRPr="00742342">
        <w:rPr>
          <w:rFonts w:ascii="Open Sans" w:hAnsi="Open Sans" w:cs="Open Sans"/>
          <w:color w:val="000000" w:themeColor="text1"/>
          <w:sz w:val="22"/>
          <w:szCs w:val="22"/>
        </w:rPr>
        <w:t>, the transparency</w:t>
      </w:r>
      <w:r w:rsidRPr="00742342">
        <w:rPr>
          <w:rFonts w:ascii="Open Sans" w:hAnsi="Open Sans" w:cs="Open Sans"/>
          <w:b/>
          <w:color w:val="000000" w:themeColor="text1"/>
          <w:sz w:val="22"/>
          <w:szCs w:val="22"/>
        </w:rPr>
        <w:t xml:space="preserve"> </w:t>
      </w:r>
      <w:r w:rsidRPr="00742342">
        <w:rPr>
          <w:rFonts w:ascii="Open Sans" w:hAnsi="Open Sans" w:cs="Open Sans"/>
          <w:color w:val="000000" w:themeColor="text1"/>
          <w:sz w:val="22"/>
          <w:szCs w:val="22"/>
        </w:rPr>
        <w:t>of IGO practices towards external actors</w:t>
      </w:r>
      <w:r w:rsidRPr="00742342">
        <w:rPr>
          <w:rStyle w:val="FootnoteReference"/>
          <w:rFonts w:ascii="Open Sans" w:hAnsi="Open Sans" w:cs="Open Sans"/>
          <w:color w:val="000000" w:themeColor="text1"/>
          <w:sz w:val="22"/>
          <w:szCs w:val="22"/>
        </w:rPr>
        <w:footnoteReference w:id="10"/>
      </w:r>
      <w:r w:rsidRPr="00742342">
        <w:rPr>
          <w:rFonts w:ascii="Open Sans" w:hAnsi="Open Sans" w:cs="Open Sans"/>
          <w:color w:val="000000" w:themeColor="text1"/>
          <w:sz w:val="22"/>
          <w:szCs w:val="22"/>
        </w:rPr>
        <w:t xml:space="preserve"> plays a role in their perceived credibility. IGOs that are transparent in their policies and how they are carried out can be made accountable for their actions. This accountability can lead to an evaluation of their practices, which in terms can strengthen their future policy (Grigorescu, 2010). This leads to an increase in their expertise. </w:t>
      </w:r>
    </w:p>
    <w:p w14:paraId="529CE4B8"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454F3273" w14:textId="77777777" w:rsidR="004067A6" w:rsidRPr="00742342" w:rsidRDefault="004067A6" w:rsidP="00AC21C6">
      <w:pPr>
        <w:spacing w:line="276" w:lineRule="auto"/>
        <w:rPr>
          <w:rFonts w:ascii="Open Sans" w:hAnsi="Open Sans" w:cs="Open Sans"/>
          <w:color w:val="000000" w:themeColor="text1"/>
          <w:sz w:val="22"/>
          <w:szCs w:val="22"/>
        </w:rPr>
      </w:pPr>
      <w:r w:rsidRPr="00742342">
        <w:rPr>
          <w:rFonts w:ascii="Open Sans" w:hAnsi="Open Sans" w:cs="Open Sans"/>
          <w:color w:val="000000" w:themeColor="text1"/>
          <w:sz w:val="22"/>
          <w:szCs w:val="22"/>
        </w:rPr>
        <w:br w:type="page"/>
      </w:r>
    </w:p>
    <w:p w14:paraId="217D518A" w14:textId="5F727714" w:rsidR="00EF2677"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lastRenderedPageBreak/>
        <w:t>Combining the identified items for each dimension, I have designed the following operationalization</w:t>
      </w:r>
      <w:r w:rsidR="00B464F6" w:rsidRPr="00742342">
        <w:rPr>
          <w:rFonts w:ascii="Open Sans" w:hAnsi="Open Sans" w:cs="Open Sans"/>
          <w:color w:val="000000" w:themeColor="text1"/>
          <w:sz w:val="22"/>
          <w:szCs w:val="22"/>
        </w:rPr>
        <w:t>:</w:t>
      </w:r>
    </w:p>
    <w:p w14:paraId="1F4DCACB" w14:textId="77777777" w:rsidR="004067A6" w:rsidRPr="00742342" w:rsidRDefault="004067A6" w:rsidP="00AC21C6">
      <w:pPr>
        <w:spacing w:line="276" w:lineRule="auto"/>
        <w:jc w:val="both"/>
        <w:rPr>
          <w:rFonts w:ascii="Open Sans" w:hAnsi="Open Sans" w:cs="Open Sans"/>
          <w:color w:val="000000" w:themeColor="text1"/>
          <w:sz w:val="22"/>
          <w:szCs w:val="22"/>
        </w:rPr>
      </w:pPr>
    </w:p>
    <w:tbl>
      <w:tblPr>
        <w:tblStyle w:val="PlainTable5"/>
        <w:tblpPr w:leftFromText="180" w:rightFromText="180" w:vertAnchor="text" w:horzAnchor="margin" w:tblpXSpec="center" w:tblpY="207"/>
        <w:tblW w:w="9440" w:type="dxa"/>
        <w:tblLook w:val="04A0" w:firstRow="1" w:lastRow="0" w:firstColumn="1" w:lastColumn="0" w:noHBand="0" w:noVBand="1"/>
      </w:tblPr>
      <w:tblGrid>
        <w:gridCol w:w="3828"/>
        <w:gridCol w:w="5612"/>
      </w:tblGrid>
      <w:tr w:rsidR="00FE64C3" w:rsidRPr="00742342" w14:paraId="020C5F53" w14:textId="77777777" w:rsidTr="00214475">
        <w:trPr>
          <w:cnfStyle w:val="100000000000" w:firstRow="1" w:lastRow="0" w:firstColumn="0" w:lastColumn="0" w:oddVBand="0" w:evenVBand="0" w:oddHBand="0" w:evenHBand="0" w:firstRowFirstColumn="0" w:firstRowLastColumn="0" w:lastRowFirstColumn="0" w:lastRowLastColumn="0"/>
          <w:trHeight w:val="363"/>
        </w:trPr>
        <w:tc>
          <w:tcPr>
            <w:cnfStyle w:val="001000000100" w:firstRow="0" w:lastRow="0" w:firstColumn="1" w:lastColumn="0" w:oddVBand="0" w:evenVBand="0" w:oddHBand="0" w:evenHBand="0" w:firstRowFirstColumn="1" w:firstRowLastColumn="0" w:lastRowFirstColumn="0" w:lastRowLastColumn="0"/>
            <w:tcW w:w="3828" w:type="dxa"/>
          </w:tcPr>
          <w:p w14:paraId="67E8AEF3" w14:textId="77777777" w:rsidR="006F2AEF" w:rsidRPr="00742342" w:rsidRDefault="006F2AEF" w:rsidP="00AC21C6">
            <w:pPr>
              <w:spacing w:line="276" w:lineRule="auto"/>
              <w:jc w:val="center"/>
              <w:rPr>
                <w:rFonts w:ascii="Open Sans" w:hAnsi="Open Sans" w:cs="Open Sans"/>
                <w:color w:val="000000" w:themeColor="text1"/>
                <w:sz w:val="24"/>
                <w:szCs w:val="22"/>
              </w:rPr>
            </w:pPr>
            <w:r w:rsidRPr="00742342">
              <w:rPr>
                <w:rFonts w:ascii="Open Sans" w:hAnsi="Open Sans" w:cs="Open Sans"/>
                <w:b/>
                <w:color w:val="000000" w:themeColor="text1"/>
                <w:sz w:val="24"/>
                <w:szCs w:val="22"/>
              </w:rPr>
              <w:t>Dimension</w:t>
            </w:r>
          </w:p>
        </w:tc>
        <w:tc>
          <w:tcPr>
            <w:tcW w:w="5612" w:type="dxa"/>
          </w:tcPr>
          <w:p w14:paraId="648CA114" w14:textId="77777777" w:rsidR="006F2AEF" w:rsidRPr="00742342" w:rsidRDefault="006F2AEF" w:rsidP="00AC21C6">
            <w:pPr>
              <w:spacing w:line="276" w:lineRule="auto"/>
              <w:jc w:val="center"/>
              <w:cnfStyle w:val="100000000000" w:firstRow="1" w:lastRow="0" w:firstColumn="0" w:lastColumn="0" w:oddVBand="0" w:evenVBand="0" w:oddHBand="0" w:evenHBand="0" w:firstRowFirstColumn="0" w:firstRowLastColumn="0" w:lastRowFirstColumn="0" w:lastRowLastColumn="0"/>
              <w:rPr>
                <w:rFonts w:ascii="Open Sans" w:hAnsi="Open Sans" w:cs="Open Sans"/>
                <w:color w:val="000000" w:themeColor="text1"/>
                <w:sz w:val="24"/>
                <w:szCs w:val="22"/>
              </w:rPr>
            </w:pPr>
            <w:r w:rsidRPr="00742342">
              <w:rPr>
                <w:rFonts w:ascii="Open Sans" w:hAnsi="Open Sans" w:cs="Open Sans"/>
                <w:b/>
                <w:color w:val="000000" w:themeColor="text1"/>
                <w:sz w:val="24"/>
                <w:szCs w:val="22"/>
              </w:rPr>
              <w:t>Items</w:t>
            </w:r>
          </w:p>
        </w:tc>
      </w:tr>
      <w:tr w:rsidR="00FE64C3" w:rsidRPr="00742342" w14:paraId="559BA212" w14:textId="77777777" w:rsidTr="00214475">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828" w:type="dxa"/>
          </w:tcPr>
          <w:p w14:paraId="2FB1AB93" w14:textId="2AAE4576" w:rsidR="006F2AEF" w:rsidRPr="00742342" w:rsidRDefault="005F6DFC" w:rsidP="00AC21C6">
            <w:pPr>
              <w:spacing w:line="276" w:lineRule="auto"/>
              <w:jc w:val="both"/>
              <w:rPr>
                <w:rFonts w:ascii="Open Sans" w:hAnsi="Open Sans" w:cs="Open Sans"/>
                <w:color w:val="000000" w:themeColor="text1"/>
                <w:sz w:val="24"/>
                <w:szCs w:val="20"/>
              </w:rPr>
            </w:pPr>
            <w:r>
              <w:rPr>
                <w:rFonts w:ascii="Open Sans" w:hAnsi="Open Sans" w:cs="Open Sans"/>
                <w:color w:val="000000" w:themeColor="text1"/>
                <w:sz w:val="24"/>
                <w:szCs w:val="20"/>
              </w:rPr>
              <w:t>Depoliticization</w:t>
            </w:r>
            <w:r w:rsidR="006F2AEF" w:rsidRPr="00742342">
              <w:rPr>
                <w:rFonts w:ascii="Open Sans" w:hAnsi="Open Sans" w:cs="Open Sans"/>
                <w:color w:val="000000" w:themeColor="text1"/>
                <w:sz w:val="24"/>
                <w:szCs w:val="20"/>
              </w:rPr>
              <w:t xml:space="preserve"> of IGOs</w:t>
            </w:r>
          </w:p>
        </w:tc>
        <w:tc>
          <w:tcPr>
            <w:tcW w:w="5612" w:type="dxa"/>
          </w:tcPr>
          <w:p w14:paraId="4E0FF7A0" w14:textId="77777777" w:rsidR="006F2AEF" w:rsidRPr="00742342" w:rsidRDefault="006F2AEF" w:rsidP="00AC21C6">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p>
        </w:tc>
      </w:tr>
      <w:tr w:rsidR="00FE64C3" w:rsidRPr="00742342" w14:paraId="3C80E221" w14:textId="77777777" w:rsidTr="00214475">
        <w:trPr>
          <w:trHeight w:val="670"/>
        </w:trPr>
        <w:tc>
          <w:tcPr>
            <w:cnfStyle w:val="001000000000" w:firstRow="0" w:lastRow="0" w:firstColumn="1" w:lastColumn="0" w:oddVBand="0" w:evenVBand="0" w:oddHBand="0" w:evenHBand="0" w:firstRowFirstColumn="0" w:firstRowLastColumn="0" w:lastRowFirstColumn="0" w:lastRowLastColumn="0"/>
            <w:tcW w:w="3828" w:type="dxa"/>
          </w:tcPr>
          <w:p w14:paraId="4EA56A6C" w14:textId="77777777" w:rsidR="006F2AEF" w:rsidRPr="00742342" w:rsidRDefault="006F2AEF" w:rsidP="00AC21C6">
            <w:pPr>
              <w:spacing w:line="276" w:lineRule="auto"/>
              <w:jc w:val="both"/>
              <w:rPr>
                <w:rFonts w:ascii="Open Sans" w:hAnsi="Open Sans" w:cs="Open Sans"/>
                <w:color w:val="000000" w:themeColor="text1"/>
                <w:sz w:val="24"/>
                <w:szCs w:val="20"/>
              </w:rPr>
            </w:pPr>
          </w:p>
        </w:tc>
        <w:tc>
          <w:tcPr>
            <w:tcW w:w="5612" w:type="dxa"/>
          </w:tcPr>
          <w:p w14:paraId="3AF0A1ED" w14:textId="0D577537" w:rsidR="006F2AEF" w:rsidRPr="00742342" w:rsidRDefault="006F2AEF" w:rsidP="00AC21C6">
            <w:pPr>
              <w:spacing w:line="276" w:lineRule="auto"/>
              <w:ind w:left="360"/>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Political neutrality of the </w:t>
            </w:r>
            <w:r w:rsidR="007B3B98">
              <w:rPr>
                <w:rFonts w:ascii="Open Sans" w:hAnsi="Open Sans" w:cs="Open Sans"/>
                <w:color w:val="000000" w:themeColor="text1"/>
                <w:sz w:val="22"/>
                <w:szCs w:val="22"/>
              </w:rPr>
              <w:t>Secretariat</w:t>
            </w:r>
            <w:r w:rsidR="005348E1" w:rsidRPr="00742342">
              <w:rPr>
                <w:rFonts w:ascii="Open Sans" w:hAnsi="Open Sans" w:cs="Open Sans"/>
                <w:color w:val="000000" w:themeColor="text1"/>
                <w:sz w:val="22"/>
                <w:szCs w:val="22"/>
              </w:rPr>
              <w:t xml:space="preserve"> towards the member-states</w:t>
            </w:r>
          </w:p>
        </w:tc>
      </w:tr>
      <w:tr w:rsidR="00FE64C3" w:rsidRPr="00742342" w14:paraId="202B15C1" w14:textId="77777777" w:rsidTr="00214475">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3828" w:type="dxa"/>
          </w:tcPr>
          <w:p w14:paraId="376FEE72" w14:textId="77777777" w:rsidR="006F2AEF" w:rsidRPr="00742342" w:rsidRDefault="006F2AEF" w:rsidP="00AC21C6">
            <w:pPr>
              <w:spacing w:line="276" w:lineRule="auto"/>
              <w:jc w:val="both"/>
              <w:rPr>
                <w:rFonts w:ascii="Open Sans" w:hAnsi="Open Sans" w:cs="Open Sans"/>
                <w:color w:val="000000" w:themeColor="text1"/>
                <w:sz w:val="24"/>
                <w:szCs w:val="20"/>
              </w:rPr>
            </w:pPr>
          </w:p>
        </w:tc>
        <w:tc>
          <w:tcPr>
            <w:tcW w:w="5612" w:type="dxa"/>
          </w:tcPr>
          <w:p w14:paraId="5C1B58D0" w14:textId="77777777" w:rsidR="006F2AEF" w:rsidRPr="00742342" w:rsidRDefault="006F2AEF" w:rsidP="00AC21C6">
            <w:pPr>
              <w:spacing w:line="276" w:lineRule="auto"/>
              <w:ind w:left="360"/>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Decision-making transparency</w:t>
            </w:r>
          </w:p>
        </w:tc>
      </w:tr>
      <w:tr w:rsidR="00FE64C3" w:rsidRPr="00742342" w14:paraId="6CC37882" w14:textId="77777777" w:rsidTr="00214475">
        <w:trPr>
          <w:trHeight w:val="335"/>
        </w:trPr>
        <w:tc>
          <w:tcPr>
            <w:cnfStyle w:val="001000000000" w:firstRow="0" w:lastRow="0" w:firstColumn="1" w:lastColumn="0" w:oddVBand="0" w:evenVBand="0" w:oddHBand="0" w:evenHBand="0" w:firstRowFirstColumn="0" w:firstRowLastColumn="0" w:lastRowFirstColumn="0" w:lastRowLastColumn="0"/>
            <w:tcW w:w="3828" w:type="dxa"/>
          </w:tcPr>
          <w:p w14:paraId="2FEE600F" w14:textId="77777777" w:rsidR="006F2AEF" w:rsidRPr="00742342" w:rsidRDefault="006F2AEF" w:rsidP="00AC21C6">
            <w:pPr>
              <w:spacing w:line="276" w:lineRule="auto"/>
              <w:jc w:val="both"/>
              <w:rPr>
                <w:rFonts w:ascii="Open Sans" w:hAnsi="Open Sans" w:cs="Open Sans"/>
                <w:color w:val="000000" w:themeColor="text1"/>
                <w:sz w:val="24"/>
                <w:szCs w:val="20"/>
              </w:rPr>
            </w:pPr>
          </w:p>
        </w:tc>
        <w:tc>
          <w:tcPr>
            <w:tcW w:w="5612" w:type="dxa"/>
          </w:tcPr>
          <w:p w14:paraId="66E7FC35" w14:textId="77777777" w:rsidR="006F2AEF" w:rsidRPr="00742342" w:rsidRDefault="006F2AEF" w:rsidP="00AC21C6">
            <w:pPr>
              <w:spacing w:line="276" w:lineRule="auto"/>
              <w:ind w:left="360"/>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Policy consistency</w:t>
            </w:r>
          </w:p>
        </w:tc>
      </w:tr>
      <w:tr w:rsidR="00FE64C3" w:rsidRPr="00742342" w14:paraId="39C46981" w14:textId="77777777" w:rsidTr="00214475">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3828" w:type="dxa"/>
          </w:tcPr>
          <w:p w14:paraId="21F30BB7" w14:textId="77777777" w:rsidR="006F2AEF" w:rsidRPr="00742342" w:rsidRDefault="006F2AEF" w:rsidP="00AC21C6">
            <w:pPr>
              <w:spacing w:line="276" w:lineRule="auto"/>
              <w:jc w:val="both"/>
              <w:rPr>
                <w:rFonts w:ascii="Open Sans" w:hAnsi="Open Sans" w:cs="Open Sans"/>
                <w:color w:val="000000" w:themeColor="text1"/>
                <w:sz w:val="24"/>
                <w:szCs w:val="20"/>
              </w:rPr>
            </w:pPr>
          </w:p>
        </w:tc>
        <w:tc>
          <w:tcPr>
            <w:tcW w:w="5612" w:type="dxa"/>
          </w:tcPr>
          <w:p w14:paraId="041521F5" w14:textId="77777777" w:rsidR="006F2AEF" w:rsidRPr="00742342" w:rsidRDefault="006F2AEF" w:rsidP="00AC21C6">
            <w:pPr>
              <w:spacing w:line="276" w:lineRule="auto"/>
              <w:ind w:left="360"/>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Institutional autonomy</w:t>
            </w:r>
          </w:p>
        </w:tc>
      </w:tr>
      <w:tr w:rsidR="00FE64C3" w:rsidRPr="00742342" w14:paraId="4F48CE7A" w14:textId="77777777" w:rsidTr="00214475">
        <w:trPr>
          <w:trHeight w:val="335"/>
        </w:trPr>
        <w:tc>
          <w:tcPr>
            <w:cnfStyle w:val="001000000000" w:firstRow="0" w:lastRow="0" w:firstColumn="1" w:lastColumn="0" w:oddVBand="0" w:evenVBand="0" w:oddHBand="0" w:evenHBand="0" w:firstRowFirstColumn="0" w:firstRowLastColumn="0" w:lastRowFirstColumn="0" w:lastRowLastColumn="0"/>
            <w:tcW w:w="3828" w:type="dxa"/>
          </w:tcPr>
          <w:p w14:paraId="3F1047DD" w14:textId="77777777" w:rsidR="006F2AEF" w:rsidRPr="00742342" w:rsidRDefault="006F2AEF" w:rsidP="00AC21C6">
            <w:pPr>
              <w:spacing w:line="276" w:lineRule="auto"/>
              <w:jc w:val="both"/>
              <w:rPr>
                <w:rFonts w:ascii="Open Sans" w:hAnsi="Open Sans" w:cs="Open Sans"/>
                <w:color w:val="000000" w:themeColor="text1"/>
                <w:sz w:val="24"/>
                <w:szCs w:val="20"/>
              </w:rPr>
            </w:pPr>
            <w:r w:rsidRPr="00742342">
              <w:rPr>
                <w:rFonts w:ascii="Open Sans" w:hAnsi="Open Sans" w:cs="Open Sans"/>
                <w:color w:val="000000" w:themeColor="text1"/>
                <w:sz w:val="24"/>
                <w:szCs w:val="20"/>
              </w:rPr>
              <w:t>Time sensitivity</w:t>
            </w:r>
          </w:p>
        </w:tc>
        <w:tc>
          <w:tcPr>
            <w:tcW w:w="5612" w:type="dxa"/>
          </w:tcPr>
          <w:p w14:paraId="6EA1C67E" w14:textId="77777777" w:rsidR="006F2AEF" w:rsidRPr="00742342" w:rsidRDefault="006F2AEF" w:rsidP="00AC21C6">
            <w:pPr>
              <w:spacing w:line="276" w:lineRule="auto"/>
              <w:ind w:left="360"/>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p>
        </w:tc>
      </w:tr>
      <w:tr w:rsidR="00FE64C3" w:rsidRPr="00742342" w14:paraId="0293B77B" w14:textId="77777777" w:rsidTr="00214475">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3828" w:type="dxa"/>
          </w:tcPr>
          <w:p w14:paraId="116F2CA0" w14:textId="77777777" w:rsidR="006F2AEF" w:rsidRPr="00742342" w:rsidRDefault="006F2AEF" w:rsidP="00AC21C6">
            <w:pPr>
              <w:spacing w:line="276" w:lineRule="auto"/>
              <w:jc w:val="both"/>
              <w:rPr>
                <w:rFonts w:ascii="Open Sans" w:hAnsi="Open Sans" w:cs="Open Sans"/>
                <w:color w:val="000000" w:themeColor="text1"/>
                <w:sz w:val="24"/>
                <w:szCs w:val="20"/>
              </w:rPr>
            </w:pPr>
          </w:p>
        </w:tc>
        <w:tc>
          <w:tcPr>
            <w:tcW w:w="5612" w:type="dxa"/>
          </w:tcPr>
          <w:p w14:paraId="710FB4B0" w14:textId="77777777" w:rsidR="006F2AEF" w:rsidRPr="00742342" w:rsidRDefault="006F2AEF" w:rsidP="00AC21C6">
            <w:pPr>
              <w:spacing w:line="276" w:lineRule="auto"/>
              <w:ind w:left="360"/>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Policy implementation timeline</w:t>
            </w:r>
          </w:p>
        </w:tc>
      </w:tr>
      <w:tr w:rsidR="00FE64C3" w:rsidRPr="00742342" w14:paraId="5D2428E5" w14:textId="77777777" w:rsidTr="00214475">
        <w:trPr>
          <w:trHeight w:val="335"/>
        </w:trPr>
        <w:tc>
          <w:tcPr>
            <w:cnfStyle w:val="001000000000" w:firstRow="0" w:lastRow="0" w:firstColumn="1" w:lastColumn="0" w:oddVBand="0" w:evenVBand="0" w:oddHBand="0" w:evenHBand="0" w:firstRowFirstColumn="0" w:firstRowLastColumn="0" w:lastRowFirstColumn="0" w:lastRowLastColumn="0"/>
            <w:tcW w:w="3828" w:type="dxa"/>
          </w:tcPr>
          <w:p w14:paraId="77F2A0C1" w14:textId="77777777" w:rsidR="006F2AEF" w:rsidRPr="00742342" w:rsidRDefault="006F2AEF" w:rsidP="00AC21C6">
            <w:pPr>
              <w:spacing w:line="276" w:lineRule="auto"/>
              <w:jc w:val="both"/>
              <w:rPr>
                <w:rFonts w:ascii="Open Sans" w:hAnsi="Open Sans" w:cs="Open Sans"/>
                <w:color w:val="000000" w:themeColor="text1"/>
                <w:sz w:val="24"/>
                <w:szCs w:val="20"/>
              </w:rPr>
            </w:pPr>
          </w:p>
        </w:tc>
        <w:tc>
          <w:tcPr>
            <w:tcW w:w="5612" w:type="dxa"/>
          </w:tcPr>
          <w:p w14:paraId="320DF95D" w14:textId="77777777" w:rsidR="006F2AEF" w:rsidRPr="00742342" w:rsidRDefault="006F2AEF" w:rsidP="00AC21C6">
            <w:pPr>
              <w:spacing w:line="276" w:lineRule="auto"/>
              <w:ind w:left="360"/>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Level of urgency</w:t>
            </w:r>
          </w:p>
        </w:tc>
      </w:tr>
      <w:tr w:rsidR="00FE64C3" w:rsidRPr="00742342" w14:paraId="5A3C99EC" w14:textId="77777777" w:rsidTr="00214475">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3828" w:type="dxa"/>
          </w:tcPr>
          <w:p w14:paraId="4F41B74D" w14:textId="77777777" w:rsidR="006F2AEF" w:rsidRPr="00742342" w:rsidRDefault="006F2AEF" w:rsidP="00AC21C6">
            <w:pPr>
              <w:spacing w:line="276" w:lineRule="auto"/>
              <w:jc w:val="both"/>
              <w:rPr>
                <w:rFonts w:ascii="Open Sans" w:hAnsi="Open Sans" w:cs="Open Sans"/>
                <w:color w:val="000000" w:themeColor="text1"/>
                <w:sz w:val="24"/>
                <w:szCs w:val="20"/>
              </w:rPr>
            </w:pPr>
            <w:r w:rsidRPr="00742342">
              <w:rPr>
                <w:rFonts w:ascii="Open Sans" w:hAnsi="Open Sans" w:cs="Open Sans"/>
                <w:color w:val="000000" w:themeColor="text1"/>
                <w:sz w:val="24"/>
                <w:szCs w:val="20"/>
              </w:rPr>
              <w:t>Increased credibility</w:t>
            </w:r>
          </w:p>
        </w:tc>
        <w:tc>
          <w:tcPr>
            <w:tcW w:w="5612" w:type="dxa"/>
          </w:tcPr>
          <w:p w14:paraId="2721E435" w14:textId="77777777" w:rsidR="006F2AEF" w:rsidRPr="00742342" w:rsidRDefault="006F2AEF" w:rsidP="00AC21C6">
            <w:pPr>
              <w:spacing w:line="276" w:lineRule="auto"/>
              <w:ind w:left="360"/>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p>
        </w:tc>
      </w:tr>
      <w:tr w:rsidR="00FE64C3" w:rsidRPr="00742342" w14:paraId="52DD7914" w14:textId="77777777" w:rsidTr="00214475">
        <w:trPr>
          <w:trHeight w:val="655"/>
        </w:trPr>
        <w:tc>
          <w:tcPr>
            <w:cnfStyle w:val="001000000000" w:firstRow="0" w:lastRow="0" w:firstColumn="1" w:lastColumn="0" w:oddVBand="0" w:evenVBand="0" w:oddHBand="0" w:evenHBand="0" w:firstRowFirstColumn="0" w:firstRowLastColumn="0" w:lastRowFirstColumn="0" w:lastRowLastColumn="0"/>
            <w:tcW w:w="3828" w:type="dxa"/>
          </w:tcPr>
          <w:p w14:paraId="61E9D650" w14:textId="77777777" w:rsidR="006F2AEF" w:rsidRPr="00742342" w:rsidRDefault="006F2AEF" w:rsidP="00AC21C6">
            <w:pPr>
              <w:spacing w:line="276" w:lineRule="auto"/>
              <w:rPr>
                <w:rFonts w:ascii="Open Sans" w:hAnsi="Open Sans" w:cs="Open Sans"/>
                <w:color w:val="000000" w:themeColor="text1"/>
                <w:sz w:val="24"/>
                <w:szCs w:val="22"/>
              </w:rPr>
            </w:pPr>
          </w:p>
        </w:tc>
        <w:tc>
          <w:tcPr>
            <w:tcW w:w="5612" w:type="dxa"/>
          </w:tcPr>
          <w:p w14:paraId="62CFA443" w14:textId="42D738DD" w:rsidR="006F2AEF" w:rsidRPr="00742342" w:rsidRDefault="006F2AEF" w:rsidP="00AC21C6">
            <w:pPr>
              <w:spacing w:line="276" w:lineRule="auto"/>
              <w:ind w:left="360"/>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Unbiased and impartial actions</w:t>
            </w:r>
            <w:r w:rsidR="005348E1" w:rsidRPr="00742342">
              <w:rPr>
                <w:rFonts w:ascii="Open Sans" w:hAnsi="Open Sans" w:cs="Open Sans"/>
                <w:color w:val="000000" w:themeColor="text1"/>
                <w:sz w:val="22"/>
                <w:szCs w:val="22"/>
              </w:rPr>
              <w:t xml:space="preserve"> towards external actors</w:t>
            </w:r>
          </w:p>
        </w:tc>
      </w:tr>
      <w:tr w:rsidR="00FE64C3" w:rsidRPr="00742342" w14:paraId="57E246EE" w14:textId="77777777" w:rsidTr="00214475">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3828" w:type="dxa"/>
          </w:tcPr>
          <w:p w14:paraId="157ACCD5" w14:textId="77777777" w:rsidR="006F2AEF" w:rsidRPr="00742342" w:rsidRDefault="006F2AEF" w:rsidP="00AC21C6">
            <w:pPr>
              <w:spacing w:line="276" w:lineRule="auto"/>
              <w:rPr>
                <w:rFonts w:ascii="Open Sans" w:hAnsi="Open Sans" w:cs="Open Sans"/>
                <w:color w:val="000000" w:themeColor="text1"/>
                <w:sz w:val="24"/>
                <w:szCs w:val="22"/>
              </w:rPr>
            </w:pPr>
          </w:p>
        </w:tc>
        <w:tc>
          <w:tcPr>
            <w:tcW w:w="5612" w:type="dxa"/>
          </w:tcPr>
          <w:p w14:paraId="2310D5AE" w14:textId="793D6D90" w:rsidR="006F2AEF" w:rsidRPr="00742342" w:rsidRDefault="006F2AEF" w:rsidP="00AC21C6">
            <w:pPr>
              <w:spacing w:line="276" w:lineRule="auto"/>
              <w:ind w:left="360"/>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Demonstrated experience</w:t>
            </w:r>
            <w:r w:rsidR="00080662" w:rsidRPr="00742342">
              <w:rPr>
                <w:rFonts w:ascii="Open Sans" w:hAnsi="Open Sans" w:cs="Open Sans"/>
                <w:color w:val="000000" w:themeColor="text1"/>
                <w:sz w:val="22"/>
                <w:szCs w:val="22"/>
              </w:rPr>
              <w:t xml:space="preserve"> and transparent practices</w:t>
            </w:r>
          </w:p>
        </w:tc>
      </w:tr>
    </w:tbl>
    <w:p w14:paraId="33CDCF13" w14:textId="77777777" w:rsidR="006C6648" w:rsidRPr="00742342" w:rsidRDefault="006C6648" w:rsidP="00AC21C6">
      <w:pPr>
        <w:pStyle w:val="Caption"/>
        <w:spacing w:line="276" w:lineRule="auto"/>
        <w:jc w:val="center"/>
        <w:rPr>
          <w:rFonts w:ascii="Open Sans" w:hAnsi="Open Sans" w:cs="Open Sans"/>
          <w:color w:val="000000" w:themeColor="text1"/>
        </w:rPr>
      </w:pPr>
    </w:p>
    <w:p w14:paraId="56E5632D" w14:textId="4CA73EBE" w:rsidR="006F2AEF" w:rsidRPr="00742342" w:rsidRDefault="006F2AEF" w:rsidP="00AC21C6">
      <w:pPr>
        <w:pStyle w:val="Caption"/>
        <w:spacing w:line="276" w:lineRule="auto"/>
        <w:jc w:val="center"/>
        <w:rPr>
          <w:rFonts w:ascii="Open Sans" w:hAnsi="Open Sans" w:cs="Open Sans"/>
          <w:color w:val="000000" w:themeColor="text1"/>
        </w:rPr>
      </w:pPr>
      <w:r w:rsidRPr="00742342">
        <w:rPr>
          <w:rFonts w:ascii="Open Sans" w:hAnsi="Open Sans" w:cs="Open Sans"/>
          <w:color w:val="000000" w:themeColor="text1"/>
        </w:rPr>
        <w:t xml:space="preserve">Table </w:t>
      </w:r>
      <w:r w:rsidR="006C6648" w:rsidRPr="00742342">
        <w:rPr>
          <w:rFonts w:ascii="Open Sans" w:hAnsi="Open Sans" w:cs="Open Sans"/>
          <w:color w:val="000000" w:themeColor="text1"/>
        </w:rPr>
        <w:fldChar w:fldCharType="begin"/>
      </w:r>
      <w:r w:rsidR="006C6648" w:rsidRPr="00742342">
        <w:rPr>
          <w:rFonts w:ascii="Open Sans" w:hAnsi="Open Sans" w:cs="Open Sans"/>
          <w:color w:val="000000" w:themeColor="text1"/>
        </w:rPr>
        <w:instrText xml:space="preserve"> SEQ Table \* ARABIC </w:instrText>
      </w:r>
      <w:r w:rsidR="006C6648" w:rsidRPr="00742342">
        <w:rPr>
          <w:rFonts w:ascii="Open Sans" w:hAnsi="Open Sans" w:cs="Open Sans"/>
          <w:color w:val="000000" w:themeColor="text1"/>
        </w:rPr>
        <w:fldChar w:fldCharType="separate"/>
      </w:r>
      <w:r w:rsidR="007639B7">
        <w:rPr>
          <w:rFonts w:ascii="Open Sans" w:hAnsi="Open Sans" w:cs="Open Sans"/>
          <w:noProof/>
          <w:color w:val="000000" w:themeColor="text1"/>
        </w:rPr>
        <w:t>1</w:t>
      </w:r>
      <w:r w:rsidR="006C6648" w:rsidRPr="00742342">
        <w:rPr>
          <w:rFonts w:ascii="Open Sans" w:hAnsi="Open Sans" w:cs="Open Sans"/>
          <w:color w:val="000000" w:themeColor="text1"/>
        </w:rPr>
        <w:fldChar w:fldCharType="end"/>
      </w:r>
      <w:r w:rsidRPr="00742342">
        <w:rPr>
          <w:rFonts w:ascii="Open Sans" w:hAnsi="Open Sans" w:cs="Open Sans"/>
          <w:color w:val="000000" w:themeColor="text1"/>
        </w:rPr>
        <w:t>, operationalization</w:t>
      </w:r>
      <w:r w:rsidR="006C6648" w:rsidRPr="00742342">
        <w:rPr>
          <w:rFonts w:ascii="Open Sans" w:hAnsi="Open Sans" w:cs="Open Sans"/>
          <w:color w:val="000000" w:themeColor="text1"/>
        </w:rPr>
        <w:t xml:space="preserve"> of independent variables</w:t>
      </w:r>
    </w:p>
    <w:p w14:paraId="391A8AC4"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6323A484" w14:textId="3093380B" w:rsidR="0022794B"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purpose of this operationalization was to transform the </w:t>
      </w:r>
      <w:r w:rsidR="001B50C1" w:rsidRPr="00742342">
        <w:rPr>
          <w:rFonts w:ascii="Open Sans" w:hAnsi="Open Sans" w:cs="Open Sans"/>
          <w:color w:val="000000" w:themeColor="text1"/>
          <w:sz w:val="22"/>
          <w:szCs w:val="22"/>
        </w:rPr>
        <w:t>theoretical concepts</w:t>
      </w:r>
      <w:r w:rsidRPr="00742342">
        <w:rPr>
          <w:rFonts w:ascii="Open Sans" w:hAnsi="Open Sans" w:cs="Open Sans"/>
          <w:color w:val="000000" w:themeColor="text1"/>
          <w:sz w:val="22"/>
          <w:szCs w:val="22"/>
        </w:rPr>
        <w:t xml:space="preserve"> that hypothetically contribute to intergovernmental autonomy into measurable items. The identified items form a scale that together forms the concept of the dimension (Andrade, 2021; Singh, 2015). </w:t>
      </w:r>
      <w:r w:rsidR="001B50C1" w:rsidRPr="00742342">
        <w:rPr>
          <w:rFonts w:ascii="Open Sans" w:hAnsi="Open Sans" w:cs="Open Sans"/>
          <w:color w:val="000000" w:themeColor="text1"/>
          <w:sz w:val="22"/>
          <w:szCs w:val="22"/>
        </w:rPr>
        <w:t xml:space="preserve">Some items are measurable through a binary </w:t>
      </w:r>
      <w:r w:rsidRPr="00742342">
        <w:rPr>
          <w:rFonts w:ascii="Open Sans" w:hAnsi="Open Sans" w:cs="Open Sans"/>
          <w:color w:val="000000" w:themeColor="text1"/>
          <w:sz w:val="22"/>
          <w:szCs w:val="22"/>
        </w:rPr>
        <w:t xml:space="preserve">questionnaire, the item is either present or absent. The measurements for certain other items are represented as a continuum, with more variations than simply ‘yes’ or ‘no’. The presence of absence of the relevant items constitute to how the dimension contributes to the autonomy of an intergovernmental organization. Not all items have to have a positive contribution to the dimension for it to have a possible effect on intergovernmental autonomy; the items do not represent a ‘checklist’ for the dimension. </w:t>
      </w:r>
      <w:r w:rsidR="0022794B" w:rsidRPr="00742342">
        <w:rPr>
          <w:rFonts w:ascii="Open Sans" w:hAnsi="Open Sans" w:cs="Open Sans"/>
          <w:color w:val="000000" w:themeColor="text1"/>
          <w:sz w:val="22"/>
          <w:szCs w:val="22"/>
        </w:rPr>
        <w:t>In de empirical analysis I will utilize various methods to analyze the presence and influence of these selected items</w:t>
      </w:r>
      <w:r w:rsidR="00C139DA" w:rsidRPr="00742342">
        <w:rPr>
          <w:rFonts w:ascii="Open Sans" w:hAnsi="Open Sans" w:cs="Open Sans"/>
          <w:color w:val="000000" w:themeColor="text1"/>
          <w:sz w:val="22"/>
          <w:szCs w:val="22"/>
        </w:rPr>
        <w:t>, which will be discussed in the following paragraphs of this methodological chapter.</w:t>
      </w:r>
    </w:p>
    <w:p w14:paraId="5473B675" w14:textId="77777777" w:rsidR="0022794B" w:rsidRPr="00742342" w:rsidRDefault="0022794B" w:rsidP="00AC21C6">
      <w:pPr>
        <w:spacing w:line="276" w:lineRule="auto"/>
        <w:jc w:val="both"/>
        <w:rPr>
          <w:rFonts w:ascii="Open Sans" w:hAnsi="Open Sans" w:cs="Open Sans"/>
          <w:color w:val="000000" w:themeColor="text1"/>
          <w:sz w:val="22"/>
          <w:szCs w:val="22"/>
        </w:rPr>
      </w:pPr>
    </w:p>
    <w:p w14:paraId="21FB0204" w14:textId="783C7AAF"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following table shows how the identified items will be observable and show which methods I will use in the empirical analysis</w:t>
      </w:r>
      <w:r w:rsidR="00F22950" w:rsidRPr="00742342">
        <w:rPr>
          <w:rFonts w:ascii="Open Sans" w:hAnsi="Open Sans" w:cs="Open Sans"/>
          <w:color w:val="000000" w:themeColor="text1"/>
          <w:sz w:val="22"/>
          <w:szCs w:val="22"/>
        </w:rPr>
        <w:t>:</w:t>
      </w:r>
      <w:r w:rsidRPr="00742342">
        <w:rPr>
          <w:rFonts w:ascii="Open Sans" w:hAnsi="Open Sans" w:cs="Open Sans"/>
          <w:color w:val="000000" w:themeColor="text1"/>
          <w:sz w:val="22"/>
          <w:szCs w:val="22"/>
        </w:rPr>
        <w:br w:type="page"/>
      </w:r>
    </w:p>
    <w:tbl>
      <w:tblPr>
        <w:tblStyle w:val="PlainTable5"/>
        <w:tblW w:w="0" w:type="auto"/>
        <w:tblLook w:val="04A0" w:firstRow="1" w:lastRow="0" w:firstColumn="1" w:lastColumn="0" w:noHBand="0" w:noVBand="1"/>
      </w:tblPr>
      <w:tblGrid>
        <w:gridCol w:w="3176"/>
        <w:gridCol w:w="3227"/>
        <w:gridCol w:w="2613"/>
      </w:tblGrid>
      <w:tr w:rsidR="00FE64C3" w:rsidRPr="00742342" w14:paraId="19E9BAD3" w14:textId="77777777" w:rsidTr="0021447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176" w:type="dxa"/>
          </w:tcPr>
          <w:p w14:paraId="35890B93" w14:textId="77777777" w:rsidR="006F2AEF" w:rsidRPr="00742342" w:rsidRDefault="006F2AEF" w:rsidP="00AC21C6">
            <w:pPr>
              <w:spacing w:line="276" w:lineRule="auto"/>
              <w:jc w:val="center"/>
              <w:rPr>
                <w:rFonts w:ascii="Open Sans" w:hAnsi="Open Sans" w:cs="Open Sans"/>
                <w:b/>
                <w:color w:val="000000" w:themeColor="text1"/>
                <w:sz w:val="24"/>
                <w:szCs w:val="22"/>
              </w:rPr>
            </w:pPr>
            <w:r w:rsidRPr="00742342">
              <w:rPr>
                <w:rFonts w:ascii="Open Sans" w:hAnsi="Open Sans" w:cs="Open Sans"/>
                <w:b/>
                <w:color w:val="000000" w:themeColor="text1"/>
                <w:sz w:val="24"/>
                <w:szCs w:val="22"/>
              </w:rPr>
              <w:lastRenderedPageBreak/>
              <w:t>Item</w:t>
            </w:r>
          </w:p>
        </w:tc>
        <w:tc>
          <w:tcPr>
            <w:tcW w:w="3227" w:type="dxa"/>
          </w:tcPr>
          <w:p w14:paraId="658DE21D" w14:textId="77777777" w:rsidR="006F2AEF" w:rsidRPr="00742342" w:rsidRDefault="006F2AEF" w:rsidP="00AC21C6">
            <w:pPr>
              <w:spacing w:line="276" w:lineRule="auto"/>
              <w:jc w:val="center"/>
              <w:cnfStyle w:val="100000000000" w:firstRow="1" w:lastRow="0" w:firstColumn="0" w:lastColumn="0" w:oddVBand="0" w:evenVBand="0" w:oddHBand="0" w:evenHBand="0" w:firstRowFirstColumn="0" w:firstRowLastColumn="0" w:lastRowFirstColumn="0" w:lastRowLastColumn="0"/>
              <w:rPr>
                <w:rFonts w:ascii="Open Sans" w:hAnsi="Open Sans" w:cs="Open Sans"/>
                <w:b/>
                <w:color w:val="000000" w:themeColor="text1"/>
                <w:sz w:val="24"/>
                <w:szCs w:val="22"/>
              </w:rPr>
            </w:pPr>
            <w:r w:rsidRPr="00742342">
              <w:rPr>
                <w:rFonts w:ascii="Open Sans" w:hAnsi="Open Sans" w:cs="Open Sans"/>
                <w:b/>
                <w:color w:val="000000" w:themeColor="text1"/>
                <w:sz w:val="24"/>
                <w:szCs w:val="22"/>
              </w:rPr>
              <w:t>Method of measurement</w:t>
            </w:r>
          </w:p>
        </w:tc>
        <w:tc>
          <w:tcPr>
            <w:tcW w:w="2613" w:type="dxa"/>
          </w:tcPr>
          <w:p w14:paraId="0F2858F7" w14:textId="77777777" w:rsidR="006F2AEF" w:rsidRPr="00742342" w:rsidRDefault="006F2AEF" w:rsidP="00AC21C6">
            <w:pPr>
              <w:spacing w:line="276" w:lineRule="auto"/>
              <w:jc w:val="center"/>
              <w:cnfStyle w:val="100000000000" w:firstRow="1" w:lastRow="0" w:firstColumn="0" w:lastColumn="0" w:oddVBand="0" w:evenVBand="0" w:oddHBand="0" w:evenHBand="0" w:firstRowFirstColumn="0" w:firstRowLastColumn="0" w:lastRowFirstColumn="0" w:lastRowLastColumn="0"/>
              <w:rPr>
                <w:rFonts w:ascii="Open Sans" w:hAnsi="Open Sans" w:cs="Open Sans"/>
                <w:b/>
                <w:color w:val="000000" w:themeColor="text1"/>
                <w:sz w:val="24"/>
                <w:szCs w:val="22"/>
              </w:rPr>
            </w:pPr>
            <w:r w:rsidRPr="00742342">
              <w:rPr>
                <w:rFonts w:ascii="Open Sans" w:hAnsi="Open Sans" w:cs="Open Sans"/>
                <w:b/>
                <w:color w:val="000000" w:themeColor="text1"/>
                <w:sz w:val="24"/>
                <w:szCs w:val="22"/>
              </w:rPr>
              <w:t>Type of source</w:t>
            </w:r>
          </w:p>
        </w:tc>
      </w:tr>
      <w:tr w:rsidR="00FE64C3" w:rsidRPr="00742342" w14:paraId="4A1D1229" w14:textId="77777777" w:rsidTr="002144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6" w:type="dxa"/>
          </w:tcPr>
          <w:p w14:paraId="36B0E1E2" w14:textId="19824F34" w:rsidR="006F2AEF" w:rsidRPr="00742342" w:rsidRDefault="006F2AEF" w:rsidP="00AC21C6">
            <w:pPr>
              <w:spacing w:line="276" w:lineRule="auto"/>
              <w:jc w:val="left"/>
              <w:rPr>
                <w:rFonts w:ascii="Open Sans" w:hAnsi="Open Sans" w:cs="Open Sans"/>
                <w:color w:val="000000" w:themeColor="text1"/>
                <w:sz w:val="24"/>
                <w:szCs w:val="22"/>
              </w:rPr>
            </w:pPr>
            <w:r w:rsidRPr="00742342">
              <w:rPr>
                <w:rFonts w:ascii="Open Sans" w:hAnsi="Open Sans" w:cs="Open Sans"/>
                <w:color w:val="000000" w:themeColor="text1"/>
                <w:sz w:val="24"/>
                <w:szCs w:val="22"/>
              </w:rPr>
              <w:t xml:space="preserve">Political neutrality of the </w:t>
            </w:r>
            <w:r w:rsidR="0044352B">
              <w:rPr>
                <w:rFonts w:ascii="Open Sans" w:hAnsi="Open Sans" w:cs="Open Sans"/>
                <w:color w:val="000000" w:themeColor="text1"/>
                <w:sz w:val="24"/>
                <w:szCs w:val="22"/>
              </w:rPr>
              <w:t>S</w:t>
            </w:r>
            <w:r w:rsidRPr="00742342">
              <w:rPr>
                <w:rFonts w:ascii="Open Sans" w:hAnsi="Open Sans" w:cs="Open Sans"/>
                <w:color w:val="000000" w:themeColor="text1"/>
                <w:sz w:val="24"/>
                <w:szCs w:val="22"/>
              </w:rPr>
              <w:t>ecretariat</w:t>
            </w:r>
          </w:p>
        </w:tc>
        <w:tc>
          <w:tcPr>
            <w:tcW w:w="3227" w:type="dxa"/>
          </w:tcPr>
          <w:p w14:paraId="3AD65B8A" w14:textId="77777777" w:rsidR="006F2AEF" w:rsidRPr="00742342" w:rsidRDefault="006F2AEF" w:rsidP="00AC21C6">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Document analysis</w:t>
            </w:r>
          </w:p>
        </w:tc>
        <w:tc>
          <w:tcPr>
            <w:tcW w:w="2613" w:type="dxa"/>
          </w:tcPr>
          <w:p w14:paraId="4C829F10" w14:textId="329B70C7" w:rsidR="006F2AEF" w:rsidRPr="00742342" w:rsidRDefault="006F2AEF" w:rsidP="00AC21C6">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Official guidelines and policies, </w:t>
            </w:r>
            <w:r w:rsidR="0053624B" w:rsidRPr="00742342">
              <w:rPr>
                <w:rFonts w:ascii="Open Sans" w:hAnsi="Open Sans" w:cs="Open Sans"/>
                <w:color w:val="000000" w:themeColor="text1"/>
                <w:sz w:val="22"/>
                <w:szCs w:val="22"/>
              </w:rPr>
              <w:t>recordings,</w:t>
            </w:r>
            <w:r w:rsidRPr="00742342">
              <w:rPr>
                <w:rFonts w:ascii="Open Sans" w:hAnsi="Open Sans" w:cs="Open Sans"/>
                <w:color w:val="000000" w:themeColor="text1"/>
                <w:sz w:val="22"/>
                <w:szCs w:val="22"/>
              </w:rPr>
              <w:t xml:space="preserve"> and minutes of official meetings &amp; consulting independent research</w:t>
            </w:r>
          </w:p>
        </w:tc>
      </w:tr>
      <w:tr w:rsidR="00FE64C3" w:rsidRPr="00742342" w14:paraId="7A82CF6B" w14:textId="77777777" w:rsidTr="00214475">
        <w:tc>
          <w:tcPr>
            <w:cnfStyle w:val="001000000000" w:firstRow="0" w:lastRow="0" w:firstColumn="1" w:lastColumn="0" w:oddVBand="0" w:evenVBand="0" w:oddHBand="0" w:evenHBand="0" w:firstRowFirstColumn="0" w:firstRowLastColumn="0" w:lastRowFirstColumn="0" w:lastRowLastColumn="0"/>
            <w:tcW w:w="3176" w:type="dxa"/>
          </w:tcPr>
          <w:p w14:paraId="584E9791" w14:textId="77777777" w:rsidR="006F2AEF" w:rsidRPr="00742342" w:rsidRDefault="006F2AEF" w:rsidP="00AC21C6">
            <w:pPr>
              <w:spacing w:line="276" w:lineRule="auto"/>
              <w:jc w:val="left"/>
              <w:rPr>
                <w:rFonts w:ascii="Open Sans" w:hAnsi="Open Sans" w:cs="Open Sans"/>
                <w:color w:val="000000" w:themeColor="text1"/>
                <w:sz w:val="24"/>
                <w:szCs w:val="22"/>
              </w:rPr>
            </w:pPr>
            <w:r w:rsidRPr="00742342">
              <w:rPr>
                <w:rFonts w:ascii="Open Sans" w:hAnsi="Open Sans" w:cs="Open Sans"/>
                <w:color w:val="000000" w:themeColor="text1"/>
                <w:sz w:val="24"/>
                <w:szCs w:val="22"/>
              </w:rPr>
              <w:t>Decision-making transparency</w:t>
            </w:r>
          </w:p>
        </w:tc>
        <w:tc>
          <w:tcPr>
            <w:tcW w:w="3227" w:type="dxa"/>
          </w:tcPr>
          <w:p w14:paraId="5A198C5C" w14:textId="77777777" w:rsidR="006F2AEF" w:rsidRPr="00742342" w:rsidRDefault="006F2AEF" w:rsidP="00AC21C6">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Observation</w:t>
            </w:r>
          </w:p>
        </w:tc>
        <w:tc>
          <w:tcPr>
            <w:tcW w:w="2613" w:type="dxa"/>
          </w:tcPr>
          <w:p w14:paraId="212A9AD6" w14:textId="77777777" w:rsidR="006F2AEF" w:rsidRPr="00742342" w:rsidRDefault="006F2AEF" w:rsidP="00AC21C6">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Recordings and minutes of official meetings &amp; consulting independent research</w:t>
            </w:r>
          </w:p>
        </w:tc>
      </w:tr>
      <w:tr w:rsidR="00FE64C3" w:rsidRPr="00742342" w14:paraId="4AF9917E" w14:textId="77777777" w:rsidTr="002144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6" w:type="dxa"/>
          </w:tcPr>
          <w:p w14:paraId="075C273F" w14:textId="77777777" w:rsidR="006F2AEF" w:rsidRPr="00742342" w:rsidRDefault="006F2AEF" w:rsidP="00AC21C6">
            <w:pPr>
              <w:spacing w:line="276" w:lineRule="auto"/>
              <w:jc w:val="left"/>
              <w:rPr>
                <w:rFonts w:ascii="Open Sans" w:hAnsi="Open Sans" w:cs="Open Sans"/>
                <w:color w:val="000000" w:themeColor="text1"/>
                <w:sz w:val="24"/>
                <w:szCs w:val="22"/>
              </w:rPr>
            </w:pPr>
            <w:r w:rsidRPr="00742342">
              <w:rPr>
                <w:rFonts w:ascii="Open Sans" w:hAnsi="Open Sans" w:cs="Open Sans"/>
                <w:color w:val="000000" w:themeColor="text1"/>
                <w:sz w:val="24"/>
                <w:szCs w:val="22"/>
              </w:rPr>
              <w:t>Policy consistency</w:t>
            </w:r>
          </w:p>
        </w:tc>
        <w:tc>
          <w:tcPr>
            <w:tcW w:w="3227" w:type="dxa"/>
          </w:tcPr>
          <w:p w14:paraId="755A5A99" w14:textId="77777777" w:rsidR="006F2AEF" w:rsidRPr="00742342" w:rsidRDefault="006F2AEF" w:rsidP="00AC21C6">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Document analysis</w:t>
            </w:r>
          </w:p>
        </w:tc>
        <w:tc>
          <w:tcPr>
            <w:tcW w:w="2613" w:type="dxa"/>
          </w:tcPr>
          <w:p w14:paraId="2652A10F" w14:textId="77777777" w:rsidR="006F2AEF" w:rsidRPr="00742342" w:rsidRDefault="006F2AEF" w:rsidP="00AC21C6">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Policy papers &amp; reports</w:t>
            </w:r>
          </w:p>
        </w:tc>
      </w:tr>
      <w:tr w:rsidR="00FE64C3" w:rsidRPr="00742342" w14:paraId="7799EF7E" w14:textId="77777777" w:rsidTr="00214475">
        <w:tc>
          <w:tcPr>
            <w:cnfStyle w:val="001000000000" w:firstRow="0" w:lastRow="0" w:firstColumn="1" w:lastColumn="0" w:oddVBand="0" w:evenVBand="0" w:oddHBand="0" w:evenHBand="0" w:firstRowFirstColumn="0" w:firstRowLastColumn="0" w:lastRowFirstColumn="0" w:lastRowLastColumn="0"/>
            <w:tcW w:w="3176" w:type="dxa"/>
          </w:tcPr>
          <w:p w14:paraId="634F6ED4" w14:textId="77777777" w:rsidR="006F2AEF" w:rsidRPr="00742342" w:rsidRDefault="006F2AEF" w:rsidP="00AC21C6">
            <w:pPr>
              <w:spacing w:line="276" w:lineRule="auto"/>
              <w:jc w:val="left"/>
              <w:rPr>
                <w:rFonts w:ascii="Open Sans" w:hAnsi="Open Sans" w:cs="Open Sans"/>
                <w:color w:val="000000" w:themeColor="text1"/>
                <w:sz w:val="24"/>
                <w:szCs w:val="22"/>
              </w:rPr>
            </w:pPr>
            <w:r w:rsidRPr="00742342">
              <w:rPr>
                <w:rFonts w:ascii="Open Sans" w:hAnsi="Open Sans" w:cs="Open Sans"/>
                <w:color w:val="000000" w:themeColor="text1"/>
                <w:sz w:val="24"/>
                <w:szCs w:val="22"/>
              </w:rPr>
              <w:t>Institutional autonomy</w:t>
            </w:r>
          </w:p>
        </w:tc>
        <w:tc>
          <w:tcPr>
            <w:tcW w:w="3227" w:type="dxa"/>
          </w:tcPr>
          <w:p w14:paraId="795BB5F8" w14:textId="77777777" w:rsidR="006F2AEF" w:rsidRPr="00742342" w:rsidRDefault="006F2AEF" w:rsidP="00AC21C6">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Legal document analysis</w:t>
            </w:r>
          </w:p>
        </w:tc>
        <w:tc>
          <w:tcPr>
            <w:tcW w:w="2613" w:type="dxa"/>
          </w:tcPr>
          <w:p w14:paraId="4E60EE11" w14:textId="77777777" w:rsidR="006F2AEF" w:rsidRPr="00742342" w:rsidRDefault="006F2AEF" w:rsidP="00AC21C6">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Legal framework documents</w:t>
            </w:r>
          </w:p>
        </w:tc>
      </w:tr>
      <w:tr w:rsidR="00FE64C3" w:rsidRPr="00742342" w14:paraId="26DE19AF" w14:textId="77777777" w:rsidTr="002144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6" w:type="dxa"/>
          </w:tcPr>
          <w:p w14:paraId="6785B580" w14:textId="77777777" w:rsidR="006F2AEF" w:rsidRPr="00742342" w:rsidRDefault="006F2AEF" w:rsidP="00AC21C6">
            <w:pPr>
              <w:spacing w:line="276" w:lineRule="auto"/>
              <w:jc w:val="left"/>
              <w:rPr>
                <w:rFonts w:ascii="Open Sans" w:hAnsi="Open Sans" w:cs="Open Sans"/>
                <w:color w:val="000000" w:themeColor="text1"/>
                <w:sz w:val="24"/>
                <w:szCs w:val="22"/>
              </w:rPr>
            </w:pPr>
          </w:p>
        </w:tc>
        <w:tc>
          <w:tcPr>
            <w:tcW w:w="3227" w:type="dxa"/>
          </w:tcPr>
          <w:p w14:paraId="0F90CBBD" w14:textId="77777777" w:rsidR="006F2AEF" w:rsidRPr="00742342" w:rsidRDefault="006F2AEF" w:rsidP="00AC21C6">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p>
        </w:tc>
        <w:tc>
          <w:tcPr>
            <w:tcW w:w="2613" w:type="dxa"/>
          </w:tcPr>
          <w:p w14:paraId="40E4DC24" w14:textId="77777777" w:rsidR="006F2AEF" w:rsidRPr="00742342" w:rsidRDefault="006F2AEF" w:rsidP="00AC21C6">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p>
        </w:tc>
      </w:tr>
      <w:tr w:rsidR="00FE64C3" w:rsidRPr="00742342" w14:paraId="513694DE" w14:textId="77777777" w:rsidTr="00214475">
        <w:tc>
          <w:tcPr>
            <w:cnfStyle w:val="001000000000" w:firstRow="0" w:lastRow="0" w:firstColumn="1" w:lastColumn="0" w:oddVBand="0" w:evenVBand="0" w:oddHBand="0" w:evenHBand="0" w:firstRowFirstColumn="0" w:firstRowLastColumn="0" w:lastRowFirstColumn="0" w:lastRowLastColumn="0"/>
            <w:tcW w:w="3176" w:type="dxa"/>
          </w:tcPr>
          <w:p w14:paraId="4B682815" w14:textId="77777777" w:rsidR="006F2AEF" w:rsidRPr="00742342" w:rsidRDefault="006F2AEF" w:rsidP="00AC21C6">
            <w:pPr>
              <w:spacing w:line="276" w:lineRule="auto"/>
              <w:jc w:val="left"/>
              <w:rPr>
                <w:rFonts w:ascii="Open Sans" w:hAnsi="Open Sans" w:cs="Open Sans"/>
                <w:color w:val="000000" w:themeColor="text1"/>
                <w:sz w:val="24"/>
                <w:szCs w:val="22"/>
              </w:rPr>
            </w:pPr>
            <w:r w:rsidRPr="00742342">
              <w:rPr>
                <w:rFonts w:ascii="Open Sans" w:hAnsi="Open Sans" w:cs="Open Sans"/>
                <w:color w:val="000000" w:themeColor="text1"/>
                <w:sz w:val="24"/>
                <w:szCs w:val="22"/>
              </w:rPr>
              <w:t>Policy implementation timeline</w:t>
            </w:r>
          </w:p>
        </w:tc>
        <w:tc>
          <w:tcPr>
            <w:tcW w:w="3227" w:type="dxa"/>
          </w:tcPr>
          <w:p w14:paraId="75D685AB" w14:textId="77777777" w:rsidR="006F2AEF" w:rsidRPr="00742342" w:rsidRDefault="006F2AEF" w:rsidP="00AC21C6">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Document analysis &amp; observation</w:t>
            </w:r>
          </w:p>
        </w:tc>
        <w:tc>
          <w:tcPr>
            <w:tcW w:w="2613" w:type="dxa"/>
          </w:tcPr>
          <w:p w14:paraId="41D2DB5F" w14:textId="77777777" w:rsidR="006F2AEF" w:rsidRPr="00742342" w:rsidRDefault="006F2AEF" w:rsidP="00AC21C6">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Policy papers &amp; reports</w:t>
            </w:r>
          </w:p>
        </w:tc>
      </w:tr>
      <w:tr w:rsidR="00FE64C3" w:rsidRPr="00742342" w14:paraId="007F6E00" w14:textId="77777777" w:rsidTr="002144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6" w:type="dxa"/>
          </w:tcPr>
          <w:p w14:paraId="35F9DBD2" w14:textId="77777777" w:rsidR="006F2AEF" w:rsidRPr="00742342" w:rsidRDefault="006F2AEF" w:rsidP="00AC21C6">
            <w:pPr>
              <w:spacing w:line="276" w:lineRule="auto"/>
              <w:jc w:val="left"/>
              <w:rPr>
                <w:rFonts w:ascii="Open Sans" w:hAnsi="Open Sans" w:cs="Open Sans"/>
                <w:color w:val="000000" w:themeColor="text1"/>
                <w:sz w:val="24"/>
                <w:szCs w:val="22"/>
              </w:rPr>
            </w:pPr>
            <w:r w:rsidRPr="00742342">
              <w:rPr>
                <w:rFonts w:ascii="Open Sans" w:hAnsi="Open Sans" w:cs="Open Sans"/>
                <w:color w:val="000000" w:themeColor="text1"/>
                <w:sz w:val="24"/>
                <w:szCs w:val="22"/>
              </w:rPr>
              <w:t>Level of urgency</w:t>
            </w:r>
          </w:p>
        </w:tc>
        <w:tc>
          <w:tcPr>
            <w:tcW w:w="3227" w:type="dxa"/>
          </w:tcPr>
          <w:p w14:paraId="4D72D297" w14:textId="77777777" w:rsidR="006F2AEF" w:rsidRPr="00742342" w:rsidRDefault="006F2AEF" w:rsidP="00AC21C6">
            <w:pPr>
              <w:keepNext/>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Observation</w:t>
            </w:r>
          </w:p>
        </w:tc>
        <w:tc>
          <w:tcPr>
            <w:tcW w:w="2613" w:type="dxa"/>
          </w:tcPr>
          <w:p w14:paraId="4905D9C0" w14:textId="77777777" w:rsidR="006F2AEF" w:rsidRPr="00742342" w:rsidRDefault="006F2AEF" w:rsidP="00AC21C6">
            <w:pPr>
              <w:keepNext/>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Recordings and minutes of official meetings &amp; news articles</w:t>
            </w:r>
          </w:p>
        </w:tc>
      </w:tr>
      <w:tr w:rsidR="00FE64C3" w:rsidRPr="00742342" w14:paraId="111A729E" w14:textId="77777777" w:rsidTr="00214475">
        <w:tc>
          <w:tcPr>
            <w:cnfStyle w:val="001000000000" w:firstRow="0" w:lastRow="0" w:firstColumn="1" w:lastColumn="0" w:oddVBand="0" w:evenVBand="0" w:oddHBand="0" w:evenHBand="0" w:firstRowFirstColumn="0" w:firstRowLastColumn="0" w:lastRowFirstColumn="0" w:lastRowLastColumn="0"/>
            <w:tcW w:w="3176" w:type="dxa"/>
          </w:tcPr>
          <w:p w14:paraId="33ABA1E9" w14:textId="77777777" w:rsidR="006F2AEF" w:rsidRPr="00742342" w:rsidRDefault="006F2AEF" w:rsidP="00AC21C6">
            <w:pPr>
              <w:spacing w:line="276" w:lineRule="auto"/>
              <w:jc w:val="left"/>
              <w:rPr>
                <w:rFonts w:ascii="Open Sans" w:hAnsi="Open Sans" w:cs="Open Sans"/>
                <w:color w:val="000000" w:themeColor="text1"/>
                <w:sz w:val="24"/>
                <w:szCs w:val="22"/>
              </w:rPr>
            </w:pPr>
          </w:p>
        </w:tc>
        <w:tc>
          <w:tcPr>
            <w:tcW w:w="3227" w:type="dxa"/>
          </w:tcPr>
          <w:p w14:paraId="5A6F2C0E" w14:textId="77777777" w:rsidR="006F2AEF" w:rsidRPr="00742342" w:rsidRDefault="006F2AEF" w:rsidP="00AC21C6">
            <w:pPr>
              <w:keepNext/>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p>
        </w:tc>
        <w:tc>
          <w:tcPr>
            <w:tcW w:w="2613" w:type="dxa"/>
          </w:tcPr>
          <w:p w14:paraId="75F9F434" w14:textId="77777777" w:rsidR="006F2AEF" w:rsidRPr="00742342" w:rsidRDefault="006F2AEF" w:rsidP="00AC21C6">
            <w:pPr>
              <w:keepNext/>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p>
        </w:tc>
      </w:tr>
      <w:tr w:rsidR="00FE64C3" w:rsidRPr="00742342" w14:paraId="26BBD40B" w14:textId="77777777" w:rsidTr="002144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6" w:type="dxa"/>
          </w:tcPr>
          <w:p w14:paraId="3EABD776" w14:textId="77777777" w:rsidR="006F2AEF" w:rsidRPr="00742342" w:rsidRDefault="006F2AEF" w:rsidP="00AC21C6">
            <w:pPr>
              <w:spacing w:line="276" w:lineRule="auto"/>
              <w:jc w:val="left"/>
              <w:rPr>
                <w:rFonts w:ascii="Open Sans" w:hAnsi="Open Sans" w:cs="Open Sans"/>
                <w:color w:val="000000" w:themeColor="text1"/>
                <w:sz w:val="24"/>
                <w:szCs w:val="22"/>
              </w:rPr>
            </w:pPr>
            <w:r w:rsidRPr="00742342">
              <w:rPr>
                <w:rFonts w:ascii="Open Sans" w:hAnsi="Open Sans" w:cs="Open Sans"/>
                <w:color w:val="000000" w:themeColor="text1"/>
                <w:sz w:val="24"/>
                <w:szCs w:val="22"/>
              </w:rPr>
              <w:t>Unbiased and impartial actions</w:t>
            </w:r>
          </w:p>
        </w:tc>
        <w:tc>
          <w:tcPr>
            <w:tcW w:w="3227" w:type="dxa"/>
          </w:tcPr>
          <w:p w14:paraId="6175AF52" w14:textId="77777777" w:rsidR="006F2AEF" w:rsidRPr="00742342" w:rsidRDefault="006F2AEF" w:rsidP="00AC21C6">
            <w:pPr>
              <w:keepNext/>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Observation</w:t>
            </w:r>
          </w:p>
        </w:tc>
        <w:tc>
          <w:tcPr>
            <w:tcW w:w="2613" w:type="dxa"/>
          </w:tcPr>
          <w:p w14:paraId="7AD3B461" w14:textId="77777777" w:rsidR="006F2AEF" w:rsidRPr="00742342" w:rsidRDefault="006F2AEF" w:rsidP="00AC21C6">
            <w:pPr>
              <w:keepNext/>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Official guidelines and policies, news articles &amp; consulting independent research</w:t>
            </w:r>
          </w:p>
        </w:tc>
      </w:tr>
      <w:tr w:rsidR="00FE64C3" w:rsidRPr="00742342" w14:paraId="13EC6CDD" w14:textId="77777777" w:rsidTr="00214475">
        <w:tc>
          <w:tcPr>
            <w:cnfStyle w:val="001000000000" w:firstRow="0" w:lastRow="0" w:firstColumn="1" w:lastColumn="0" w:oddVBand="0" w:evenVBand="0" w:oddHBand="0" w:evenHBand="0" w:firstRowFirstColumn="0" w:firstRowLastColumn="0" w:lastRowFirstColumn="0" w:lastRowLastColumn="0"/>
            <w:tcW w:w="3176" w:type="dxa"/>
          </w:tcPr>
          <w:p w14:paraId="0EC26591" w14:textId="77777777" w:rsidR="006F2AEF" w:rsidRPr="00742342" w:rsidRDefault="006F2AEF" w:rsidP="00AC21C6">
            <w:pPr>
              <w:spacing w:line="276" w:lineRule="auto"/>
              <w:jc w:val="left"/>
              <w:rPr>
                <w:rFonts w:ascii="Open Sans" w:hAnsi="Open Sans" w:cs="Open Sans"/>
                <w:color w:val="000000" w:themeColor="text1"/>
                <w:sz w:val="24"/>
                <w:szCs w:val="22"/>
              </w:rPr>
            </w:pPr>
            <w:r w:rsidRPr="00742342">
              <w:rPr>
                <w:rFonts w:ascii="Open Sans" w:hAnsi="Open Sans" w:cs="Open Sans"/>
                <w:color w:val="000000" w:themeColor="text1"/>
                <w:sz w:val="24"/>
                <w:szCs w:val="22"/>
              </w:rPr>
              <w:t>Demonstrated experience</w:t>
            </w:r>
          </w:p>
        </w:tc>
        <w:tc>
          <w:tcPr>
            <w:tcW w:w="3227" w:type="dxa"/>
          </w:tcPr>
          <w:p w14:paraId="52BF2EA9" w14:textId="77777777" w:rsidR="006F2AEF" w:rsidRPr="00742342" w:rsidRDefault="006F2AEF" w:rsidP="00AC21C6">
            <w:pPr>
              <w:keepNext/>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Document analysis</w:t>
            </w:r>
          </w:p>
        </w:tc>
        <w:tc>
          <w:tcPr>
            <w:tcW w:w="2613" w:type="dxa"/>
          </w:tcPr>
          <w:p w14:paraId="0B6DF213" w14:textId="77777777" w:rsidR="006F2AEF" w:rsidRPr="00742342" w:rsidRDefault="006F2AEF" w:rsidP="00AC21C6">
            <w:pPr>
              <w:keepNext/>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Ibid.</w:t>
            </w:r>
          </w:p>
        </w:tc>
      </w:tr>
      <w:tr w:rsidR="00FE64C3" w:rsidRPr="00742342" w14:paraId="52DCE2C4" w14:textId="77777777" w:rsidTr="002144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6" w:type="dxa"/>
          </w:tcPr>
          <w:p w14:paraId="70192955" w14:textId="77777777" w:rsidR="006F2AEF" w:rsidRPr="00742342" w:rsidRDefault="006F2AEF" w:rsidP="00AC21C6">
            <w:pPr>
              <w:spacing w:line="276" w:lineRule="auto"/>
              <w:jc w:val="left"/>
              <w:rPr>
                <w:rFonts w:ascii="Open Sans" w:hAnsi="Open Sans" w:cs="Open Sans"/>
                <w:color w:val="000000" w:themeColor="text1"/>
                <w:sz w:val="24"/>
                <w:szCs w:val="22"/>
              </w:rPr>
            </w:pPr>
            <w:r w:rsidRPr="00742342">
              <w:rPr>
                <w:rFonts w:ascii="Open Sans" w:hAnsi="Open Sans" w:cs="Open Sans"/>
                <w:color w:val="000000" w:themeColor="text1"/>
                <w:sz w:val="24"/>
                <w:szCs w:val="22"/>
              </w:rPr>
              <w:t>Transparent practices</w:t>
            </w:r>
          </w:p>
        </w:tc>
        <w:tc>
          <w:tcPr>
            <w:tcW w:w="3227" w:type="dxa"/>
          </w:tcPr>
          <w:p w14:paraId="105393EC" w14:textId="77777777" w:rsidR="006F2AEF" w:rsidRPr="00742342" w:rsidRDefault="006F2AEF" w:rsidP="00AC21C6">
            <w:pPr>
              <w:keepNext/>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Document analysis</w:t>
            </w:r>
          </w:p>
        </w:tc>
        <w:tc>
          <w:tcPr>
            <w:tcW w:w="2613" w:type="dxa"/>
          </w:tcPr>
          <w:p w14:paraId="715E89E4" w14:textId="77777777" w:rsidR="006F2AEF" w:rsidRPr="00742342" w:rsidRDefault="006F2AEF" w:rsidP="00AC21C6">
            <w:pPr>
              <w:keepNext/>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sz w:val="22"/>
                <w:szCs w:val="22"/>
              </w:rPr>
            </w:pPr>
            <w:r w:rsidRPr="00742342">
              <w:rPr>
                <w:rFonts w:ascii="Open Sans" w:hAnsi="Open Sans" w:cs="Open Sans"/>
                <w:color w:val="000000" w:themeColor="text1"/>
                <w:sz w:val="22"/>
                <w:szCs w:val="22"/>
              </w:rPr>
              <w:t>Ibid.</w:t>
            </w:r>
          </w:p>
        </w:tc>
      </w:tr>
    </w:tbl>
    <w:p w14:paraId="54519495" w14:textId="77777777" w:rsidR="006C6648" w:rsidRPr="00742342" w:rsidRDefault="006C6648" w:rsidP="00AC21C6">
      <w:pPr>
        <w:pStyle w:val="Caption"/>
        <w:spacing w:line="276" w:lineRule="auto"/>
        <w:jc w:val="center"/>
        <w:rPr>
          <w:rFonts w:ascii="Open Sans" w:hAnsi="Open Sans" w:cs="Open Sans"/>
          <w:color w:val="000000" w:themeColor="text1"/>
        </w:rPr>
      </w:pPr>
    </w:p>
    <w:p w14:paraId="5CB6637E" w14:textId="142371C8" w:rsidR="006F2AEF" w:rsidRPr="00742342" w:rsidRDefault="006F2AEF" w:rsidP="00AC21C6">
      <w:pPr>
        <w:pStyle w:val="Caption"/>
        <w:spacing w:line="276" w:lineRule="auto"/>
        <w:jc w:val="center"/>
        <w:rPr>
          <w:rFonts w:ascii="Open Sans" w:hAnsi="Open Sans" w:cs="Open Sans"/>
          <w:color w:val="000000" w:themeColor="text1"/>
        </w:rPr>
      </w:pPr>
      <w:r w:rsidRPr="00742342">
        <w:rPr>
          <w:rFonts w:ascii="Open Sans" w:hAnsi="Open Sans" w:cs="Open Sans"/>
          <w:color w:val="000000" w:themeColor="text1"/>
        </w:rPr>
        <w:t xml:space="preserve">Table </w:t>
      </w:r>
      <w:r w:rsidR="006C6648" w:rsidRPr="00742342">
        <w:rPr>
          <w:rFonts w:ascii="Open Sans" w:hAnsi="Open Sans" w:cs="Open Sans"/>
          <w:color w:val="000000" w:themeColor="text1"/>
        </w:rPr>
        <w:fldChar w:fldCharType="begin"/>
      </w:r>
      <w:r w:rsidR="006C6648" w:rsidRPr="00742342">
        <w:rPr>
          <w:rFonts w:ascii="Open Sans" w:hAnsi="Open Sans" w:cs="Open Sans"/>
          <w:color w:val="000000" w:themeColor="text1"/>
        </w:rPr>
        <w:instrText xml:space="preserve"> SEQ Table \* ARABIC </w:instrText>
      </w:r>
      <w:r w:rsidR="006C6648" w:rsidRPr="00742342">
        <w:rPr>
          <w:rFonts w:ascii="Open Sans" w:hAnsi="Open Sans" w:cs="Open Sans"/>
          <w:color w:val="000000" w:themeColor="text1"/>
        </w:rPr>
        <w:fldChar w:fldCharType="separate"/>
      </w:r>
      <w:r w:rsidR="007639B7">
        <w:rPr>
          <w:rFonts w:ascii="Open Sans" w:hAnsi="Open Sans" w:cs="Open Sans"/>
          <w:noProof/>
          <w:color w:val="000000" w:themeColor="text1"/>
        </w:rPr>
        <w:t>2</w:t>
      </w:r>
      <w:r w:rsidR="006C6648" w:rsidRPr="00742342">
        <w:rPr>
          <w:rFonts w:ascii="Open Sans" w:hAnsi="Open Sans" w:cs="Open Sans"/>
          <w:color w:val="000000" w:themeColor="text1"/>
        </w:rPr>
        <w:fldChar w:fldCharType="end"/>
      </w:r>
      <w:r w:rsidRPr="00742342">
        <w:rPr>
          <w:rFonts w:ascii="Open Sans" w:hAnsi="Open Sans" w:cs="Open Sans"/>
          <w:color w:val="000000" w:themeColor="text1"/>
        </w:rPr>
        <w:t>, methods of measurement</w:t>
      </w:r>
    </w:p>
    <w:p w14:paraId="3DF3D95A" w14:textId="77777777" w:rsidR="00EC2DA8" w:rsidRPr="00742342" w:rsidRDefault="00EC2DA8" w:rsidP="00EC2DA8">
      <w:pPr>
        <w:pStyle w:val="Heading4"/>
        <w:spacing w:line="276" w:lineRule="auto"/>
        <w:rPr>
          <w:rFonts w:ascii="Open Sans" w:hAnsi="Open Sans" w:cs="Open Sans"/>
          <w:color w:val="000000" w:themeColor="text1"/>
          <w:sz w:val="22"/>
          <w:szCs w:val="22"/>
        </w:rPr>
      </w:pPr>
      <w:r w:rsidRPr="00742342">
        <w:rPr>
          <w:rFonts w:ascii="Open Sans" w:hAnsi="Open Sans" w:cs="Open Sans"/>
          <w:color w:val="000000" w:themeColor="text1"/>
          <w:sz w:val="22"/>
          <w:szCs w:val="22"/>
        </w:rPr>
        <w:t>Operationalization of dependent variables</w:t>
      </w:r>
    </w:p>
    <w:p w14:paraId="4EE639EC" w14:textId="77777777" w:rsidR="00EC2DA8" w:rsidRPr="00742342" w:rsidRDefault="00EC2DA8" w:rsidP="00EC2DA8">
      <w:pPr>
        <w:spacing w:line="276" w:lineRule="auto"/>
        <w:jc w:val="both"/>
        <w:rPr>
          <w:rFonts w:ascii="Open Sans" w:hAnsi="Open Sans" w:cs="Open Sans"/>
          <w:color w:val="000000" w:themeColor="text1"/>
          <w:sz w:val="22"/>
          <w:szCs w:val="22"/>
        </w:rPr>
      </w:pPr>
      <w:r>
        <w:rPr>
          <w:rFonts w:ascii="Open Sans" w:hAnsi="Open Sans" w:cs="Open Sans"/>
          <w:color w:val="000000" w:themeColor="text1"/>
          <w:sz w:val="22"/>
          <w:szCs w:val="22"/>
        </w:rPr>
        <w:t>The</w:t>
      </w:r>
      <w:r w:rsidRPr="00742342">
        <w:rPr>
          <w:rFonts w:ascii="Open Sans" w:hAnsi="Open Sans" w:cs="Open Sans"/>
          <w:color w:val="000000" w:themeColor="text1"/>
          <w:sz w:val="22"/>
          <w:szCs w:val="22"/>
        </w:rPr>
        <w:t xml:space="preserve"> identified items constitute autonomy, which is in my hypothesis connected to how an intergovernmental organization interacts with violent non-state actors. </w:t>
      </w:r>
      <w:r>
        <w:rPr>
          <w:rFonts w:ascii="Open Sans" w:hAnsi="Open Sans" w:cs="Open Sans"/>
          <w:color w:val="000000" w:themeColor="text1"/>
          <w:sz w:val="22"/>
          <w:szCs w:val="22"/>
        </w:rPr>
        <w:t xml:space="preserve">The dimensions act as the independent variables. The independent variables constitute autonomy, which operates as an intervening variable, influencing the engagements with violent non-state actors. </w:t>
      </w:r>
      <w:r w:rsidRPr="00742342">
        <w:rPr>
          <w:rFonts w:ascii="Open Sans" w:hAnsi="Open Sans" w:cs="Open Sans"/>
          <w:color w:val="000000" w:themeColor="text1"/>
          <w:sz w:val="22"/>
          <w:szCs w:val="22"/>
        </w:rPr>
        <w:t xml:space="preserve">The actors and their properties have been discussed in detail in the previous chapter. But the way how IGOs deal with VNSAs can be measured in many different ways. For this analysis I have chosen two conditions on which the interactions between IGOs and VNSAs can be described. These concepts are </w:t>
      </w:r>
      <w:r w:rsidRPr="00742342">
        <w:rPr>
          <w:rFonts w:ascii="Open Sans" w:hAnsi="Open Sans" w:cs="Open Sans"/>
          <w:i/>
          <w:color w:val="000000" w:themeColor="text1"/>
          <w:sz w:val="22"/>
          <w:szCs w:val="22"/>
        </w:rPr>
        <w:t>effectiveness</w:t>
      </w:r>
      <w:r w:rsidRPr="00742342">
        <w:rPr>
          <w:rFonts w:ascii="Open Sans" w:hAnsi="Open Sans" w:cs="Open Sans"/>
          <w:color w:val="000000" w:themeColor="text1"/>
          <w:sz w:val="22"/>
          <w:szCs w:val="22"/>
        </w:rPr>
        <w:t xml:space="preserve"> and </w:t>
      </w:r>
      <w:r w:rsidRPr="00742342">
        <w:rPr>
          <w:rFonts w:ascii="Open Sans" w:hAnsi="Open Sans" w:cs="Open Sans"/>
          <w:i/>
          <w:color w:val="000000" w:themeColor="text1"/>
          <w:sz w:val="22"/>
          <w:szCs w:val="22"/>
        </w:rPr>
        <w:lastRenderedPageBreak/>
        <w:t>efficiency</w:t>
      </w:r>
      <w:r w:rsidRPr="00742342">
        <w:rPr>
          <w:rFonts w:ascii="Open Sans" w:hAnsi="Open Sans" w:cs="Open Sans"/>
          <w:color w:val="000000" w:themeColor="text1"/>
          <w:sz w:val="22"/>
          <w:szCs w:val="22"/>
        </w:rPr>
        <w:t xml:space="preserve">, frequently used terms to evaluate policy in public administration, among other fields (Immordino, 2017). </w:t>
      </w:r>
    </w:p>
    <w:p w14:paraId="7148DF9C" w14:textId="77777777" w:rsidR="00EC2DA8" w:rsidRPr="00742342" w:rsidRDefault="00EC2DA8" w:rsidP="00EC2DA8">
      <w:pPr>
        <w:spacing w:line="276" w:lineRule="auto"/>
        <w:jc w:val="both"/>
        <w:rPr>
          <w:rFonts w:ascii="Open Sans" w:hAnsi="Open Sans" w:cs="Open Sans"/>
          <w:color w:val="000000" w:themeColor="text1"/>
          <w:sz w:val="22"/>
          <w:szCs w:val="22"/>
        </w:rPr>
      </w:pPr>
    </w:p>
    <w:p w14:paraId="13B74B73" w14:textId="77777777" w:rsidR="00EC2DA8" w:rsidRPr="00E55E2E" w:rsidRDefault="00EC2DA8" w:rsidP="00EC2DA8">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 this case, effectiveness refers to the extent to which designed policies achieve their stated objectives (Bardach &amp; Patashnik, 2019</w:t>
      </w:r>
      <w:r>
        <w:rPr>
          <w:rFonts w:ascii="Open Sans" w:hAnsi="Open Sans" w:cs="Open Sans"/>
          <w:color w:val="000000" w:themeColor="text1"/>
          <w:sz w:val="22"/>
          <w:szCs w:val="22"/>
        </w:rPr>
        <w:t xml:space="preserve">). The engagements of the intergovernmental organization can be designated as effective when the outcome and impact of the engagement conform to the ambitions and objectives of the IGO. The effectivity thus depends on the objectives and the results of the engagement.  </w:t>
      </w:r>
      <w:r w:rsidRPr="00E55E2E">
        <w:rPr>
          <w:rFonts w:ascii="Open Sans" w:hAnsi="Open Sans" w:cs="Open Sans"/>
          <w:color w:val="000000" w:themeColor="text1"/>
          <w:sz w:val="22"/>
          <w:szCs w:val="22"/>
        </w:rPr>
        <w:t xml:space="preserve">Setting up specific, quantifiable goals for the interaction is necessary for effectiveness. These goals </w:t>
      </w:r>
      <w:r>
        <w:rPr>
          <w:rFonts w:ascii="Open Sans" w:hAnsi="Open Sans" w:cs="Open Sans"/>
          <w:color w:val="000000" w:themeColor="text1"/>
          <w:sz w:val="22"/>
          <w:szCs w:val="22"/>
        </w:rPr>
        <w:t>must</w:t>
      </w:r>
      <w:r w:rsidRPr="00E55E2E">
        <w:rPr>
          <w:rFonts w:ascii="Open Sans" w:hAnsi="Open Sans" w:cs="Open Sans"/>
          <w:color w:val="000000" w:themeColor="text1"/>
          <w:sz w:val="22"/>
          <w:szCs w:val="22"/>
        </w:rPr>
        <w:t xml:space="preserve"> be precise, reachable, and in line with the IGO's </w:t>
      </w:r>
      <w:r>
        <w:rPr>
          <w:rFonts w:ascii="Open Sans" w:hAnsi="Open Sans" w:cs="Open Sans"/>
          <w:color w:val="000000" w:themeColor="text1"/>
          <w:sz w:val="22"/>
          <w:szCs w:val="22"/>
        </w:rPr>
        <w:t>ambitions and interests</w:t>
      </w:r>
      <w:r w:rsidRPr="00E55E2E">
        <w:rPr>
          <w:rFonts w:ascii="Open Sans" w:hAnsi="Open Sans" w:cs="Open Sans"/>
          <w:color w:val="000000" w:themeColor="text1"/>
          <w:sz w:val="22"/>
          <w:szCs w:val="22"/>
        </w:rPr>
        <w:t>. It is simpler to assess whether the interaction has been successful in attaining its intended goal when the objectives are clearly defined.</w:t>
      </w:r>
      <w:r>
        <w:rPr>
          <w:rFonts w:ascii="Open Sans" w:hAnsi="Open Sans" w:cs="Open Sans"/>
          <w:color w:val="000000" w:themeColor="text1"/>
          <w:sz w:val="22"/>
          <w:szCs w:val="22"/>
        </w:rPr>
        <w:t xml:space="preserve"> The outcome of the engagement can be measurably effective, for example when certain quantifiable goals are reached. Some engagements may also be effective when there is no quantifiable success, but rather immaterial progress.  </w:t>
      </w:r>
    </w:p>
    <w:p w14:paraId="79D64447" w14:textId="77777777" w:rsidR="00EC2DA8" w:rsidRPr="00742342" w:rsidRDefault="00EC2DA8" w:rsidP="00EC2DA8">
      <w:pPr>
        <w:spacing w:line="276" w:lineRule="auto"/>
        <w:jc w:val="both"/>
        <w:rPr>
          <w:rFonts w:ascii="Open Sans" w:hAnsi="Open Sans" w:cs="Open Sans"/>
          <w:color w:val="000000" w:themeColor="text1"/>
          <w:sz w:val="22"/>
          <w:szCs w:val="22"/>
        </w:rPr>
      </w:pPr>
    </w:p>
    <w:p w14:paraId="2C065F44" w14:textId="77777777" w:rsidR="00EC2DA8" w:rsidRPr="00742342" w:rsidRDefault="00EC2DA8" w:rsidP="00EC2DA8">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concept of efficiency is in this case refers to the ability to maximize results while minimizing costs (Weimer &amp; Vining, 2017). The maximalization of results is the achievement of set goals for the intergovernmental organization. Costs for the intergovernmental organization on the other hand are not just financial, but also refer to minimizing the negative impact of endogenous and exogenous factors. Efficiency as a concept is not easily measured, as it is both a financial and a normative concept. For the purposes of this thesis, I have chosen to observe efficiency as implementation-based efficiency. This form of efficiency is not concerned with the financial aspect of policy implementation, but rather with the adherence to implementation plans and guidelines, coordination among relevant stakeholders, and the effectiveness of monitoring and evaluation mechanisms. </w:t>
      </w:r>
    </w:p>
    <w:p w14:paraId="0B8176C4" w14:textId="77777777" w:rsidR="00EC2DA8" w:rsidRDefault="00EC2DA8" w:rsidP="00EC2DA8"/>
    <w:p w14:paraId="3519E85C" w14:textId="6E9F7FE3" w:rsidR="00EC2DA8" w:rsidRPr="00742342" w:rsidRDefault="00C52CCC" w:rsidP="00EC2DA8">
      <w:pPr>
        <w:pStyle w:val="Heading4"/>
        <w:spacing w:line="276" w:lineRule="auto"/>
        <w:rPr>
          <w:rFonts w:ascii="Open Sans" w:hAnsi="Open Sans" w:cs="Open Sans"/>
          <w:color w:val="000000" w:themeColor="text1"/>
          <w:sz w:val="22"/>
          <w:szCs w:val="22"/>
        </w:rPr>
      </w:pPr>
      <w:r>
        <w:rPr>
          <w:rFonts w:ascii="Open Sans" w:hAnsi="Open Sans" w:cs="Open Sans"/>
          <w:color w:val="000000" w:themeColor="text1"/>
          <w:sz w:val="22"/>
          <w:szCs w:val="22"/>
        </w:rPr>
        <w:t xml:space="preserve">Considerations </w:t>
      </w:r>
    </w:p>
    <w:p w14:paraId="63D4DAF9" w14:textId="161655DA"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This operationalization is based on research performed in the theoretical analysis of this thesis. The dimensions come from the literature recognized in the theoretical framework. The selected items result from further analysis of these dimensions and emerged from further literature analysis. Considering this operationalization is solely based on an analysis of selected literature, there is a possibility that not all concepts are identified in this operationalization, leading to latent concepts influencing the dimension. A latent concept is a variable that influences the workings of the dimension, but is not observed (Goertz &amp; Mahoney, 2012). Failing to identify all possible variables that constitute a dimension can lead to omitted variable bias (Courthoud, 2022). Omitted variable bias is mainly a statistical term used in quantitative research, but also occurs in qualitative research. It is important to realize that there might be other variables that could influence </w:t>
      </w:r>
      <w:r w:rsidRPr="00742342">
        <w:rPr>
          <w:rFonts w:ascii="Open Sans" w:hAnsi="Open Sans" w:cs="Open Sans"/>
          <w:color w:val="000000" w:themeColor="text1"/>
          <w:sz w:val="22"/>
          <w:szCs w:val="22"/>
        </w:rPr>
        <w:lastRenderedPageBreak/>
        <w:t>the workings of a dimension, that thus influence the hypothesi</w:t>
      </w:r>
      <w:r w:rsidR="00D475EA" w:rsidRPr="00742342">
        <w:rPr>
          <w:rFonts w:ascii="Open Sans" w:hAnsi="Open Sans" w:cs="Open Sans"/>
          <w:color w:val="000000" w:themeColor="text1"/>
          <w:sz w:val="22"/>
          <w:szCs w:val="22"/>
        </w:rPr>
        <w:t>s.</w:t>
      </w:r>
      <w:r w:rsidR="00A77E4F" w:rsidRPr="00742342">
        <w:rPr>
          <w:rFonts w:ascii="Open Sans" w:hAnsi="Open Sans" w:cs="Open Sans"/>
          <w:color w:val="000000" w:themeColor="text1"/>
          <w:sz w:val="22"/>
          <w:szCs w:val="22"/>
        </w:rPr>
        <w:t xml:space="preserve"> The following section of this thesis will feature an outline of the research design of this thesis.</w:t>
      </w:r>
    </w:p>
    <w:p w14:paraId="33A2CD75" w14:textId="77777777" w:rsidR="00BF57DE" w:rsidRPr="00742342" w:rsidRDefault="00BF57DE" w:rsidP="00AC21C6">
      <w:pPr>
        <w:spacing w:line="276" w:lineRule="auto"/>
        <w:jc w:val="both"/>
        <w:rPr>
          <w:rFonts w:ascii="Open Sans" w:hAnsi="Open Sans" w:cs="Open Sans"/>
          <w:color w:val="000000" w:themeColor="text1"/>
          <w:sz w:val="22"/>
          <w:szCs w:val="22"/>
        </w:rPr>
      </w:pPr>
    </w:p>
    <w:p w14:paraId="236ED816" w14:textId="78CE8EED" w:rsidR="00BF57DE" w:rsidRPr="00742342" w:rsidRDefault="00BF57DE" w:rsidP="003E2BDE">
      <w:pPr>
        <w:pStyle w:val="Heading2"/>
        <w:numPr>
          <w:ilvl w:val="1"/>
          <w:numId w:val="6"/>
        </w:numPr>
        <w:spacing w:line="276" w:lineRule="auto"/>
        <w:rPr>
          <w:rFonts w:ascii="Open Sans" w:hAnsi="Open Sans" w:cs="Open Sans"/>
          <w:color w:val="000000" w:themeColor="text1"/>
          <w:sz w:val="24"/>
          <w:szCs w:val="24"/>
        </w:rPr>
      </w:pPr>
      <w:bookmarkStart w:id="67" w:name="_Toc136706594"/>
      <w:bookmarkStart w:id="68" w:name="_Toc138247502"/>
      <w:r w:rsidRPr="00742342">
        <w:rPr>
          <w:rFonts w:ascii="Open Sans" w:hAnsi="Open Sans" w:cs="Open Sans"/>
          <w:color w:val="000000" w:themeColor="text1"/>
          <w:sz w:val="24"/>
          <w:szCs w:val="24"/>
        </w:rPr>
        <w:t>Research design</w:t>
      </w:r>
      <w:bookmarkEnd w:id="67"/>
      <w:bookmarkEnd w:id="68"/>
    </w:p>
    <w:p w14:paraId="201C6D8E" w14:textId="4F2109F7"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research design is an important part of the methodological outline and will offer insights in the way I have engaged with the data. The chosen methodology determines how the gathered data will be analyzed, and thus influences the empirical analysis and its claims (Klotz &amp; Prakash, 2008). Certain choices in chosen methodology and research design also influences the rigor of this research (Johnson et al., 2020), meaning it has consequences for the reliability and validity. This thesis will feature a qualitative research approach. The nature of the central hypothesis of this thesis calls for an in-depth analysis of how the concept of autonomy is constructed and how it relates to efficient and effective dealing with violent non-state actors. A qualitative approach is suitable for this research question, as it allows me to dive deeper into the contextual reality of intergovernmental organizations, linking theory to real-word practices (Yin, 1984). The intention to perform an in-depth analysis of those practices is facilitated by a qualitative research approach. The emergent nature of qualitative research (Given, 2008) allows me to deal with </w:t>
      </w:r>
      <w:r w:rsidR="002F6119" w:rsidRPr="00742342">
        <w:rPr>
          <w:rFonts w:ascii="Open Sans" w:hAnsi="Open Sans" w:cs="Open Sans"/>
          <w:color w:val="000000" w:themeColor="text1"/>
          <w:sz w:val="22"/>
          <w:szCs w:val="22"/>
        </w:rPr>
        <w:t>discoveries</w:t>
      </w:r>
      <w:r w:rsidRPr="00742342">
        <w:rPr>
          <w:rFonts w:ascii="Open Sans" w:hAnsi="Open Sans" w:cs="Open Sans"/>
          <w:color w:val="000000" w:themeColor="text1"/>
          <w:sz w:val="22"/>
          <w:szCs w:val="22"/>
        </w:rPr>
        <w:t xml:space="preserve"> that might not be expected </w:t>
      </w:r>
      <w:r w:rsidR="002F6119" w:rsidRPr="00742342">
        <w:rPr>
          <w:rFonts w:ascii="Open Sans" w:hAnsi="Open Sans" w:cs="Open Sans"/>
          <w:color w:val="000000" w:themeColor="text1"/>
          <w:sz w:val="22"/>
          <w:szCs w:val="22"/>
        </w:rPr>
        <w:t>based on</w:t>
      </w:r>
      <w:r w:rsidRPr="00742342">
        <w:rPr>
          <w:rFonts w:ascii="Open Sans" w:hAnsi="Open Sans" w:cs="Open Sans"/>
          <w:color w:val="000000" w:themeColor="text1"/>
          <w:sz w:val="22"/>
          <w:szCs w:val="22"/>
        </w:rPr>
        <w:t xml:space="preserve"> the operationalization but can offer additional insights. </w:t>
      </w:r>
    </w:p>
    <w:p w14:paraId="7DA394F5"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635ECBD4" w14:textId="77777777" w:rsidR="0069039D"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To further develop the hypothesis that certain factors influence the autonomy of an intergovernmental organization, and that this autonomy influences its interactions with violent non-state actors, I will perform a case study. A case study is an empirical enquiry that focusses on </w:t>
      </w:r>
      <w:r w:rsidR="002F6119">
        <w:rPr>
          <w:rFonts w:ascii="Open Sans" w:hAnsi="Open Sans" w:cs="Open Sans"/>
          <w:color w:val="000000" w:themeColor="text1"/>
          <w:sz w:val="22"/>
          <w:szCs w:val="22"/>
        </w:rPr>
        <w:t>phenomena</w:t>
      </w:r>
      <w:r w:rsidRPr="00742342">
        <w:rPr>
          <w:rFonts w:ascii="Open Sans" w:hAnsi="Open Sans" w:cs="Open Sans"/>
          <w:color w:val="000000" w:themeColor="text1"/>
          <w:sz w:val="22"/>
          <w:szCs w:val="22"/>
        </w:rPr>
        <w:t xml:space="preserve"> that occur in</w:t>
      </w:r>
      <w:r w:rsidR="002F6119">
        <w:rPr>
          <w:rFonts w:ascii="Open Sans" w:hAnsi="Open Sans" w:cs="Open Sans"/>
          <w:color w:val="000000" w:themeColor="text1"/>
          <w:sz w:val="22"/>
          <w:szCs w:val="22"/>
        </w:rPr>
        <w:t xml:space="preserve"> the</w:t>
      </w:r>
      <w:r w:rsidRPr="00742342">
        <w:rPr>
          <w:rFonts w:ascii="Open Sans" w:hAnsi="Open Sans" w:cs="Open Sans"/>
          <w:color w:val="000000" w:themeColor="text1"/>
          <w:sz w:val="22"/>
          <w:szCs w:val="22"/>
        </w:rPr>
        <w:t xml:space="preserve"> real-life context (Willis, 2021; Yin, 1984). Performing a case study will enable me to investigate </w:t>
      </w:r>
      <w:r w:rsidR="001F3FCF" w:rsidRPr="00742342">
        <w:rPr>
          <w:rFonts w:ascii="Open Sans" w:hAnsi="Open Sans" w:cs="Open Sans"/>
          <w:color w:val="000000" w:themeColor="text1"/>
          <w:sz w:val="22"/>
          <w:szCs w:val="22"/>
        </w:rPr>
        <w:t>expectations</w:t>
      </w:r>
      <w:r w:rsidRPr="00742342">
        <w:rPr>
          <w:rFonts w:ascii="Open Sans" w:hAnsi="Open Sans" w:cs="Open Sans"/>
          <w:color w:val="000000" w:themeColor="text1"/>
          <w:sz w:val="22"/>
          <w:szCs w:val="22"/>
        </w:rPr>
        <w:t xml:space="preserve"> based on theoretical research on concrete events. Given that this thesis deals with questions of autonomy in dealing with violent non-state actors, a study into a case that features conflict, crisis and said non-state actors will allow me to engage with theory in the natural environment of the case (Neuman, 2013). This type of quantitative research allows for the capture of complex processes, which are time-variant (Ibid, 2013). This means that through researching case studies, one can assess changes through time, instead of solely being able to focus on a single observation. There are multiple different </w:t>
      </w:r>
      <w:r w:rsidR="00AB0A6E">
        <w:rPr>
          <w:rFonts w:ascii="Open Sans" w:hAnsi="Open Sans" w:cs="Open Sans"/>
          <w:color w:val="000000" w:themeColor="text1"/>
          <w:sz w:val="22"/>
          <w:szCs w:val="22"/>
        </w:rPr>
        <w:t>possible designs</w:t>
      </w:r>
      <w:r w:rsidRPr="00742342">
        <w:rPr>
          <w:rFonts w:ascii="Open Sans" w:hAnsi="Open Sans" w:cs="Open Sans"/>
          <w:color w:val="000000" w:themeColor="text1"/>
          <w:sz w:val="22"/>
          <w:szCs w:val="22"/>
        </w:rPr>
        <w:t xml:space="preserve"> when one aims to perform a case</w:t>
      </w:r>
      <w:r w:rsidR="004D527E">
        <w:rPr>
          <w:rFonts w:ascii="Open Sans" w:hAnsi="Open Sans" w:cs="Open Sans"/>
          <w:color w:val="000000" w:themeColor="text1"/>
          <w:sz w:val="22"/>
          <w:szCs w:val="22"/>
        </w:rPr>
        <w:t xml:space="preserve"> </w:t>
      </w:r>
      <w:r w:rsidRPr="00742342">
        <w:rPr>
          <w:rFonts w:ascii="Open Sans" w:hAnsi="Open Sans" w:cs="Open Sans"/>
          <w:color w:val="000000" w:themeColor="text1"/>
          <w:sz w:val="22"/>
          <w:szCs w:val="22"/>
        </w:rPr>
        <w:t>study (Willis, 2021; Yin, 1984). In this research I will perform a single</w:t>
      </w:r>
      <w:r w:rsidR="00B21453">
        <w:rPr>
          <w:rFonts w:ascii="Open Sans" w:hAnsi="Open Sans" w:cs="Open Sans"/>
          <w:color w:val="000000" w:themeColor="text1"/>
          <w:sz w:val="22"/>
          <w:szCs w:val="22"/>
        </w:rPr>
        <w:t xml:space="preserve"> </w:t>
      </w:r>
      <w:r w:rsidRPr="00742342">
        <w:rPr>
          <w:rFonts w:ascii="Open Sans" w:hAnsi="Open Sans" w:cs="Open Sans"/>
          <w:color w:val="000000" w:themeColor="text1"/>
          <w:sz w:val="22"/>
          <w:szCs w:val="22"/>
        </w:rPr>
        <w:t xml:space="preserve">case analysis, meaning one specific case will be the focus of the empirical analysis. </w:t>
      </w:r>
      <w:r w:rsidR="004E0BBE" w:rsidRPr="00742342">
        <w:rPr>
          <w:rFonts w:ascii="Open Sans" w:hAnsi="Open Sans" w:cs="Open Sans"/>
          <w:color w:val="000000" w:themeColor="text1"/>
          <w:sz w:val="22"/>
          <w:szCs w:val="22"/>
        </w:rPr>
        <w:t xml:space="preserve">The research design will feature </w:t>
      </w:r>
      <w:r w:rsidR="004E0BBE">
        <w:rPr>
          <w:rFonts w:ascii="Open Sans" w:hAnsi="Open Sans" w:cs="Open Sans"/>
          <w:color w:val="000000" w:themeColor="text1"/>
          <w:sz w:val="22"/>
          <w:szCs w:val="22"/>
        </w:rPr>
        <w:t xml:space="preserve">two components: namely a </w:t>
      </w:r>
      <w:r w:rsidR="004E0BBE" w:rsidRPr="00742342">
        <w:rPr>
          <w:rFonts w:ascii="Open Sans" w:hAnsi="Open Sans" w:cs="Open Sans"/>
          <w:color w:val="000000" w:themeColor="text1"/>
          <w:sz w:val="22"/>
          <w:szCs w:val="22"/>
        </w:rPr>
        <w:t>theory-developing</w:t>
      </w:r>
      <w:r w:rsidR="004E0BBE">
        <w:rPr>
          <w:rFonts w:ascii="Open Sans" w:hAnsi="Open Sans" w:cs="Open Sans"/>
          <w:color w:val="000000" w:themeColor="text1"/>
          <w:sz w:val="22"/>
          <w:szCs w:val="22"/>
        </w:rPr>
        <w:t>- and a theory-testing</w:t>
      </w:r>
      <w:r w:rsidR="004E0BBE" w:rsidRPr="00742342">
        <w:rPr>
          <w:rFonts w:ascii="Open Sans" w:hAnsi="Open Sans" w:cs="Open Sans"/>
          <w:color w:val="000000" w:themeColor="text1"/>
          <w:sz w:val="22"/>
          <w:szCs w:val="22"/>
        </w:rPr>
        <w:t xml:space="preserve"> approach. The chosen case can function as a critical case in the development of theory on the influence of autonomy on intergovernmental organizations in dealing with violent non-state actors (Yin, 1984). The function of the case</w:t>
      </w:r>
      <w:r w:rsidR="004E0BBE">
        <w:rPr>
          <w:rFonts w:ascii="Open Sans" w:hAnsi="Open Sans" w:cs="Open Sans"/>
          <w:color w:val="000000" w:themeColor="text1"/>
          <w:sz w:val="22"/>
          <w:szCs w:val="22"/>
        </w:rPr>
        <w:t xml:space="preserve"> </w:t>
      </w:r>
      <w:r w:rsidR="004E0BBE" w:rsidRPr="00742342">
        <w:rPr>
          <w:rFonts w:ascii="Open Sans" w:hAnsi="Open Sans" w:cs="Open Sans"/>
          <w:color w:val="000000" w:themeColor="text1"/>
          <w:sz w:val="22"/>
          <w:szCs w:val="22"/>
        </w:rPr>
        <w:t xml:space="preserve">study is to find </w:t>
      </w:r>
      <w:r w:rsidR="004E0BBE">
        <w:rPr>
          <w:rFonts w:ascii="Open Sans" w:hAnsi="Open Sans" w:cs="Open Sans"/>
          <w:color w:val="000000" w:themeColor="text1"/>
          <w:sz w:val="22"/>
          <w:szCs w:val="22"/>
        </w:rPr>
        <w:t>the causal mechanisms that might support</w:t>
      </w:r>
      <w:r w:rsidR="004E0BBE" w:rsidRPr="00742342">
        <w:rPr>
          <w:rFonts w:ascii="Open Sans" w:hAnsi="Open Sans" w:cs="Open Sans"/>
          <w:color w:val="000000" w:themeColor="text1"/>
          <w:sz w:val="22"/>
          <w:szCs w:val="22"/>
        </w:rPr>
        <w:t xml:space="preserve"> my formulated expectations</w:t>
      </w:r>
      <w:r w:rsidR="004E0BBE">
        <w:rPr>
          <w:rFonts w:ascii="Open Sans" w:hAnsi="Open Sans" w:cs="Open Sans"/>
          <w:color w:val="000000" w:themeColor="text1"/>
          <w:sz w:val="22"/>
          <w:szCs w:val="22"/>
        </w:rPr>
        <w:t xml:space="preserve"> </w:t>
      </w:r>
      <w:r w:rsidR="004E0BBE" w:rsidRPr="00742342">
        <w:rPr>
          <w:rFonts w:ascii="Open Sans" w:hAnsi="Open Sans" w:cs="Open Sans"/>
          <w:color w:val="000000" w:themeColor="text1"/>
          <w:sz w:val="22"/>
          <w:szCs w:val="22"/>
        </w:rPr>
        <w:t>(</w:t>
      </w:r>
      <w:proofErr w:type="spellStart"/>
      <w:r w:rsidR="004E0BBE" w:rsidRPr="00742342">
        <w:rPr>
          <w:rFonts w:ascii="Open Sans" w:hAnsi="Open Sans" w:cs="Open Sans"/>
          <w:color w:val="000000" w:themeColor="text1"/>
          <w:sz w:val="22"/>
          <w:szCs w:val="22"/>
        </w:rPr>
        <w:t>Lijphart</w:t>
      </w:r>
      <w:proofErr w:type="spellEnd"/>
      <w:r w:rsidR="004E0BBE" w:rsidRPr="00742342">
        <w:rPr>
          <w:rFonts w:ascii="Open Sans" w:hAnsi="Open Sans" w:cs="Open Sans"/>
          <w:color w:val="000000" w:themeColor="text1"/>
          <w:sz w:val="22"/>
          <w:szCs w:val="22"/>
        </w:rPr>
        <w:t xml:space="preserve">, 1971). </w:t>
      </w:r>
    </w:p>
    <w:p w14:paraId="52B3674B" w14:textId="02E9EE12" w:rsidR="005A662B"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lastRenderedPageBreak/>
        <w:t xml:space="preserve">A single case analysis can also have certain properties that can possibly negatively impact the rigor of a research. As the selected hypotheses are tested against just one case, the generalizability of claims following the analysis might be weaker (Willis, 2021; Yin, 1984). This leaves conclusions made on the bases of single case studies less explanatory (Ibid, 2021). A single case analysis can however prove very useful, as it does possess explanatory power. The selected case is therefore of great importance. Important cases often reveal the most information due to their complexity and the great number of actors involved (Willis, 2021, p. 5). Many involved actors mean lots of interaction between those actors. Those interactions are comprised of mechanisms, that are of great interest to this research. </w:t>
      </w:r>
    </w:p>
    <w:p w14:paraId="2E9F8D12" w14:textId="77777777" w:rsidR="005A662B" w:rsidRPr="00742342" w:rsidRDefault="005A662B" w:rsidP="00AC21C6">
      <w:pPr>
        <w:spacing w:line="276" w:lineRule="auto"/>
        <w:jc w:val="both"/>
        <w:rPr>
          <w:rFonts w:ascii="Open Sans" w:hAnsi="Open Sans" w:cs="Open Sans"/>
          <w:color w:val="000000" w:themeColor="text1"/>
          <w:sz w:val="22"/>
          <w:szCs w:val="22"/>
        </w:rPr>
      </w:pPr>
    </w:p>
    <w:p w14:paraId="39898BF8" w14:textId="5E4BCE49" w:rsidR="006F2AEF" w:rsidRPr="00742342" w:rsidRDefault="005A662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Although this research features a single case design, I argue that the selected case carries a form of representativeness. I will not argue that findings resulting from this case will necessarily also be valid in other cases, but the case carries resemblance with other interactions between intergovernmental organizations and violent non-state actors</w:t>
      </w:r>
      <w:r w:rsidRPr="00742342">
        <w:rPr>
          <w:rStyle w:val="FootnoteReference"/>
          <w:rFonts w:ascii="Open Sans" w:hAnsi="Open Sans" w:cs="Open Sans"/>
          <w:color w:val="000000" w:themeColor="text1"/>
          <w:sz w:val="22"/>
          <w:szCs w:val="22"/>
        </w:rPr>
        <w:footnoteReference w:id="11"/>
      </w:r>
      <w:r w:rsidRPr="00742342">
        <w:rPr>
          <w:rFonts w:ascii="Open Sans" w:hAnsi="Open Sans" w:cs="Open Sans"/>
          <w:color w:val="000000" w:themeColor="text1"/>
          <w:sz w:val="22"/>
          <w:szCs w:val="22"/>
        </w:rPr>
        <w:t xml:space="preserve">. The variability is an important aspect of case selection. I believe that this specific case exhibits variation in the variables of interest. This allows for an in-depth analysis of their impact on intergovernmental autonomy. In de conclusion of this thesis, I will further reflect on the implications the case selection has had on this specific research. </w:t>
      </w:r>
    </w:p>
    <w:p w14:paraId="1AA02026" w14:textId="77777777" w:rsidR="00BD25A3" w:rsidRPr="00742342" w:rsidRDefault="00BD25A3" w:rsidP="00AC21C6">
      <w:pPr>
        <w:pStyle w:val="Heading2"/>
        <w:spacing w:line="276" w:lineRule="auto"/>
        <w:rPr>
          <w:rFonts w:ascii="Open Sans" w:hAnsi="Open Sans" w:cs="Open Sans"/>
          <w:color w:val="000000" w:themeColor="text1"/>
          <w:sz w:val="24"/>
          <w:szCs w:val="24"/>
        </w:rPr>
      </w:pPr>
      <w:bookmarkStart w:id="69" w:name="_Toc136372397"/>
    </w:p>
    <w:p w14:paraId="15A337E0" w14:textId="2487A419" w:rsidR="00BD25A3" w:rsidRPr="00742342" w:rsidRDefault="00C37FDC" w:rsidP="003E2BDE">
      <w:pPr>
        <w:pStyle w:val="Heading2"/>
        <w:numPr>
          <w:ilvl w:val="1"/>
          <w:numId w:val="6"/>
        </w:numPr>
        <w:spacing w:line="276" w:lineRule="auto"/>
        <w:rPr>
          <w:rFonts w:ascii="Open Sans" w:hAnsi="Open Sans" w:cs="Open Sans"/>
          <w:color w:val="000000" w:themeColor="text1"/>
          <w:sz w:val="24"/>
          <w:szCs w:val="24"/>
        </w:rPr>
      </w:pPr>
      <w:bookmarkStart w:id="70" w:name="_Toc136706595"/>
      <w:bookmarkStart w:id="71" w:name="_Toc138247503"/>
      <w:r w:rsidRPr="00742342">
        <w:rPr>
          <w:rFonts w:ascii="Open Sans" w:hAnsi="Open Sans" w:cs="Open Sans"/>
          <w:color w:val="000000" w:themeColor="text1"/>
          <w:sz w:val="24"/>
          <w:szCs w:val="24"/>
        </w:rPr>
        <w:t>Case selection</w:t>
      </w:r>
      <w:bookmarkEnd w:id="70"/>
      <w:bookmarkEnd w:id="71"/>
    </w:p>
    <w:bookmarkEnd w:id="69"/>
    <w:p w14:paraId="3B25CFD7" w14:textId="4A3B205E" w:rsidR="005A662B"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As discussed in the introduction of this thesis, I have chosen the case of the presence of the United Nations in Yemen. This case is relevant to the research question, as it features the presence of an intergovernmental organization and violent non-state actors. The intergovernmental organization of interest is the United Nations. The Houthi movement</w:t>
      </w:r>
      <w:r w:rsidRPr="00742342">
        <w:rPr>
          <w:rStyle w:val="FootnoteReference"/>
          <w:rFonts w:ascii="Open Sans" w:hAnsi="Open Sans" w:cs="Open Sans"/>
          <w:color w:val="000000" w:themeColor="text1"/>
          <w:sz w:val="22"/>
          <w:szCs w:val="22"/>
        </w:rPr>
        <w:footnoteReference w:id="12"/>
      </w:r>
      <w:r w:rsidRPr="00742342">
        <w:rPr>
          <w:rFonts w:ascii="Open Sans" w:hAnsi="Open Sans" w:cs="Open Sans"/>
          <w:color w:val="000000" w:themeColor="text1"/>
          <w:sz w:val="22"/>
          <w:szCs w:val="22"/>
        </w:rPr>
        <w:t xml:space="preserve"> represents the violent non-state actor in this research. As the Houthi movement has laid claim to a large part of Yemen, they have manifested themselves as a major actor in Yemeni governance. The United Nations has engaged with the Houthi’s to prevent the escalation of violence and aid those in need in what the World Food Programme refers to as ‘the worst humanitarian crisis in the world’ (World Food Programme, 2023). Therefore, there ha</w:t>
      </w:r>
      <w:r w:rsidR="0079311C">
        <w:rPr>
          <w:rFonts w:ascii="Open Sans" w:hAnsi="Open Sans" w:cs="Open Sans"/>
          <w:color w:val="000000" w:themeColor="text1"/>
          <w:sz w:val="22"/>
          <w:szCs w:val="22"/>
        </w:rPr>
        <w:t xml:space="preserve">ve been previous </w:t>
      </w:r>
      <w:r w:rsidRPr="00742342">
        <w:rPr>
          <w:rFonts w:ascii="Open Sans" w:hAnsi="Open Sans" w:cs="Open Sans"/>
          <w:color w:val="000000" w:themeColor="text1"/>
          <w:sz w:val="22"/>
          <w:szCs w:val="22"/>
        </w:rPr>
        <w:t xml:space="preserve">interaction between the IGO and VNSA in this specific case. The United Nations is not a unitary actor and features many subordinate </w:t>
      </w:r>
      <w:r w:rsidR="00AE7D40" w:rsidRPr="00742342">
        <w:rPr>
          <w:rFonts w:ascii="Open Sans" w:hAnsi="Open Sans" w:cs="Open Sans"/>
          <w:color w:val="000000" w:themeColor="text1"/>
          <w:sz w:val="22"/>
          <w:szCs w:val="22"/>
        </w:rPr>
        <w:t>institutions</w:t>
      </w:r>
      <w:r w:rsidRPr="00742342">
        <w:rPr>
          <w:rFonts w:ascii="Open Sans" w:hAnsi="Open Sans" w:cs="Open Sans"/>
          <w:color w:val="000000" w:themeColor="text1"/>
          <w:sz w:val="22"/>
          <w:szCs w:val="22"/>
        </w:rPr>
        <w:t xml:space="preserve">. </w:t>
      </w:r>
      <w:r w:rsidR="003D5AD0" w:rsidRPr="00742342">
        <w:rPr>
          <w:rFonts w:ascii="Open Sans" w:hAnsi="Open Sans" w:cs="Open Sans"/>
          <w:color w:val="000000" w:themeColor="text1"/>
          <w:sz w:val="22"/>
          <w:szCs w:val="22"/>
        </w:rPr>
        <w:t xml:space="preserve">In this research, I have chosen to focus on </w:t>
      </w:r>
      <w:r w:rsidRPr="00742342">
        <w:rPr>
          <w:rFonts w:ascii="Open Sans" w:hAnsi="Open Sans" w:cs="Open Sans"/>
          <w:color w:val="000000" w:themeColor="text1"/>
          <w:sz w:val="22"/>
          <w:szCs w:val="22"/>
        </w:rPr>
        <w:t>the Office of the Special Envoy of the Secretary-General for Yemen (OSESGY)</w:t>
      </w:r>
      <w:r w:rsidR="00874EEA" w:rsidRPr="00742342">
        <w:rPr>
          <w:rFonts w:ascii="Open Sans" w:hAnsi="Open Sans" w:cs="Open Sans"/>
          <w:color w:val="000000" w:themeColor="text1"/>
          <w:sz w:val="22"/>
          <w:szCs w:val="22"/>
        </w:rPr>
        <w:t xml:space="preserve">. The OSESGY represents the interests of the Secretary-General in </w:t>
      </w:r>
      <w:r w:rsidR="009B03D9" w:rsidRPr="00742342">
        <w:rPr>
          <w:rFonts w:ascii="Open Sans" w:hAnsi="Open Sans" w:cs="Open Sans"/>
          <w:color w:val="000000" w:themeColor="text1"/>
          <w:sz w:val="22"/>
          <w:szCs w:val="22"/>
        </w:rPr>
        <w:t>Yemen and</w:t>
      </w:r>
      <w:r w:rsidR="008465BE" w:rsidRPr="00742342">
        <w:rPr>
          <w:rFonts w:ascii="Open Sans" w:hAnsi="Open Sans" w:cs="Open Sans"/>
          <w:color w:val="000000" w:themeColor="text1"/>
          <w:sz w:val="22"/>
          <w:szCs w:val="22"/>
        </w:rPr>
        <w:t xml:space="preserve"> was established to aid in reaching a peaceful solution to the Yemeni crisi</w:t>
      </w:r>
      <w:r w:rsidR="009B03D9" w:rsidRPr="00742342">
        <w:rPr>
          <w:rFonts w:ascii="Open Sans" w:hAnsi="Open Sans" w:cs="Open Sans"/>
          <w:color w:val="000000" w:themeColor="text1"/>
          <w:sz w:val="22"/>
          <w:szCs w:val="22"/>
        </w:rPr>
        <w:t xml:space="preserve">s. The OSESGY often collaborates with other UN institutions that are </w:t>
      </w:r>
      <w:r w:rsidR="009B03D9" w:rsidRPr="00742342">
        <w:rPr>
          <w:rFonts w:ascii="Open Sans" w:hAnsi="Open Sans" w:cs="Open Sans"/>
          <w:color w:val="000000" w:themeColor="text1"/>
          <w:sz w:val="22"/>
          <w:szCs w:val="22"/>
        </w:rPr>
        <w:lastRenderedPageBreak/>
        <w:t xml:space="preserve">present in Yemen, like the </w:t>
      </w:r>
      <w:r w:rsidR="003951C7" w:rsidRPr="00742342">
        <w:rPr>
          <w:rFonts w:ascii="Open Sans" w:hAnsi="Open Sans" w:cs="Open Sans"/>
          <w:color w:val="000000" w:themeColor="text1"/>
          <w:sz w:val="22"/>
          <w:szCs w:val="22"/>
        </w:rPr>
        <w:t xml:space="preserve">United Nations High Commissioner for Refugees (UNHCR). The OSESGY plays a special role in </w:t>
      </w:r>
      <w:r w:rsidR="002A3209" w:rsidRPr="00742342">
        <w:rPr>
          <w:rFonts w:ascii="Open Sans" w:hAnsi="Open Sans" w:cs="Open Sans"/>
          <w:color w:val="000000" w:themeColor="text1"/>
          <w:sz w:val="22"/>
          <w:szCs w:val="22"/>
        </w:rPr>
        <w:t xml:space="preserve">the Yemeni case, as it is one of the few organizations actively engaged with other political non-state actors in the region, including the </w:t>
      </w:r>
      <w:r w:rsidR="005A662B" w:rsidRPr="00742342">
        <w:rPr>
          <w:rFonts w:ascii="Open Sans" w:hAnsi="Open Sans" w:cs="Open Sans"/>
          <w:color w:val="000000" w:themeColor="text1"/>
          <w:sz w:val="22"/>
          <w:szCs w:val="22"/>
        </w:rPr>
        <w:t xml:space="preserve">Houthi movement. </w:t>
      </w:r>
      <w:r w:rsidR="008A04F2" w:rsidRPr="00742342">
        <w:rPr>
          <w:rFonts w:ascii="Open Sans" w:hAnsi="Open Sans" w:cs="Open Sans"/>
          <w:color w:val="000000" w:themeColor="text1"/>
          <w:sz w:val="22"/>
          <w:szCs w:val="22"/>
        </w:rPr>
        <w:t>I will analyze the actions of the O</w:t>
      </w:r>
      <w:r w:rsidR="00657D59" w:rsidRPr="00742342">
        <w:rPr>
          <w:rFonts w:ascii="Open Sans" w:hAnsi="Open Sans" w:cs="Open Sans"/>
          <w:color w:val="000000" w:themeColor="text1"/>
          <w:sz w:val="22"/>
          <w:szCs w:val="22"/>
        </w:rPr>
        <w:t>SESGY</w:t>
      </w:r>
      <w:r w:rsidR="001A340E" w:rsidRPr="00742342">
        <w:rPr>
          <w:rFonts w:ascii="Open Sans" w:hAnsi="Open Sans" w:cs="Open Sans"/>
          <w:color w:val="000000" w:themeColor="text1"/>
          <w:sz w:val="22"/>
          <w:szCs w:val="22"/>
        </w:rPr>
        <w:t xml:space="preserve"> </w:t>
      </w:r>
      <w:r w:rsidR="008A572C" w:rsidRPr="00742342">
        <w:rPr>
          <w:rFonts w:ascii="Open Sans" w:hAnsi="Open Sans" w:cs="Open Sans"/>
          <w:color w:val="000000" w:themeColor="text1"/>
          <w:sz w:val="22"/>
          <w:szCs w:val="22"/>
        </w:rPr>
        <w:t xml:space="preserve">between 2014 and 2022. This timeframe is specifically chosen. 2014 is the year in which the Houthi movement </w:t>
      </w:r>
      <w:r w:rsidR="007A05F7" w:rsidRPr="00742342">
        <w:rPr>
          <w:rFonts w:ascii="Open Sans" w:hAnsi="Open Sans" w:cs="Open Sans"/>
          <w:color w:val="000000" w:themeColor="text1"/>
          <w:sz w:val="22"/>
          <w:szCs w:val="22"/>
        </w:rPr>
        <w:t>took control of the capital Sana’a, marking the start of the series of violent events commonly referred to as the Yemeni civil war. 2022 mark</w:t>
      </w:r>
      <w:r w:rsidR="00653FEE" w:rsidRPr="00742342">
        <w:rPr>
          <w:rFonts w:ascii="Open Sans" w:hAnsi="Open Sans" w:cs="Open Sans"/>
          <w:color w:val="000000" w:themeColor="text1"/>
          <w:sz w:val="22"/>
          <w:szCs w:val="22"/>
        </w:rPr>
        <w:t xml:space="preserve">s the end of this research. While the civil war is still ongoing, 2022 marked the end of the UN brokered truce between the </w:t>
      </w:r>
      <w:r w:rsidR="00C61666" w:rsidRPr="00742342">
        <w:rPr>
          <w:rFonts w:ascii="Open Sans" w:hAnsi="Open Sans" w:cs="Open Sans"/>
          <w:color w:val="000000" w:themeColor="text1"/>
          <w:sz w:val="22"/>
          <w:szCs w:val="22"/>
        </w:rPr>
        <w:t>Supreme Political Council</w:t>
      </w:r>
      <w:r w:rsidR="00B03011">
        <w:rPr>
          <w:rStyle w:val="FootnoteReference"/>
          <w:rFonts w:ascii="Open Sans" w:hAnsi="Open Sans" w:cs="Open Sans"/>
          <w:color w:val="000000" w:themeColor="text1"/>
          <w:sz w:val="22"/>
          <w:szCs w:val="22"/>
        </w:rPr>
        <w:footnoteReference w:id="13"/>
      </w:r>
      <w:r w:rsidR="00C61666" w:rsidRPr="00742342">
        <w:rPr>
          <w:rFonts w:ascii="Open Sans" w:hAnsi="Open Sans" w:cs="Open Sans"/>
          <w:color w:val="000000" w:themeColor="text1"/>
          <w:sz w:val="22"/>
          <w:szCs w:val="22"/>
        </w:rPr>
        <w:t xml:space="preserve"> of the Houthi movement</w:t>
      </w:r>
      <w:r w:rsidR="00653FEE" w:rsidRPr="00742342">
        <w:rPr>
          <w:rFonts w:ascii="Open Sans" w:hAnsi="Open Sans" w:cs="Open Sans"/>
          <w:color w:val="000000" w:themeColor="text1"/>
          <w:sz w:val="22"/>
          <w:szCs w:val="22"/>
        </w:rPr>
        <w:t xml:space="preserve"> and the Yemeni government, which is a significant turning point in the civil war. Events in 2023 are not included in this thesis, as </w:t>
      </w:r>
      <w:r w:rsidR="00AF4AD0" w:rsidRPr="00742342">
        <w:rPr>
          <w:rFonts w:ascii="Open Sans" w:hAnsi="Open Sans" w:cs="Open Sans"/>
          <w:color w:val="000000" w:themeColor="text1"/>
          <w:sz w:val="22"/>
          <w:szCs w:val="22"/>
        </w:rPr>
        <w:t xml:space="preserve">the access to documents from 2023 is sparse. </w:t>
      </w:r>
    </w:p>
    <w:p w14:paraId="524A79EE"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0E347D59" w14:textId="367AD2B3" w:rsidR="006F2AEF" w:rsidRPr="00742342" w:rsidRDefault="006F2AEF" w:rsidP="003E2BDE">
      <w:pPr>
        <w:pStyle w:val="Heading2"/>
        <w:numPr>
          <w:ilvl w:val="1"/>
          <w:numId w:val="6"/>
        </w:numPr>
        <w:spacing w:line="276" w:lineRule="auto"/>
        <w:rPr>
          <w:rFonts w:ascii="Open Sans" w:hAnsi="Open Sans" w:cs="Open Sans"/>
          <w:color w:val="000000" w:themeColor="text1"/>
          <w:sz w:val="24"/>
          <w:szCs w:val="24"/>
        </w:rPr>
      </w:pPr>
      <w:bookmarkStart w:id="72" w:name="_Toc136372398"/>
      <w:bookmarkStart w:id="73" w:name="_Toc136706596"/>
      <w:bookmarkStart w:id="74" w:name="_Toc138247504"/>
      <w:r w:rsidRPr="00742342">
        <w:rPr>
          <w:rFonts w:ascii="Open Sans" w:hAnsi="Open Sans" w:cs="Open Sans"/>
          <w:color w:val="000000" w:themeColor="text1"/>
          <w:sz w:val="24"/>
          <w:szCs w:val="24"/>
        </w:rPr>
        <w:t>Process tracing in theory</w:t>
      </w:r>
      <w:bookmarkEnd w:id="72"/>
      <w:bookmarkEnd w:id="73"/>
      <w:bookmarkEnd w:id="74"/>
    </w:p>
    <w:p w14:paraId="343D817D" w14:textId="77777777" w:rsidR="006740C1"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For the purposes of this research, I have chosen to utilize the method of process tracing. Process tracing is a qualitative analysis methodology (</w:t>
      </w:r>
      <w:proofErr w:type="spellStart"/>
      <w:r w:rsidRPr="00742342">
        <w:rPr>
          <w:rFonts w:ascii="Open Sans" w:hAnsi="Open Sans" w:cs="Open Sans"/>
          <w:color w:val="000000" w:themeColor="text1"/>
          <w:sz w:val="22"/>
          <w:szCs w:val="22"/>
        </w:rPr>
        <w:t>Simister</w:t>
      </w:r>
      <w:proofErr w:type="spellEnd"/>
      <w:r w:rsidRPr="00742342">
        <w:rPr>
          <w:rFonts w:ascii="Open Sans" w:hAnsi="Open Sans" w:cs="Open Sans"/>
          <w:color w:val="000000" w:themeColor="text1"/>
          <w:sz w:val="22"/>
          <w:szCs w:val="22"/>
        </w:rPr>
        <w:t xml:space="preserve"> &amp; Scholz, 2017), suitable for </w:t>
      </w:r>
      <w:r w:rsidR="007A3D9A" w:rsidRPr="00742342">
        <w:rPr>
          <w:rFonts w:ascii="Open Sans" w:hAnsi="Open Sans" w:cs="Open Sans"/>
          <w:color w:val="000000" w:themeColor="text1"/>
          <w:sz w:val="22"/>
          <w:szCs w:val="22"/>
        </w:rPr>
        <w:t xml:space="preserve">(a) reconstructing a policy process and (b) indicating the empirical plausibility of </w:t>
      </w:r>
      <w:r w:rsidRPr="00742342">
        <w:rPr>
          <w:rFonts w:ascii="Open Sans" w:hAnsi="Open Sans" w:cs="Open Sans"/>
          <w:color w:val="000000" w:themeColor="text1"/>
          <w:sz w:val="22"/>
          <w:szCs w:val="22"/>
        </w:rPr>
        <w:t>theoretical explanations of events, both historical and continuing (Ibid, 2017). The methodology has its foundations in social sciences but can be applied in natural sciences as well (</w:t>
      </w:r>
      <w:proofErr w:type="spellStart"/>
      <w:r w:rsidRPr="00742342">
        <w:rPr>
          <w:rFonts w:ascii="Open Sans" w:hAnsi="Open Sans" w:cs="Open Sans"/>
          <w:color w:val="000000" w:themeColor="text1"/>
          <w:sz w:val="22"/>
          <w:szCs w:val="22"/>
        </w:rPr>
        <w:t>Ulriksen</w:t>
      </w:r>
      <w:proofErr w:type="spellEnd"/>
      <w:r w:rsidRPr="00742342">
        <w:rPr>
          <w:rFonts w:ascii="Open Sans" w:hAnsi="Open Sans" w:cs="Open Sans"/>
          <w:color w:val="000000" w:themeColor="text1"/>
          <w:sz w:val="22"/>
          <w:szCs w:val="22"/>
        </w:rPr>
        <w:t xml:space="preserve"> &amp; </w:t>
      </w:r>
      <w:proofErr w:type="spellStart"/>
      <w:r w:rsidRPr="00742342">
        <w:rPr>
          <w:rFonts w:ascii="Open Sans" w:hAnsi="Open Sans" w:cs="Open Sans"/>
          <w:color w:val="000000" w:themeColor="text1"/>
          <w:sz w:val="22"/>
          <w:szCs w:val="22"/>
        </w:rPr>
        <w:t>Dadalauri</w:t>
      </w:r>
      <w:proofErr w:type="spellEnd"/>
      <w:r w:rsidRPr="00742342">
        <w:rPr>
          <w:rFonts w:ascii="Open Sans" w:hAnsi="Open Sans" w:cs="Open Sans"/>
          <w:color w:val="000000" w:themeColor="text1"/>
          <w:sz w:val="22"/>
          <w:szCs w:val="22"/>
        </w:rPr>
        <w:t xml:space="preserve">, 2016). Process tracing is prevalent in many different possible research designs, but has its foundations in case </w:t>
      </w:r>
      <w:r w:rsidR="000E1942">
        <w:rPr>
          <w:rFonts w:ascii="Open Sans" w:hAnsi="Open Sans" w:cs="Open Sans"/>
          <w:color w:val="000000" w:themeColor="text1"/>
          <w:sz w:val="22"/>
          <w:szCs w:val="22"/>
        </w:rPr>
        <w:t>study research</w:t>
      </w:r>
      <w:r w:rsidRPr="00742342">
        <w:rPr>
          <w:rFonts w:ascii="Open Sans" w:hAnsi="Open Sans" w:cs="Open Sans"/>
          <w:color w:val="000000" w:themeColor="text1"/>
          <w:sz w:val="22"/>
          <w:szCs w:val="22"/>
        </w:rPr>
        <w:t>, which is applied in this research. It can be applied in both theory-testing as theory-developing designs (</w:t>
      </w:r>
      <w:proofErr w:type="spellStart"/>
      <w:r w:rsidRPr="00742342">
        <w:rPr>
          <w:rFonts w:ascii="Open Sans" w:hAnsi="Open Sans" w:cs="Open Sans"/>
          <w:color w:val="000000" w:themeColor="text1"/>
          <w:sz w:val="22"/>
          <w:szCs w:val="22"/>
        </w:rPr>
        <w:t>Simister</w:t>
      </w:r>
      <w:proofErr w:type="spellEnd"/>
      <w:r w:rsidRPr="00742342">
        <w:rPr>
          <w:rFonts w:ascii="Open Sans" w:hAnsi="Open Sans" w:cs="Open Sans"/>
          <w:color w:val="000000" w:themeColor="text1"/>
          <w:sz w:val="22"/>
          <w:szCs w:val="22"/>
        </w:rPr>
        <w:t xml:space="preserve"> &amp; Scholz, 2017). </w:t>
      </w:r>
    </w:p>
    <w:p w14:paraId="505A5CC0" w14:textId="77777777" w:rsidR="006740C1" w:rsidRDefault="006740C1" w:rsidP="00AC21C6">
      <w:pPr>
        <w:spacing w:line="276" w:lineRule="auto"/>
        <w:jc w:val="both"/>
        <w:rPr>
          <w:rFonts w:ascii="Open Sans" w:hAnsi="Open Sans" w:cs="Open Sans"/>
          <w:color w:val="000000" w:themeColor="text1"/>
          <w:sz w:val="22"/>
          <w:szCs w:val="22"/>
        </w:rPr>
      </w:pPr>
    </w:p>
    <w:p w14:paraId="0EB989AA" w14:textId="369D6C8E"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aim of the methodology is to uncover the mechanisms that lead to inference (</w:t>
      </w:r>
      <w:proofErr w:type="spellStart"/>
      <w:r w:rsidRPr="00742342">
        <w:rPr>
          <w:rFonts w:ascii="Open Sans" w:hAnsi="Open Sans" w:cs="Open Sans"/>
          <w:color w:val="000000" w:themeColor="text1"/>
          <w:sz w:val="22"/>
          <w:szCs w:val="22"/>
        </w:rPr>
        <w:t>Ulriksen</w:t>
      </w:r>
      <w:proofErr w:type="spellEnd"/>
      <w:r w:rsidRPr="00742342">
        <w:rPr>
          <w:rFonts w:ascii="Open Sans" w:hAnsi="Open Sans" w:cs="Open Sans"/>
          <w:color w:val="000000" w:themeColor="text1"/>
          <w:sz w:val="22"/>
          <w:szCs w:val="22"/>
        </w:rPr>
        <w:t xml:space="preserve"> &amp; </w:t>
      </w:r>
      <w:proofErr w:type="spellStart"/>
      <w:r w:rsidRPr="00742342">
        <w:rPr>
          <w:rFonts w:ascii="Open Sans" w:hAnsi="Open Sans" w:cs="Open Sans"/>
          <w:color w:val="000000" w:themeColor="text1"/>
          <w:sz w:val="22"/>
          <w:szCs w:val="22"/>
        </w:rPr>
        <w:t>Dadalauri</w:t>
      </w:r>
      <w:proofErr w:type="spellEnd"/>
      <w:r w:rsidRPr="00742342">
        <w:rPr>
          <w:rFonts w:ascii="Open Sans" w:hAnsi="Open Sans" w:cs="Open Sans"/>
          <w:color w:val="000000" w:themeColor="text1"/>
          <w:sz w:val="22"/>
          <w:szCs w:val="22"/>
        </w:rPr>
        <w:t xml:space="preserve">, 2016). In qualitative research, this means that by using process tracing one can uncover how certain actions lead to their respective outcomes (Klotz &amp; Prakash, 2008). The purpose of process tracing is opening the ‘black box’ of causality (Ibid, 2008). By analyzing how causal mechanisms influence a particular outcome, a researcher can make assumptions about those mechanisms. Uncovering these mechanisms lead to a certain outcome, where one can find factors that have contributed to said outcome, even if those factors were not initially expected. This makes process tracing especially valuable in identifying possible confounders; variables that influence the result that were not initially predictable based on literature analysis (Beach &amp; Pedersen, 2013). This aspect of process tracing makes it valuable for theory developing, alongside with its theory-testing abilities. </w:t>
      </w:r>
    </w:p>
    <w:p w14:paraId="7EE2F96C"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6487AD0D" w14:textId="2ED17BAF"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 addition to the ability to uncover the ‘hidden’ causal mechanisms, process tracing adds to a deeper understanding of real-world phenomena (</w:t>
      </w:r>
      <w:proofErr w:type="spellStart"/>
      <w:r w:rsidRPr="00742342">
        <w:rPr>
          <w:rFonts w:ascii="Open Sans" w:hAnsi="Open Sans" w:cs="Open Sans"/>
          <w:color w:val="000000" w:themeColor="text1"/>
          <w:sz w:val="22"/>
          <w:szCs w:val="22"/>
        </w:rPr>
        <w:t>Ulriksen</w:t>
      </w:r>
      <w:proofErr w:type="spellEnd"/>
      <w:r w:rsidRPr="00742342">
        <w:rPr>
          <w:rFonts w:ascii="Open Sans" w:hAnsi="Open Sans" w:cs="Open Sans"/>
          <w:color w:val="000000" w:themeColor="text1"/>
          <w:sz w:val="22"/>
          <w:szCs w:val="22"/>
        </w:rPr>
        <w:t xml:space="preserve"> &amp; </w:t>
      </w:r>
      <w:proofErr w:type="spellStart"/>
      <w:r w:rsidRPr="00742342">
        <w:rPr>
          <w:rFonts w:ascii="Open Sans" w:hAnsi="Open Sans" w:cs="Open Sans"/>
          <w:color w:val="000000" w:themeColor="text1"/>
          <w:sz w:val="22"/>
          <w:szCs w:val="22"/>
        </w:rPr>
        <w:t>Dadalauri</w:t>
      </w:r>
      <w:proofErr w:type="spellEnd"/>
      <w:r w:rsidRPr="00742342">
        <w:rPr>
          <w:rFonts w:ascii="Open Sans" w:hAnsi="Open Sans" w:cs="Open Sans"/>
          <w:color w:val="000000" w:themeColor="text1"/>
          <w:sz w:val="22"/>
          <w:szCs w:val="22"/>
        </w:rPr>
        <w:t xml:space="preserve">, 2016). </w:t>
      </w:r>
      <w:r w:rsidRPr="00742342">
        <w:rPr>
          <w:rFonts w:ascii="Open Sans" w:hAnsi="Open Sans" w:cs="Open Sans"/>
          <w:color w:val="000000" w:themeColor="text1"/>
          <w:sz w:val="22"/>
          <w:szCs w:val="22"/>
        </w:rPr>
        <w:lastRenderedPageBreak/>
        <w:t xml:space="preserve">Instead of identifying if an identified item occurs in the selected case, process tracing allows for the exploration of the nuances of a certain case (Ibid, 2016). This makes process tracing especially suitable for complex cases, where motives and interests of actors are not always easily identifiable. By finding causal inferences beyond co-variation, this methodology is able to identify the causal mechanisms that lead to inference. For </w:t>
      </w:r>
      <w:r w:rsidR="00E07952">
        <w:rPr>
          <w:rFonts w:ascii="Open Sans" w:hAnsi="Open Sans" w:cs="Open Sans"/>
          <w:color w:val="000000" w:themeColor="text1"/>
          <w:sz w:val="22"/>
          <w:szCs w:val="22"/>
        </w:rPr>
        <w:t>this</w:t>
      </w:r>
      <w:r w:rsidRPr="00742342">
        <w:rPr>
          <w:rFonts w:ascii="Open Sans" w:hAnsi="Open Sans" w:cs="Open Sans"/>
          <w:color w:val="000000" w:themeColor="text1"/>
          <w:sz w:val="22"/>
          <w:szCs w:val="22"/>
        </w:rPr>
        <w:t xml:space="preserve"> research, this means that via process tracing I aim to investigate what conditions lead to successful interaction between intergovernmental organizations and violent non-state actors, and in what way autonomy plays a role in </w:t>
      </w:r>
      <w:r w:rsidR="006740C1" w:rsidRPr="00742342">
        <w:rPr>
          <w:rFonts w:ascii="Open Sans" w:hAnsi="Open Sans" w:cs="Open Sans"/>
          <w:color w:val="000000" w:themeColor="text1"/>
          <w:sz w:val="22"/>
          <w:szCs w:val="22"/>
        </w:rPr>
        <w:t>these interactions</w:t>
      </w:r>
      <w:r w:rsidRPr="00742342">
        <w:rPr>
          <w:rFonts w:ascii="Open Sans" w:hAnsi="Open Sans" w:cs="Open Sans"/>
          <w:color w:val="000000" w:themeColor="text1"/>
          <w:sz w:val="22"/>
          <w:szCs w:val="22"/>
        </w:rPr>
        <w:t>. The focus of the analysis is on the processes that contribute to the outcome, rather than just the outcome (</w:t>
      </w:r>
      <w:proofErr w:type="spellStart"/>
      <w:r w:rsidRPr="00742342">
        <w:rPr>
          <w:rFonts w:ascii="Open Sans" w:hAnsi="Open Sans" w:cs="Open Sans"/>
          <w:color w:val="000000" w:themeColor="text1"/>
          <w:sz w:val="22"/>
          <w:szCs w:val="22"/>
        </w:rPr>
        <w:t>Ulriksen</w:t>
      </w:r>
      <w:proofErr w:type="spellEnd"/>
      <w:r w:rsidRPr="00742342">
        <w:rPr>
          <w:rFonts w:ascii="Open Sans" w:hAnsi="Open Sans" w:cs="Open Sans"/>
          <w:color w:val="000000" w:themeColor="text1"/>
          <w:sz w:val="22"/>
          <w:szCs w:val="22"/>
        </w:rPr>
        <w:t xml:space="preserve"> &amp; </w:t>
      </w:r>
      <w:proofErr w:type="spellStart"/>
      <w:r w:rsidRPr="00742342">
        <w:rPr>
          <w:rFonts w:ascii="Open Sans" w:hAnsi="Open Sans" w:cs="Open Sans"/>
          <w:color w:val="000000" w:themeColor="text1"/>
          <w:sz w:val="22"/>
          <w:szCs w:val="22"/>
        </w:rPr>
        <w:t>Dadalauri</w:t>
      </w:r>
      <w:proofErr w:type="spellEnd"/>
      <w:r w:rsidRPr="00742342">
        <w:rPr>
          <w:rFonts w:ascii="Open Sans" w:hAnsi="Open Sans" w:cs="Open Sans"/>
          <w:color w:val="000000" w:themeColor="text1"/>
          <w:sz w:val="22"/>
          <w:szCs w:val="22"/>
        </w:rPr>
        <w:t>, 2016).</w:t>
      </w:r>
    </w:p>
    <w:p w14:paraId="4406BFA3"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51F2A9FA" w14:textId="77777777"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For the purposes of this research, process tracing will be used to develop an explanation about the systematic mechanisms that lead to increased autonomy for intergovernmental organizations (Beach &amp; Pedersen, 2013). These mechanisms can be found in the historical outcome of an event (Ibid, 2013), in this case the operations of the United Nations in the Yemeni civil war. The focus of the process tracing analysis is on explaining the events and its mechanisms, with the underlying purpose of developing theory about said mechanisms. </w:t>
      </w:r>
    </w:p>
    <w:p w14:paraId="656FCCE3"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0D13FDFB" w14:textId="3AF452AF" w:rsidR="006F2AEF" w:rsidRPr="00742342" w:rsidRDefault="006F2AEF" w:rsidP="003E2BDE">
      <w:pPr>
        <w:pStyle w:val="Heading2"/>
        <w:numPr>
          <w:ilvl w:val="1"/>
          <w:numId w:val="6"/>
        </w:numPr>
        <w:spacing w:line="276" w:lineRule="auto"/>
        <w:rPr>
          <w:rFonts w:ascii="Open Sans" w:hAnsi="Open Sans" w:cs="Open Sans"/>
          <w:color w:val="000000" w:themeColor="text1"/>
          <w:sz w:val="24"/>
          <w:szCs w:val="24"/>
        </w:rPr>
      </w:pPr>
      <w:bookmarkStart w:id="75" w:name="_Toc136372399"/>
      <w:bookmarkStart w:id="76" w:name="_Toc136706597"/>
      <w:bookmarkStart w:id="77" w:name="_Toc138247505"/>
      <w:r w:rsidRPr="00742342">
        <w:rPr>
          <w:rFonts w:ascii="Open Sans" w:hAnsi="Open Sans" w:cs="Open Sans"/>
          <w:color w:val="000000" w:themeColor="text1"/>
          <w:sz w:val="24"/>
          <w:szCs w:val="24"/>
        </w:rPr>
        <w:t>Process tracing in practice</w:t>
      </w:r>
      <w:bookmarkEnd w:id="75"/>
      <w:bookmarkEnd w:id="76"/>
      <w:bookmarkEnd w:id="77"/>
    </w:p>
    <w:p w14:paraId="53032DAC" w14:textId="7F48F16D" w:rsidR="006F2AEF" w:rsidRPr="00742342" w:rsidRDefault="006F2AEF" w:rsidP="00AC21C6">
      <w:pPr>
        <w:spacing w:line="276" w:lineRule="auto"/>
        <w:jc w:val="both"/>
        <w:rPr>
          <w:rFonts w:ascii="Open Sans" w:hAnsi="Open Sans" w:cs="Open Sans"/>
          <w:color w:val="000000" w:themeColor="text1"/>
          <w:sz w:val="22"/>
          <w:szCs w:val="22"/>
        </w:rPr>
      </w:pPr>
      <w:proofErr w:type="spellStart"/>
      <w:r w:rsidRPr="00742342">
        <w:rPr>
          <w:rFonts w:ascii="Open Sans" w:hAnsi="Open Sans" w:cs="Open Sans"/>
          <w:color w:val="000000" w:themeColor="text1"/>
          <w:sz w:val="22"/>
          <w:szCs w:val="22"/>
        </w:rPr>
        <w:t>Ulriksen</w:t>
      </w:r>
      <w:proofErr w:type="spellEnd"/>
      <w:r w:rsidRPr="00742342">
        <w:rPr>
          <w:rFonts w:ascii="Open Sans" w:hAnsi="Open Sans" w:cs="Open Sans"/>
          <w:color w:val="000000" w:themeColor="text1"/>
          <w:sz w:val="22"/>
          <w:szCs w:val="22"/>
        </w:rPr>
        <w:t xml:space="preserve"> and </w:t>
      </w:r>
      <w:proofErr w:type="spellStart"/>
      <w:r w:rsidRPr="00742342">
        <w:rPr>
          <w:rFonts w:ascii="Open Sans" w:hAnsi="Open Sans" w:cs="Open Sans"/>
          <w:color w:val="000000" w:themeColor="text1"/>
          <w:sz w:val="22"/>
          <w:szCs w:val="22"/>
        </w:rPr>
        <w:t>Dadalauri</w:t>
      </w:r>
      <w:proofErr w:type="spellEnd"/>
      <w:r w:rsidRPr="00742342">
        <w:rPr>
          <w:rFonts w:ascii="Open Sans" w:hAnsi="Open Sans" w:cs="Open Sans"/>
          <w:color w:val="000000" w:themeColor="text1"/>
          <w:sz w:val="22"/>
          <w:szCs w:val="22"/>
        </w:rPr>
        <w:t xml:space="preserve"> argue that process tracing functions to ‘uncover and evaluate theoretically specified causal mechanisms that link variables in a comprehensive and temporal explanation of interesting societal phenomena’ (2016, p.3). The causal mechanisms in this case are the influence of the </w:t>
      </w:r>
      <w:r w:rsidR="00B80D16">
        <w:rPr>
          <w:rFonts w:ascii="Open Sans" w:hAnsi="Open Sans" w:cs="Open Sans"/>
          <w:color w:val="000000" w:themeColor="text1"/>
          <w:sz w:val="22"/>
          <w:szCs w:val="22"/>
        </w:rPr>
        <w:t>depoliticization</w:t>
      </w:r>
      <w:r w:rsidRPr="00742342">
        <w:rPr>
          <w:rFonts w:ascii="Open Sans" w:hAnsi="Open Sans" w:cs="Open Sans"/>
          <w:color w:val="000000" w:themeColor="text1"/>
          <w:sz w:val="22"/>
          <w:szCs w:val="22"/>
        </w:rPr>
        <w:t xml:space="preserve"> of IGOs, the presence of time pressure and the perceived increased credibility of IGOs, and how they impact the autonomy of an intergovernmental organization. To make claims about the contribution of these dimensions to the concept of IGO autonomy, and the presumed increase in effectivity and efficiency when dealing with violent non-state actors, it must be clear under what conditions these dimensions account for the historical outcome of the case (</w:t>
      </w:r>
      <w:proofErr w:type="spellStart"/>
      <w:r w:rsidRPr="00742342">
        <w:rPr>
          <w:rFonts w:ascii="Open Sans" w:hAnsi="Open Sans" w:cs="Open Sans"/>
          <w:color w:val="000000" w:themeColor="text1"/>
          <w:sz w:val="22"/>
          <w:szCs w:val="22"/>
        </w:rPr>
        <w:t>Ulriksen</w:t>
      </w:r>
      <w:proofErr w:type="spellEnd"/>
      <w:r w:rsidRPr="00742342">
        <w:rPr>
          <w:rFonts w:ascii="Open Sans" w:hAnsi="Open Sans" w:cs="Open Sans"/>
          <w:color w:val="000000" w:themeColor="text1"/>
          <w:sz w:val="22"/>
          <w:szCs w:val="22"/>
        </w:rPr>
        <w:t xml:space="preserve"> &amp; </w:t>
      </w:r>
      <w:proofErr w:type="spellStart"/>
      <w:r w:rsidRPr="00742342">
        <w:rPr>
          <w:rFonts w:ascii="Open Sans" w:hAnsi="Open Sans" w:cs="Open Sans"/>
          <w:color w:val="000000" w:themeColor="text1"/>
          <w:sz w:val="22"/>
          <w:szCs w:val="22"/>
        </w:rPr>
        <w:t>Dadalauri</w:t>
      </w:r>
      <w:proofErr w:type="spellEnd"/>
      <w:r w:rsidRPr="00742342">
        <w:rPr>
          <w:rFonts w:ascii="Open Sans" w:hAnsi="Open Sans" w:cs="Open Sans"/>
          <w:color w:val="000000" w:themeColor="text1"/>
          <w:sz w:val="22"/>
          <w:szCs w:val="22"/>
        </w:rPr>
        <w:t xml:space="preserve">, 2016). Although the three dimensions are partly interconnected, I theorize that there are not overlapping, nor mutually exclusive. This means that not all items of all dimensions </w:t>
      </w:r>
      <w:r w:rsidR="006E3579" w:rsidRPr="00742342">
        <w:rPr>
          <w:rFonts w:ascii="Open Sans" w:hAnsi="Open Sans" w:cs="Open Sans"/>
          <w:color w:val="000000" w:themeColor="text1"/>
          <w:sz w:val="22"/>
          <w:szCs w:val="22"/>
        </w:rPr>
        <w:t>must</w:t>
      </w:r>
      <w:r w:rsidRPr="00742342">
        <w:rPr>
          <w:rFonts w:ascii="Open Sans" w:hAnsi="Open Sans" w:cs="Open Sans"/>
          <w:color w:val="000000" w:themeColor="text1"/>
          <w:sz w:val="22"/>
          <w:szCs w:val="22"/>
        </w:rPr>
        <w:t xml:space="preserve"> be present in the analysis for it to be a valid analysis. The purpose of process tracing in the empirical analysis is to identify which items do contribute. </w:t>
      </w:r>
      <w:r w:rsidR="006E3579" w:rsidRPr="00742342">
        <w:rPr>
          <w:rFonts w:ascii="Open Sans" w:hAnsi="Open Sans" w:cs="Open Sans"/>
          <w:color w:val="000000" w:themeColor="text1"/>
          <w:sz w:val="22"/>
          <w:szCs w:val="22"/>
        </w:rPr>
        <w:t>These items</w:t>
      </w:r>
      <w:r w:rsidRPr="00742342">
        <w:rPr>
          <w:rFonts w:ascii="Open Sans" w:hAnsi="Open Sans" w:cs="Open Sans"/>
          <w:color w:val="000000" w:themeColor="text1"/>
          <w:sz w:val="22"/>
          <w:szCs w:val="22"/>
        </w:rPr>
        <w:t xml:space="preserve"> form the ‘building blocks’ for theoretical development (</w:t>
      </w:r>
      <w:proofErr w:type="spellStart"/>
      <w:r w:rsidRPr="00742342">
        <w:rPr>
          <w:rFonts w:ascii="Open Sans" w:hAnsi="Open Sans" w:cs="Open Sans"/>
          <w:color w:val="000000" w:themeColor="text1"/>
          <w:sz w:val="22"/>
          <w:szCs w:val="22"/>
        </w:rPr>
        <w:t>Ulriksen</w:t>
      </w:r>
      <w:proofErr w:type="spellEnd"/>
      <w:r w:rsidRPr="00742342">
        <w:rPr>
          <w:rFonts w:ascii="Open Sans" w:hAnsi="Open Sans" w:cs="Open Sans"/>
          <w:color w:val="000000" w:themeColor="text1"/>
          <w:sz w:val="22"/>
          <w:szCs w:val="22"/>
        </w:rPr>
        <w:t xml:space="preserve"> &amp; </w:t>
      </w:r>
      <w:proofErr w:type="spellStart"/>
      <w:r w:rsidRPr="00742342">
        <w:rPr>
          <w:rFonts w:ascii="Open Sans" w:hAnsi="Open Sans" w:cs="Open Sans"/>
          <w:color w:val="000000" w:themeColor="text1"/>
          <w:sz w:val="22"/>
          <w:szCs w:val="22"/>
        </w:rPr>
        <w:t>Dadalauri</w:t>
      </w:r>
      <w:proofErr w:type="spellEnd"/>
      <w:r w:rsidRPr="00742342">
        <w:rPr>
          <w:rFonts w:ascii="Open Sans" w:hAnsi="Open Sans" w:cs="Open Sans"/>
          <w:color w:val="000000" w:themeColor="text1"/>
          <w:sz w:val="22"/>
          <w:szCs w:val="22"/>
        </w:rPr>
        <w:t>, 2016).</w:t>
      </w:r>
    </w:p>
    <w:p w14:paraId="3BFBEEC2"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4B03690F" w14:textId="2CCCCE84"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empirical analysis of this chapter will start with an historical reconstruction of the Yemeni civil war and the influence the United Nations has had. This reconstruction will also feature the emergence of the Houthi movement, and their progression to </w:t>
      </w:r>
      <w:r w:rsidRPr="00742342">
        <w:rPr>
          <w:rFonts w:ascii="Open Sans" w:hAnsi="Open Sans" w:cs="Open Sans"/>
          <w:color w:val="000000" w:themeColor="text1"/>
          <w:sz w:val="22"/>
          <w:szCs w:val="22"/>
        </w:rPr>
        <w:lastRenderedPageBreak/>
        <w:t>governance</w:t>
      </w:r>
      <w:r w:rsidRPr="00742342">
        <w:rPr>
          <w:rStyle w:val="FootnoteReference"/>
          <w:rFonts w:ascii="Open Sans" w:hAnsi="Open Sans" w:cs="Open Sans"/>
          <w:color w:val="000000" w:themeColor="text1"/>
          <w:sz w:val="22"/>
          <w:szCs w:val="22"/>
        </w:rPr>
        <w:footnoteReference w:id="14"/>
      </w:r>
      <w:r w:rsidRPr="00742342">
        <w:rPr>
          <w:rFonts w:ascii="Open Sans" w:hAnsi="Open Sans" w:cs="Open Sans"/>
          <w:color w:val="000000" w:themeColor="text1"/>
          <w:sz w:val="22"/>
          <w:szCs w:val="22"/>
        </w:rPr>
        <w:t>. The main focus of th</w:t>
      </w:r>
      <w:r w:rsidR="00FD0C2A">
        <w:rPr>
          <w:rFonts w:ascii="Open Sans" w:hAnsi="Open Sans" w:cs="Open Sans"/>
          <w:color w:val="000000" w:themeColor="text1"/>
          <w:sz w:val="22"/>
          <w:szCs w:val="22"/>
        </w:rPr>
        <w:t>e</w:t>
      </w:r>
      <w:r w:rsidRPr="00742342">
        <w:rPr>
          <w:rFonts w:ascii="Open Sans" w:hAnsi="Open Sans" w:cs="Open Sans"/>
          <w:color w:val="000000" w:themeColor="text1"/>
          <w:sz w:val="22"/>
          <w:szCs w:val="22"/>
        </w:rPr>
        <w:t xml:space="preserve"> initial analysis will be on the identification of changes of interest (</w:t>
      </w:r>
      <w:proofErr w:type="spellStart"/>
      <w:r w:rsidRPr="00742342">
        <w:rPr>
          <w:rFonts w:ascii="Open Sans" w:hAnsi="Open Sans" w:cs="Open Sans"/>
          <w:color w:val="000000" w:themeColor="text1"/>
          <w:sz w:val="22"/>
          <w:szCs w:val="22"/>
        </w:rPr>
        <w:t>Simister</w:t>
      </w:r>
      <w:proofErr w:type="spellEnd"/>
      <w:r w:rsidRPr="00742342">
        <w:rPr>
          <w:rFonts w:ascii="Open Sans" w:hAnsi="Open Sans" w:cs="Open Sans"/>
          <w:color w:val="000000" w:themeColor="text1"/>
          <w:sz w:val="22"/>
          <w:szCs w:val="22"/>
        </w:rPr>
        <w:t xml:space="preserve"> &amp; Scholz, 2017). The goal of the</w:t>
      </w:r>
      <w:r w:rsidR="00FD0C2A">
        <w:rPr>
          <w:rFonts w:ascii="Open Sans" w:hAnsi="Open Sans" w:cs="Open Sans"/>
          <w:color w:val="000000" w:themeColor="text1"/>
          <w:sz w:val="22"/>
          <w:szCs w:val="22"/>
        </w:rPr>
        <w:t xml:space="preserve"> specific</w:t>
      </w:r>
      <w:r w:rsidRPr="00742342">
        <w:rPr>
          <w:rFonts w:ascii="Open Sans" w:hAnsi="Open Sans" w:cs="Open Sans"/>
          <w:color w:val="000000" w:themeColor="text1"/>
          <w:sz w:val="22"/>
          <w:szCs w:val="22"/>
        </w:rPr>
        <w:t xml:space="preserve"> focus on change is to establish if there are certain decisions that the IGO made that influenced how the historical event progressed. If these decisions are based on the predefined items, they could strengthen the hypothesis. The evidence for this change comes from the sources identified in the operationalization this thesis (</w:t>
      </w:r>
      <w:proofErr w:type="spellStart"/>
      <w:r w:rsidRPr="00742342">
        <w:rPr>
          <w:rFonts w:ascii="Open Sans" w:hAnsi="Open Sans" w:cs="Open Sans"/>
          <w:color w:val="000000" w:themeColor="text1"/>
          <w:sz w:val="22"/>
          <w:szCs w:val="22"/>
        </w:rPr>
        <w:t>Simister</w:t>
      </w:r>
      <w:proofErr w:type="spellEnd"/>
      <w:r w:rsidRPr="00742342">
        <w:rPr>
          <w:rFonts w:ascii="Open Sans" w:hAnsi="Open Sans" w:cs="Open Sans"/>
          <w:color w:val="000000" w:themeColor="text1"/>
          <w:sz w:val="22"/>
          <w:szCs w:val="22"/>
        </w:rPr>
        <w:t xml:space="preserve"> &amp; Scholz, 2017). After establishing that the interaction between the IGO and the VNSA altered, a researcher following process tracing must document the process that led to the change (</w:t>
      </w:r>
      <w:proofErr w:type="spellStart"/>
      <w:r w:rsidRPr="00742342">
        <w:rPr>
          <w:rFonts w:ascii="Open Sans" w:hAnsi="Open Sans" w:cs="Open Sans"/>
          <w:color w:val="000000" w:themeColor="text1"/>
          <w:sz w:val="22"/>
          <w:szCs w:val="22"/>
        </w:rPr>
        <w:t>Simister</w:t>
      </w:r>
      <w:proofErr w:type="spellEnd"/>
      <w:r w:rsidRPr="00742342">
        <w:rPr>
          <w:rFonts w:ascii="Open Sans" w:hAnsi="Open Sans" w:cs="Open Sans"/>
          <w:color w:val="000000" w:themeColor="text1"/>
          <w:sz w:val="22"/>
          <w:szCs w:val="22"/>
        </w:rPr>
        <w:t xml:space="preserve"> &amp; Scholz, 2017). The documentation of the process of change leads to a timeline, on which the following part of the analysis is based. It is important to also document the supposed mechanisms that led to the change (</w:t>
      </w:r>
      <w:proofErr w:type="spellStart"/>
      <w:r w:rsidRPr="00742342">
        <w:rPr>
          <w:rFonts w:ascii="Open Sans" w:hAnsi="Open Sans" w:cs="Open Sans"/>
          <w:color w:val="000000" w:themeColor="text1"/>
          <w:sz w:val="22"/>
          <w:szCs w:val="22"/>
        </w:rPr>
        <w:t>Simister</w:t>
      </w:r>
      <w:proofErr w:type="spellEnd"/>
      <w:r w:rsidRPr="00742342">
        <w:rPr>
          <w:rFonts w:ascii="Open Sans" w:hAnsi="Open Sans" w:cs="Open Sans"/>
          <w:color w:val="000000" w:themeColor="text1"/>
          <w:sz w:val="22"/>
          <w:szCs w:val="22"/>
        </w:rPr>
        <w:t xml:space="preserve"> &amp; Scholz, 2017). This should not only include macro-, but, if possible, also micro-level analysis. Following the timeline of the processes of change, one must establish alternative causal explanations (</w:t>
      </w:r>
      <w:proofErr w:type="spellStart"/>
      <w:r w:rsidRPr="00742342">
        <w:rPr>
          <w:rFonts w:ascii="Open Sans" w:hAnsi="Open Sans" w:cs="Open Sans"/>
          <w:color w:val="000000" w:themeColor="text1"/>
          <w:sz w:val="22"/>
          <w:szCs w:val="22"/>
        </w:rPr>
        <w:t>Simister</w:t>
      </w:r>
      <w:proofErr w:type="spellEnd"/>
      <w:r w:rsidRPr="00742342">
        <w:rPr>
          <w:rFonts w:ascii="Open Sans" w:hAnsi="Open Sans" w:cs="Open Sans"/>
          <w:color w:val="000000" w:themeColor="text1"/>
          <w:sz w:val="22"/>
          <w:szCs w:val="22"/>
        </w:rPr>
        <w:t xml:space="preserve"> &amp; Scholz, 2017). These alternative explanations can be based on additional information that has surfaced during the historical reconstruction, or can be derived from theory (Ibid, 2017). The alternative causal explanations form an alternative to your own hypothesis. The last step of the process tracing process is to test the alternative hypothesis against your own. In this research that means that the presumed dimensions that constitute to autonomy are tested against possible other explanations. The process of testing rival hypotheses has two functions; it can confirm or reject one’s own hypothesis, and also functions as a theory-building mechanic. The process of process tracing is visually represented in the following figure.</w:t>
      </w:r>
    </w:p>
    <w:p w14:paraId="5CE24375"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6F42C5A1" w14:textId="77777777" w:rsidR="006F2AEF" w:rsidRPr="00742342" w:rsidRDefault="006F2AEF" w:rsidP="00AC21C6">
      <w:pPr>
        <w:keepNext/>
        <w:spacing w:line="276" w:lineRule="auto"/>
        <w:jc w:val="both"/>
        <w:rPr>
          <w:rFonts w:ascii="Open Sans" w:hAnsi="Open Sans" w:cs="Open Sans"/>
          <w:color w:val="000000" w:themeColor="text1"/>
          <w:sz w:val="22"/>
          <w:szCs w:val="22"/>
        </w:rPr>
      </w:pPr>
      <w:r w:rsidRPr="00742342">
        <w:rPr>
          <w:rFonts w:ascii="Open Sans" w:hAnsi="Open Sans" w:cs="Open Sans"/>
          <w:noProof/>
          <w:color w:val="000000" w:themeColor="text1"/>
          <w:sz w:val="22"/>
          <w:szCs w:val="22"/>
        </w:rPr>
        <w:drawing>
          <wp:inline distT="0" distB="0" distL="0" distR="0" wp14:anchorId="4CC0F62C" wp14:editId="21B0DFB6">
            <wp:extent cx="5731510" cy="1845945"/>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731510" cy="1845945"/>
                    </a:xfrm>
                    <a:prstGeom prst="rect">
                      <a:avLst/>
                    </a:prstGeom>
                  </pic:spPr>
                </pic:pic>
              </a:graphicData>
            </a:graphic>
          </wp:inline>
        </w:drawing>
      </w:r>
    </w:p>
    <w:p w14:paraId="6FA4A16E" w14:textId="13BCF5C4" w:rsidR="006F2AEF" w:rsidRPr="00742342" w:rsidRDefault="006F2AEF" w:rsidP="00AC21C6">
      <w:pPr>
        <w:pStyle w:val="Caption"/>
        <w:spacing w:line="276" w:lineRule="auto"/>
        <w:jc w:val="center"/>
        <w:rPr>
          <w:rFonts w:ascii="Open Sans" w:hAnsi="Open Sans" w:cs="Open Sans"/>
          <w:color w:val="000000" w:themeColor="text1"/>
          <w:sz w:val="16"/>
          <w:szCs w:val="16"/>
        </w:rPr>
      </w:pPr>
      <w:r w:rsidRPr="00742342">
        <w:rPr>
          <w:rFonts w:ascii="Open Sans" w:hAnsi="Open Sans" w:cs="Open Sans"/>
          <w:color w:val="000000" w:themeColor="text1"/>
          <w:sz w:val="16"/>
          <w:szCs w:val="16"/>
        </w:rPr>
        <w:t xml:space="preserve">Figure </w:t>
      </w:r>
      <w:r w:rsidR="004336C9" w:rsidRPr="00742342">
        <w:rPr>
          <w:rFonts w:ascii="Open Sans" w:hAnsi="Open Sans" w:cs="Open Sans"/>
          <w:color w:val="000000" w:themeColor="text1"/>
          <w:sz w:val="16"/>
          <w:szCs w:val="16"/>
        </w:rPr>
        <w:t>3</w:t>
      </w:r>
      <w:r w:rsidRPr="00742342">
        <w:rPr>
          <w:rFonts w:ascii="Open Sans" w:hAnsi="Open Sans" w:cs="Open Sans"/>
          <w:color w:val="000000" w:themeColor="text1"/>
          <w:sz w:val="16"/>
          <w:szCs w:val="16"/>
        </w:rPr>
        <w:t xml:space="preserve">, guide to process tracing. Based on Beach &amp; Pedersen, 2013; Bennett &amp; </w:t>
      </w:r>
      <w:proofErr w:type="spellStart"/>
      <w:r w:rsidRPr="00742342">
        <w:rPr>
          <w:rFonts w:ascii="Open Sans" w:hAnsi="Open Sans" w:cs="Open Sans"/>
          <w:color w:val="000000" w:themeColor="text1"/>
          <w:sz w:val="16"/>
          <w:szCs w:val="16"/>
        </w:rPr>
        <w:t>Checkel</w:t>
      </w:r>
      <w:proofErr w:type="spellEnd"/>
      <w:r w:rsidRPr="00742342">
        <w:rPr>
          <w:rFonts w:ascii="Open Sans" w:hAnsi="Open Sans" w:cs="Open Sans"/>
          <w:color w:val="000000" w:themeColor="text1"/>
          <w:sz w:val="16"/>
          <w:szCs w:val="16"/>
        </w:rPr>
        <w:t xml:space="preserve">, 2012; </w:t>
      </w:r>
      <w:proofErr w:type="spellStart"/>
      <w:r w:rsidRPr="00742342">
        <w:rPr>
          <w:rFonts w:ascii="Open Sans" w:hAnsi="Open Sans" w:cs="Open Sans"/>
          <w:color w:val="000000" w:themeColor="text1"/>
          <w:sz w:val="16"/>
          <w:szCs w:val="16"/>
        </w:rPr>
        <w:t>Simister</w:t>
      </w:r>
      <w:proofErr w:type="spellEnd"/>
      <w:r w:rsidRPr="00742342">
        <w:rPr>
          <w:rFonts w:ascii="Open Sans" w:hAnsi="Open Sans" w:cs="Open Sans"/>
          <w:color w:val="000000" w:themeColor="text1"/>
          <w:sz w:val="16"/>
          <w:szCs w:val="16"/>
        </w:rPr>
        <w:t xml:space="preserve"> &amp; Scholz, 2017; </w:t>
      </w:r>
      <w:proofErr w:type="spellStart"/>
      <w:r w:rsidRPr="00742342">
        <w:rPr>
          <w:rFonts w:ascii="Open Sans" w:hAnsi="Open Sans" w:cs="Open Sans"/>
          <w:color w:val="000000" w:themeColor="text1"/>
          <w:sz w:val="16"/>
          <w:szCs w:val="16"/>
        </w:rPr>
        <w:t>Ulriksen</w:t>
      </w:r>
      <w:proofErr w:type="spellEnd"/>
      <w:r w:rsidRPr="00742342">
        <w:rPr>
          <w:rFonts w:ascii="Open Sans" w:hAnsi="Open Sans" w:cs="Open Sans"/>
          <w:color w:val="000000" w:themeColor="text1"/>
          <w:sz w:val="16"/>
          <w:szCs w:val="16"/>
        </w:rPr>
        <w:t xml:space="preserve"> &amp; </w:t>
      </w:r>
      <w:proofErr w:type="spellStart"/>
      <w:r w:rsidRPr="00742342">
        <w:rPr>
          <w:rFonts w:ascii="Open Sans" w:hAnsi="Open Sans" w:cs="Open Sans"/>
          <w:color w:val="000000" w:themeColor="text1"/>
          <w:sz w:val="16"/>
          <w:szCs w:val="16"/>
        </w:rPr>
        <w:t>Dadalauri</w:t>
      </w:r>
      <w:proofErr w:type="spellEnd"/>
      <w:r w:rsidRPr="00742342">
        <w:rPr>
          <w:rFonts w:ascii="Open Sans" w:hAnsi="Open Sans" w:cs="Open Sans"/>
          <w:color w:val="000000" w:themeColor="text1"/>
          <w:sz w:val="16"/>
          <w:szCs w:val="16"/>
        </w:rPr>
        <w:t>, 2016</w:t>
      </w:r>
      <w:r w:rsidR="00932513" w:rsidRPr="00742342">
        <w:rPr>
          <w:rFonts w:ascii="Open Sans" w:hAnsi="Open Sans" w:cs="Open Sans"/>
          <w:color w:val="000000" w:themeColor="text1"/>
          <w:sz w:val="16"/>
          <w:szCs w:val="16"/>
        </w:rPr>
        <w:t>.</w:t>
      </w:r>
    </w:p>
    <w:p w14:paraId="19CFB17C" w14:textId="77777777" w:rsidR="006F2AEF" w:rsidRPr="00742342" w:rsidRDefault="006F2AEF" w:rsidP="00AC21C6">
      <w:pPr>
        <w:spacing w:line="276" w:lineRule="auto"/>
        <w:rPr>
          <w:rFonts w:ascii="Open Sans" w:hAnsi="Open Sans" w:cs="Open Sans"/>
          <w:color w:val="000000" w:themeColor="text1"/>
          <w:sz w:val="22"/>
          <w:szCs w:val="22"/>
        </w:rPr>
      </w:pPr>
    </w:p>
    <w:p w14:paraId="4FD89E4A" w14:textId="70768197" w:rsidR="006F2AEF" w:rsidRPr="00742342" w:rsidRDefault="00CC378A" w:rsidP="003E2BDE">
      <w:pPr>
        <w:pStyle w:val="Heading2"/>
        <w:numPr>
          <w:ilvl w:val="1"/>
          <w:numId w:val="6"/>
        </w:numPr>
        <w:spacing w:line="276" w:lineRule="auto"/>
        <w:rPr>
          <w:rFonts w:ascii="Open Sans" w:hAnsi="Open Sans" w:cs="Open Sans"/>
          <w:color w:val="000000" w:themeColor="text1"/>
          <w:sz w:val="24"/>
          <w:szCs w:val="24"/>
        </w:rPr>
      </w:pPr>
      <w:bookmarkStart w:id="78" w:name="_Toc138247506"/>
      <w:r w:rsidRPr="00742342">
        <w:rPr>
          <w:rFonts w:ascii="Open Sans" w:hAnsi="Open Sans" w:cs="Open Sans"/>
          <w:color w:val="000000" w:themeColor="text1"/>
          <w:sz w:val="24"/>
          <w:szCs w:val="24"/>
        </w:rPr>
        <w:lastRenderedPageBreak/>
        <w:t xml:space="preserve">Possible limitations to the research </w:t>
      </w:r>
      <w:r w:rsidR="000F08B8">
        <w:rPr>
          <w:rFonts w:ascii="Open Sans" w:hAnsi="Open Sans" w:cs="Open Sans"/>
          <w:color w:val="000000" w:themeColor="text1"/>
          <w:sz w:val="24"/>
          <w:szCs w:val="24"/>
        </w:rPr>
        <w:t>design</w:t>
      </w:r>
      <w:bookmarkEnd w:id="78"/>
    </w:p>
    <w:p w14:paraId="443D5838" w14:textId="77777777" w:rsidR="006F2AEF"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 the concluding paragraphs of this chapter, I will engage with some of the possible limitations and shortcomings of this research. Critical reflection is an essential part of the description of research methodology, as it engages with what the chosen type of research design can achieve, and what it cannot. As discussed, this thesis features a single case design. One of the potential drawbacks of this design relates to the selection bias (Geddes, 2004). This bias occurs when cases are selected on pre-determined factors that influence the outcome. When it comes to single case analysis, selection bias often occurs when cases are chosen based on the dependent variable's knowledge (Geddes, 2004). The case selected in this research was purposefully chosen, as I believe that it can be valuable for theory developing. Random case selection is almost impossible, and generally impractical with single case analysis (Geddes, 2004). In a previous paragraph I talked briefly about the (absence of) generalizability of research featuring a single case design. Although a single case can stand as an example of general patterns that actors perform, inferences from single cases are often not enough to develop a theory. The single case design therefore purposefully limits the potential effects of this research, as I believe that it is the most powerful design that fits this specific case. This is why I would recommend to further develop and test the claims of this research on a broader case selection, with the explicit purpose of increasing generalizability.</w:t>
      </w:r>
    </w:p>
    <w:p w14:paraId="006E464C" w14:textId="77777777" w:rsidR="006F2AEF" w:rsidRPr="00742342" w:rsidRDefault="006F2AEF" w:rsidP="00AC21C6">
      <w:pPr>
        <w:spacing w:line="276" w:lineRule="auto"/>
        <w:jc w:val="both"/>
        <w:rPr>
          <w:rFonts w:ascii="Open Sans" w:hAnsi="Open Sans" w:cs="Open Sans"/>
          <w:color w:val="000000" w:themeColor="text1"/>
          <w:sz w:val="22"/>
          <w:szCs w:val="22"/>
        </w:rPr>
      </w:pPr>
    </w:p>
    <w:p w14:paraId="38E12F5B" w14:textId="2CCA27F6" w:rsidR="00C248F7" w:rsidRPr="00742342" w:rsidRDefault="006F2AEF"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data collection process of this research has primarily been done through literature- and document analysis. This method has </w:t>
      </w:r>
      <w:r w:rsidR="00C40730">
        <w:rPr>
          <w:rFonts w:ascii="Open Sans" w:hAnsi="Open Sans" w:cs="Open Sans"/>
          <w:color w:val="000000" w:themeColor="text1"/>
          <w:sz w:val="22"/>
          <w:szCs w:val="22"/>
        </w:rPr>
        <w:t>certain limitations</w:t>
      </w:r>
      <w:r w:rsidRPr="00742342">
        <w:rPr>
          <w:rFonts w:ascii="Open Sans" w:hAnsi="Open Sans" w:cs="Open Sans"/>
          <w:color w:val="000000" w:themeColor="text1"/>
          <w:sz w:val="22"/>
          <w:szCs w:val="22"/>
        </w:rPr>
        <w:t xml:space="preserve"> that </w:t>
      </w:r>
      <w:r w:rsidR="00C40730" w:rsidRPr="00742342">
        <w:rPr>
          <w:rFonts w:ascii="Open Sans" w:hAnsi="Open Sans" w:cs="Open Sans"/>
          <w:color w:val="000000" w:themeColor="text1"/>
          <w:sz w:val="22"/>
          <w:szCs w:val="22"/>
        </w:rPr>
        <w:t>must</w:t>
      </w:r>
      <w:r w:rsidRPr="00742342">
        <w:rPr>
          <w:rFonts w:ascii="Open Sans" w:hAnsi="Open Sans" w:cs="Open Sans"/>
          <w:color w:val="000000" w:themeColor="text1"/>
          <w:sz w:val="22"/>
          <w:szCs w:val="22"/>
        </w:rPr>
        <w:t xml:space="preserve"> be considered. First and foremost, a literature review is only based on existing data. In my specific case however, I </w:t>
      </w:r>
      <w:r w:rsidR="003D1CE0" w:rsidRPr="00742342">
        <w:rPr>
          <w:rFonts w:ascii="Open Sans" w:hAnsi="Open Sans" w:cs="Open Sans"/>
          <w:color w:val="000000" w:themeColor="text1"/>
          <w:sz w:val="22"/>
          <w:szCs w:val="22"/>
        </w:rPr>
        <w:t>was not</w:t>
      </w:r>
      <w:r w:rsidRPr="00742342">
        <w:rPr>
          <w:rFonts w:ascii="Open Sans" w:hAnsi="Open Sans" w:cs="Open Sans"/>
          <w:color w:val="000000" w:themeColor="text1"/>
          <w:sz w:val="22"/>
          <w:szCs w:val="22"/>
        </w:rPr>
        <w:t xml:space="preserve"> able to gather data myself, as I have no</w:t>
      </w:r>
      <w:r w:rsidR="003D1CE0" w:rsidRPr="00742342">
        <w:rPr>
          <w:rFonts w:ascii="Open Sans" w:hAnsi="Open Sans" w:cs="Open Sans"/>
          <w:color w:val="000000" w:themeColor="text1"/>
          <w:sz w:val="22"/>
          <w:szCs w:val="22"/>
        </w:rPr>
        <w:t xml:space="preserve">t </w:t>
      </w:r>
      <w:r w:rsidR="00657D59" w:rsidRPr="00742342">
        <w:rPr>
          <w:rFonts w:ascii="Open Sans" w:hAnsi="Open Sans" w:cs="Open Sans"/>
          <w:color w:val="000000" w:themeColor="text1"/>
          <w:sz w:val="22"/>
          <w:szCs w:val="22"/>
        </w:rPr>
        <w:t>received</w:t>
      </w:r>
      <w:r w:rsidRPr="00742342">
        <w:rPr>
          <w:rFonts w:ascii="Open Sans" w:hAnsi="Open Sans" w:cs="Open Sans"/>
          <w:color w:val="000000" w:themeColor="text1"/>
          <w:sz w:val="22"/>
          <w:szCs w:val="22"/>
        </w:rPr>
        <w:t xml:space="preserve"> access to either the </w:t>
      </w:r>
      <w:r w:rsidR="003D1CE0" w:rsidRPr="00742342">
        <w:rPr>
          <w:rFonts w:ascii="Open Sans" w:hAnsi="Open Sans" w:cs="Open Sans"/>
          <w:color w:val="000000" w:themeColor="text1"/>
          <w:sz w:val="22"/>
          <w:szCs w:val="22"/>
        </w:rPr>
        <w:t>O</w:t>
      </w:r>
      <w:r w:rsidR="00657D59" w:rsidRPr="00742342">
        <w:rPr>
          <w:rFonts w:ascii="Open Sans" w:hAnsi="Open Sans" w:cs="Open Sans"/>
          <w:color w:val="000000" w:themeColor="text1"/>
          <w:sz w:val="22"/>
          <w:szCs w:val="22"/>
        </w:rPr>
        <w:t>SESGY</w:t>
      </w:r>
      <w:r w:rsidRPr="00742342">
        <w:rPr>
          <w:rFonts w:ascii="Open Sans" w:hAnsi="Open Sans" w:cs="Open Sans"/>
          <w:color w:val="000000" w:themeColor="text1"/>
          <w:sz w:val="22"/>
          <w:szCs w:val="22"/>
        </w:rPr>
        <w:t xml:space="preserve">, </w:t>
      </w:r>
      <w:r w:rsidR="00657D59" w:rsidRPr="00742342">
        <w:rPr>
          <w:rFonts w:ascii="Open Sans" w:hAnsi="Open Sans" w:cs="Open Sans"/>
          <w:color w:val="000000" w:themeColor="text1"/>
          <w:sz w:val="22"/>
          <w:szCs w:val="22"/>
        </w:rPr>
        <w:t>or</w:t>
      </w:r>
      <w:r w:rsidRPr="00742342">
        <w:rPr>
          <w:rFonts w:ascii="Open Sans" w:hAnsi="Open Sans" w:cs="Open Sans"/>
          <w:color w:val="000000" w:themeColor="text1"/>
          <w:sz w:val="22"/>
          <w:szCs w:val="22"/>
        </w:rPr>
        <w:t xml:space="preserve"> to the Houthi movement in Yemen. For the case-specific data, I rely primarily on existing literature, documents from the </w:t>
      </w:r>
      <w:r w:rsidR="00657D59" w:rsidRPr="00742342">
        <w:rPr>
          <w:rFonts w:ascii="Open Sans" w:hAnsi="Open Sans" w:cs="Open Sans"/>
          <w:color w:val="000000" w:themeColor="text1"/>
          <w:sz w:val="22"/>
          <w:szCs w:val="22"/>
        </w:rPr>
        <w:t>OSESGY</w:t>
      </w:r>
      <w:r w:rsidRPr="00742342">
        <w:rPr>
          <w:rFonts w:ascii="Open Sans" w:hAnsi="Open Sans" w:cs="Open Sans"/>
          <w:color w:val="000000" w:themeColor="text1"/>
          <w:sz w:val="22"/>
          <w:szCs w:val="22"/>
        </w:rPr>
        <w:t xml:space="preserve">, news articles and documents from independent reports. This allows me to compare different publishers, which increases the independence of observations. </w:t>
      </w:r>
      <w:r w:rsidR="00A97BBB" w:rsidRPr="00742342">
        <w:rPr>
          <w:rFonts w:ascii="Open Sans" w:hAnsi="Open Sans" w:cs="Open Sans"/>
          <w:color w:val="000000" w:themeColor="text1"/>
          <w:sz w:val="22"/>
          <w:szCs w:val="22"/>
        </w:rPr>
        <w:t>In the next chapters of this thesis, I will perform the process tracing analysis and focus on the empirical analysis of my chosen case, utilizing the methodological descriptions given in this chapter. I will first introduce the case further and provide an insightful analysis of the events shaping this case.</w:t>
      </w:r>
    </w:p>
    <w:p w14:paraId="3E1EEA30" w14:textId="77777777" w:rsidR="00C248F7" w:rsidRPr="00742342" w:rsidRDefault="00C248F7" w:rsidP="00AC21C6">
      <w:pPr>
        <w:spacing w:line="276" w:lineRule="auto"/>
        <w:jc w:val="both"/>
        <w:rPr>
          <w:rFonts w:ascii="Open Sans" w:hAnsi="Open Sans" w:cs="Open Sans"/>
          <w:color w:val="000000" w:themeColor="text1"/>
          <w:sz w:val="22"/>
          <w:szCs w:val="22"/>
        </w:rPr>
      </w:pPr>
    </w:p>
    <w:p w14:paraId="01DC1025" w14:textId="77777777" w:rsidR="00C248F7" w:rsidRPr="00742342" w:rsidRDefault="00C248F7" w:rsidP="00AC21C6">
      <w:pPr>
        <w:spacing w:line="276" w:lineRule="auto"/>
        <w:rPr>
          <w:rFonts w:ascii="Open Sans" w:eastAsiaTheme="majorEastAsia" w:hAnsi="Open Sans" w:cs="Open Sans"/>
          <w:color w:val="000000" w:themeColor="text1"/>
          <w:sz w:val="28"/>
          <w:szCs w:val="28"/>
        </w:rPr>
      </w:pPr>
      <w:r w:rsidRPr="00742342">
        <w:rPr>
          <w:rFonts w:ascii="Open Sans" w:hAnsi="Open Sans" w:cs="Open Sans"/>
          <w:color w:val="000000" w:themeColor="text1"/>
          <w:sz w:val="22"/>
          <w:szCs w:val="22"/>
        </w:rPr>
        <w:br w:type="page"/>
      </w:r>
    </w:p>
    <w:p w14:paraId="06DBC534" w14:textId="317AE1DB" w:rsidR="00C248F7" w:rsidRDefault="004F5990" w:rsidP="00742342">
      <w:pPr>
        <w:pStyle w:val="Heading1"/>
        <w:numPr>
          <w:ilvl w:val="0"/>
          <w:numId w:val="6"/>
        </w:numPr>
        <w:spacing w:line="276" w:lineRule="auto"/>
        <w:jc w:val="both"/>
        <w:rPr>
          <w:rFonts w:ascii="Open Sans" w:hAnsi="Open Sans" w:cs="Open Sans"/>
          <w:color w:val="000000" w:themeColor="text1"/>
          <w:sz w:val="28"/>
          <w:szCs w:val="28"/>
        </w:rPr>
      </w:pPr>
      <w:bookmarkStart w:id="79" w:name="_Toc136372401"/>
      <w:bookmarkStart w:id="80" w:name="_Toc136706599"/>
      <w:bookmarkStart w:id="81" w:name="_Toc138247507"/>
      <w:r w:rsidRPr="00742342">
        <w:rPr>
          <w:rFonts w:ascii="Open Sans" w:hAnsi="Open Sans" w:cs="Open Sans"/>
          <w:color w:val="000000" w:themeColor="text1"/>
          <w:sz w:val="28"/>
          <w:szCs w:val="28"/>
        </w:rPr>
        <w:lastRenderedPageBreak/>
        <w:t>Timeline r</w:t>
      </w:r>
      <w:r w:rsidR="008F1753" w:rsidRPr="00742342">
        <w:rPr>
          <w:rFonts w:ascii="Open Sans" w:hAnsi="Open Sans" w:cs="Open Sans"/>
          <w:color w:val="000000" w:themeColor="text1"/>
          <w:sz w:val="28"/>
          <w:szCs w:val="28"/>
        </w:rPr>
        <w:t>econstruction and context description</w:t>
      </w:r>
      <w:bookmarkEnd w:id="79"/>
      <w:bookmarkEnd w:id="80"/>
      <w:bookmarkEnd w:id="81"/>
    </w:p>
    <w:p w14:paraId="340EA91F" w14:textId="77777777" w:rsidR="00742342" w:rsidRPr="00742342" w:rsidRDefault="00742342" w:rsidP="00742342"/>
    <w:p w14:paraId="382908A0" w14:textId="0E13711C" w:rsidR="00C248F7"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Before diving into the empirical analysis of this thesis, this chapter will feature a brief introduction to the conflict in the Republic of Yemen. As stated in the case methodology, the empirical analysis will focus mainly on the engagements of the </w:t>
      </w:r>
      <w:r w:rsidR="002C0802" w:rsidRPr="00742342">
        <w:rPr>
          <w:rFonts w:ascii="Open Sans" w:hAnsi="Open Sans" w:cs="Open Sans"/>
          <w:color w:val="000000" w:themeColor="text1"/>
          <w:sz w:val="22"/>
          <w:szCs w:val="22"/>
        </w:rPr>
        <w:t>OSESGY</w:t>
      </w:r>
      <w:r w:rsidRPr="00742342">
        <w:rPr>
          <w:rFonts w:ascii="Open Sans" w:hAnsi="Open Sans" w:cs="Open Sans"/>
          <w:color w:val="000000" w:themeColor="text1"/>
          <w:sz w:val="22"/>
          <w:szCs w:val="22"/>
        </w:rPr>
        <w:t xml:space="preserve"> with regard to the Houthi movement, an armed militia governing large parts of Yemen (Alterman &amp; Center for Strategic &amp; International Studies, 2022; Council on Foreign Relations, 2022; Office for the Coordination of Humanitarian Affairs, 2022). This chapter will cover a brief overview of the history of the emergence of the Houthi movement and present a timeline of the Yemeni civil war (2014 – present). The </w:t>
      </w:r>
      <w:r w:rsidR="005A2048" w:rsidRPr="00742342">
        <w:rPr>
          <w:rFonts w:ascii="Open Sans" w:hAnsi="Open Sans" w:cs="Open Sans"/>
          <w:color w:val="000000" w:themeColor="text1"/>
          <w:sz w:val="22"/>
          <w:szCs w:val="22"/>
        </w:rPr>
        <w:t xml:space="preserve">reconstruction and </w:t>
      </w:r>
      <w:r w:rsidRPr="00742342">
        <w:rPr>
          <w:rFonts w:ascii="Open Sans" w:hAnsi="Open Sans" w:cs="Open Sans"/>
          <w:color w:val="000000" w:themeColor="text1"/>
          <w:sz w:val="22"/>
          <w:szCs w:val="22"/>
        </w:rPr>
        <w:t xml:space="preserve">context description will start with a brief introduction of the origins of </w:t>
      </w:r>
      <w:r w:rsidR="0013787C" w:rsidRPr="00742342">
        <w:rPr>
          <w:rFonts w:ascii="Open Sans" w:hAnsi="Open Sans" w:cs="Open Sans"/>
          <w:color w:val="000000" w:themeColor="text1"/>
          <w:sz w:val="22"/>
          <w:szCs w:val="22"/>
        </w:rPr>
        <w:t xml:space="preserve">the </w:t>
      </w:r>
      <w:r w:rsidRPr="00742342">
        <w:rPr>
          <w:rFonts w:ascii="Open Sans" w:hAnsi="Open Sans" w:cs="Open Sans"/>
          <w:color w:val="000000" w:themeColor="text1"/>
          <w:sz w:val="22"/>
          <w:szCs w:val="22"/>
        </w:rPr>
        <w:t>Ansar Allah</w:t>
      </w:r>
      <w:r w:rsidR="0013787C" w:rsidRPr="00742342">
        <w:rPr>
          <w:rFonts w:ascii="Open Sans" w:hAnsi="Open Sans" w:cs="Open Sans"/>
          <w:color w:val="000000" w:themeColor="text1"/>
          <w:sz w:val="22"/>
          <w:szCs w:val="22"/>
        </w:rPr>
        <w:t xml:space="preserve"> movement</w:t>
      </w:r>
      <w:r w:rsidRPr="00742342">
        <w:rPr>
          <w:rFonts w:ascii="Open Sans" w:hAnsi="Open Sans" w:cs="Open Sans"/>
          <w:color w:val="000000" w:themeColor="text1"/>
          <w:sz w:val="22"/>
          <w:szCs w:val="22"/>
        </w:rPr>
        <w:t xml:space="preserve">, </w:t>
      </w:r>
      <w:r w:rsidR="0013787C" w:rsidRPr="00742342">
        <w:rPr>
          <w:rFonts w:ascii="Open Sans" w:hAnsi="Open Sans" w:cs="Open Sans"/>
          <w:color w:val="000000" w:themeColor="text1"/>
          <w:sz w:val="22"/>
          <w:szCs w:val="22"/>
        </w:rPr>
        <w:t>more commonly</w:t>
      </w:r>
      <w:r w:rsidRPr="00742342">
        <w:rPr>
          <w:rFonts w:ascii="Open Sans" w:hAnsi="Open Sans" w:cs="Open Sans"/>
          <w:color w:val="000000" w:themeColor="text1"/>
          <w:sz w:val="22"/>
          <w:szCs w:val="22"/>
        </w:rPr>
        <w:t xml:space="preserve"> known as the Houthi’s (Batati, 2015).</w:t>
      </w:r>
      <w:r w:rsidR="00F00FCE">
        <w:rPr>
          <w:rFonts w:ascii="Open Sans" w:hAnsi="Open Sans" w:cs="Open Sans"/>
          <w:color w:val="000000" w:themeColor="text1"/>
          <w:sz w:val="22"/>
          <w:szCs w:val="22"/>
        </w:rPr>
        <w:t xml:space="preserve"> Certain</w:t>
      </w:r>
      <w:r w:rsidRPr="00742342">
        <w:rPr>
          <w:rFonts w:ascii="Open Sans" w:hAnsi="Open Sans" w:cs="Open Sans"/>
          <w:color w:val="000000" w:themeColor="text1"/>
          <w:sz w:val="22"/>
          <w:szCs w:val="22"/>
        </w:rPr>
        <w:t xml:space="preserve"> sections of paragraphs will also be dedicated to providing background information on other relevant involved actors in the Yemeni civil war, which can possibly shape the actions of the main actors and research subjects</w:t>
      </w:r>
      <w:r w:rsidRPr="00742342">
        <w:rPr>
          <w:rStyle w:val="FootnoteReference"/>
          <w:rFonts w:ascii="Open Sans" w:hAnsi="Open Sans" w:cs="Open Sans"/>
          <w:color w:val="000000" w:themeColor="text1"/>
          <w:sz w:val="22"/>
          <w:szCs w:val="22"/>
        </w:rPr>
        <w:footnoteReference w:id="15"/>
      </w:r>
      <w:r w:rsidRPr="00742342">
        <w:rPr>
          <w:rFonts w:ascii="Open Sans" w:hAnsi="Open Sans" w:cs="Open Sans"/>
          <w:color w:val="000000" w:themeColor="text1"/>
          <w:sz w:val="22"/>
          <w:szCs w:val="22"/>
        </w:rPr>
        <w:t xml:space="preserve"> of this thesis. </w:t>
      </w:r>
    </w:p>
    <w:p w14:paraId="04C300D1" w14:textId="77777777" w:rsidR="00E03594" w:rsidRPr="00742342" w:rsidRDefault="00E03594" w:rsidP="00AC21C6">
      <w:pPr>
        <w:pStyle w:val="Heading2"/>
        <w:spacing w:line="276" w:lineRule="auto"/>
        <w:jc w:val="both"/>
        <w:rPr>
          <w:rFonts w:ascii="Open Sans" w:hAnsi="Open Sans" w:cs="Open Sans"/>
          <w:color w:val="000000" w:themeColor="text1"/>
          <w:sz w:val="24"/>
          <w:szCs w:val="24"/>
        </w:rPr>
      </w:pPr>
      <w:bookmarkStart w:id="82" w:name="_Toc136372402"/>
    </w:p>
    <w:p w14:paraId="46CAC985" w14:textId="0F40871B" w:rsidR="00C248F7" w:rsidRPr="00742342" w:rsidRDefault="00C248F7" w:rsidP="003E2BDE">
      <w:pPr>
        <w:pStyle w:val="Heading2"/>
        <w:numPr>
          <w:ilvl w:val="1"/>
          <w:numId w:val="8"/>
        </w:numPr>
        <w:spacing w:line="276" w:lineRule="auto"/>
        <w:jc w:val="both"/>
        <w:rPr>
          <w:rFonts w:ascii="Open Sans" w:hAnsi="Open Sans" w:cs="Open Sans"/>
          <w:color w:val="000000" w:themeColor="text1"/>
          <w:sz w:val="24"/>
          <w:szCs w:val="24"/>
        </w:rPr>
      </w:pPr>
      <w:bookmarkStart w:id="83" w:name="_Toc136706600"/>
      <w:bookmarkStart w:id="84" w:name="_Toc138247508"/>
      <w:r w:rsidRPr="00742342">
        <w:rPr>
          <w:rFonts w:ascii="Open Sans" w:hAnsi="Open Sans" w:cs="Open Sans"/>
          <w:color w:val="000000" w:themeColor="text1"/>
          <w:sz w:val="24"/>
          <w:szCs w:val="24"/>
        </w:rPr>
        <w:t>The emergence of the Houthi movement</w:t>
      </w:r>
      <w:bookmarkEnd w:id="82"/>
      <w:bookmarkEnd w:id="83"/>
      <w:bookmarkEnd w:id="84"/>
      <w:r w:rsidRPr="00742342">
        <w:rPr>
          <w:rFonts w:ascii="Open Sans" w:hAnsi="Open Sans" w:cs="Open Sans"/>
          <w:color w:val="000000" w:themeColor="text1"/>
          <w:sz w:val="24"/>
          <w:szCs w:val="24"/>
        </w:rPr>
        <w:t xml:space="preserve"> </w:t>
      </w:r>
    </w:p>
    <w:p w14:paraId="6CA1C62F" w14:textId="01FE1E39" w:rsidR="00C248F7"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Houthi movement can be seen in many different ways, including a grassroots political movement, a non-state actor supported by a number of external powers, a distinct religious minority, or even an organized militia (Johnston et al., 2020; </w:t>
      </w:r>
      <w:proofErr w:type="spellStart"/>
      <w:r w:rsidRPr="00742342">
        <w:rPr>
          <w:rFonts w:ascii="Open Sans" w:hAnsi="Open Sans" w:cs="Open Sans"/>
          <w:color w:val="000000" w:themeColor="text1"/>
          <w:sz w:val="22"/>
          <w:szCs w:val="22"/>
        </w:rPr>
        <w:t>Palik</w:t>
      </w:r>
      <w:proofErr w:type="spellEnd"/>
      <w:r w:rsidRPr="00742342">
        <w:rPr>
          <w:rFonts w:ascii="Open Sans" w:hAnsi="Open Sans" w:cs="Open Sans"/>
          <w:color w:val="000000" w:themeColor="text1"/>
          <w:sz w:val="22"/>
          <w:szCs w:val="22"/>
        </w:rPr>
        <w:t>, 2017). In fact, the movement can assert all of these roles simultaneously (</w:t>
      </w:r>
      <w:proofErr w:type="spellStart"/>
      <w:r w:rsidRPr="00742342">
        <w:rPr>
          <w:rFonts w:ascii="Open Sans" w:hAnsi="Open Sans" w:cs="Open Sans"/>
          <w:color w:val="000000" w:themeColor="text1"/>
          <w:sz w:val="22"/>
          <w:szCs w:val="22"/>
        </w:rPr>
        <w:t>Palik</w:t>
      </w:r>
      <w:proofErr w:type="spellEnd"/>
      <w:r w:rsidRPr="00742342">
        <w:rPr>
          <w:rFonts w:ascii="Open Sans" w:hAnsi="Open Sans" w:cs="Open Sans"/>
          <w:color w:val="000000" w:themeColor="text1"/>
          <w:sz w:val="22"/>
          <w:szCs w:val="22"/>
        </w:rPr>
        <w:t xml:space="preserve">, 2017). The movement originated from a theological moderate youth group (Batati, 2015), aimed </w:t>
      </w:r>
      <w:r w:rsidR="001F4144">
        <w:rPr>
          <w:rFonts w:ascii="Open Sans" w:hAnsi="Open Sans" w:cs="Open Sans"/>
          <w:color w:val="000000" w:themeColor="text1"/>
          <w:sz w:val="22"/>
          <w:szCs w:val="22"/>
        </w:rPr>
        <w:t xml:space="preserve">at </w:t>
      </w:r>
      <w:r w:rsidRPr="00742342">
        <w:rPr>
          <w:rFonts w:ascii="Open Sans" w:hAnsi="Open Sans" w:cs="Open Sans"/>
          <w:color w:val="000000" w:themeColor="text1"/>
          <w:sz w:val="22"/>
          <w:szCs w:val="22"/>
        </w:rPr>
        <w:t xml:space="preserve"> ‘promot</w:t>
      </w:r>
      <w:r w:rsidR="001F4144">
        <w:rPr>
          <w:rFonts w:ascii="Open Sans" w:hAnsi="Open Sans" w:cs="Open Sans"/>
          <w:color w:val="000000" w:themeColor="text1"/>
          <w:sz w:val="22"/>
          <w:szCs w:val="22"/>
        </w:rPr>
        <w:t>ing</w:t>
      </w:r>
      <w:r w:rsidRPr="00742342">
        <w:rPr>
          <w:rFonts w:ascii="Open Sans" w:hAnsi="Open Sans" w:cs="Open Sans"/>
          <w:color w:val="000000" w:themeColor="text1"/>
          <w:sz w:val="22"/>
          <w:szCs w:val="22"/>
        </w:rPr>
        <w:t xml:space="preserve"> a Zaidi</w:t>
      </w:r>
      <w:r w:rsidRPr="00742342">
        <w:rPr>
          <w:rStyle w:val="FootnoteReference"/>
          <w:rFonts w:ascii="Open Sans" w:hAnsi="Open Sans" w:cs="Open Sans"/>
          <w:color w:val="000000" w:themeColor="text1"/>
          <w:sz w:val="22"/>
          <w:szCs w:val="22"/>
        </w:rPr>
        <w:footnoteReference w:id="16"/>
      </w:r>
      <w:r w:rsidRPr="00742342">
        <w:rPr>
          <w:rFonts w:ascii="Open Sans" w:hAnsi="Open Sans" w:cs="Open Sans"/>
          <w:color w:val="000000" w:themeColor="text1"/>
          <w:sz w:val="22"/>
          <w:szCs w:val="22"/>
        </w:rPr>
        <w:t xml:space="preserve"> revival’ in Yemen (Ibid, 2015). Historically, the Zaidi’s held power in Yemen, but their political power diminished after the unification of North- and South Yemen in 1990 (</w:t>
      </w:r>
      <w:proofErr w:type="spellStart"/>
      <w:r w:rsidRPr="00742342">
        <w:rPr>
          <w:rFonts w:ascii="Open Sans" w:hAnsi="Open Sans" w:cs="Open Sans"/>
          <w:color w:val="000000" w:themeColor="text1"/>
          <w:sz w:val="22"/>
          <w:szCs w:val="22"/>
        </w:rPr>
        <w:t>Palik</w:t>
      </w:r>
      <w:proofErr w:type="spellEnd"/>
      <w:r w:rsidRPr="00742342">
        <w:rPr>
          <w:rFonts w:ascii="Open Sans" w:hAnsi="Open Sans" w:cs="Open Sans"/>
          <w:color w:val="000000" w:themeColor="text1"/>
          <w:sz w:val="22"/>
          <w:szCs w:val="22"/>
        </w:rPr>
        <w:t>, 2017). Hussein al-Houthi, the movement's leader at the time of origin, was a charismatic and popular imam who had a large following among Zaidi youths (Batati, 2015). He advocated for social justice and equality while criticizing government policies and suspected corruption (Ibid, 2015). The media sources that propagated its messages and drew adherents helped the movement gain traction.</w:t>
      </w:r>
    </w:p>
    <w:p w14:paraId="153CF53C" w14:textId="77777777" w:rsidR="00C248F7" w:rsidRPr="00742342" w:rsidRDefault="00C248F7" w:rsidP="00AC21C6">
      <w:pPr>
        <w:spacing w:line="276" w:lineRule="auto"/>
        <w:jc w:val="both"/>
        <w:rPr>
          <w:rFonts w:ascii="Open Sans" w:hAnsi="Open Sans" w:cs="Open Sans"/>
          <w:color w:val="000000" w:themeColor="text1"/>
          <w:sz w:val="22"/>
          <w:szCs w:val="22"/>
        </w:rPr>
      </w:pPr>
    </w:p>
    <w:p w14:paraId="5E98B186" w14:textId="0DB767F3" w:rsidR="00C248F7"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Tensions between the Houthi movement and the Yemeni government reached a boiling point in 2004, when the government initiated a military assault against the organization (Wilson Center, 2022). The conflict persisted until Hussein al-Houthi was assassinated in a government crackdown in 2010. His death motivated the movement even more, and his brother, Abdul-Malik al-Houthi, took over as the group’s leader (Wilson Center, 2022). By this time the movement had evolved from a religious interest group to a militia with political motivations. In 2011, following demonstrations in other Arab countries in what </w:t>
      </w:r>
      <w:r w:rsidRPr="00742342">
        <w:rPr>
          <w:rFonts w:ascii="Open Sans" w:hAnsi="Open Sans" w:cs="Open Sans"/>
          <w:color w:val="000000" w:themeColor="text1"/>
          <w:sz w:val="22"/>
          <w:szCs w:val="22"/>
        </w:rPr>
        <w:lastRenderedPageBreak/>
        <w:t>we now refer to as the ‘Arab Spring</w:t>
      </w:r>
      <w:r w:rsidRPr="00742342">
        <w:rPr>
          <w:rStyle w:val="FootnoteReference"/>
          <w:rFonts w:ascii="Open Sans" w:hAnsi="Open Sans" w:cs="Open Sans"/>
          <w:color w:val="000000" w:themeColor="text1"/>
          <w:sz w:val="22"/>
          <w:szCs w:val="22"/>
        </w:rPr>
        <w:footnoteReference w:id="17"/>
      </w:r>
      <w:r w:rsidRPr="00742342">
        <w:rPr>
          <w:rFonts w:ascii="Open Sans" w:hAnsi="Open Sans" w:cs="Open Sans"/>
          <w:color w:val="000000" w:themeColor="text1"/>
          <w:sz w:val="22"/>
          <w:szCs w:val="22"/>
        </w:rPr>
        <w:t xml:space="preserve">’ the Republic of Yemen experienced protests that lead to struggles for the country’s leadership and governance. The Houthi movement seized this opportunity and took advantage of the political vacuum. It did so by strengthening its authority over Yemen's northern areas, including the capital, Sana'a, in 2014. The success of the movement was facilitated by a coalition with former Yemeni President Ali Abdullah Saleh, who was ousted during the Arab Spring protests but retained strong military control and presence in the country. The volatile political situation reached </w:t>
      </w:r>
      <w:r w:rsidR="008E7EAA">
        <w:rPr>
          <w:rFonts w:ascii="Open Sans" w:hAnsi="Open Sans" w:cs="Open Sans"/>
          <w:color w:val="000000" w:themeColor="text1"/>
          <w:sz w:val="22"/>
          <w:szCs w:val="22"/>
        </w:rPr>
        <w:t>its</w:t>
      </w:r>
      <w:r w:rsidRPr="00742342">
        <w:rPr>
          <w:rFonts w:ascii="Open Sans" w:hAnsi="Open Sans" w:cs="Open Sans"/>
          <w:color w:val="000000" w:themeColor="text1"/>
          <w:sz w:val="22"/>
          <w:szCs w:val="22"/>
        </w:rPr>
        <w:t xml:space="preserve"> boiling point in 2015, when a Saudi-led coalition intervened to reinstall Yemen's internationally recognized government. The international coalition, led by Saudi-Arabia recognized the Houthi movement as an extension of </w:t>
      </w:r>
      <w:r w:rsidR="008F671E">
        <w:rPr>
          <w:rFonts w:ascii="Open Sans" w:hAnsi="Open Sans" w:cs="Open Sans"/>
          <w:color w:val="000000" w:themeColor="text1"/>
          <w:sz w:val="22"/>
          <w:szCs w:val="22"/>
        </w:rPr>
        <w:t>Iranian power and influence</w:t>
      </w:r>
      <w:r w:rsidRPr="00742342">
        <w:rPr>
          <w:rFonts w:ascii="Open Sans" w:hAnsi="Open Sans" w:cs="Open Sans"/>
          <w:color w:val="000000" w:themeColor="text1"/>
          <w:sz w:val="22"/>
          <w:szCs w:val="22"/>
        </w:rPr>
        <w:t xml:space="preserve">, a natural political adversary of the Saudi regime. Since then, the conflict has grown into a complicated and catastrophic conflict involving domestic violent non-state actors, international nation-states, and several types of international organizations, including IGOs and NGOs. </w:t>
      </w:r>
    </w:p>
    <w:p w14:paraId="22DF3A66" w14:textId="77777777" w:rsidR="00C248F7" w:rsidRPr="00742342" w:rsidRDefault="00C248F7" w:rsidP="00AC21C6">
      <w:pPr>
        <w:spacing w:line="276" w:lineRule="auto"/>
        <w:jc w:val="both"/>
        <w:rPr>
          <w:rFonts w:ascii="Open Sans" w:hAnsi="Open Sans" w:cs="Open Sans"/>
          <w:color w:val="000000" w:themeColor="text1"/>
          <w:sz w:val="22"/>
          <w:szCs w:val="22"/>
        </w:rPr>
      </w:pPr>
    </w:p>
    <w:p w14:paraId="68D010ED" w14:textId="27741B58" w:rsidR="00C248F7" w:rsidRPr="00742342" w:rsidRDefault="00C248F7" w:rsidP="003E2BDE">
      <w:pPr>
        <w:pStyle w:val="Heading2"/>
        <w:numPr>
          <w:ilvl w:val="1"/>
          <w:numId w:val="8"/>
        </w:numPr>
        <w:spacing w:line="276" w:lineRule="auto"/>
        <w:jc w:val="both"/>
        <w:rPr>
          <w:rFonts w:ascii="Open Sans" w:hAnsi="Open Sans" w:cs="Open Sans"/>
          <w:color w:val="000000" w:themeColor="text1"/>
          <w:sz w:val="24"/>
          <w:szCs w:val="24"/>
        </w:rPr>
      </w:pPr>
      <w:bookmarkStart w:id="85" w:name="_Toc136372403"/>
      <w:bookmarkStart w:id="86" w:name="_Toc136706601"/>
      <w:bookmarkStart w:id="87" w:name="_Toc138247509"/>
      <w:r w:rsidRPr="00742342">
        <w:rPr>
          <w:rFonts w:ascii="Open Sans" w:hAnsi="Open Sans" w:cs="Open Sans"/>
          <w:color w:val="000000" w:themeColor="text1"/>
          <w:sz w:val="24"/>
          <w:szCs w:val="24"/>
        </w:rPr>
        <w:t>Context of historical Yemeni governance</w:t>
      </w:r>
      <w:bookmarkEnd w:id="85"/>
      <w:bookmarkEnd w:id="86"/>
      <w:bookmarkEnd w:id="87"/>
    </w:p>
    <w:p w14:paraId="69AA4F6F" w14:textId="7EA66CDD" w:rsidR="007D3485"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Before </w:t>
      </w:r>
      <w:r w:rsidR="008F671E">
        <w:rPr>
          <w:rFonts w:ascii="Open Sans" w:hAnsi="Open Sans" w:cs="Open Sans"/>
          <w:color w:val="000000" w:themeColor="text1"/>
          <w:sz w:val="22"/>
          <w:szCs w:val="22"/>
        </w:rPr>
        <w:t>continuing</w:t>
      </w:r>
      <w:r w:rsidRPr="00742342">
        <w:rPr>
          <w:rFonts w:ascii="Open Sans" w:hAnsi="Open Sans" w:cs="Open Sans"/>
          <w:color w:val="000000" w:themeColor="text1"/>
          <w:sz w:val="22"/>
          <w:szCs w:val="22"/>
        </w:rPr>
        <w:t xml:space="preserve"> with presenting a timeline of the operations of the United Nations in Yemen, I will first provide some </w:t>
      </w:r>
      <w:r w:rsidR="008F671E" w:rsidRPr="00742342">
        <w:rPr>
          <w:rFonts w:ascii="Open Sans" w:hAnsi="Open Sans" w:cs="Open Sans"/>
          <w:color w:val="000000" w:themeColor="text1"/>
          <w:sz w:val="22"/>
          <w:szCs w:val="22"/>
        </w:rPr>
        <w:t>much-needed</w:t>
      </w:r>
      <w:r w:rsidRPr="00742342">
        <w:rPr>
          <w:rFonts w:ascii="Open Sans" w:hAnsi="Open Sans" w:cs="Open Sans"/>
          <w:color w:val="000000" w:themeColor="text1"/>
          <w:sz w:val="22"/>
          <w:szCs w:val="22"/>
        </w:rPr>
        <w:t xml:space="preserve"> background information on governance in Yemen. The traditional governance structure differs significantly from the Westphalian system, which is prevalent in Western Europe, where there is one sovereign entity that is concerned with all matters of state within the borders of a nation-state (Teschke, 2002). Governance in Yemen has been characterized by tribalism, long predating structures of governance</w:t>
      </w:r>
      <w:r w:rsidR="003658A1" w:rsidRPr="00742342">
        <w:rPr>
          <w:rFonts w:ascii="Open Sans" w:hAnsi="Open Sans" w:cs="Open Sans"/>
          <w:color w:val="000000" w:themeColor="text1"/>
          <w:sz w:val="22"/>
          <w:szCs w:val="22"/>
        </w:rPr>
        <w:t xml:space="preserve"> that are more prevalent in Western Europe</w:t>
      </w:r>
      <w:r w:rsidRPr="00742342">
        <w:rPr>
          <w:rStyle w:val="FootnoteReference"/>
          <w:rFonts w:ascii="Open Sans" w:hAnsi="Open Sans" w:cs="Open Sans"/>
          <w:color w:val="000000" w:themeColor="text1"/>
          <w:sz w:val="22"/>
          <w:szCs w:val="22"/>
        </w:rPr>
        <w:footnoteReference w:id="18"/>
      </w:r>
      <w:r w:rsidRPr="00742342">
        <w:rPr>
          <w:rFonts w:ascii="Open Sans" w:hAnsi="Open Sans" w:cs="Open Sans"/>
          <w:color w:val="000000" w:themeColor="text1"/>
          <w:sz w:val="22"/>
          <w:szCs w:val="22"/>
        </w:rPr>
        <w:t>. The presence of tribalism in governance gives Yemen a unique dual-governance structure (</w:t>
      </w:r>
      <w:proofErr w:type="spellStart"/>
      <w:r w:rsidRPr="00742342">
        <w:rPr>
          <w:rFonts w:ascii="Open Sans" w:hAnsi="Open Sans" w:cs="Open Sans"/>
          <w:color w:val="000000" w:themeColor="text1"/>
          <w:sz w:val="22"/>
          <w:szCs w:val="22"/>
        </w:rPr>
        <w:t>Palik</w:t>
      </w:r>
      <w:proofErr w:type="spellEnd"/>
      <w:r w:rsidRPr="00742342">
        <w:rPr>
          <w:rFonts w:ascii="Open Sans" w:hAnsi="Open Sans" w:cs="Open Sans"/>
          <w:color w:val="000000" w:themeColor="text1"/>
          <w:sz w:val="22"/>
          <w:szCs w:val="22"/>
        </w:rPr>
        <w:t>, 2017, p. 46). Historically, local governance by tribes has been prevalent in most of Yemen, especially in the former Yemen Arab Republic</w:t>
      </w:r>
      <w:r w:rsidRPr="00742342">
        <w:rPr>
          <w:rStyle w:val="FootnoteReference"/>
          <w:rFonts w:ascii="Open Sans" w:hAnsi="Open Sans" w:cs="Open Sans"/>
          <w:color w:val="000000" w:themeColor="text1"/>
          <w:sz w:val="22"/>
          <w:szCs w:val="22"/>
        </w:rPr>
        <w:footnoteReference w:id="19"/>
      </w:r>
      <w:r w:rsidRPr="00742342">
        <w:rPr>
          <w:rFonts w:ascii="Open Sans" w:hAnsi="Open Sans" w:cs="Open Sans"/>
          <w:color w:val="000000" w:themeColor="text1"/>
          <w:sz w:val="22"/>
          <w:szCs w:val="22"/>
        </w:rPr>
        <w:t>.</w:t>
      </w:r>
    </w:p>
    <w:p w14:paraId="042F9A29" w14:textId="77777777" w:rsidR="00C248F7" w:rsidRPr="00742342" w:rsidRDefault="00C248F7" w:rsidP="00AC21C6">
      <w:pPr>
        <w:spacing w:line="276" w:lineRule="auto"/>
        <w:jc w:val="both"/>
        <w:rPr>
          <w:rFonts w:ascii="Open Sans" w:hAnsi="Open Sans" w:cs="Open Sans"/>
          <w:color w:val="000000" w:themeColor="text1"/>
          <w:sz w:val="22"/>
          <w:szCs w:val="22"/>
        </w:rPr>
      </w:pPr>
    </w:p>
    <w:p w14:paraId="3139CABF" w14:textId="64987DC3" w:rsidR="00C248F7"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Tribal leadership in Yemen is rooted in a social system of loyalty and regionality (Al-Dawsari, 2012). Tribes have significant influence over their respective territories and often perform tasks normally associated with national governance (Al-Dawsari, 2012). Good relations between relevant tribal leadership and the president of the Yemeni Republic are therefore important for the stability of governance in Yemen (Ibid, 2012). The Houthi movement, with their ideological foundation deeply rooted in specific tribal culture, was engaged with the ousted president of the Yemeni Republic, Ali Abdullah </w:t>
      </w:r>
      <w:r w:rsidRPr="00742342">
        <w:rPr>
          <w:rFonts w:ascii="Open Sans" w:hAnsi="Open Sans" w:cs="Open Sans"/>
          <w:color w:val="000000" w:themeColor="text1"/>
          <w:sz w:val="22"/>
          <w:szCs w:val="22"/>
        </w:rPr>
        <w:lastRenderedPageBreak/>
        <w:t>Saleh. (</w:t>
      </w:r>
      <w:proofErr w:type="spellStart"/>
      <w:r w:rsidRPr="00742342">
        <w:rPr>
          <w:rFonts w:ascii="Open Sans" w:hAnsi="Open Sans" w:cs="Open Sans"/>
          <w:color w:val="000000" w:themeColor="text1"/>
          <w:sz w:val="22"/>
          <w:szCs w:val="22"/>
        </w:rPr>
        <w:t>Palik</w:t>
      </w:r>
      <w:proofErr w:type="spellEnd"/>
      <w:r w:rsidRPr="00742342">
        <w:rPr>
          <w:rFonts w:ascii="Open Sans" w:hAnsi="Open Sans" w:cs="Open Sans"/>
          <w:color w:val="000000" w:themeColor="text1"/>
          <w:sz w:val="22"/>
          <w:szCs w:val="22"/>
        </w:rPr>
        <w:t xml:space="preserve">, 2017). The intervention of the Saudi-led coalition caused a change of </w:t>
      </w:r>
      <w:r w:rsidR="003658A1" w:rsidRPr="00742342">
        <w:rPr>
          <w:rFonts w:ascii="Open Sans" w:hAnsi="Open Sans" w:cs="Open Sans"/>
          <w:color w:val="000000" w:themeColor="text1"/>
          <w:sz w:val="22"/>
          <w:szCs w:val="22"/>
        </w:rPr>
        <w:t>allegiance</w:t>
      </w:r>
      <w:r w:rsidRPr="00742342">
        <w:rPr>
          <w:rFonts w:ascii="Open Sans" w:hAnsi="Open Sans" w:cs="Open Sans"/>
          <w:color w:val="000000" w:themeColor="text1"/>
          <w:sz w:val="22"/>
          <w:szCs w:val="22"/>
        </w:rPr>
        <w:t xml:space="preserve"> for former President Saleh, leading to a fierce conflict between the Saudi-led coalition aiming to reinstate President Saleh, and the Houthi movement (Johnston et al., 2020). The events following this struggle for power and governance are characterized as the Yemeni civil war (2014 – present), which plummeted the country into the largest humanitarian crisis in the world (United Nations Yemen &amp; Office of the Special Envoy of the Secretary-General for Yemen., n.d.). This crisis led to further involvement of the United Nations (Alterman &amp; Center for Strategic &amp; International Studies, 2022). The following timeline will provide insight into the undertakings of the United Nations in Yemen, by indicating key moments that defined the presence of the UN in the Yemeni civil war. The timeline will serve as the basis for the process tracing analysis in the empirical analysis. </w:t>
      </w:r>
    </w:p>
    <w:p w14:paraId="1123CF8A" w14:textId="77777777" w:rsidR="00C248F7" w:rsidRPr="00742342" w:rsidRDefault="00C248F7" w:rsidP="00AC21C6">
      <w:pPr>
        <w:spacing w:line="276" w:lineRule="auto"/>
        <w:rPr>
          <w:rFonts w:ascii="Open Sans" w:hAnsi="Open Sans" w:cs="Open Sans"/>
          <w:color w:val="000000" w:themeColor="text1"/>
          <w:sz w:val="22"/>
          <w:szCs w:val="22"/>
        </w:rPr>
      </w:pPr>
    </w:p>
    <w:p w14:paraId="6CD8A40A" w14:textId="77777777" w:rsidR="00EC44B1" w:rsidRPr="00742342" w:rsidRDefault="00EC44B1" w:rsidP="00AC21C6">
      <w:pPr>
        <w:spacing w:line="276" w:lineRule="auto"/>
        <w:rPr>
          <w:rFonts w:ascii="Open Sans" w:hAnsi="Open Sans" w:cs="Open Sans"/>
          <w:color w:val="000000" w:themeColor="text1"/>
          <w:sz w:val="22"/>
          <w:szCs w:val="22"/>
        </w:rPr>
      </w:pPr>
    </w:p>
    <w:p w14:paraId="5495C084" w14:textId="18C20DC6" w:rsidR="00EC44B1" w:rsidRPr="00742342" w:rsidRDefault="00EC44B1" w:rsidP="003E2BDE">
      <w:pPr>
        <w:pStyle w:val="Heading2"/>
        <w:numPr>
          <w:ilvl w:val="1"/>
          <w:numId w:val="7"/>
        </w:numPr>
        <w:spacing w:line="276" w:lineRule="auto"/>
        <w:rPr>
          <w:rFonts w:ascii="Open Sans" w:hAnsi="Open Sans" w:cs="Open Sans"/>
          <w:color w:val="000000" w:themeColor="text1"/>
          <w:sz w:val="24"/>
          <w:szCs w:val="24"/>
        </w:rPr>
      </w:pPr>
      <w:bookmarkStart w:id="88" w:name="_Toc136706602"/>
      <w:bookmarkStart w:id="89" w:name="_Toc138247510"/>
      <w:r w:rsidRPr="00742342">
        <w:rPr>
          <w:rFonts w:ascii="Open Sans" w:hAnsi="Open Sans" w:cs="Open Sans"/>
          <w:color w:val="000000" w:themeColor="text1"/>
          <w:sz w:val="24"/>
          <w:szCs w:val="24"/>
        </w:rPr>
        <w:t>Timeline of the involvement of the United Nations in the Yemeni civil war</w:t>
      </w:r>
      <w:bookmarkEnd w:id="88"/>
      <w:bookmarkEnd w:id="89"/>
    </w:p>
    <w:p w14:paraId="5CE93A1D" w14:textId="77777777" w:rsidR="00EC44B1" w:rsidRPr="00742342" w:rsidRDefault="00EC44B1" w:rsidP="00AC21C6">
      <w:pPr>
        <w:spacing w:line="276" w:lineRule="auto"/>
        <w:rPr>
          <w:rFonts w:ascii="Open Sans" w:hAnsi="Open Sans" w:cs="Open Sans"/>
          <w:color w:val="000000" w:themeColor="text1"/>
          <w:sz w:val="22"/>
          <w:szCs w:val="22"/>
        </w:rPr>
      </w:pPr>
    </w:p>
    <w:p w14:paraId="4332F878" w14:textId="03921005" w:rsidR="00C248F7" w:rsidRPr="00742342" w:rsidRDefault="00C248F7" w:rsidP="00AC21C6">
      <w:pPr>
        <w:spacing w:line="276" w:lineRule="auto"/>
        <w:rPr>
          <w:rFonts w:ascii="Open Sans" w:hAnsi="Open Sans" w:cs="Open Sans"/>
          <w:color w:val="000000" w:themeColor="text1"/>
        </w:rPr>
      </w:pPr>
      <w:bookmarkStart w:id="90" w:name="_Toc136372405"/>
      <w:r w:rsidRPr="00742342">
        <w:rPr>
          <w:rFonts w:ascii="Open Sans" w:hAnsi="Open Sans" w:cs="Open Sans"/>
          <w:color w:val="000000" w:themeColor="text1"/>
        </w:rPr>
        <w:t>Pre-2014</w:t>
      </w:r>
      <w:bookmarkEnd w:id="90"/>
    </w:p>
    <w:p w14:paraId="1572F41B" w14:textId="07A61AF5" w:rsidR="00C248F7"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involvement of the United Nations in Yemen started long before the 2014 political crisis that escalated to the civil war (United Nations Yemen &amp; Office of the Special Envoy of the Secretary-General for Yemen., n.d.). The United Nations were concerned with maintaining political stability, social-economic development, and the achievement of the United Nations Sustainable Development Goals</w:t>
      </w:r>
      <w:r w:rsidRPr="00742342">
        <w:rPr>
          <w:rStyle w:val="FootnoteReference"/>
          <w:rFonts w:ascii="Open Sans" w:hAnsi="Open Sans" w:cs="Open Sans"/>
          <w:color w:val="000000" w:themeColor="text1"/>
          <w:sz w:val="22"/>
          <w:szCs w:val="22"/>
        </w:rPr>
        <w:footnoteReference w:id="20"/>
      </w:r>
      <w:r w:rsidRPr="00742342">
        <w:rPr>
          <w:rFonts w:ascii="Open Sans" w:hAnsi="Open Sans" w:cs="Open Sans"/>
          <w:color w:val="000000" w:themeColor="text1"/>
          <w:sz w:val="22"/>
          <w:szCs w:val="22"/>
        </w:rPr>
        <w:t xml:space="preserve"> (Ibid, n.d.). From as early as 2008, the Houthi movement challenged the authority of the Yemeni government, using violence as means of getting more influence over the local population and territory. (Alterman &amp; Center for Strategic &amp; International Studies, 2022) The Yemini revolution</w:t>
      </w:r>
      <w:r w:rsidRPr="00742342">
        <w:rPr>
          <w:rStyle w:val="FootnoteReference"/>
          <w:rFonts w:ascii="Open Sans" w:hAnsi="Open Sans" w:cs="Open Sans"/>
          <w:color w:val="000000" w:themeColor="text1"/>
          <w:sz w:val="22"/>
          <w:szCs w:val="22"/>
        </w:rPr>
        <w:footnoteReference w:id="21"/>
      </w:r>
      <w:r w:rsidRPr="00742342">
        <w:rPr>
          <w:rFonts w:ascii="Open Sans" w:hAnsi="Open Sans" w:cs="Open Sans"/>
          <w:color w:val="000000" w:themeColor="text1"/>
          <w:sz w:val="22"/>
          <w:szCs w:val="22"/>
        </w:rPr>
        <w:t xml:space="preserve"> (2011 – 2012), ushered in an era of escalating political instability and change. President Saleh was forced to abduct, and Vice-President Abdrabbuh Mansur Hadi assumed power on the 27</w:t>
      </w:r>
      <w:r w:rsidRPr="00742342">
        <w:rPr>
          <w:rFonts w:ascii="Open Sans" w:hAnsi="Open Sans" w:cs="Open Sans"/>
          <w:color w:val="000000" w:themeColor="text1"/>
          <w:sz w:val="22"/>
          <w:szCs w:val="22"/>
          <w:vertAlign w:val="superscript"/>
        </w:rPr>
        <w:t>th</w:t>
      </w:r>
      <w:r w:rsidRPr="00742342">
        <w:rPr>
          <w:rFonts w:ascii="Open Sans" w:hAnsi="Open Sans" w:cs="Open Sans"/>
          <w:color w:val="000000" w:themeColor="text1"/>
          <w:sz w:val="22"/>
          <w:szCs w:val="22"/>
        </w:rPr>
        <w:t xml:space="preserve"> of February 2012 (Johnston et al., 2020). The Houthi movement gained attraction from other armed militias challenging the central government and was continually growing in numbers (Batati, 2015; Johnston et al., 2020). The movement has been in conflict with the Yemeni military since 2004, but tensions were rising amidst political unrest (Hill, 2017).</w:t>
      </w:r>
    </w:p>
    <w:p w14:paraId="226261C3" w14:textId="77777777" w:rsidR="002A3EE7" w:rsidRPr="00742342" w:rsidRDefault="002A3EE7" w:rsidP="00AC21C6">
      <w:pPr>
        <w:spacing w:line="276" w:lineRule="auto"/>
        <w:jc w:val="both"/>
        <w:rPr>
          <w:rFonts w:ascii="Open Sans" w:hAnsi="Open Sans" w:cs="Open Sans"/>
          <w:color w:val="000000" w:themeColor="text1"/>
          <w:sz w:val="22"/>
          <w:szCs w:val="22"/>
        </w:rPr>
      </w:pPr>
    </w:p>
    <w:p w14:paraId="1CF37797" w14:textId="5AD0064E" w:rsidR="006C4CE3" w:rsidRPr="00742342" w:rsidRDefault="00641D4E"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w:t>
      </w:r>
      <w:r w:rsidR="00F60BF5" w:rsidRPr="00742342">
        <w:rPr>
          <w:rFonts w:ascii="Open Sans" w:hAnsi="Open Sans" w:cs="Open Sans"/>
          <w:color w:val="000000" w:themeColor="text1"/>
          <w:sz w:val="22"/>
          <w:szCs w:val="22"/>
        </w:rPr>
        <w:t>Office of the Special Envoy of the Secretary-General for Yemen was founded in 2012, with the</w:t>
      </w:r>
      <w:r w:rsidR="00893E2D">
        <w:rPr>
          <w:rFonts w:ascii="Open Sans" w:hAnsi="Open Sans" w:cs="Open Sans"/>
          <w:color w:val="000000" w:themeColor="text1"/>
          <w:sz w:val="22"/>
          <w:szCs w:val="22"/>
        </w:rPr>
        <w:t xml:space="preserve"> </w:t>
      </w:r>
      <w:r w:rsidR="00F60BF5" w:rsidRPr="00742342">
        <w:rPr>
          <w:rFonts w:ascii="Open Sans" w:hAnsi="Open Sans" w:cs="Open Sans"/>
          <w:color w:val="000000" w:themeColor="text1"/>
          <w:sz w:val="22"/>
          <w:szCs w:val="22"/>
        </w:rPr>
        <w:t>purpose of supporting the Secretary-General in Yemen</w:t>
      </w:r>
      <w:r w:rsidR="00B43F25" w:rsidRPr="00742342">
        <w:rPr>
          <w:rFonts w:ascii="Open Sans" w:hAnsi="Open Sans" w:cs="Open Sans"/>
          <w:color w:val="000000" w:themeColor="text1"/>
          <w:sz w:val="22"/>
          <w:szCs w:val="22"/>
        </w:rPr>
        <w:t>.</w:t>
      </w:r>
      <w:r w:rsidR="008B3207" w:rsidRPr="00742342">
        <w:rPr>
          <w:rFonts w:ascii="Open Sans" w:hAnsi="Open Sans" w:cs="Open Sans"/>
          <w:color w:val="000000" w:themeColor="text1"/>
          <w:sz w:val="22"/>
          <w:szCs w:val="22"/>
        </w:rPr>
        <w:t xml:space="preserve"> The OSESGY </w:t>
      </w:r>
      <w:r w:rsidR="004B659B" w:rsidRPr="00742342">
        <w:rPr>
          <w:rFonts w:ascii="Open Sans" w:hAnsi="Open Sans" w:cs="Open Sans"/>
          <w:color w:val="000000" w:themeColor="text1"/>
          <w:sz w:val="22"/>
          <w:szCs w:val="22"/>
        </w:rPr>
        <w:t xml:space="preserve">supports </w:t>
      </w:r>
      <w:r w:rsidR="004B659B" w:rsidRPr="00742342">
        <w:rPr>
          <w:rFonts w:ascii="Open Sans" w:hAnsi="Open Sans" w:cs="Open Sans"/>
          <w:color w:val="000000" w:themeColor="text1"/>
          <w:sz w:val="22"/>
          <w:szCs w:val="22"/>
        </w:rPr>
        <w:lastRenderedPageBreak/>
        <w:t xml:space="preserve">the process towards a peaceful resolution of </w:t>
      </w:r>
      <w:r w:rsidR="001022BA" w:rsidRPr="00742342">
        <w:rPr>
          <w:rFonts w:ascii="Open Sans" w:hAnsi="Open Sans" w:cs="Open Sans"/>
          <w:color w:val="000000" w:themeColor="text1"/>
          <w:sz w:val="22"/>
          <w:szCs w:val="22"/>
        </w:rPr>
        <w:t xml:space="preserve">the political conflicts that had evolved from protests surrounding the </w:t>
      </w:r>
      <w:r w:rsidR="006C4CE3" w:rsidRPr="00742342">
        <w:rPr>
          <w:rFonts w:ascii="Open Sans" w:hAnsi="Open Sans" w:cs="Open Sans"/>
          <w:color w:val="000000" w:themeColor="text1"/>
          <w:sz w:val="22"/>
          <w:szCs w:val="22"/>
        </w:rPr>
        <w:t>change of presidency.</w:t>
      </w:r>
    </w:p>
    <w:p w14:paraId="56E53A54" w14:textId="784F8021" w:rsidR="00B43F25" w:rsidRPr="00742342" w:rsidRDefault="006C4CE3"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 </w:t>
      </w:r>
    </w:p>
    <w:p w14:paraId="2DA7BC4C" w14:textId="77777777" w:rsidR="00C248F7" w:rsidRPr="00742342" w:rsidRDefault="00C248F7" w:rsidP="00AC21C6">
      <w:pPr>
        <w:spacing w:line="276" w:lineRule="auto"/>
        <w:rPr>
          <w:rFonts w:ascii="Open Sans" w:hAnsi="Open Sans" w:cs="Open Sans"/>
          <w:color w:val="000000" w:themeColor="text1"/>
        </w:rPr>
      </w:pPr>
      <w:bookmarkStart w:id="91" w:name="_Toc136372406"/>
      <w:r w:rsidRPr="00742342">
        <w:rPr>
          <w:rFonts w:ascii="Open Sans" w:hAnsi="Open Sans" w:cs="Open Sans"/>
          <w:color w:val="000000" w:themeColor="text1"/>
        </w:rPr>
        <w:t>2014</w:t>
      </w:r>
      <w:bookmarkEnd w:id="91"/>
    </w:p>
    <w:p w14:paraId="16EF78F8" w14:textId="5B719DAF" w:rsidR="00C248F7"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politically volatile situation escalated when the Houthi movement invaded the capital Sana’a and gained control over its territory (Sharp, 2019). As the Houthi’s forcefully gained more political influence, President Hadi was forced to resign</w:t>
      </w:r>
      <w:r w:rsidR="0000082F">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 and</w:t>
      </w:r>
      <w:r w:rsidR="0000082F">
        <w:rPr>
          <w:rFonts w:ascii="Open Sans" w:hAnsi="Open Sans" w:cs="Open Sans"/>
          <w:color w:val="000000" w:themeColor="text1"/>
          <w:sz w:val="22"/>
          <w:szCs w:val="22"/>
        </w:rPr>
        <w:t xml:space="preserve"> was</w:t>
      </w:r>
      <w:r w:rsidRPr="00742342">
        <w:rPr>
          <w:rFonts w:ascii="Open Sans" w:hAnsi="Open Sans" w:cs="Open Sans"/>
          <w:color w:val="000000" w:themeColor="text1"/>
          <w:sz w:val="22"/>
          <w:szCs w:val="22"/>
        </w:rPr>
        <w:t xml:space="preserve"> put under house arrest (Ibid, 2019). The United Nations Security Council</w:t>
      </w:r>
      <w:r w:rsidR="006C4CE3" w:rsidRPr="00742342">
        <w:rPr>
          <w:rFonts w:ascii="Open Sans" w:hAnsi="Open Sans" w:cs="Open Sans"/>
          <w:color w:val="000000" w:themeColor="text1"/>
          <w:sz w:val="22"/>
          <w:szCs w:val="22"/>
        </w:rPr>
        <w:t xml:space="preserve"> and the OSESGY</w:t>
      </w:r>
      <w:r w:rsidRPr="00742342">
        <w:rPr>
          <w:rFonts w:ascii="Open Sans" w:hAnsi="Open Sans" w:cs="Open Sans"/>
          <w:color w:val="000000" w:themeColor="text1"/>
          <w:sz w:val="22"/>
          <w:szCs w:val="22"/>
        </w:rPr>
        <w:t xml:space="preserve"> condemned the actions taken by the Houthi movement by stating that it fully supports the leadership of the President Hadi (UN Security Council, 2014). In the following months the Houthi’s gained more territory on the Yemeni military forces. The United Nations security council condemned the advancement of the Houthi’s and urged all involved factions to work together to find a diplomatic solution, which eventually could not be realized. </w:t>
      </w:r>
    </w:p>
    <w:p w14:paraId="600232CC" w14:textId="77777777" w:rsidR="00B3429B" w:rsidRPr="00742342" w:rsidRDefault="00B3429B" w:rsidP="00AC21C6">
      <w:pPr>
        <w:spacing w:line="276" w:lineRule="auto"/>
        <w:jc w:val="both"/>
        <w:rPr>
          <w:rFonts w:ascii="Open Sans" w:hAnsi="Open Sans" w:cs="Open Sans"/>
          <w:color w:val="000000" w:themeColor="text1"/>
          <w:sz w:val="22"/>
          <w:szCs w:val="22"/>
        </w:rPr>
      </w:pPr>
    </w:p>
    <w:p w14:paraId="3D50CE79" w14:textId="30BB1BBE" w:rsidR="00446D92" w:rsidRPr="00742342" w:rsidRDefault="00D72BB2"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w:t>
      </w:r>
      <w:r w:rsidR="00B63336" w:rsidRPr="00742342">
        <w:rPr>
          <w:rFonts w:ascii="Open Sans" w:hAnsi="Open Sans" w:cs="Open Sans"/>
          <w:color w:val="000000" w:themeColor="text1"/>
          <w:sz w:val="22"/>
          <w:szCs w:val="22"/>
        </w:rPr>
        <w:t>OSESGY and the UN Security Council, as well as the UN Secretariat</w:t>
      </w:r>
      <w:r w:rsidR="008702BA">
        <w:rPr>
          <w:rFonts w:ascii="Open Sans" w:hAnsi="Open Sans" w:cs="Open Sans"/>
          <w:color w:val="000000" w:themeColor="text1"/>
          <w:sz w:val="22"/>
          <w:szCs w:val="22"/>
        </w:rPr>
        <w:t>,</w:t>
      </w:r>
      <w:r w:rsidR="00B63336" w:rsidRPr="00742342">
        <w:rPr>
          <w:rFonts w:ascii="Open Sans" w:hAnsi="Open Sans" w:cs="Open Sans"/>
          <w:color w:val="000000" w:themeColor="text1"/>
          <w:sz w:val="22"/>
          <w:szCs w:val="22"/>
        </w:rPr>
        <w:t xml:space="preserve"> condemned the violent uprising in Yemen. A combined statement by the OSESGY and the Council stated that the UN was persistent in achieving a peaceful restoration of power for </w:t>
      </w:r>
      <w:r w:rsidR="00F87496" w:rsidRPr="00742342">
        <w:rPr>
          <w:rFonts w:ascii="Open Sans" w:hAnsi="Open Sans" w:cs="Open Sans"/>
          <w:color w:val="000000" w:themeColor="text1"/>
          <w:sz w:val="22"/>
          <w:szCs w:val="22"/>
        </w:rPr>
        <w:t>President</w:t>
      </w:r>
      <w:r w:rsidR="00B63336" w:rsidRPr="00742342">
        <w:rPr>
          <w:rFonts w:ascii="Open Sans" w:hAnsi="Open Sans" w:cs="Open Sans"/>
          <w:color w:val="000000" w:themeColor="text1"/>
          <w:sz w:val="22"/>
          <w:szCs w:val="22"/>
        </w:rPr>
        <w:t xml:space="preserve"> Hadi</w:t>
      </w:r>
      <w:r w:rsidR="00DE3117" w:rsidRPr="00742342">
        <w:rPr>
          <w:rFonts w:ascii="Open Sans" w:hAnsi="Open Sans" w:cs="Open Sans"/>
          <w:color w:val="000000" w:themeColor="text1"/>
          <w:sz w:val="22"/>
          <w:szCs w:val="22"/>
        </w:rPr>
        <w:t xml:space="preserve">. The Houthi movement was largely held responsible for the rise of violent conflict. Multiple member-states of the United Nations </w:t>
      </w:r>
      <w:r w:rsidR="0073511C" w:rsidRPr="00742342">
        <w:rPr>
          <w:rFonts w:ascii="Open Sans" w:hAnsi="Open Sans" w:cs="Open Sans"/>
          <w:color w:val="000000" w:themeColor="text1"/>
          <w:sz w:val="22"/>
          <w:szCs w:val="22"/>
        </w:rPr>
        <w:t xml:space="preserve">made statements announcing their ambitions to condemn the Houthi </w:t>
      </w:r>
      <w:r w:rsidR="0002497A" w:rsidRPr="00742342">
        <w:rPr>
          <w:rFonts w:ascii="Open Sans" w:hAnsi="Open Sans" w:cs="Open Sans"/>
          <w:color w:val="000000" w:themeColor="text1"/>
          <w:sz w:val="22"/>
          <w:szCs w:val="22"/>
        </w:rPr>
        <w:t>movement and</w:t>
      </w:r>
      <w:r w:rsidR="0073511C" w:rsidRPr="00742342">
        <w:rPr>
          <w:rFonts w:ascii="Open Sans" w:hAnsi="Open Sans" w:cs="Open Sans"/>
          <w:color w:val="000000" w:themeColor="text1"/>
          <w:sz w:val="22"/>
          <w:szCs w:val="22"/>
        </w:rPr>
        <w:t xml:space="preserve"> designate them as a terrorist group </w:t>
      </w:r>
      <w:r w:rsidR="00D871B3" w:rsidRPr="00742342">
        <w:rPr>
          <w:rFonts w:ascii="Open Sans" w:hAnsi="Open Sans" w:cs="Open Sans"/>
          <w:color w:val="000000" w:themeColor="text1"/>
          <w:sz w:val="22"/>
          <w:szCs w:val="22"/>
        </w:rPr>
        <w:t>(</w:t>
      </w:r>
      <w:proofErr w:type="spellStart"/>
      <w:r w:rsidR="00D871B3" w:rsidRPr="00742342">
        <w:rPr>
          <w:rFonts w:ascii="Open Sans" w:hAnsi="Open Sans" w:cs="Open Sans"/>
          <w:color w:val="000000" w:themeColor="text1"/>
          <w:sz w:val="22"/>
          <w:szCs w:val="22"/>
        </w:rPr>
        <w:t>Spetalnick</w:t>
      </w:r>
      <w:proofErr w:type="spellEnd"/>
      <w:r w:rsidR="00D871B3" w:rsidRPr="00742342">
        <w:rPr>
          <w:rFonts w:ascii="Open Sans" w:hAnsi="Open Sans" w:cs="Open Sans"/>
          <w:color w:val="000000" w:themeColor="text1"/>
          <w:sz w:val="22"/>
          <w:szCs w:val="22"/>
        </w:rPr>
        <w:t>, 2021)</w:t>
      </w:r>
      <w:r w:rsidR="0073511C" w:rsidRPr="00742342">
        <w:rPr>
          <w:rFonts w:ascii="Open Sans" w:hAnsi="Open Sans" w:cs="Open Sans"/>
          <w:color w:val="000000" w:themeColor="text1"/>
          <w:sz w:val="22"/>
          <w:szCs w:val="22"/>
        </w:rPr>
        <w:t xml:space="preserve">. This designation </w:t>
      </w:r>
      <w:r w:rsidR="0002497A" w:rsidRPr="00742342">
        <w:rPr>
          <w:rFonts w:ascii="Open Sans" w:hAnsi="Open Sans" w:cs="Open Sans"/>
          <w:color w:val="000000" w:themeColor="text1"/>
          <w:sz w:val="22"/>
          <w:szCs w:val="22"/>
        </w:rPr>
        <w:t xml:space="preserve">would have serious implications for the dialogue between the Houthi’s and the opposing factions. </w:t>
      </w:r>
    </w:p>
    <w:p w14:paraId="7C006EE6" w14:textId="77777777" w:rsidR="00C248F7" w:rsidRPr="00742342" w:rsidRDefault="00C248F7" w:rsidP="00AC21C6">
      <w:pPr>
        <w:spacing w:line="276" w:lineRule="auto"/>
        <w:jc w:val="both"/>
        <w:rPr>
          <w:rFonts w:ascii="Open Sans" w:hAnsi="Open Sans" w:cs="Open Sans"/>
          <w:color w:val="000000" w:themeColor="text1"/>
          <w:sz w:val="22"/>
          <w:szCs w:val="22"/>
        </w:rPr>
      </w:pPr>
    </w:p>
    <w:p w14:paraId="37AB5F39" w14:textId="77777777" w:rsidR="00C248F7" w:rsidRPr="00742342" w:rsidRDefault="00C248F7" w:rsidP="00AC21C6">
      <w:pPr>
        <w:spacing w:line="276" w:lineRule="auto"/>
        <w:rPr>
          <w:rFonts w:ascii="Open Sans" w:hAnsi="Open Sans" w:cs="Open Sans"/>
          <w:color w:val="000000" w:themeColor="text1"/>
        </w:rPr>
      </w:pPr>
      <w:bookmarkStart w:id="92" w:name="_Toc136372407"/>
      <w:r w:rsidRPr="00742342">
        <w:rPr>
          <w:rFonts w:ascii="Open Sans" w:hAnsi="Open Sans" w:cs="Open Sans"/>
          <w:color w:val="000000" w:themeColor="text1"/>
        </w:rPr>
        <w:t>2015</w:t>
      </w:r>
      <w:bookmarkEnd w:id="92"/>
    </w:p>
    <w:p w14:paraId="31A05EAA" w14:textId="3C80E77B" w:rsidR="00024C02" w:rsidRPr="00742342" w:rsidRDefault="00F66009"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Following the rapid uprise of Houthi governance starting from the north of Yemen, </w:t>
      </w:r>
      <w:r w:rsidR="00AB2E50" w:rsidRPr="00742342">
        <w:rPr>
          <w:rFonts w:ascii="Open Sans" w:hAnsi="Open Sans" w:cs="Open Sans"/>
          <w:color w:val="000000" w:themeColor="text1"/>
          <w:sz w:val="22"/>
          <w:szCs w:val="22"/>
        </w:rPr>
        <w:t xml:space="preserve">the movement controlled </w:t>
      </w:r>
      <w:r w:rsidR="00F52D8E" w:rsidRPr="00742342">
        <w:rPr>
          <w:rFonts w:ascii="Open Sans" w:hAnsi="Open Sans" w:cs="Open Sans"/>
          <w:color w:val="000000" w:themeColor="text1"/>
          <w:sz w:val="22"/>
          <w:szCs w:val="22"/>
        </w:rPr>
        <w:t>most of the</w:t>
      </w:r>
      <w:r w:rsidR="00AB2E50" w:rsidRPr="00742342">
        <w:rPr>
          <w:rFonts w:ascii="Open Sans" w:hAnsi="Open Sans" w:cs="Open Sans"/>
          <w:color w:val="000000" w:themeColor="text1"/>
          <w:sz w:val="22"/>
          <w:szCs w:val="22"/>
        </w:rPr>
        <w:t xml:space="preserve"> Yemeni territory by 2015.</w:t>
      </w:r>
      <w:r w:rsidR="00F52D8E" w:rsidRPr="00742342">
        <w:rPr>
          <w:rFonts w:ascii="Open Sans" w:hAnsi="Open Sans" w:cs="Open Sans"/>
          <w:color w:val="000000" w:themeColor="text1"/>
          <w:sz w:val="22"/>
          <w:szCs w:val="22"/>
        </w:rPr>
        <w:t xml:space="preserve"> The UN Security Council, with cooperation of the OSESGY, released resolution 2201</w:t>
      </w:r>
      <w:r w:rsidR="000402CD" w:rsidRPr="00742342">
        <w:rPr>
          <w:rFonts w:ascii="Open Sans" w:hAnsi="Open Sans" w:cs="Open Sans"/>
          <w:color w:val="000000" w:themeColor="text1"/>
          <w:sz w:val="22"/>
          <w:szCs w:val="22"/>
        </w:rPr>
        <w:t xml:space="preserve">, condemning the </w:t>
      </w:r>
      <w:r w:rsidR="00024C02" w:rsidRPr="00742342">
        <w:rPr>
          <w:rFonts w:ascii="Open Sans" w:hAnsi="Open Sans" w:cs="Open Sans"/>
          <w:color w:val="000000" w:themeColor="text1"/>
          <w:sz w:val="22"/>
          <w:szCs w:val="22"/>
        </w:rPr>
        <w:t>dissolvement of parliament and the Houthi takeover of government institutions (United Nations Security Council, 2015</w:t>
      </w:r>
      <w:r w:rsidR="00906169" w:rsidRPr="00742342">
        <w:rPr>
          <w:rFonts w:ascii="Open Sans" w:hAnsi="Open Sans" w:cs="Open Sans"/>
          <w:color w:val="000000" w:themeColor="text1"/>
          <w:sz w:val="22"/>
          <w:szCs w:val="22"/>
        </w:rPr>
        <w:t>a</w:t>
      </w:r>
      <w:r w:rsidR="00024C02" w:rsidRPr="00742342">
        <w:rPr>
          <w:rFonts w:ascii="Open Sans" w:hAnsi="Open Sans" w:cs="Open Sans"/>
          <w:color w:val="000000" w:themeColor="text1"/>
          <w:sz w:val="22"/>
          <w:szCs w:val="22"/>
        </w:rPr>
        <w:t xml:space="preserve">). </w:t>
      </w:r>
      <w:r w:rsidR="00C248F7" w:rsidRPr="00742342">
        <w:rPr>
          <w:rFonts w:ascii="Open Sans" w:hAnsi="Open Sans" w:cs="Open Sans"/>
          <w:color w:val="000000" w:themeColor="text1"/>
          <w:sz w:val="22"/>
          <w:szCs w:val="22"/>
        </w:rPr>
        <w:t xml:space="preserve">The Houthi movement organized themselves into the Supreme Political Council (SPC), seeking legitimacy from tribes, religious groups, and militias to form a new government for the Republic of Yemen (Alterman &amp; Center for Strategic &amp; International Studies, 2022; Council on Foreign Relations, 2022). </w:t>
      </w:r>
    </w:p>
    <w:p w14:paraId="23DA74FA" w14:textId="77777777" w:rsidR="00024C02" w:rsidRPr="00742342" w:rsidRDefault="00024C02" w:rsidP="00AC21C6">
      <w:pPr>
        <w:spacing w:line="276" w:lineRule="auto"/>
        <w:jc w:val="both"/>
        <w:rPr>
          <w:rFonts w:ascii="Open Sans" w:hAnsi="Open Sans" w:cs="Open Sans"/>
          <w:color w:val="000000" w:themeColor="text1"/>
          <w:sz w:val="22"/>
          <w:szCs w:val="22"/>
        </w:rPr>
      </w:pPr>
    </w:p>
    <w:p w14:paraId="579D92F1" w14:textId="29CC3285" w:rsidR="00C248F7"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President Hadi responded to the creation of the SPC by calling on foreign nation-states to back his ambitions to return as the Yemeni President (Ibid, 2022). This call was answered by a coalition of 9 countries, led by Saudi-Arabia. This coalition launched operation ‘Decisive Storm’, consisting of aerial bombing of Houthi-controlled Yemen, and was later extended into a large-scale naval blockade (Buys &amp; Garwood-Gowers, 2018). The operation was followed up by operation ‘Restoring Hope’, an operation featuring an </w:t>
      </w:r>
      <w:r w:rsidRPr="00742342">
        <w:rPr>
          <w:rFonts w:ascii="Open Sans" w:hAnsi="Open Sans" w:cs="Open Sans"/>
          <w:color w:val="000000" w:themeColor="text1"/>
          <w:sz w:val="22"/>
          <w:szCs w:val="22"/>
        </w:rPr>
        <w:lastRenderedPageBreak/>
        <w:t>aerial bombing campaign, naval involvement</w:t>
      </w:r>
      <w:r w:rsidR="00896411" w:rsidRPr="00742342">
        <w:rPr>
          <w:rFonts w:ascii="Open Sans" w:hAnsi="Open Sans" w:cs="Open Sans"/>
          <w:color w:val="000000" w:themeColor="text1"/>
          <w:sz w:val="22"/>
          <w:szCs w:val="22"/>
        </w:rPr>
        <w:t>, as well as</w:t>
      </w:r>
      <w:r w:rsidRPr="00742342">
        <w:rPr>
          <w:rFonts w:ascii="Open Sans" w:hAnsi="Open Sans" w:cs="Open Sans"/>
          <w:color w:val="000000" w:themeColor="text1"/>
          <w:sz w:val="22"/>
          <w:szCs w:val="22"/>
        </w:rPr>
        <w:t xml:space="preserve"> the deployment of coalition troops on Yemeni soil (Hill,</w:t>
      </w:r>
      <w:r w:rsidR="00024C02" w:rsidRPr="00742342">
        <w:rPr>
          <w:rFonts w:ascii="Open Sans" w:hAnsi="Open Sans" w:cs="Open Sans"/>
          <w:color w:val="000000" w:themeColor="text1"/>
          <w:sz w:val="22"/>
          <w:szCs w:val="22"/>
        </w:rPr>
        <w:t xml:space="preserve"> </w:t>
      </w:r>
      <w:r w:rsidRPr="00742342">
        <w:rPr>
          <w:rFonts w:ascii="Open Sans" w:hAnsi="Open Sans" w:cs="Open Sans"/>
          <w:color w:val="000000" w:themeColor="text1"/>
          <w:sz w:val="22"/>
          <w:szCs w:val="22"/>
        </w:rPr>
        <w:t>2017</w:t>
      </w:r>
      <w:r w:rsidR="004D308A" w:rsidRPr="00742342">
        <w:rPr>
          <w:rFonts w:ascii="Open Sans" w:hAnsi="Open Sans" w:cs="Open Sans"/>
          <w:color w:val="000000" w:themeColor="text1"/>
          <w:sz w:val="22"/>
          <w:szCs w:val="22"/>
        </w:rPr>
        <w:t>).</w:t>
      </w:r>
    </w:p>
    <w:p w14:paraId="0DB9939A" w14:textId="77777777" w:rsidR="00F76456" w:rsidRPr="00742342" w:rsidRDefault="00F76456" w:rsidP="00AC21C6">
      <w:pPr>
        <w:spacing w:line="276" w:lineRule="auto"/>
        <w:jc w:val="both"/>
        <w:rPr>
          <w:rFonts w:ascii="Open Sans" w:hAnsi="Open Sans" w:cs="Open Sans"/>
          <w:color w:val="000000" w:themeColor="text1"/>
          <w:sz w:val="22"/>
          <w:szCs w:val="22"/>
        </w:rPr>
      </w:pPr>
    </w:p>
    <w:p w14:paraId="3F7C6D65" w14:textId="5F36B579" w:rsidR="00F76456" w:rsidRPr="00742342" w:rsidRDefault="00F76456"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OSESGY urged the Council to </w:t>
      </w:r>
      <w:r w:rsidR="008C7007" w:rsidRPr="00742342">
        <w:rPr>
          <w:rFonts w:ascii="Open Sans" w:hAnsi="Open Sans" w:cs="Open Sans"/>
          <w:color w:val="000000" w:themeColor="text1"/>
          <w:sz w:val="22"/>
          <w:szCs w:val="22"/>
        </w:rPr>
        <w:t xml:space="preserve">adopt resolution 2216, </w:t>
      </w:r>
      <w:r w:rsidR="00906169" w:rsidRPr="00742342">
        <w:rPr>
          <w:rFonts w:ascii="Open Sans" w:hAnsi="Open Sans" w:cs="Open Sans"/>
          <w:color w:val="000000" w:themeColor="text1"/>
          <w:sz w:val="22"/>
          <w:szCs w:val="22"/>
        </w:rPr>
        <w:t xml:space="preserve">which placed arms </w:t>
      </w:r>
      <w:r w:rsidR="00B322A5" w:rsidRPr="00742342">
        <w:rPr>
          <w:rFonts w:ascii="Open Sans" w:hAnsi="Open Sans" w:cs="Open Sans"/>
          <w:color w:val="000000" w:themeColor="text1"/>
          <w:sz w:val="22"/>
          <w:szCs w:val="22"/>
        </w:rPr>
        <w:t xml:space="preserve">embargoes on the Houthi movement as well as on non-governmental forces aligned with </w:t>
      </w:r>
      <w:r w:rsidR="00DC5366" w:rsidRPr="00742342">
        <w:rPr>
          <w:rFonts w:ascii="Open Sans" w:hAnsi="Open Sans" w:cs="Open Sans"/>
          <w:color w:val="000000" w:themeColor="text1"/>
          <w:sz w:val="22"/>
          <w:szCs w:val="22"/>
        </w:rPr>
        <w:t>former president Sal</w:t>
      </w:r>
      <w:r w:rsidR="007706DE" w:rsidRPr="00742342">
        <w:rPr>
          <w:rFonts w:ascii="Open Sans" w:hAnsi="Open Sans" w:cs="Open Sans"/>
          <w:color w:val="000000" w:themeColor="text1"/>
          <w:sz w:val="22"/>
          <w:szCs w:val="22"/>
        </w:rPr>
        <w:t>eh (</w:t>
      </w:r>
      <w:r w:rsidR="00AB4400" w:rsidRPr="00742342">
        <w:rPr>
          <w:rFonts w:ascii="Open Sans" w:hAnsi="Open Sans" w:cs="Open Sans"/>
          <w:color w:val="000000" w:themeColor="text1"/>
          <w:sz w:val="22"/>
          <w:szCs w:val="22"/>
        </w:rPr>
        <w:t xml:space="preserve">United Nations security Council, 2015b). The Russian Federation called upon fighting parties to </w:t>
      </w:r>
      <w:r w:rsidR="0073520B" w:rsidRPr="00742342">
        <w:rPr>
          <w:rFonts w:ascii="Open Sans" w:hAnsi="Open Sans" w:cs="Open Sans"/>
          <w:color w:val="000000" w:themeColor="text1"/>
          <w:sz w:val="22"/>
          <w:szCs w:val="22"/>
        </w:rPr>
        <w:t>put in place</w:t>
      </w:r>
      <w:r w:rsidR="008F5743" w:rsidRPr="00742342">
        <w:rPr>
          <w:rFonts w:ascii="Open Sans" w:hAnsi="Open Sans" w:cs="Open Sans"/>
          <w:color w:val="000000" w:themeColor="text1"/>
          <w:sz w:val="22"/>
          <w:szCs w:val="22"/>
        </w:rPr>
        <w:t xml:space="preserve"> a ‘humanitarian pause’ on the fighting, to </w:t>
      </w:r>
      <w:r w:rsidR="0073520B" w:rsidRPr="00742342">
        <w:rPr>
          <w:rFonts w:ascii="Open Sans" w:hAnsi="Open Sans" w:cs="Open Sans"/>
          <w:color w:val="000000" w:themeColor="text1"/>
          <w:sz w:val="22"/>
          <w:szCs w:val="22"/>
        </w:rPr>
        <w:t>evacuate</w:t>
      </w:r>
      <w:r w:rsidR="008F5743" w:rsidRPr="00742342">
        <w:rPr>
          <w:rFonts w:ascii="Open Sans" w:hAnsi="Open Sans" w:cs="Open Sans"/>
          <w:color w:val="000000" w:themeColor="text1"/>
          <w:sz w:val="22"/>
          <w:szCs w:val="22"/>
        </w:rPr>
        <w:t xml:space="preserve"> foreign nationals and provide the suffering population with </w:t>
      </w:r>
      <w:r w:rsidR="0073520B" w:rsidRPr="00742342">
        <w:rPr>
          <w:rFonts w:ascii="Open Sans" w:hAnsi="Open Sans" w:cs="Open Sans"/>
          <w:color w:val="000000" w:themeColor="text1"/>
          <w:sz w:val="22"/>
          <w:szCs w:val="22"/>
        </w:rPr>
        <w:t xml:space="preserve">aid (Ibid, 2015b). </w:t>
      </w:r>
      <w:r w:rsidR="003A27B2" w:rsidRPr="00742342">
        <w:rPr>
          <w:rFonts w:ascii="Open Sans" w:hAnsi="Open Sans" w:cs="Open Sans"/>
          <w:color w:val="000000" w:themeColor="text1"/>
          <w:sz w:val="22"/>
          <w:szCs w:val="22"/>
        </w:rPr>
        <w:t xml:space="preserve">This pause, and the </w:t>
      </w:r>
      <w:r w:rsidR="00D578F2" w:rsidRPr="00742342">
        <w:rPr>
          <w:rFonts w:ascii="Open Sans" w:hAnsi="Open Sans" w:cs="Open Sans"/>
          <w:color w:val="000000" w:themeColor="text1"/>
          <w:sz w:val="22"/>
          <w:szCs w:val="22"/>
        </w:rPr>
        <w:t xml:space="preserve">negotiations that predated it, proved to be </w:t>
      </w:r>
      <w:r w:rsidR="00861CCB">
        <w:rPr>
          <w:rFonts w:ascii="Open Sans" w:hAnsi="Open Sans" w:cs="Open Sans"/>
          <w:color w:val="000000" w:themeColor="text1"/>
          <w:sz w:val="22"/>
          <w:szCs w:val="22"/>
        </w:rPr>
        <w:t>unsuccessful</w:t>
      </w:r>
      <w:r w:rsidR="00D578F2" w:rsidRPr="00742342">
        <w:rPr>
          <w:rFonts w:ascii="Open Sans" w:hAnsi="Open Sans" w:cs="Open Sans"/>
          <w:color w:val="000000" w:themeColor="text1"/>
          <w:sz w:val="22"/>
          <w:szCs w:val="22"/>
        </w:rPr>
        <w:t xml:space="preserve">. </w:t>
      </w:r>
    </w:p>
    <w:p w14:paraId="531B12B3" w14:textId="7041589E" w:rsidR="00C248F7" w:rsidRPr="00742342" w:rsidRDefault="00C248F7" w:rsidP="00AC21C6">
      <w:pPr>
        <w:pStyle w:val="Heading3"/>
        <w:spacing w:line="276" w:lineRule="auto"/>
        <w:rPr>
          <w:rFonts w:ascii="Open Sans" w:hAnsi="Open Sans" w:cs="Open Sans"/>
          <w:color w:val="000000" w:themeColor="text1"/>
          <w:sz w:val="22"/>
          <w:szCs w:val="22"/>
        </w:rPr>
      </w:pPr>
    </w:p>
    <w:p w14:paraId="50A92D20" w14:textId="6A5F2A86" w:rsidR="00C248F7" w:rsidRPr="00742342" w:rsidRDefault="00C248F7" w:rsidP="00AC21C6">
      <w:pPr>
        <w:spacing w:line="276" w:lineRule="auto"/>
        <w:rPr>
          <w:rFonts w:ascii="Open Sans" w:hAnsi="Open Sans" w:cs="Open Sans"/>
          <w:color w:val="000000" w:themeColor="text1"/>
        </w:rPr>
      </w:pPr>
      <w:bookmarkStart w:id="93" w:name="_Toc136372408"/>
      <w:r w:rsidRPr="00742342">
        <w:rPr>
          <w:rFonts w:ascii="Open Sans" w:hAnsi="Open Sans" w:cs="Open Sans"/>
          <w:color w:val="000000" w:themeColor="text1"/>
        </w:rPr>
        <w:t>2016 – 202</w:t>
      </w:r>
      <w:bookmarkEnd w:id="93"/>
      <w:r w:rsidR="00320F67" w:rsidRPr="00742342">
        <w:rPr>
          <w:rFonts w:ascii="Open Sans" w:hAnsi="Open Sans" w:cs="Open Sans"/>
          <w:color w:val="000000" w:themeColor="text1"/>
        </w:rPr>
        <w:t>2</w:t>
      </w:r>
    </w:p>
    <w:p w14:paraId="2B0863CC" w14:textId="2FD83F06" w:rsidR="00852702"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 2016 the </w:t>
      </w:r>
      <w:r w:rsidR="00852702" w:rsidRPr="00742342">
        <w:rPr>
          <w:rFonts w:ascii="Open Sans" w:hAnsi="Open Sans" w:cs="Open Sans"/>
          <w:color w:val="000000" w:themeColor="text1"/>
          <w:sz w:val="22"/>
          <w:szCs w:val="22"/>
        </w:rPr>
        <w:t>OSESGY</w:t>
      </w:r>
      <w:r w:rsidRPr="00742342">
        <w:rPr>
          <w:rFonts w:ascii="Open Sans" w:hAnsi="Open Sans" w:cs="Open Sans"/>
          <w:color w:val="000000" w:themeColor="text1"/>
          <w:sz w:val="22"/>
          <w:szCs w:val="22"/>
        </w:rPr>
        <w:t xml:space="preserve"> </w:t>
      </w:r>
      <w:r w:rsidR="00861CCB">
        <w:rPr>
          <w:rFonts w:ascii="Open Sans" w:hAnsi="Open Sans" w:cs="Open Sans"/>
          <w:color w:val="000000" w:themeColor="text1"/>
          <w:sz w:val="22"/>
          <w:szCs w:val="22"/>
        </w:rPr>
        <w:t>started</w:t>
      </w:r>
      <w:r w:rsidRPr="00742342">
        <w:rPr>
          <w:rFonts w:ascii="Open Sans" w:hAnsi="Open Sans" w:cs="Open Sans"/>
          <w:color w:val="000000" w:themeColor="text1"/>
          <w:sz w:val="22"/>
          <w:szCs w:val="22"/>
        </w:rPr>
        <w:t xml:space="preserve"> </w:t>
      </w:r>
      <w:r w:rsidR="00861CCB">
        <w:rPr>
          <w:rFonts w:ascii="Open Sans" w:hAnsi="Open Sans" w:cs="Open Sans"/>
          <w:color w:val="000000" w:themeColor="text1"/>
          <w:sz w:val="22"/>
          <w:szCs w:val="22"/>
        </w:rPr>
        <w:t>negotiations with the fighting parties</w:t>
      </w:r>
      <w:r w:rsidRPr="00742342">
        <w:rPr>
          <w:rFonts w:ascii="Open Sans" w:hAnsi="Open Sans" w:cs="Open Sans"/>
          <w:color w:val="000000" w:themeColor="text1"/>
          <w:sz w:val="22"/>
          <w:szCs w:val="22"/>
        </w:rPr>
        <w:t xml:space="preserve">, but they </w:t>
      </w:r>
      <w:r w:rsidR="00861CCB">
        <w:rPr>
          <w:rFonts w:ascii="Open Sans" w:hAnsi="Open Sans" w:cs="Open Sans"/>
          <w:color w:val="000000" w:themeColor="text1"/>
          <w:sz w:val="22"/>
          <w:szCs w:val="22"/>
        </w:rPr>
        <w:t>failed</w:t>
      </w:r>
      <w:r w:rsidRPr="00742342">
        <w:rPr>
          <w:rFonts w:ascii="Open Sans" w:hAnsi="Open Sans" w:cs="Open Sans"/>
          <w:color w:val="000000" w:themeColor="text1"/>
          <w:sz w:val="22"/>
          <w:szCs w:val="22"/>
        </w:rPr>
        <w:t xml:space="preserve"> to produce a durable truce or political agreement once more</w:t>
      </w:r>
      <w:r w:rsidR="00E2484F" w:rsidRPr="00742342">
        <w:rPr>
          <w:rFonts w:ascii="Open Sans" w:hAnsi="Open Sans" w:cs="Open Sans"/>
          <w:color w:val="000000" w:themeColor="text1"/>
          <w:sz w:val="22"/>
          <w:szCs w:val="22"/>
        </w:rPr>
        <w:t xml:space="preserve"> (Staff, 2018)</w:t>
      </w:r>
      <w:r w:rsidRPr="00742342">
        <w:rPr>
          <w:rFonts w:ascii="Open Sans" w:hAnsi="Open Sans" w:cs="Open Sans"/>
          <w:color w:val="000000" w:themeColor="text1"/>
          <w:sz w:val="22"/>
          <w:szCs w:val="22"/>
        </w:rPr>
        <w:t>. Later negotiations produced a ceasefire</w:t>
      </w:r>
      <w:r w:rsidR="00ED00EE" w:rsidRPr="00742342">
        <w:rPr>
          <w:rFonts w:ascii="Open Sans" w:hAnsi="Open Sans" w:cs="Open Sans"/>
          <w:color w:val="000000" w:themeColor="text1"/>
          <w:sz w:val="22"/>
          <w:szCs w:val="22"/>
        </w:rPr>
        <w:t xml:space="preserve"> </w:t>
      </w:r>
      <w:r w:rsidR="00B52EB4" w:rsidRPr="00742342">
        <w:rPr>
          <w:rFonts w:ascii="Open Sans" w:hAnsi="Open Sans" w:cs="Open Sans"/>
          <w:color w:val="000000" w:themeColor="text1"/>
          <w:sz w:val="22"/>
          <w:szCs w:val="22"/>
        </w:rPr>
        <w:t>(United Nations News, 2016)</w:t>
      </w:r>
      <w:r w:rsidRPr="00742342">
        <w:rPr>
          <w:rFonts w:ascii="Open Sans" w:hAnsi="Open Sans" w:cs="Open Sans"/>
          <w:color w:val="000000" w:themeColor="text1"/>
          <w:sz w:val="22"/>
          <w:szCs w:val="22"/>
        </w:rPr>
        <w:t xml:space="preserve">. This ceasefire was temporary in </w:t>
      </w:r>
      <w:r w:rsidR="000E42DE" w:rsidRPr="00742342">
        <w:rPr>
          <w:rFonts w:ascii="Open Sans" w:hAnsi="Open Sans" w:cs="Open Sans"/>
          <w:color w:val="000000" w:themeColor="text1"/>
          <w:sz w:val="22"/>
          <w:szCs w:val="22"/>
        </w:rPr>
        <w:t>nature</w:t>
      </w:r>
      <w:r w:rsidR="000E42DE">
        <w:rPr>
          <w:rFonts w:ascii="Open Sans" w:hAnsi="Open Sans" w:cs="Open Sans"/>
          <w:color w:val="000000" w:themeColor="text1"/>
          <w:sz w:val="22"/>
          <w:szCs w:val="22"/>
        </w:rPr>
        <w:t xml:space="preserve"> but</w:t>
      </w:r>
      <w:r w:rsidRPr="00742342">
        <w:rPr>
          <w:rFonts w:ascii="Open Sans" w:hAnsi="Open Sans" w:cs="Open Sans"/>
          <w:color w:val="000000" w:themeColor="text1"/>
          <w:sz w:val="22"/>
          <w:szCs w:val="22"/>
        </w:rPr>
        <w:t xml:space="preserve"> allowed the </w:t>
      </w:r>
      <w:r w:rsidR="00852702" w:rsidRPr="00742342">
        <w:rPr>
          <w:rFonts w:ascii="Open Sans" w:hAnsi="Open Sans" w:cs="Open Sans"/>
          <w:color w:val="000000" w:themeColor="text1"/>
          <w:sz w:val="22"/>
          <w:szCs w:val="22"/>
        </w:rPr>
        <w:t>UN</w:t>
      </w:r>
      <w:r w:rsidRPr="00742342">
        <w:rPr>
          <w:rFonts w:ascii="Open Sans" w:hAnsi="Open Sans" w:cs="Open Sans"/>
          <w:color w:val="000000" w:themeColor="text1"/>
          <w:sz w:val="22"/>
          <w:szCs w:val="22"/>
        </w:rPr>
        <w:t xml:space="preserve"> and many other involved non-governmental organizations to deliver much needed humanitarian aid</w:t>
      </w:r>
      <w:r w:rsidR="00B52EB4" w:rsidRPr="00742342">
        <w:rPr>
          <w:rFonts w:ascii="Open Sans" w:hAnsi="Open Sans" w:cs="Open Sans"/>
          <w:color w:val="000000" w:themeColor="text1"/>
          <w:sz w:val="22"/>
          <w:szCs w:val="22"/>
        </w:rPr>
        <w:t xml:space="preserve"> (Ibid, 2016)</w:t>
      </w:r>
      <w:r w:rsidRPr="00742342">
        <w:rPr>
          <w:rFonts w:ascii="Open Sans" w:hAnsi="Open Sans" w:cs="Open Sans"/>
          <w:color w:val="000000" w:themeColor="text1"/>
          <w:sz w:val="22"/>
          <w:szCs w:val="22"/>
        </w:rPr>
        <w:t>. This need was acknowledged by the SPC</w:t>
      </w:r>
      <w:r w:rsidR="000E42DE">
        <w:rPr>
          <w:rFonts w:ascii="Open Sans" w:hAnsi="Open Sans" w:cs="Open Sans"/>
          <w:color w:val="000000" w:themeColor="text1"/>
          <w:sz w:val="22"/>
          <w:szCs w:val="22"/>
        </w:rPr>
        <w:t>,</w:t>
      </w:r>
      <w:r w:rsidRPr="00742342">
        <w:rPr>
          <w:rFonts w:ascii="Open Sans" w:hAnsi="Open Sans" w:cs="Open Sans"/>
          <w:color w:val="000000" w:themeColor="text1"/>
          <w:sz w:val="22"/>
          <w:szCs w:val="22"/>
        </w:rPr>
        <w:t xml:space="preserve"> </w:t>
      </w:r>
      <w:r w:rsidR="000E42DE">
        <w:rPr>
          <w:rFonts w:ascii="Open Sans" w:hAnsi="Open Sans" w:cs="Open Sans"/>
          <w:color w:val="000000" w:themeColor="text1"/>
          <w:sz w:val="22"/>
          <w:szCs w:val="22"/>
        </w:rPr>
        <w:t>although</w:t>
      </w:r>
      <w:r w:rsidRPr="00742342">
        <w:rPr>
          <w:rFonts w:ascii="Open Sans" w:hAnsi="Open Sans" w:cs="Open Sans"/>
          <w:color w:val="000000" w:themeColor="text1"/>
          <w:sz w:val="22"/>
          <w:szCs w:val="22"/>
        </w:rPr>
        <w:t xml:space="preserve"> fighting </w:t>
      </w:r>
      <w:r w:rsidR="000E42DE">
        <w:rPr>
          <w:rFonts w:ascii="Open Sans" w:hAnsi="Open Sans" w:cs="Open Sans"/>
          <w:color w:val="000000" w:themeColor="text1"/>
          <w:sz w:val="22"/>
          <w:szCs w:val="22"/>
        </w:rPr>
        <w:t>resumed shortly after</w:t>
      </w:r>
      <w:r w:rsidRPr="00742342">
        <w:rPr>
          <w:rFonts w:ascii="Open Sans" w:hAnsi="Open Sans" w:cs="Open Sans"/>
          <w:color w:val="000000" w:themeColor="text1"/>
          <w:sz w:val="22"/>
          <w:szCs w:val="22"/>
        </w:rPr>
        <w:t>.</w:t>
      </w:r>
    </w:p>
    <w:p w14:paraId="2EEC89D6" w14:textId="77777777" w:rsidR="00080B34" w:rsidRPr="00742342" w:rsidRDefault="00080B34" w:rsidP="00AC21C6">
      <w:pPr>
        <w:spacing w:line="276" w:lineRule="auto"/>
        <w:jc w:val="both"/>
        <w:rPr>
          <w:rFonts w:ascii="Open Sans" w:hAnsi="Open Sans" w:cs="Open Sans"/>
          <w:color w:val="000000" w:themeColor="text1"/>
          <w:sz w:val="22"/>
          <w:szCs w:val="22"/>
        </w:rPr>
      </w:pPr>
    </w:p>
    <w:p w14:paraId="07A4D7FA" w14:textId="6E1ECEB3" w:rsidR="006625D4" w:rsidRPr="00742342" w:rsidRDefault="006625D4"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 2017, the UN Security Council decided to extent all existing sanctions against the Houthi movement for another year</w:t>
      </w:r>
      <w:r w:rsidR="00273BE2" w:rsidRPr="00742342">
        <w:rPr>
          <w:rStyle w:val="FootnoteReference"/>
          <w:rFonts w:ascii="Open Sans" w:hAnsi="Open Sans" w:cs="Open Sans"/>
          <w:color w:val="000000" w:themeColor="text1"/>
          <w:sz w:val="22"/>
          <w:szCs w:val="22"/>
        </w:rPr>
        <w:footnoteReference w:id="22"/>
      </w:r>
      <w:r w:rsidRPr="00742342">
        <w:rPr>
          <w:rFonts w:ascii="Open Sans" w:hAnsi="Open Sans" w:cs="Open Sans"/>
          <w:color w:val="000000" w:themeColor="text1"/>
          <w:sz w:val="22"/>
          <w:szCs w:val="22"/>
        </w:rPr>
        <w:t xml:space="preserve">. Sanctions include arms embargoes, the freezing of financial assets and the restriction of freedom of movement across international borders. </w:t>
      </w:r>
    </w:p>
    <w:p w14:paraId="289F7053" w14:textId="77777777" w:rsidR="006625D4" w:rsidRPr="00742342" w:rsidRDefault="006625D4" w:rsidP="00AC21C6">
      <w:pPr>
        <w:spacing w:line="276" w:lineRule="auto"/>
        <w:jc w:val="both"/>
        <w:rPr>
          <w:rFonts w:ascii="Open Sans" w:hAnsi="Open Sans" w:cs="Open Sans"/>
          <w:color w:val="000000" w:themeColor="text1"/>
          <w:sz w:val="22"/>
          <w:szCs w:val="22"/>
        </w:rPr>
      </w:pPr>
    </w:p>
    <w:p w14:paraId="05350523" w14:textId="6BBFA14D" w:rsidR="00C248F7" w:rsidRPr="00742342" w:rsidRDefault="00C248F7"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Stockholm Agreement of 2018, the outcome of peace negotiations in Sweden, marks a significant development</w:t>
      </w:r>
      <w:r w:rsidR="00B9657C">
        <w:rPr>
          <w:rFonts w:ascii="Open Sans" w:hAnsi="Open Sans" w:cs="Open Sans"/>
          <w:color w:val="000000" w:themeColor="text1"/>
          <w:sz w:val="22"/>
          <w:szCs w:val="22"/>
        </w:rPr>
        <w:t xml:space="preserve"> in the Yemeni civil war</w:t>
      </w:r>
      <w:r w:rsidR="006640EE" w:rsidRPr="00742342">
        <w:rPr>
          <w:rFonts w:ascii="Open Sans" w:hAnsi="Open Sans" w:cs="Open Sans"/>
          <w:color w:val="000000" w:themeColor="text1"/>
          <w:sz w:val="22"/>
          <w:szCs w:val="22"/>
        </w:rPr>
        <w:t xml:space="preserve"> </w:t>
      </w:r>
      <w:r w:rsidR="00E2660B" w:rsidRPr="00742342">
        <w:rPr>
          <w:rFonts w:ascii="Open Sans" w:hAnsi="Open Sans" w:cs="Open Sans"/>
          <w:color w:val="000000" w:themeColor="text1"/>
          <w:sz w:val="22"/>
          <w:szCs w:val="22"/>
        </w:rPr>
        <w:t>(UNMHA, 2021)</w:t>
      </w:r>
      <w:r w:rsidRPr="00742342">
        <w:rPr>
          <w:rFonts w:ascii="Open Sans" w:hAnsi="Open Sans" w:cs="Open Sans"/>
          <w:color w:val="000000" w:themeColor="text1"/>
          <w:sz w:val="22"/>
          <w:szCs w:val="22"/>
        </w:rPr>
        <w:t xml:space="preserve">. In addition to a prisoner exchange and humanitarian measures, the fighting parties agreed to a truce in the city of </w:t>
      </w:r>
      <w:proofErr w:type="spellStart"/>
      <w:r w:rsidRPr="00742342">
        <w:rPr>
          <w:rFonts w:ascii="Open Sans" w:hAnsi="Open Sans" w:cs="Open Sans"/>
          <w:color w:val="000000" w:themeColor="text1"/>
          <w:sz w:val="22"/>
          <w:szCs w:val="22"/>
        </w:rPr>
        <w:t>Hudaydah</w:t>
      </w:r>
      <w:proofErr w:type="spellEnd"/>
      <w:r w:rsidRPr="00742342">
        <w:rPr>
          <w:rFonts w:ascii="Open Sans" w:hAnsi="Open Sans" w:cs="Open Sans"/>
          <w:color w:val="000000" w:themeColor="text1"/>
          <w:sz w:val="22"/>
          <w:szCs w:val="22"/>
        </w:rPr>
        <w:t xml:space="preserve"> and its adjacent territories (Office of the Special Envoy of the Secretary-General for Yemen, 2018). </w:t>
      </w:r>
      <w:r w:rsidR="001B36A8" w:rsidRPr="00742342">
        <w:rPr>
          <w:rFonts w:ascii="Open Sans" w:hAnsi="Open Sans" w:cs="Open Sans"/>
          <w:color w:val="000000" w:themeColor="text1"/>
          <w:sz w:val="22"/>
          <w:szCs w:val="22"/>
        </w:rPr>
        <w:t xml:space="preserve">The United Nations mission to support the </w:t>
      </w:r>
      <w:proofErr w:type="spellStart"/>
      <w:r w:rsidR="001B36A8" w:rsidRPr="00742342">
        <w:rPr>
          <w:rFonts w:ascii="Open Sans" w:hAnsi="Open Sans" w:cs="Open Sans"/>
          <w:color w:val="000000" w:themeColor="text1"/>
          <w:sz w:val="22"/>
          <w:szCs w:val="22"/>
        </w:rPr>
        <w:t>Hudaydah</w:t>
      </w:r>
      <w:proofErr w:type="spellEnd"/>
      <w:r w:rsidR="001B36A8" w:rsidRPr="00742342">
        <w:rPr>
          <w:rFonts w:ascii="Open Sans" w:hAnsi="Open Sans" w:cs="Open Sans"/>
          <w:color w:val="000000" w:themeColor="text1"/>
          <w:sz w:val="22"/>
          <w:szCs w:val="22"/>
        </w:rPr>
        <w:t xml:space="preserve"> Agreement (UNMHA) would monitor the implementation of the ceasefire and the management of the port, was given permission to deploy by the UN Security Council in May 2019. </w:t>
      </w:r>
      <w:r w:rsidRPr="00742342">
        <w:rPr>
          <w:rFonts w:ascii="Open Sans" w:hAnsi="Open Sans" w:cs="Open Sans"/>
          <w:color w:val="000000" w:themeColor="text1"/>
          <w:sz w:val="22"/>
          <w:szCs w:val="22"/>
        </w:rPr>
        <w:t xml:space="preserve">This deal </w:t>
      </w:r>
      <w:r w:rsidR="0074106D">
        <w:rPr>
          <w:rFonts w:ascii="Open Sans" w:hAnsi="Open Sans" w:cs="Open Sans"/>
          <w:color w:val="000000" w:themeColor="text1"/>
          <w:sz w:val="22"/>
          <w:szCs w:val="22"/>
        </w:rPr>
        <w:t>sparked</w:t>
      </w:r>
      <w:r w:rsidRPr="00742342">
        <w:rPr>
          <w:rFonts w:ascii="Open Sans" w:hAnsi="Open Sans" w:cs="Open Sans"/>
          <w:color w:val="000000" w:themeColor="text1"/>
          <w:sz w:val="22"/>
          <w:szCs w:val="22"/>
        </w:rPr>
        <w:t xml:space="preserve"> optimism for a more comprehensive political resolution (Ibid, 2018). This optimism was quickly dismissed however when the Houthi movement attacked oil reserves in Saudi Arabia, signaling in a new era in the civil war</w:t>
      </w:r>
      <w:r w:rsidR="00C879FF" w:rsidRPr="00742342">
        <w:rPr>
          <w:rFonts w:ascii="Open Sans" w:hAnsi="Open Sans" w:cs="Open Sans"/>
          <w:color w:val="000000" w:themeColor="text1"/>
          <w:sz w:val="22"/>
          <w:szCs w:val="22"/>
        </w:rPr>
        <w:t xml:space="preserve"> (Al Jazeera, 2022)</w:t>
      </w:r>
      <w:r w:rsidRPr="00742342">
        <w:rPr>
          <w:rFonts w:ascii="Open Sans" w:hAnsi="Open Sans" w:cs="Open Sans"/>
          <w:color w:val="000000" w:themeColor="text1"/>
          <w:sz w:val="22"/>
          <w:szCs w:val="22"/>
        </w:rPr>
        <w:t>. This specific attack, taking place in September 2019, was a significant shift in scope for the Houthi movement, as it was thus far mainly concerned with attacking the Saudi-led coalition and the Yemeni army on the disputed territories of the Yemeni Republic</w:t>
      </w:r>
      <w:r w:rsidR="003B67C4" w:rsidRPr="00742342">
        <w:rPr>
          <w:rFonts w:ascii="Open Sans" w:hAnsi="Open Sans" w:cs="Open Sans"/>
          <w:color w:val="000000" w:themeColor="text1"/>
          <w:sz w:val="22"/>
          <w:szCs w:val="22"/>
        </w:rPr>
        <w:t xml:space="preserve"> (Holleis &amp; Knipp, 2022)</w:t>
      </w:r>
      <w:r w:rsidRPr="00742342">
        <w:rPr>
          <w:rFonts w:ascii="Open Sans" w:hAnsi="Open Sans" w:cs="Open Sans"/>
          <w:color w:val="000000" w:themeColor="text1"/>
          <w:sz w:val="22"/>
          <w:szCs w:val="22"/>
        </w:rPr>
        <w:t xml:space="preserve">. </w:t>
      </w:r>
      <w:r w:rsidR="00935EC0" w:rsidRPr="00742342">
        <w:rPr>
          <w:rFonts w:ascii="Open Sans" w:hAnsi="Open Sans" w:cs="Open Sans"/>
          <w:color w:val="000000" w:themeColor="text1"/>
          <w:sz w:val="22"/>
          <w:szCs w:val="22"/>
        </w:rPr>
        <w:t xml:space="preserve">In addition to targeted attacks on Saudi territory, the Houthi’s also launched attacks on ships passing through the </w:t>
      </w:r>
      <w:r w:rsidR="002A58EE" w:rsidRPr="00742342">
        <w:rPr>
          <w:rFonts w:ascii="Open Sans" w:hAnsi="Open Sans" w:cs="Open Sans"/>
          <w:color w:val="000000" w:themeColor="text1"/>
          <w:sz w:val="22"/>
          <w:szCs w:val="22"/>
        </w:rPr>
        <w:t xml:space="preserve">Red Sea and the Gulf of Aden. </w:t>
      </w:r>
    </w:p>
    <w:p w14:paraId="3863000E" w14:textId="77777777" w:rsidR="007B5A8E" w:rsidRPr="00742342" w:rsidRDefault="007B5A8E" w:rsidP="00AC21C6">
      <w:pPr>
        <w:spacing w:line="276" w:lineRule="auto"/>
        <w:jc w:val="both"/>
        <w:rPr>
          <w:rFonts w:ascii="Open Sans" w:hAnsi="Open Sans" w:cs="Open Sans"/>
          <w:color w:val="000000" w:themeColor="text1"/>
          <w:sz w:val="22"/>
          <w:szCs w:val="22"/>
        </w:rPr>
      </w:pPr>
    </w:p>
    <w:p w14:paraId="5E12C164" w14:textId="09CB2FF1" w:rsidR="00C248F7" w:rsidRPr="00742342" w:rsidRDefault="007B5A8E"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Yemen remained </w:t>
      </w:r>
      <w:r w:rsidR="003821E8" w:rsidRPr="00742342">
        <w:rPr>
          <w:rFonts w:ascii="Open Sans" w:hAnsi="Open Sans" w:cs="Open Sans"/>
          <w:color w:val="000000" w:themeColor="text1"/>
          <w:sz w:val="22"/>
          <w:szCs w:val="22"/>
        </w:rPr>
        <w:t>enduring</w:t>
      </w:r>
      <w:r w:rsidRPr="00742342">
        <w:rPr>
          <w:rFonts w:ascii="Open Sans" w:hAnsi="Open Sans" w:cs="Open Sans"/>
          <w:color w:val="000000" w:themeColor="text1"/>
          <w:sz w:val="22"/>
          <w:szCs w:val="22"/>
        </w:rPr>
        <w:t xml:space="preserve"> a dire humanitarian catastrophe between 2018 and 2022, with millions of people in</w:t>
      </w:r>
      <w:r w:rsidR="00EC20BD">
        <w:rPr>
          <w:rFonts w:ascii="Open Sans" w:hAnsi="Open Sans" w:cs="Open Sans"/>
          <w:color w:val="000000" w:themeColor="text1"/>
          <w:sz w:val="22"/>
          <w:szCs w:val="22"/>
        </w:rPr>
        <w:t xml:space="preserve"> desperate</w:t>
      </w:r>
      <w:r w:rsidRPr="00742342">
        <w:rPr>
          <w:rFonts w:ascii="Open Sans" w:hAnsi="Open Sans" w:cs="Open Sans"/>
          <w:color w:val="000000" w:themeColor="text1"/>
          <w:sz w:val="22"/>
          <w:szCs w:val="22"/>
        </w:rPr>
        <w:t xml:space="preserve"> need of aid</w:t>
      </w:r>
      <w:r w:rsidR="003B67C4" w:rsidRPr="00742342">
        <w:rPr>
          <w:rFonts w:ascii="Open Sans" w:hAnsi="Open Sans" w:cs="Open Sans"/>
          <w:color w:val="000000" w:themeColor="text1"/>
          <w:sz w:val="22"/>
          <w:szCs w:val="22"/>
        </w:rPr>
        <w:t xml:space="preserve"> </w:t>
      </w:r>
      <w:r w:rsidR="00025F0F" w:rsidRPr="00742342">
        <w:rPr>
          <w:rFonts w:ascii="Open Sans" w:hAnsi="Open Sans" w:cs="Open Sans"/>
          <w:color w:val="000000" w:themeColor="text1"/>
          <w:sz w:val="22"/>
          <w:szCs w:val="22"/>
        </w:rPr>
        <w:t>(Alterman &amp; Center for Strategic &amp; International Studies, 2022; Office for the Coordination of Humanitarian Affairs, 2022; United Nations Yemen &amp; Office of the Special Envoy of the Secretary-General for Yemen., n.d.; World Food Programme, 2023)</w:t>
      </w:r>
      <w:r w:rsidRPr="00742342">
        <w:rPr>
          <w:rFonts w:ascii="Open Sans" w:hAnsi="Open Sans" w:cs="Open Sans"/>
          <w:color w:val="000000" w:themeColor="text1"/>
          <w:sz w:val="22"/>
          <w:szCs w:val="22"/>
        </w:rPr>
        <w:t>. In order to reduce the suffering of the Yemeni people, the OSESGY sought to organize humanitarian assistance and rally international support</w:t>
      </w:r>
      <w:r w:rsidR="00025F0F" w:rsidRPr="00742342">
        <w:rPr>
          <w:rFonts w:ascii="Open Sans" w:hAnsi="Open Sans" w:cs="Open Sans"/>
          <w:color w:val="000000" w:themeColor="text1"/>
          <w:sz w:val="22"/>
          <w:szCs w:val="22"/>
        </w:rPr>
        <w:t xml:space="preserve"> </w:t>
      </w:r>
      <w:r w:rsidR="00BD57A9" w:rsidRPr="00742342">
        <w:rPr>
          <w:rFonts w:ascii="Open Sans" w:hAnsi="Open Sans" w:cs="Open Sans"/>
          <w:color w:val="000000" w:themeColor="text1"/>
          <w:sz w:val="22"/>
          <w:szCs w:val="22"/>
        </w:rPr>
        <w:t>(Office for the Coordination of Humanitarian Affairs, 2022; United Nations Yemen &amp; Office of the Special Envoy of the Secretary-General for Yemen., n.d.)</w:t>
      </w:r>
      <w:r w:rsidRPr="00742342">
        <w:rPr>
          <w:rFonts w:ascii="Open Sans" w:hAnsi="Open Sans" w:cs="Open Sans"/>
          <w:color w:val="000000" w:themeColor="text1"/>
          <w:sz w:val="22"/>
          <w:szCs w:val="22"/>
        </w:rPr>
        <w:t>.</w:t>
      </w:r>
      <w:r w:rsidR="00465811" w:rsidRPr="00742342">
        <w:rPr>
          <w:rFonts w:ascii="Open Sans" w:hAnsi="Open Sans" w:cs="Open Sans"/>
          <w:color w:val="000000" w:themeColor="text1"/>
          <w:sz w:val="22"/>
          <w:szCs w:val="22"/>
        </w:rPr>
        <w:t xml:space="preserve"> </w:t>
      </w:r>
      <w:r w:rsidR="001E6745" w:rsidRPr="00742342">
        <w:rPr>
          <w:rFonts w:ascii="Open Sans" w:hAnsi="Open Sans" w:cs="Open Sans"/>
          <w:color w:val="000000" w:themeColor="text1"/>
          <w:sz w:val="22"/>
          <w:szCs w:val="22"/>
        </w:rPr>
        <w:t>The period between 2018 and 2022 witnessed various political and military developments in Yemen. These included territorial gains and losses by different factions, changes in alliances, and continued clashes between the Yemeni government forces, Houthi rebels, and other armed groups.</w:t>
      </w:r>
    </w:p>
    <w:p w14:paraId="36165D3C" w14:textId="77777777" w:rsidR="00852702" w:rsidRPr="00742342" w:rsidRDefault="00852702" w:rsidP="00AC21C6">
      <w:pPr>
        <w:spacing w:line="276" w:lineRule="auto"/>
        <w:jc w:val="both"/>
        <w:rPr>
          <w:rFonts w:ascii="Open Sans" w:hAnsi="Open Sans" w:cs="Open Sans"/>
          <w:color w:val="000000" w:themeColor="text1"/>
          <w:sz w:val="22"/>
          <w:szCs w:val="22"/>
        </w:rPr>
      </w:pPr>
    </w:p>
    <w:p w14:paraId="0DAF1975" w14:textId="144059FB" w:rsidR="00852702" w:rsidRPr="00742342" w:rsidRDefault="00852702" w:rsidP="00AC21C6">
      <w:pPr>
        <w:spacing w:line="276" w:lineRule="auto"/>
        <w:rPr>
          <w:rFonts w:ascii="Open Sans" w:hAnsi="Open Sans" w:cs="Open Sans"/>
          <w:color w:val="000000" w:themeColor="text1"/>
        </w:rPr>
      </w:pPr>
      <w:bookmarkStart w:id="94" w:name="_Toc136372409"/>
      <w:r w:rsidRPr="00742342">
        <w:rPr>
          <w:rFonts w:ascii="Open Sans" w:hAnsi="Open Sans" w:cs="Open Sans"/>
          <w:color w:val="000000" w:themeColor="text1"/>
        </w:rPr>
        <w:t>2022</w:t>
      </w:r>
      <w:bookmarkEnd w:id="94"/>
    </w:p>
    <w:p w14:paraId="2C1094F2" w14:textId="68D02A30" w:rsidR="00367411" w:rsidRPr="00742342" w:rsidRDefault="003153EB"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Special Envoy to the Secretary-General, Hans </w:t>
      </w:r>
      <w:proofErr w:type="spellStart"/>
      <w:r w:rsidRPr="00742342">
        <w:rPr>
          <w:rFonts w:ascii="Open Sans" w:hAnsi="Open Sans" w:cs="Open Sans"/>
          <w:color w:val="000000" w:themeColor="text1"/>
          <w:sz w:val="22"/>
          <w:szCs w:val="22"/>
        </w:rPr>
        <w:t>Grundberg</w:t>
      </w:r>
      <w:proofErr w:type="spellEnd"/>
      <w:r w:rsidR="004E2C0C" w:rsidRPr="00742342">
        <w:rPr>
          <w:rFonts w:ascii="Open Sans" w:hAnsi="Open Sans" w:cs="Open Sans"/>
          <w:color w:val="000000" w:themeColor="text1"/>
          <w:sz w:val="22"/>
          <w:szCs w:val="22"/>
        </w:rPr>
        <w:t xml:space="preserve"> </w:t>
      </w:r>
      <w:r w:rsidR="002B0B16" w:rsidRPr="00742342">
        <w:rPr>
          <w:rFonts w:ascii="Open Sans" w:hAnsi="Open Sans" w:cs="Open Sans"/>
          <w:color w:val="000000" w:themeColor="text1"/>
          <w:sz w:val="22"/>
          <w:szCs w:val="22"/>
        </w:rPr>
        <w:t>(Office of the UN Secretary General, 2021)</w:t>
      </w:r>
      <w:r w:rsidR="0039273F" w:rsidRPr="00742342">
        <w:rPr>
          <w:rFonts w:ascii="Open Sans" w:hAnsi="Open Sans" w:cs="Open Sans"/>
          <w:color w:val="000000" w:themeColor="text1"/>
          <w:sz w:val="22"/>
          <w:szCs w:val="22"/>
        </w:rPr>
        <w:t xml:space="preserve">, </w:t>
      </w:r>
      <w:r w:rsidR="00254A7C" w:rsidRPr="00742342">
        <w:rPr>
          <w:rFonts w:ascii="Open Sans" w:hAnsi="Open Sans" w:cs="Open Sans"/>
          <w:color w:val="000000" w:themeColor="text1"/>
          <w:sz w:val="22"/>
          <w:szCs w:val="22"/>
        </w:rPr>
        <w:t xml:space="preserve">highlighted an increase in </w:t>
      </w:r>
      <w:r w:rsidR="00B82F21" w:rsidRPr="00742342">
        <w:rPr>
          <w:rFonts w:ascii="Open Sans" w:hAnsi="Open Sans" w:cs="Open Sans"/>
          <w:color w:val="000000" w:themeColor="text1"/>
          <w:sz w:val="22"/>
          <w:szCs w:val="22"/>
        </w:rPr>
        <w:t xml:space="preserve">hostilities, with fighting between the Houthi movement and the Saudi-led coalition once again </w:t>
      </w:r>
      <w:r w:rsidR="00910062" w:rsidRPr="00742342">
        <w:rPr>
          <w:rFonts w:ascii="Open Sans" w:hAnsi="Open Sans" w:cs="Open Sans"/>
          <w:color w:val="000000" w:themeColor="text1"/>
          <w:sz w:val="22"/>
          <w:szCs w:val="22"/>
        </w:rPr>
        <w:t xml:space="preserve">erupting. </w:t>
      </w:r>
      <w:r w:rsidR="00DD39B5" w:rsidRPr="00742342">
        <w:rPr>
          <w:rFonts w:ascii="Open Sans" w:hAnsi="Open Sans" w:cs="Open Sans"/>
          <w:color w:val="000000" w:themeColor="text1"/>
          <w:sz w:val="22"/>
          <w:szCs w:val="22"/>
        </w:rPr>
        <w:t>On the 17</w:t>
      </w:r>
      <w:r w:rsidR="00DD39B5" w:rsidRPr="00742342">
        <w:rPr>
          <w:rFonts w:ascii="Open Sans" w:hAnsi="Open Sans" w:cs="Open Sans"/>
          <w:color w:val="000000" w:themeColor="text1"/>
          <w:sz w:val="22"/>
          <w:szCs w:val="22"/>
          <w:vertAlign w:val="superscript"/>
        </w:rPr>
        <w:t>th</w:t>
      </w:r>
      <w:r w:rsidR="00DD39B5" w:rsidRPr="00742342">
        <w:rPr>
          <w:rFonts w:ascii="Open Sans" w:hAnsi="Open Sans" w:cs="Open Sans"/>
          <w:color w:val="000000" w:themeColor="text1"/>
          <w:sz w:val="22"/>
          <w:szCs w:val="22"/>
        </w:rPr>
        <w:t xml:space="preserve"> of </w:t>
      </w:r>
      <w:r w:rsidR="00B05E23" w:rsidRPr="00742342">
        <w:rPr>
          <w:rFonts w:ascii="Open Sans" w:hAnsi="Open Sans" w:cs="Open Sans"/>
          <w:color w:val="000000" w:themeColor="text1"/>
          <w:sz w:val="22"/>
          <w:szCs w:val="22"/>
        </w:rPr>
        <w:t xml:space="preserve">January the Houthi movement launched an attack on multiple foreign targets, including </w:t>
      </w:r>
      <w:r w:rsidR="000222FA" w:rsidRPr="00742342">
        <w:rPr>
          <w:rFonts w:ascii="Open Sans" w:hAnsi="Open Sans" w:cs="Open Sans"/>
          <w:color w:val="000000" w:themeColor="text1"/>
          <w:sz w:val="22"/>
          <w:szCs w:val="22"/>
        </w:rPr>
        <w:t>an industrial zone in Abu Dhabi</w:t>
      </w:r>
      <w:r w:rsidR="00EC46B1" w:rsidRPr="00742342">
        <w:rPr>
          <w:rFonts w:ascii="Open Sans" w:hAnsi="Open Sans" w:cs="Open Sans"/>
          <w:color w:val="000000" w:themeColor="text1"/>
          <w:sz w:val="22"/>
          <w:szCs w:val="22"/>
        </w:rPr>
        <w:t>, and various parts of Abu Dhabi airport (</w:t>
      </w:r>
      <w:r w:rsidR="003E5185" w:rsidRPr="00742342">
        <w:rPr>
          <w:rFonts w:ascii="Open Sans" w:hAnsi="Open Sans" w:cs="Open Sans"/>
          <w:color w:val="000000" w:themeColor="text1"/>
          <w:sz w:val="22"/>
          <w:szCs w:val="22"/>
        </w:rPr>
        <w:t>United Nations Press, 2022</w:t>
      </w:r>
      <w:r w:rsidR="00EC46B1" w:rsidRPr="00742342">
        <w:rPr>
          <w:rFonts w:ascii="Open Sans" w:hAnsi="Open Sans" w:cs="Open Sans"/>
          <w:color w:val="000000" w:themeColor="text1"/>
          <w:sz w:val="22"/>
          <w:szCs w:val="22"/>
        </w:rPr>
        <w:t>). The attack was carried out using ballistic- and cruise missiles and made use of attack drones (</w:t>
      </w:r>
      <w:r w:rsidR="006B415F" w:rsidRPr="00742342">
        <w:rPr>
          <w:rFonts w:ascii="Open Sans" w:hAnsi="Open Sans" w:cs="Open Sans"/>
          <w:color w:val="000000" w:themeColor="text1"/>
          <w:sz w:val="22"/>
          <w:szCs w:val="22"/>
        </w:rPr>
        <w:t>Nevola, 2023</w:t>
      </w:r>
      <w:r w:rsidR="00EC46B1" w:rsidRPr="00742342">
        <w:rPr>
          <w:rFonts w:ascii="Open Sans" w:hAnsi="Open Sans" w:cs="Open Sans"/>
          <w:color w:val="000000" w:themeColor="text1"/>
          <w:sz w:val="22"/>
          <w:szCs w:val="22"/>
        </w:rPr>
        <w:t xml:space="preserve">). This </w:t>
      </w:r>
      <w:r w:rsidR="00443FE3" w:rsidRPr="00742342">
        <w:rPr>
          <w:rFonts w:ascii="Open Sans" w:hAnsi="Open Sans" w:cs="Open Sans"/>
          <w:color w:val="000000" w:themeColor="text1"/>
          <w:sz w:val="22"/>
          <w:szCs w:val="22"/>
        </w:rPr>
        <w:t>violent strike evoked strong condemnations from the Council and the OSESGY, and a reaction from the Saudi-led coalition could further intensify the conflict, involving more countries on the Arabian Peninsula and further escalating the war.</w:t>
      </w:r>
      <w:r w:rsidR="00FF3AFA" w:rsidRPr="00742342">
        <w:rPr>
          <w:rFonts w:ascii="Open Sans" w:hAnsi="Open Sans" w:cs="Open Sans"/>
          <w:color w:val="000000" w:themeColor="text1"/>
          <w:sz w:val="22"/>
          <w:szCs w:val="22"/>
        </w:rPr>
        <w:t xml:space="preserve"> With aid of the OSESGY, the Council drafted and subsequently accepted Resolution 2624, extending the sanctions </w:t>
      </w:r>
      <w:r w:rsidR="0035260B" w:rsidRPr="00742342">
        <w:rPr>
          <w:rFonts w:ascii="Open Sans" w:hAnsi="Open Sans" w:cs="Open Sans"/>
          <w:color w:val="000000" w:themeColor="text1"/>
          <w:sz w:val="22"/>
          <w:szCs w:val="22"/>
        </w:rPr>
        <w:t>against the Houthi movement and other domestic violent non-state actors allied with the Houthi’s for 12 months</w:t>
      </w:r>
      <w:r w:rsidR="004349F1" w:rsidRPr="00742342">
        <w:rPr>
          <w:rFonts w:ascii="Open Sans" w:hAnsi="Open Sans" w:cs="Open Sans"/>
          <w:color w:val="000000" w:themeColor="text1"/>
          <w:sz w:val="22"/>
          <w:szCs w:val="22"/>
        </w:rPr>
        <w:t xml:space="preserve"> (United Nations Security Council, 2022)</w:t>
      </w:r>
      <w:r w:rsidR="0035260B" w:rsidRPr="00742342">
        <w:rPr>
          <w:rFonts w:ascii="Open Sans" w:hAnsi="Open Sans" w:cs="Open Sans"/>
          <w:color w:val="000000" w:themeColor="text1"/>
          <w:sz w:val="22"/>
          <w:szCs w:val="22"/>
        </w:rPr>
        <w:t xml:space="preserve">. </w:t>
      </w:r>
      <w:r w:rsidR="00115DD7" w:rsidRPr="00742342">
        <w:rPr>
          <w:rFonts w:ascii="Open Sans" w:hAnsi="Open Sans" w:cs="Open Sans"/>
          <w:color w:val="000000" w:themeColor="text1"/>
          <w:sz w:val="22"/>
          <w:szCs w:val="22"/>
        </w:rPr>
        <w:t xml:space="preserve">In the same resolution, the Council referred to the Houthi’s as a ‘terrorist group’, which put further tension on the relations between the UN and the violent non-state actor, as the designation as a terrorist organization </w:t>
      </w:r>
      <w:r w:rsidR="000E1673" w:rsidRPr="00742342">
        <w:rPr>
          <w:rFonts w:ascii="Open Sans" w:hAnsi="Open Sans" w:cs="Open Sans"/>
          <w:color w:val="000000" w:themeColor="text1"/>
          <w:sz w:val="22"/>
          <w:szCs w:val="22"/>
        </w:rPr>
        <w:t xml:space="preserve">further deteriorates the possibility </w:t>
      </w:r>
      <w:r w:rsidR="008C5C2E" w:rsidRPr="00742342">
        <w:rPr>
          <w:rFonts w:ascii="Open Sans" w:hAnsi="Open Sans" w:cs="Open Sans"/>
          <w:color w:val="000000" w:themeColor="text1"/>
          <w:sz w:val="22"/>
          <w:szCs w:val="22"/>
        </w:rPr>
        <w:t>of a</w:t>
      </w:r>
      <w:r w:rsidR="005C73EA" w:rsidRPr="00742342">
        <w:rPr>
          <w:rFonts w:ascii="Open Sans" w:hAnsi="Open Sans" w:cs="Open Sans"/>
          <w:color w:val="000000" w:themeColor="text1"/>
          <w:sz w:val="22"/>
          <w:szCs w:val="22"/>
        </w:rPr>
        <w:t>n</w:t>
      </w:r>
      <w:r w:rsidR="008C5C2E" w:rsidRPr="00742342">
        <w:rPr>
          <w:rFonts w:ascii="Open Sans" w:hAnsi="Open Sans" w:cs="Open Sans"/>
          <w:color w:val="000000" w:themeColor="text1"/>
          <w:sz w:val="22"/>
          <w:szCs w:val="22"/>
        </w:rPr>
        <w:t xml:space="preserve"> </w:t>
      </w:r>
      <w:r w:rsidR="00C91C28" w:rsidRPr="00742342">
        <w:rPr>
          <w:rFonts w:ascii="Open Sans" w:hAnsi="Open Sans" w:cs="Open Sans"/>
          <w:color w:val="000000" w:themeColor="text1"/>
          <w:sz w:val="22"/>
          <w:szCs w:val="22"/>
        </w:rPr>
        <w:t>imminent peaceful resolution to the conflict</w:t>
      </w:r>
      <w:r w:rsidR="004349F1" w:rsidRPr="00742342">
        <w:rPr>
          <w:rFonts w:ascii="Open Sans" w:hAnsi="Open Sans" w:cs="Open Sans"/>
          <w:color w:val="000000" w:themeColor="text1"/>
          <w:sz w:val="22"/>
          <w:szCs w:val="22"/>
        </w:rPr>
        <w:t xml:space="preserve"> (Ibid, 2022)</w:t>
      </w:r>
      <w:r w:rsidR="00C91C28" w:rsidRPr="00742342">
        <w:rPr>
          <w:rFonts w:ascii="Open Sans" w:hAnsi="Open Sans" w:cs="Open Sans"/>
          <w:color w:val="000000" w:themeColor="text1"/>
          <w:sz w:val="22"/>
          <w:szCs w:val="22"/>
        </w:rPr>
        <w:t xml:space="preserve">. </w:t>
      </w:r>
      <w:r w:rsidR="005C73EA" w:rsidRPr="00742342">
        <w:rPr>
          <w:rFonts w:ascii="Open Sans" w:hAnsi="Open Sans" w:cs="Open Sans"/>
          <w:color w:val="000000" w:themeColor="text1"/>
          <w:sz w:val="22"/>
          <w:szCs w:val="22"/>
        </w:rPr>
        <w:t>Four members of the United Nations security Council</w:t>
      </w:r>
      <w:r w:rsidR="001E1EE8" w:rsidRPr="00742342">
        <w:rPr>
          <w:rStyle w:val="FootnoteReference"/>
          <w:rFonts w:ascii="Open Sans" w:hAnsi="Open Sans" w:cs="Open Sans"/>
          <w:color w:val="000000" w:themeColor="text1"/>
          <w:sz w:val="22"/>
          <w:szCs w:val="22"/>
        </w:rPr>
        <w:footnoteReference w:id="23"/>
      </w:r>
      <w:r w:rsidR="00F62B82" w:rsidRPr="00742342">
        <w:rPr>
          <w:rFonts w:ascii="Open Sans" w:hAnsi="Open Sans" w:cs="Open Sans"/>
          <w:color w:val="000000" w:themeColor="text1"/>
          <w:sz w:val="22"/>
          <w:szCs w:val="22"/>
        </w:rPr>
        <w:t xml:space="preserve"> abstained from voting in favor of designating the Houthi’s as a terrorist</w:t>
      </w:r>
      <w:r w:rsidR="00855FBD" w:rsidRPr="00742342">
        <w:rPr>
          <w:rFonts w:ascii="Open Sans" w:hAnsi="Open Sans" w:cs="Open Sans"/>
          <w:color w:val="000000" w:themeColor="text1"/>
          <w:sz w:val="22"/>
          <w:szCs w:val="22"/>
        </w:rPr>
        <w:t xml:space="preserve"> organization</w:t>
      </w:r>
      <w:r w:rsidR="00DF2978" w:rsidRPr="00742342">
        <w:rPr>
          <w:rFonts w:ascii="Open Sans" w:hAnsi="Open Sans" w:cs="Open Sans"/>
          <w:color w:val="000000" w:themeColor="text1"/>
          <w:sz w:val="22"/>
          <w:szCs w:val="22"/>
        </w:rPr>
        <w:t xml:space="preserve">, as they feel that the designation stresses the relation, which could </w:t>
      </w:r>
      <w:r w:rsidR="001E1EE8" w:rsidRPr="00742342">
        <w:rPr>
          <w:rFonts w:ascii="Open Sans" w:hAnsi="Open Sans" w:cs="Open Sans"/>
          <w:color w:val="000000" w:themeColor="text1"/>
          <w:sz w:val="22"/>
          <w:szCs w:val="22"/>
        </w:rPr>
        <w:t xml:space="preserve">prevent the possibility of humanitarian cooperation for millions in need. </w:t>
      </w:r>
    </w:p>
    <w:p w14:paraId="12DE4494" w14:textId="77777777" w:rsidR="005F6EAA" w:rsidRPr="00742342" w:rsidRDefault="005F6EAA" w:rsidP="00AC21C6">
      <w:pPr>
        <w:spacing w:line="276" w:lineRule="auto"/>
        <w:jc w:val="both"/>
        <w:rPr>
          <w:rFonts w:ascii="Open Sans" w:hAnsi="Open Sans" w:cs="Open Sans"/>
          <w:color w:val="000000" w:themeColor="text1"/>
          <w:sz w:val="22"/>
          <w:szCs w:val="22"/>
        </w:rPr>
      </w:pPr>
    </w:p>
    <w:p w14:paraId="4BD33B2F" w14:textId="2ACB7BF7" w:rsidR="005F6EAA" w:rsidRPr="00742342" w:rsidRDefault="00193842"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lastRenderedPageBreak/>
        <w:t>After weeks of</w:t>
      </w:r>
      <w:r w:rsidR="00F07C48" w:rsidRPr="00742342">
        <w:rPr>
          <w:rFonts w:ascii="Open Sans" w:hAnsi="Open Sans" w:cs="Open Sans"/>
          <w:color w:val="000000" w:themeColor="text1"/>
          <w:sz w:val="22"/>
          <w:szCs w:val="22"/>
        </w:rPr>
        <w:t xml:space="preserve"> meetings behind </w:t>
      </w:r>
      <w:r w:rsidR="0039324B" w:rsidRPr="00742342">
        <w:rPr>
          <w:rFonts w:ascii="Open Sans" w:hAnsi="Open Sans" w:cs="Open Sans"/>
          <w:color w:val="000000" w:themeColor="text1"/>
          <w:sz w:val="22"/>
          <w:szCs w:val="22"/>
        </w:rPr>
        <w:t>closed</w:t>
      </w:r>
      <w:r w:rsidR="00F07C48" w:rsidRPr="00742342">
        <w:rPr>
          <w:rFonts w:ascii="Open Sans" w:hAnsi="Open Sans" w:cs="Open Sans"/>
          <w:color w:val="000000" w:themeColor="text1"/>
          <w:sz w:val="22"/>
          <w:szCs w:val="22"/>
        </w:rPr>
        <w:t xml:space="preserve"> doors between the Houthi movement and the Saudi-led coalition, the OSESGY brokered a temporary truce between the fighting parties</w:t>
      </w:r>
      <w:r w:rsidR="00983C6B" w:rsidRPr="00742342">
        <w:rPr>
          <w:rFonts w:ascii="Open Sans" w:hAnsi="Open Sans" w:cs="Open Sans"/>
          <w:color w:val="000000" w:themeColor="text1"/>
          <w:sz w:val="22"/>
          <w:szCs w:val="22"/>
        </w:rPr>
        <w:t xml:space="preserve"> (United Nations Press, 2023)</w:t>
      </w:r>
      <w:r w:rsidR="00F07C48" w:rsidRPr="00742342">
        <w:rPr>
          <w:rFonts w:ascii="Open Sans" w:hAnsi="Open Sans" w:cs="Open Sans"/>
          <w:color w:val="000000" w:themeColor="text1"/>
          <w:sz w:val="22"/>
          <w:szCs w:val="22"/>
        </w:rPr>
        <w:t xml:space="preserve">. This truce </w:t>
      </w:r>
      <w:r w:rsidR="00290AEB" w:rsidRPr="00742342">
        <w:rPr>
          <w:rFonts w:ascii="Open Sans" w:hAnsi="Open Sans" w:cs="Open Sans"/>
          <w:color w:val="000000" w:themeColor="text1"/>
          <w:sz w:val="22"/>
          <w:szCs w:val="22"/>
        </w:rPr>
        <w:t xml:space="preserve">was initially valid for </w:t>
      </w:r>
      <w:r w:rsidR="006860C3" w:rsidRPr="00742342">
        <w:rPr>
          <w:rFonts w:ascii="Open Sans" w:hAnsi="Open Sans" w:cs="Open Sans"/>
          <w:color w:val="000000" w:themeColor="text1"/>
          <w:sz w:val="22"/>
          <w:szCs w:val="22"/>
        </w:rPr>
        <w:t>two</w:t>
      </w:r>
      <w:r w:rsidR="00290AEB" w:rsidRPr="00742342">
        <w:rPr>
          <w:rFonts w:ascii="Open Sans" w:hAnsi="Open Sans" w:cs="Open Sans"/>
          <w:color w:val="000000" w:themeColor="text1"/>
          <w:sz w:val="22"/>
          <w:szCs w:val="22"/>
        </w:rPr>
        <w:t xml:space="preserve"> </w:t>
      </w:r>
      <w:r w:rsidR="008B1CC8" w:rsidRPr="00742342">
        <w:rPr>
          <w:rFonts w:ascii="Open Sans" w:hAnsi="Open Sans" w:cs="Open Sans"/>
          <w:color w:val="000000" w:themeColor="text1"/>
          <w:sz w:val="22"/>
          <w:szCs w:val="22"/>
        </w:rPr>
        <w:t>months but</w:t>
      </w:r>
      <w:r w:rsidR="00290AEB" w:rsidRPr="00742342">
        <w:rPr>
          <w:rFonts w:ascii="Open Sans" w:hAnsi="Open Sans" w:cs="Open Sans"/>
          <w:color w:val="000000" w:themeColor="text1"/>
          <w:sz w:val="22"/>
          <w:szCs w:val="22"/>
        </w:rPr>
        <w:t xml:space="preserve"> was extended </w:t>
      </w:r>
      <w:r w:rsidR="006860C3" w:rsidRPr="00742342">
        <w:rPr>
          <w:rFonts w:ascii="Open Sans" w:hAnsi="Open Sans" w:cs="Open Sans"/>
          <w:color w:val="000000" w:themeColor="text1"/>
          <w:sz w:val="22"/>
          <w:szCs w:val="22"/>
        </w:rPr>
        <w:t xml:space="preserve">by </w:t>
      </w:r>
      <w:r w:rsidR="008B1CC8" w:rsidRPr="00742342">
        <w:rPr>
          <w:rFonts w:ascii="Open Sans" w:hAnsi="Open Sans" w:cs="Open Sans"/>
          <w:color w:val="000000" w:themeColor="text1"/>
          <w:sz w:val="22"/>
          <w:szCs w:val="22"/>
        </w:rPr>
        <w:t>an additional two</w:t>
      </w:r>
      <w:r w:rsidR="006860C3" w:rsidRPr="00742342">
        <w:rPr>
          <w:rFonts w:ascii="Open Sans" w:hAnsi="Open Sans" w:cs="Open Sans"/>
          <w:color w:val="000000" w:themeColor="text1"/>
          <w:sz w:val="22"/>
          <w:szCs w:val="22"/>
        </w:rPr>
        <w:t xml:space="preserve"> months</w:t>
      </w:r>
      <w:r w:rsidR="00A42FAE" w:rsidRPr="00742342">
        <w:rPr>
          <w:rFonts w:ascii="Open Sans" w:hAnsi="Open Sans" w:cs="Open Sans"/>
          <w:color w:val="000000" w:themeColor="text1"/>
          <w:sz w:val="22"/>
          <w:szCs w:val="22"/>
        </w:rPr>
        <w:t xml:space="preserve"> (Ibid, 2023)</w:t>
      </w:r>
      <w:r w:rsidR="006860C3" w:rsidRPr="00742342">
        <w:rPr>
          <w:rFonts w:ascii="Open Sans" w:hAnsi="Open Sans" w:cs="Open Sans"/>
          <w:color w:val="000000" w:themeColor="text1"/>
          <w:sz w:val="22"/>
          <w:szCs w:val="22"/>
        </w:rPr>
        <w:t xml:space="preserve">. </w:t>
      </w:r>
      <w:r w:rsidR="00046980" w:rsidRPr="00742342">
        <w:rPr>
          <w:rFonts w:ascii="Open Sans" w:hAnsi="Open Sans" w:cs="Open Sans"/>
          <w:color w:val="000000" w:themeColor="text1"/>
          <w:sz w:val="22"/>
          <w:szCs w:val="22"/>
        </w:rPr>
        <w:t xml:space="preserve">The truce was the first official </w:t>
      </w:r>
      <w:r w:rsidR="006A33C1" w:rsidRPr="00742342">
        <w:rPr>
          <w:rFonts w:ascii="Open Sans" w:hAnsi="Open Sans" w:cs="Open Sans"/>
          <w:color w:val="000000" w:themeColor="text1"/>
          <w:sz w:val="22"/>
          <w:szCs w:val="22"/>
        </w:rPr>
        <w:t>cease-fire</w:t>
      </w:r>
      <w:r w:rsidR="00960EA1" w:rsidRPr="00742342">
        <w:rPr>
          <w:rFonts w:ascii="Open Sans" w:hAnsi="Open Sans" w:cs="Open Sans"/>
          <w:color w:val="000000" w:themeColor="text1"/>
          <w:sz w:val="22"/>
          <w:szCs w:val="22"/>
        </w:rPr>
        <w:t xml:space="preserve"> since </w:t>
      </w:r>
      <w:r w:rsidR="00606B75" w:rsidRPr="00742342">
        <w:rPr>
          <w:rFonts w:ascii="Open Sans" w:hAnsi="Open Sans" w:cs="Open Sans"/>
          <w:color w:val="000000" w:themeColor="text1"/>
          <w:sz w:val="22"/>
          <w:szCs w:val="22"/>
        </w:rPr>
        <w:t>2016 and</w:t>
      </w:r>
      <w:r w:rsidR="00960EA1" w:rsidRPr="00742342">
        <w:rPr>
          <w:rFonts w:ascii="Open Sans" w:hAnsi="Open Sans" w:cs="Open Sans"/>
          <w:color w:val="000000" w:themeColor="text1"/>
          <w:sz w:val="22"/>
          <w:szCs w:val="22"/>
        </w:rPr>
        <w:t xml:space="preserve"> allowed for the </w:t>
      </w:r>
      <w:r w:rsidR="00995808" w:rsidRPr="00742342">
        <w:rPr>
          <w:rFonts w:ascii="Open Sans" w:hAnsi="Open Sans" w:cs="Open Sans"/>
          <w:color w:val="000000" w:themeColor="text1"/>
          <w:sz w:val="22"/>
          <w:szCs w:val="22"/>
        </w:rPr>
        <w:t xml:space="preserve">entrance of multiple different </w:t>
      </w:r>
      <w:r w:rsidR="00606B75" w:rsidRPr="00742342">
        <w:rPr>
          <w:rFonts w:ascii="Open Sans" w:hAnsi="Open Sans" w:cs="Open Sans"/>
          <w:color w:val="000000" w:themeColor="text1"/>
          <w:sz w:val="22"/>
          <w:szCs w:val="22"/>
        </w:rPr>
        <w:t>NGOs</w:t>
      </w:r>
      <w:r w:rsidR="00995808" w:rsidRPr="00742342">
        <w:rPr>
          <w:rFonts w:ascii="Open Sans" w:hAnsi="Open Sans" w:cs="Open Sans"/>
          <w:color w:val="000000" w:themeColor="text1"/>
          <w:sz w:val="22"/>
          <w:szCs w:val="22"/>
        </w:rPr>
        <w:t xml:space="preserve"> to carry out much needed humanitarian aid. </w:t>
      </w:r>
      <w:r w:rsidR="00606B75" w:rsidRPr="00742342">
        <w:rPr>
          <w:rFonts w:ascii="Open Sans" w:hAnsi="Open Sans" w:cs="Open Sans"/>
          <w:color w:val="000000" w:themeColor="text1"/>
          <w:sz w:val="22"/>
          <w:szCs w:val="22"/>
        </w:rPr>
        <w:t xml:space="preserve">When the deadline for renewal of the temporary truce passed in August 2022, many were hopeful for a renewal of the agreements, as had happened before in July of that year. </w:t>
      </w:r>
      <w:r w:rsidR="005534B4" w:rsidRPr="00742342">
        <w:rPr>
          <w:rFonts w:ascii="Open Sans" w:hAnsi="Open Sans" w:cs="Open Sans"/>
          <w:color w:val="000000" w:themeColor="text1"/>
          <w:sz w:val="22"/>
          <w:szCs w:val="22"/>
        </w:rPr>
        <w:t>A</w:t>
      </w:r>
      <w:r w:rsidR="00606B75" w:rsidRPr="00742342">
        <w:rPr>
          <w:rFonts w:ascii="Open Sans" w:hAnsi="Open Sans" w:cs="Open Sans"/>
          <w:color w:val="000000" w:themeColor="text1"/>
          <w:sz w:val="22"/>
          <w:szCs w:val="22"/>
        </w:rPr>
        <w:t xml:space="preserve"> new agreement was never reached</w:t>
      </w:r>
      <w:r w:rsidR="00A42FAE" w:rsidRPr="00742342">
        <w:rPr>
          <w:rFonts w:ascii="Open Sans" w:hAnsi="Open Sans" w:cs="Open Sans"/>
          <w:color w:val="000000" w:themeColor="text1"/>
          <w:sz w:val="22"/>
          <w:szCs w:val="22"/>
        </w:rPr>
        <w:t xml:space="preserve"> </w:t>
      </w:r>
      <w:r w:rsidR="004F5990" w:rsidRPr="00742342">
        <w:rPr>
          <w:rFonts w:ascii="Open Sans" w:hAnsi="Open Sans" w:cs="Open Sans"/>
          <w:color w:val="000000" w:themeColor="text1"/>
          <w:sz w:val="22"/>
          <w:szCs w:val="22"/>
        </w:rPr>
        <w:t>(Staff, 2022)</w:t>
      </w:r>
      <w:r w:rsidR="00606B75" w:rsidRPr="00742342">
        <w:rPr>
          <w:rFonts w:ascii="Open Sans" w:hAnsi="Open Sans" w:cs="Open Sans"/>
          <w:color w:val="000000" w:themeColor="text1"/>
          <w:sz w:val="22"/>
          <w:szCs w:val="22"/>
        </w:rPr>
        <w:t xml:space="preserve">, and hostilities erupted when </w:t>
      </w:r>
      <w:r w:rsidR="005534B4" w:rsidRPr="00742342">
        <w:rPr>
          <w:rFonts w:ascii="Open Sans" w:hAnsi="Open Sans" w:cs="Open Sans"/>
          <w:color w:val="000000" w:themeColor="text1"/>
          <w:sz w:val="22"/>
          <w:szCs w:val="22"/>
        </w:rPr>
        <w:t>the 2022 Southern Yemen Offensive</w:t>
      </w:r>
      <w:r w:rsidR="00BF574F" w:rsidRPr="00742342">
        <w:rPr>
          <w:rStyle w:val="FootnoteReference"/>
          <w:rFonts w:ascii="Open Sans" w:hAnsi="Open Sans" w:cs="Open Sans"/>
          <w:color w:val="000000" w:themeColor="text1"/>
          <w:sz w:val="22"/>
          <w:szCs w:val="22"/>
        </w:rPr>
        <w:footnoteReference w:id="24"/>
      </w:r>
      <w:r w:rsidR="005534B4" w:rsidRPr="00742342">
        <w:rPr>
          <w:rFonts w:ascii="Open Sans" w:hAnsi="Open Sans" w:cs="Open Sans"/>
          <w:color w:val="000000" w:themeColor="text1"/>
          <w:sz w:val="22"/>
          <w:szCs w:val="22"/>
        </w:rPr>
        <w:t xml:space="preserve"> broke the </w:t>
      </w:r>
      <w:r w:rsidR="00BF574F" w:rsidRPr="00742342">
        <w:rPr>
          <w:rFonts w:ascii="Open Sans" w:hAnsi="Open Sans" w:cs="Open Sans"/>
          <w:color w:val="000000" w:themeColor="text1"/>
          <w:sz w:val="22"/>
          <w:szCs w:val="22"/>
        </w:rPr>
        <w:t>temporary ceasefire</w:t>
      </w:r>
      <w:r w:rsidR="00420954" w:rsidRPr="00742342">
        <w:rPr>
          <w:rFonts w:ascii="Open Sans" w:hAnsi="Open Sans" w:cs="Open Sans"/>
          <w:color w:val="000000" w:themeColor="text1"/>
          <w:sz w:val="22"/>
          <w:szCs w:val="22"/>
        </w:rPr>
        <w:t xml:space="preserve">. </w:t>
      </w:r>
      <w:r w:rsidR="004C3AE0" w:rsidRPr="00742342">
        <w:rPr>
          <w:rFonts w:ascii="Open Sans" w:hAnsi="Open Sans" w:cs="Open Sans"/>
          <w:color w:val="000000" w:themeColor="text1"/>
          <w:sz w:val="22"/>
          <w:szCs w:val="22"/>
        </w:rPr>
        <w:t xml:space="preserve">Although the Houthi movement was not involved in this conflict, </w:t>
      </w:r>
      <w:r w:rsidR="004E44FA" w:rsidRPr="00742342">
        <w:rPr>
          <w:rFonts w:ascii="Open Sans" w:hAnsi="Open Sans" w:cs="Open Sans"/>
          <w:color w:val="000000" w:themeColor="text1"/>
          <w:sz w:val="22"/>
          <w:szCs w:val="22"/>
        </w:rPr>
        <w:t xml:space="preserve">the </w:t>
      </w:r>
      <w:r w:rsidR="00DD093C" w:rsidRPr="00742342">
        <w:rPr>
          <w:rFonts w:ascii="Open Sans" w:hAnsi="Open Sans" w:cs="Open Sans"/>
          <w:color w:val="000000" w:themeColor="text1"/>
          <w:sz w:val="22"/>
          <w:szCs w:val="22"/>
        </w:rPr>
        <w:t xml:space="preserve">support for negotiations to extend the truce had disappeared, as hostilities </w:t>
      </w:r>
      <w:r w:rsidR="00627551" w:rsidRPr="00742342">
        <w:rPr>
          <w:rFonts w:ascii="Open Sans" w:hAnsi="Open Sans" w:cs="Open Sans"/>
          <w:color w:val="000000" w:themeColor="text1"/>
          <w:sz w:val="22"/>
          <w:szCs w:val="22"/>
        </w:rPr>
        <w:t xml:space="preserve">resumed among fighting parties. </w:t>
      </w:r>
    </w:p>
    <w:p w14:paraId="289B2106" w14:textId="77777777" w:rsidR="00912B1A" w:rsidRPr="00742342" w:rsidRDefault="00912B1A" w:rsidP="00AC21C6">
      <w:pPr>
        <w:spacing w:line="276" w:lineRule="auto"/>
        <w:rPr>
          <w:rFonts w:ascii="Open Sans" w:eastAsiaTheme="majorEastAsia" w:hAnsi="Open Sans" w:cs="Open Sans"/>
          <w:color w:val="000000" w:themeColor="text1"/>
          <w:sz w:val="28"/>
          <w:szCs w:val="28"/>
        </w:rPr>
      </w:pPr>
      <w:bookmarkStart w:id="95" w:name="_Toc136706604"/>
      <w:r w:rsidRPr="00742342">
        <w:rPr>
          <w:rFonts w:ascii="Open Sans" w:hAnsi="Open Sans" w:cs="Open Sans"/>
          <w:color w:val="000000" w:themeColor="text1"/>
          <w:sz w:val="28"/>
          <w:szCs w:val="28"/>
        </w:rPr>
        <w:br w:type="page"/>
      </w:r>
    </w:p>
    <w:p w14:paraId="4859C638" w14:textId="77777777" w:rsidR="004F5CF9" w:rsidRDefault="004F5CF9" w:rsidP="004F5CF9">
      <w:pPr>
        <w:pStyle w:val="Heading1"/>
        <w:numPr>
          <w:ilvl w:val="0"/>
          <w:numId w:val="5"/>
        </w:numPr>
        <w:tabs>
          <w:tab w:val="num" w:pos="360"/>
        </w:tabs>
        <w:spacing w:line="276" w:lineRule="auto"/>
        <w:ind w:left="0" w:firstLine="0"/>
        <w:rPr>
          <w:rFonts w:ascii="Open Sans" w:hAnsi="Open Sans" w:cs="Open Sans"/>
          <w:color w:val="000000" w:themeColor="text1"/>
          <w:sz w:val="28"/>
          <w:szCs w:val="28"/>
        </w:rPr>
      </w:pPr>
      <w:bookmarkStart w:id="96" w:name="_Toc138247511"/>
      <w:bookmarkEnd w:id="95"/>
      <w:r w:rsidRPr="00742342">
        <w:rPr>
          <w:rFonts w:ascii="Open Sans" w:hAnsi="Open Sans" w:cs="Open Sans"/>
          <w:color w:val="000000" w:themeColor="text1"/>
          <w:sz w:val="28"/>
          <w:szCs w:val="28"/>
        </w:rPr>
        <w:lastRenderedPageBreak/>
        <w:t>Empirical analysis</w:t>
      </w:r>
      <w:bookmarkEnd w:id="96"/>
    </w:p>
    <w:p w14:paraId="5B838082" w14:textId="77777777" w:rsidR="00742342" w:rsidRPr="00742342" w:rsidRDefault="00742342" w:rsidP="00742342"/>
    <w:p w14:paraId="37162870" w14:textId="77777777" w:rsidR="004F5CF9" w:rsidRPr="00742342" w:rsidRDefault="004F5CF9" w:rsidP="004F5CF9">
      <w:pPr>
        <w:pStyle w:val="Heading2"/>
        <w:numPr>
          <w:ilvl w:val="1"/>
          <w:numId w:val="5"/>
        </w:numPr>
        <w:tabs>
          <w:tab w:val="num" w:pos="360"/>
        </w:tabs>
        <w:spacing w:line="276" w:lineRule="auto"/>
        <w:ind w:left="0" w:firstLine="0"/>
        <w:rPr>
          <w:rFonts w:ascii="Open Sans" w:hAnsi="Open Sans" w:cs="Open Sans"/>
          <w:color w:val="000000" w:themeColor="text1"/>
          <w:sz w:val="24"/>
          <w:szCs w:val="24"/>
        </w:rPr>
      </w:pPr>
      <w:bookmarkStart w:id="97" w:name="_Toc136706605"/>
      <w:bookmarkStart w:id="98" w:name="_Toc138247512"/>
      <w:r w:rsidRPr="00742342">
        <w:rPr>
          <w:rFonts w:ascii="Open Sans" w:hAnsi="Open Sans" w:cs="Open Sans"/>
          <w:color w:val="000000" w:themeColor="text1"/>
          <w:sz w:val="24"/>
          <w:szCs w:val="24"/>
        </w:rPr>
        <w:t>Introduction</w:t>
      </w:r>
      <w:bookmarkEnd w:id="97"/>
      <w:bookmarkEnd w:id="98"/>
    </w:p>
    <w:p w14:paraId="681A1F36" w14:textId="24821043"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This chapter will be focusing on uncovering the causal mechanisms that </w:t>
      </w:r>
      <w:r w:rsidR="000F6DB1">
        <w:rPr>
          <w:rFonts w:ascii="Open Sans" w:hAnsi="Open Sans" w:cs="Open Sans"/>
          <w:color w:val="000000" w:themeColor="text1"/>
          <w:sz w:val="22"/>
          <w:szCs w:val="22"/>
        </w:rPr>
        <w:t>could</w:t>
      </w:r>
      <w:r w:rsidRPr="00742342">
        <w:rPr>
          <w:rFonts w:ascii="Open Sans" w:hAnsi="Open Sans" w:cs="Open Sans"/>
          <w:color w:val="000000" w:themeColor="text1"/>
          <w:sz w:val="22"/>
          <w:szCs w:val="22"/>
        </w:rPr>
        <w:t xml:space="preserve"> lead to intergovernmental autonomy. Through process tracing I will establish if there are causal mechanisms that shape the outcome of the engagements of the OSESGY with the violent non-state actor, the Houthi movement. The purpose of this analysis is to find the mechanisms that played a role in </w:t>
      </w:r>
      <w:r w:rsidR="00391031">
        <w:rPr>
          <w:rFonts w:ascii="Open Sans" w:hAnsi="Open Sans" w:cs="Open Sans"/>
          <w:color w:val="000000" w:themeColor="text1"/>
          <w:sz w:val="22"/>
          <w:szCs w:val="22"/>
        </w:rPr>
        <w:t>shaping the</w:t>
      </w:r>
      <w:r w:rsidRPr="00742342">
        <w:rPr>
          <w:rFonts w:ascii="Open Sans" w:hAnsi="Open Sans" w:cs="Open Sans"/>
          <w:color w:val="000000" w:themeColor="text1"/>
          <w:sz w:val="22"/>
          <w:szCs w:val="22"/>
        </w:rPr>
        <w:t xml:space="preserve"> autonomy of the OSESGY. The first part of the analysis is dedicated to analyzing the three dimensions of hypothesized autonomy between the start of the Yemeni civil war, until the UN brokered truce. I will describe if the items that were identified in the operationalization are present in the period between 2014 and 2022, and what that means for the formulated hypotheses. This analysis will follow the standard practices of the OSESGY during the Yemeni civil war up to the truce. Following on this analysis, I will focus on the manifestations of the identified dimensions in 2022, when the OSESGY brokered a truce between the PRC and the Saudi-led coalition. I hypothesize that there are causal mechanisms that constitute to certain properties of intergovernmental autonomy that aided in the establishment of the truce. Afterwards, I will indicate changes in the scores for the dimensions in autonomy between 2014 and the truce, which will result in a discussion of the outcomes of this research. </w:t>
      </w:r>
    </w:p>
    <w:p w14:paraId="4D2C423E"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35F62661" w14:textId="77777777" w:rsidR="004F5CF9" w:rsidRPr="00742342" w:rsidRDefault="004F5CF9" w:rsidP="004F5CF9">
      <w:pPr>
        <w:pStyle w:val="Heading2"/>
        <w:numPr>
          <w:ilvl w:val="1"/>
          <w:numId w:val="5"/>
        </w:numPr>
        <w:tabs>
          <w:tab w:val="num" w:pos="360"/>
        </w:tabs>
        <w:spacing w:line="276" w:lineRule="auto"/>
        <w:ind w:left="0" w:firstLine="0"/>
        <w:rPr>
          <w:rFonts w:ascii="Open Sans" w:hAnsi="Open Sans" w:cs="Open Sans"/>
          <w:color w:val="000000" w:themeColor="text1"/>
          <w:sz w:val="24"/>
          <w:szCs w:val="24"/>
        </w:rPr>
      </w:pPr>
      <w:bookmarkStart w:id="99" w:name="_Toc136706606"/>
      <w:bookmarkStart w:id="100" w:name="_Toc138247513"/>
      <w:r w:rsidRPr="00742342">
        <w:rPr>
          <w:rFonts w:ascii="Open Sans" w:hAnsi="Open Sans" w:cs="Open Sans"/>
          <w:color w:val="000000" w:themeColor="text1"/>
          <w:sz w:val="24"/>
          <w:szCs w:val="24"/>
        </w:rPr>
        <w:t>Analysis of dimensions between 2014 and 2022</w:t>
      </w:r>
      <w:bookmarkEnd w:id="99"/>
      <w:bookmarkEnd w:id="100"/>
    </w:p>
    <w:p w14:paraId="3F2B399F" w14:textId="77777777" w:rsidR="004F5CF9" w:rsidRPr="00742342" w:rsidRDefault="004F5CF9" w:rsidP="004F5CF9">
      <w:pPr>
        <w:spacing w:line="276" w:lineRule="auto"/>
        <w:jc w:val="both"/>
        <w:rPr>
          <w:rFonts w:ascii="Open Sans" w:hAnsi="Open Sans" w:cs="Open Sans"/>
          <w:b/>
          <w:bCs/>
          <w:color w:val="000000" w:themeColor="text1"/>
          <w:sz w:val="22"/>
          <w:szCs w:val="22"/>
        </w:rPr>
      </w:pPr>
    </w:p>
    <w:p w14:paraId="784E4F31" w14:textId="39BBBFAE" w:rsidR="004F5CF9" w:rsidRPr="00742342" w:rsidRDefault="004F5CF9" w:rsidP="004F5CF9">
      <w:pPr>
        <w:pStyle w:val="Heading3"/>
        <w:rPr>
          <w:rFonts w:ascii="Open Sans" w:hAnsi="Open Sans" w:cs="Open Sans"/>
          <w:color w:val="000000" w:themeColor="text1"/>
        </w:rPr>
      </w:pPr>
      <w:r w:rsidRPr="00742342">
        <w:rPr>
          <w:rFonts w:ascii="Open Sans" w:hAnsi="Open Sans" w:cs="Open Sans"/>
          <w:color w:val="000000" w:themeColor="text1"/>
        </w:rPr>
        <w:t xml:space="preserve">The </w:t>
      </w:r>
      <w:r w:rsidR="00B80D16">
        <w:rPr>
          <w:rFonts w:ascii="Open Sans" w:hAnsi="Open Sans" w:cs="Open Sans"/>
          <w:color w:val="000000" w:themeColor="text1"/>
        </w:rPr>
        <w:t>depoliticization</w:t>
      </w:r>
      <w:r w:rsidRPr="00742342">
        <w:rPr>
          <w:rFonts w:ascii="Open Sans" w:hAnsi="Open Sans" w:cs="Open Sans"/>
          <w:color w:val="000000" w:themeColor="text1"/>
        </w:rPr>
        <w:t xml:space="preserve"> of intergovernmental organizations</w:t>
      </w:r>
    </w:p>
    <w:p w14:paraId="6F41011C"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Political neutrality of the Secretariat</w:t>
      </w:r>
    </w:p>
    <w:p w14:paraId="2BD4882F" w14:textId="06898820"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OSESGY was established in 2012, to function as a special envoy to Secretary-General Ban Ki-moon (Office of the Special Envoy of the Secretary-General for Yemen, 2023). The Special Envoy reports directly to the Secretary-General (Ibid, 2023). This means that the OSESGY is not a stand-alone, independent organization. The politicized nature of the OSESGY is therefore in part tied to other UN institutions. The OSESGY reports to the Secretary-General, and is also influenced by the Security Council, who’s resolutions impact the scope and power that the OSESGY can exercise (Office of the UN Secretary General, 2021; United Nations Yemen &amp; Office of the Special Envoy of the Secretary-General for Yemen., n.d.). The function of the Secretariat, and the Secretary-General, is not to be political (Frielingsdorf, 2016), but the organization does have moral standards on governance (Nadvi, 2008). There is a balance between pragmatically working for a lasting solution to a violent conflict and abandoning one's own moral standards (United Nations Secretary-General, 1999). Collaboration with regimes that challenge the norms and values of the United Nations are often faced with consequences, but it seems in the case of Yemen that the decision-making process is based on cooperation, without political influence of the UN </w:t>
      </w:r>
      <w:r w:rsidR="0044352B">
        <w:rPr>
          <w:rFonts w:ascii="Open Sans" w:hAnsi="Open Sans" w:cs="Open Sans"/>
          <w:color w:val="000000" w:themeColor="text1"/>
          <w:sz w:val="22"/>
          <w:szCs w:val="22"/>
        </w:rPr>
        <w:t>Se</w:t>
      </w:r>
      <w:r w:rsidRPr="00742342">
        <w:rPr>
          <w:rFonts w:ascii="Open Sans" w:hAnsi="Open Sans" w:cs="Open Sans"/>
          <w:color w:val="000000" w:themeColor="text1"/>
          <w:sz w:val="22"/>
          <w:szCs w:val="22"/>
        </w:rPr>
        <w:t xml:space="preserve">cretariat (Al-Tamimi &amp; </w:t>
      </w:r>
      <w:proofErr w:type="spellStart"/>
      <w:r w:rsidRPr="00742342">
        <w:rPr>
          <w:rFonts w:ascii="Open Sans" w:hAnsi="Open Sans" w:cs="Open Sans"/>
          <w:color w:val="000000" w:themeColor="text1"/>
          <w:sz w:val="22"/>
          <w:szCs w:val="22"/>
        </w:rPr>
        <w:t>Venkatesha</w:t>
      </w:r>
      <w:proofErr w:type="spellEnd"/>
      <w:r w:rsidRPr="00742342">
        <w:rPr>
          <w:rFonts w:ascii="Open Sans" w:hAnsi="Open Sans" w:cs="Open Sans"/>
          <w:color w:val="000000" w:themeColor="text1"/>
          <w:sz w:val="22"/>
          <w:szCs w:val="22"/>
        </w:rPr>
        <w:t xml:space="preserve">, 2023). This results in a </w:t>
      </w:r>
      <w:r w:rsidRPr="00742342">
        <w:rPr>
          <w:rFonts w:ascii="Open Sans" w:hAnsi="Open Sans" w:cs="Open Sans"/>
          <w:color w:val="000000" w:themeColor="text1"/>
          <w:sz w:val="22"/>
          <w:szCs w:val="22"/>
        </w:rPr>
        <w:lastRenderedPageBreak/>
        <w:t xml:space="preserve">low impact of political interference on the autonomy of the OSESGY, as long as the agent, the OSESGY, operates in the general interests of the principal, the United Nations Secretariat.  </w:t>
      </w:r>
    </w:p>
    <w:p w14:paraId="1379340A"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2BCE299E"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Decision-making transparency</w:t>
      </w:r>
    </w:p>
    <w:p w14:paraId="1F1F5EE7" w14:textId="767EA365"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It would seem reasonable to assume that the collective interests of the involved actors facilitate consistency, as there is no debate over the general ambition of the intentions of the intergovernmental organization (DiLorenzo &amp; Rooney, 2021). Oftentimes however, the political reality is quite different (Kohler &amp; Bowra, 2020). As the United Nations can be seen as an organization with many principals</w:t>
      </w:r>
      <w:r w:rsidRPr="00742342">
        <w:rPr>
          <w:rFonts w:ascii="Open Sans" w:hAnsi="Open Sans" w:cs="Open Sans"/>
          <w:color w:val="000000" w:themeColor="text1"/>
          <w:sz w:val="22"/>
          <w:szCs w:val="22"/>
          <w:vertAlign w:val="superscript"/>
        </w:rPr>
        <w:footnoteReference w:id="25"/>
      </w:r>
      <w:r w:rsidRPr="00742342">
        <w:rPr>
          <w:rFonts w:ascii="Open Sans" w:hAnsi="Open Sans" w:cs="Open Sans"/>
          <w:color w:val="000000" w:themeColor="text1"/>
          <w:sz w:val="22"/>
          <w:szCs w:val="22"/>
        </w:rPr>
        <w:t>, there are many rivaling interests (</w:t>
      </w:r>
      <w:proofErr w:type="spellStart"/>
      <w:r w:rsidRPr="00742342">
        <w:rPr>
          <w:rFonts w:ascii="Open Sans" w:hAnsi="Open Sans" w:cs="Open Sans"/>
          <w:color w:val="000000" w:themeColor="text1"/>
          <w:sz w:val="22"/>
          <w:szCs w:val="22"/>
        </w:rPr>
        <w:t>Bovens</w:t>
      </w:r>
      <w:proofErr w:type="spellEnd"/>
      <w:r w:rsidRPr="00742342">
        <w:rPr>
          <w:rFonts w:ascii="Open Sans" w:hAnsi="Open Sans" w:cs="Open Sans"/>
          <w:color w:val="000000" w:themeColor="text1"/>
          <w:sz w:val="22"/>
          <w:szCs w:val="22"/>
        </w:rPr>
        <w:t xml:space="preserve"> et al., 2014). The OSESGY must unite these rivaling interests into consistent, transparent policy. The transparency of the process </w:t>
      </w:r>
      <w:r w:rsidR="002D2485">
        <w:rPr>
          <w:rFonts w:ascii="Open Sans" w:hAnsi="Open Sans" w:cs="Open Sans"/>
          <w:color w:val="000000" w:themeColor="text1"/>
          <w:sz w:val="22"/>
          <w:szCs w:val="22"/>
        </w:rPr>
        <w:t>leading</w:t>
      </w:r>
      <w:r w:rsidRPr="00742342">
        <w:rPr>
          <w:rFonts w:ascii="Open Sans" w:hAnsi="Open Sans" w:cs="Open Sans"/>
          <w:color w:val="000000" w:themeColor="text1"/>
          <w:sz w:val="22"/>
          <w:szCs w:val="22"/>
        </w:rPr>
        <w:t xml:space="preserve"> to the creation of policy that influences the conflict is therefore crucial (Azevedo et al., 2018). The OSESGY is aware of the relevance of the documentation and transparency of their decision-making process, as well as that of their principals. This results in a semi-open attitude of the OSESGY. Many resolutions, directives and other relevant documents are published (Office of the Special-Envoy of the Secretary-General for Yemen, n.d.). In addition, the OSESGY provides the Council and the Secretariat with regular briefings, which are also made public. But the import process of negotiating, especially with violent non-state actors, take place behind closed doors. The OSESGY resembles other UN institutions with this policy, which does not contribute to their autonomy. </w:t>
      </w:r>
    </w:p>
    <w:p w14:paraId="118888DB"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3DF6F13B"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Political consistency</w:t>
      </w:r>
    </w:p>
    <w:p w14:paraId="45913CB3" w14:textId="2CAF61DC"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mandate of the United Nations is based on the collective interests of their 193 member-states, and the United Nations charter (United Nations, n.d.-b). In the charter, the collective member-states and the </w:t>
      </w:r>
      <w:r w:rsidR="0044352B">
        <w:rPr>
          <w:rFonts w:ascii="Open Sans" w:hAnsi="Open Sans" w:cs="Open Sans"/>
          <w:color w:val="000000" w:themeColor="text1"/>
          <w:sz w:val="22"/>
          <w:szCs w:val="22"/>
        </w:rPr>
        <w:t>S</w:t>
      </w:r>
      <w:r w:rsidRPr="00742342">
        <w:rPr>
          <w:rFonts w:ascii="Open Sans" w:hAnsi="Open Sans" w:cs="Open Sans"/>
          <w:color w:val="000000" w:themeColor="text1"/>
          <w:sz w:val="22"/>
          <w:szCs w:val="22"/>
        </w:rPr>
        <w:t xml:space="preserve">ecretariat proclaim to strive for peace among nations, the promotion of human rights and the cooperation among member-states (Edis, 1992; Goodrich, 1947). The general ambition of all UN stakeholders and member-states that are involved in the Yemeni civil war is consistently focused on achieving long-lasting peace and providing humanitarian aid. However, the methods with which the UN aims to achieve this goal differ amongst various UN institutions and their stakeholders. In the search of consensus, it is possible for the OSESGY to shape their own policy that benefits the common goal, while increasing their own autonomy. </w:t>
      </w:r>
    </w:p>
    <w:p w14:paraId="6FD277D1"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784B7021" w14:textId="41AE3F2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Security Council is the main principal of the OSESGY</w:t>
      </w:r>
      <w:r w:rsidR="002868EF">
        <w:rPr>
          <w:rFonts w:ascii="Open Sans" w:hAnsi="Open Sans" w:cs="Open Sans"/>
          <w:color w:val="000000" w:themeColor="text1"/>
          <w:sz w:val="22"/>
          <w:szCs w:val="22"/>
        </w:rPr>
        <w:t>, as their policy influences the operations of the organization the most</w:t>
      </w:r>
      <w:r w:rsidRPr="00742342">
        <w:rPr>
          <w:rFonts w:ascii="Open Sans" w:hAnsi="Open Sans" w:cs="Open Sans"/>
          <w:color w:val="000000" w:themeColor="text1"/>
          <w:sz w:val="22"/>
          <w:szCs w:val="22"/>
        </w:rPr>
        <w:t xml:space="preserve">. The member-states and members of the Council have varying views on OSESGY policy, which they make vocal through the UN Security </w:t>
      </w:r>
      <w:r w:rsidRPr="00742342">
        <w:rPr>
          <w:rFonts w:ascii="Open Sans" w:hAnsi="Open Sans" w:cs="Open Sans"/>
          <w:color w:val="000000" w:themeColor="text1"/>
          <w:sz w:val="22"/>
          <w:szCs w:val="22"/>
        </w:rPr>
        <w:lastRenderedPageBreak/>
        <w:t>Council. As the Council has 5 permanent members</w:t>
      </w:r>
      <w:r w:rsidRPr="00742342">
        <w:rPr>
          <w:rStyle w:val="FootnoteReference"/>
          <w:rFonts w:ascii="Open Sans" w:hAnsi="Open Sans" w:cs="Open Sans"/>
          <w:color w:val="000000" w:themeColor="text1"/>
          <w:sz w:val="22"/>
          <w:szCs w:val="22"/>
        </w:rPr>
        <w:footnoteReference w:id="26"/>
      </w:r>
      <w:r w:rsidRPr="00742342">
        <w:rPr>
          <w:rFonts w:ascii="Open Sans" w:hAnsi="Open Sans" w:cs="Open Sans"/>
          <w:color w:val="000000" w:themeColor="text1"/>
          <w:sz w:val="22"/>
          <w:szCs w:val="22"/>
        </w:rPr>
        <w:t xml:space="preserve">, these states have the most influence on OSESGY policy. The other 10 non-permanent members rotate every 2 years, with 5 replaced each year (Luck, 2006). The composition of the non-permanent Council members greatly influences OSESGY policy. As the non-permanent members have been generally favorable towards the ambitions and policies of the OSESGY, this supported the autonomy of the OSESGY. </w:t>
      </w:r>
    </w:p>
    <w:p w14:paraId="01198EB7"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4C84A52C"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Institutional autonomy</w:t>
      </w:r>
    </w:p>
    <w:p w14:paraId="17C166A6" w14:textId="35D7AF84"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Office of the Special Envoy is delegated by the Secretary-General to act in their best interest (United Nations Yemen &amp; Office of the Special Envoy of the Secretary-General for Yemen., n.d.). This indicates a clear principal-agent relationship within the organization itself (</w:t>
      </w:r>
      <w:proofErr w:type="spellStart"/>
      <w:r w:rsidRPr="00742342">
        <w:rPr>
          <w:rFonts w:ascii="Open Sans" w:hAnsi="Open Sans" w:cs="Open Sans"/>
          <w:color w:val="000000" w:themeColor="text1"/>
          <w:sz w:val="22"/>
          <w:szCs w:val="22"/>
        </w:rPr>
        <w:t>Bovens</w:t>
      </w:r>
      <w:proofErr w:type="spellEnd"/>
      <w:r w:rsidRPr="00742342">
        <w:rPr>
          <w:rFonts w:ascii="Open Sans" w:hAnsi="Open Sans" w:cs="Open Sans"/>
          <w:color w:val="000000" w:themeColor="text1"/>
          <w:sz w:val="22"/>
          <w:szCs w:val="22"/>
        </w:rPr>
        <w:t xml:space="preserve"> et al., 2014; Vaubel, 2006), with the OSESGY performing as the agent, carrying out tasks in the interest of the principal, the Secretary-General. Although the actions of the OSESGY are monitored by the UN </w:t>
      </w:r>
      <w:r w:rsidR="0044352B">
        <w:rPr>
          <w:rFonts w:ascii="Open Sans" w:hAnsi="Open Sans" w:cs="Open Sans"/>
          <w:color w:val="000000" w:themeColor="text1"/>
          <w:sz w:val="22"/>
          <w:szCs w:val="22"/>
        </w:rPr>
        <w:t>S</w:t>
      </w:r>
      <w:r w:rsidRPr="00742342">
        <w:rPr>
          <w:rFonts w:ascii="Open Sans" w:hAnsi="Open Sans" w:cs="Open Sans"/>
          <w:color w:val="000000" w:themeColor="text1"/>
          <w:sz w:val="22"/>
          <w:szCs w:val="22"/>
        </w:rPr>
        <w:t xml:space="preserve">ecretariat, the Special Envoy receives a high degree of institutional freedom to shape their own policy. This is in part due to the specific mandate that the OSESGY has received, stating its powers (Office of the Special Envoy of the Secretary-General for Yemen, 2023). Another reason for the increased autonomy of UN institutions in Yemen is their specific expertise, which creates information-asymmetry between the principal and the agent (Freitas, 2005). The information-asymmetry towards to principal, combined with the distance between the Security Council and the OSESGY, provides the intergovernmental organization with a high degree of intergovernmental autonomy, as long as they act in the interests of the principal. </w:t>
      </w:r>
    </w:p>
    <w:p w14:paraId="718BAF31"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16CCD02E" w14:textId="77777777" w:rsidR="004F5CF9" w:rsidRPr="00742342" w:rsidRDefault="004F5CF9" w:rsidP="004F5CF9">
      <w:pPr>
        <w:pStyle w:val="Heading3"/>
        <w:rPr>
          <w:rFonts w:ascii="Open Sans" w:hAnsi="Open Sans" w:cs="Open Sans"/>
          <w:color w:val="000000" w:themeColor="text1"/>
        </w:rPr>
      </w:pPr>
      <w:r w:rsidRPr="00742342">
        <w:rPr>
          <w:rFonts w:ascii="Open Sans" w:hAnsi="Open Sans" w:cs="Open Sans"/>
          <w:color w:val="000000" w:themeColor="text1"/>
        </w:rPr>
        <w:t>Time sensitivity</w:t>
      </w:r>
    </w:p>
    <w:p w14:paraId="4A5B4569"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Policy implementation timeline</w:t>
      </w:r>
    </w:p>
    <w:p w14:paraId="2A8298AD" w14:textId="06221F13"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policy implementation timeline is the process between identifying the event that requires intervention and the eventual implementation of the policy (Johnson, 2014). There are several steps that </w:t>
      </w:r>
      <w:r w:rsidR="008F4503" w:rsidRPr="00742342">
        <w:rPr>
          <w:rFonts w:ascii="Open Sans" w:hAnsi="Open Sans" w:cs="Open Sans"/>
          <w:color w:val="000000" w:themeColor="text1"/>
          <w:sz w:val="22"/>
          <w:szCs w:val="22"/>
        </w:rPr>
        <w:t>must</w:t>
      </w:r>
      <w:r w:rsidRPr="00742342">
        <w:rPr>
          <w:rFonts w:ascii="Open Sans" w:hAnsi="Open Sans" w:cs="Open Sans"/>
          <w:color w:val="000000" w:themeColor="text1"/>
          <w:sz w:val="22"/>
          <w:szCs w:val="22"/>
        </w:rPr>
        <w:t xml:space="preserve"> be completed in order to move on to the next stage of the policy implementation (Ibid, 2014). In the case of the United Nations in Yemen, there are two distinctly different types of policy that are implemented (Osmańczyk, 2003). On the one hand, the UN develop humanitarian policy, focused on relieving immediate suffering (Lu et al., 2015), on the other hand they are engaging in policy with political implications, focused on peacebuilding between the PRC and the Yemeni government-in-exile (Day &amp; Brehony, 2020). The policy implementation process is a balancing act between taking liberties to speed up and improve the process and going through bureaucratic processes filled with checks and balances, which are put in place to act as </w:t>
      </w:r>
      <w:r w:rsidRPr="00742342">
        <w:rPr>
          <w:rFonts w:ascii="Open Sans" w:hAnsi="Open Sans" w:cs="Open Sans"/>
          <w:color w:val="000000" w:themeColor="text1"/>
          <w:sz w:val="22"/>
          <w:szCs w:val="22"/>
        </w:rPr>
        <w:lastRenderedPageBreak/>
        <w:t xml:space="preserve">control mechanisms by the principal, in this case the member-states (Grigorescu, 2010). The politized process is naturally more inclined to bureaucratic deliberation, as the many involved principals oftentimes have diverse ambitions (Mahmood, 2013). Therefore, the implementation and the timeline in which the implementation fulfils has no measurable impact on the autonomy of the OESGY. </w:t>
      </w:r>
    </w:p>
    <w:p w14:paraId="6F27DBEB"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672CB39D"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Level of urgency</w:t>
      </w:r>
    </w:p>
    <w:p w14:paraId="38F387F2" w14:textId="3BA49399"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level of perceived urgency for the institutions of the United Nations in Yemen is dependent on several factors. The context that the OSESGY operates in is especially difficult. There are multiple hostile actors, all with diverse ambitions (Alterman &amp; Center for Strategic &amp; International Studies, 2022). The conflict is bursting with political contradictions, which are in part fueled by religious motivations (Ibid, 2022). When it comes to the impact of the level of urgency on the autonomy of the OSESGY, there are two distinct different ways of acquiring autonomy as a result of the need for urgent action in a crisis (Freitas, 2005). The OSESGY can receive more autonomy from the principal, as the principal can believe that the OSESGY is equipped to deal with the </w:t>
      </w:r>
      <w:r w:rsidR="00D45254" w:rsidRPr="00742342">
        <w:rPr>
          <w:rFonts w:ascii="Open Sans" w:hAnsi="Open Sans" w:cs="Open Sans"/>
          <w:color w:val="000000" w:themeColor="text1"/>
          <w:sz w:val="22"/>
          <w:szCs w:val="22"/>
        </w:rPr>
        <w:t>crisis</w:t>
      </w:r>
      <w:r w:rsidRPr="00742342">
        <w:rPr>
          <w:rFonts w:ascii="Open Sans" w:hAnsi="Open Sans" w:cs="Open Sans"/>
          <w:color w:val="000000" w:themeColor="text1"/>
          <w:sz w:val="22"/>
          <w:szCs w:val="22"/>
        </w:rPr>
        <w:t xml:space="preserve">. The OSESGY receives increased attention from stakeholders, </w:t>
      </w:r>
      <w:r w:rsidR="00D45254" w:rsidRPr="00742342">
        <w:rPr>
          <w:rFonts w:ascii="Open Sans" w:hAnsi="Open Sans" w:cs="Open Sans"/>
          <w:color w:val="000000" w:themeColor="text1"/>
          <w:sz w:val="22"/>
          <w:szCs w:val="22"/>
        </w:rPr>
        <w:t>because of</w:t>
      </w:r>
      <w:r w:rsidRPr="00742342">
        <w:rPr>
          <w:rFonts w:ascii="Open Sans" w:hAnsi="Open Sans" w:cs="Open Sans"/>
          <w:color w:val="000000" w:themeColor="text1"/>
          <w:sz w:val="22"/>
          <w:szCs w:val="22"/>
        </w:rPr>
        <w:t xml:space="preserve"> the severity of the crisis. This heightened attention can provide a favorable environment for the OSESGY, as it may receive more support and resources from member states and other relevant actors. The urgency of the crisis can create a sense of necessity and urgency among stakeholders, increasing their willingness to grant autonomy to the OSESGY to address the crisis effectively. In addition to granted autonomy by the principal, the OSESGY can also seize the moment to gain autonomy without explicit cooperation of the principal. In this case the OSESGY would use their traction to promote their own autonomy. </w:t>
      </w:r>
    </w:p>
    <w:p w14:paraId="71B316B1"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7E7A84F3" w14:textId="77777777" w:rsidR="004F5CF9" w:rsidRPr="00742342" w:rsidRDefault="004F5CF9" w:rsidP="004F5CF9">
      <w:pPr>
        <w:pStyle w:val="Heading3"/>
        <w:rPr>
          <w:rFonts w:ascii="Open Sans" w:hAnsi="Open Sans" w:cs="Open Sans"/>
          <w:color w:val="000000" w:themeColor="text1"/>
        </w:rPr>
      </w:pPr>
      <w:r w:rsidRPr="00742342">
        <w:rPr>
          <w:rFonts w:ascii="Open Sans" w:hAnsi="Open Sans" w:cs="Open Sans"/>
          <w:color w:val="000000" w:themeColor="text1"/>
        </w:rPr>
        <w:t>Increased credibility through perceived independence and field knowledge</w:t>
      </w:r>
    </w:p>
    <w:p w14:paraId="3D4B59D6"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Unbiased and impartial actions towards external actors</w:t>
      </w:r>
    </w:p>
    <w:p w14:paraId="0EC22E74" w14:textId="640F9625"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organizational structure of the United Nations and its subordinate divisions functions to account for the interests of all member-states (United Nations, n.d.-b). The Yemeni conflict is not only characterized by the member-states, but also by the presence of violent non-state actors. Cooperation between the United Nations and violent non-state actors is often difficult (Ezrow, 2017). This is largely due to the characteristics of the violent non-state actor. Their goals and the means with which they aim to achieve their goals are often very dissimilar from the values of the member-states (Ezrow, 2017). The OSESGY </w:t>
      </w:r>
      <w:r w:rsidR="00483A4A">
        <w:rPr>
          <w:rFonts w:ascii="Open Sans" w:hAnsi="Open Sans" w:cs="Open Sans"/>
          <w:color w:val="000000" w:themeColor="text1"/>
          <w:sz w:val="22"/>
          <w:szCs w:val="22"/>
        </w:rPr>
        <w:t>is not able</w:t>
      </w:r>
      <w:r w:rsidRPr="00742342">
        <w:rPr>
          <w:rFonts w:ascii="Open Sans" w:hAnsi="Open Sans" w:cs="Open Sans"/>
          <w:color w:val="000000" w:themeColor="text1"/>
          <w:sz w:val="22"/>
          <w:szCs w:val="22"/>
        </w:rPr>
        <w:t xml:space="preserve"> engage with VNSAs that violently engage with member-states, as is the case in Yemen. Therefore, one might assume that the OSESGY caries a certain bias towards their member-states, making their actions towards external actors not necessarily impartial. </w:t>
      </w:r>
    </w:p>
    <w:p w14:paraId="4A7CC519"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2FA22953"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At times, the Houthi movement has shown willingness to cooperate with the OSESGY, by engaging in peace talks. Oftentimes however, the Houthi’s oppose the involvement of the </w:t>
      </w:r>
      <w:r w:rsidRPr="00742342">
        <w:rPr>
          <w:rFonts w:ascii="Open Sans" w:hAnsi="Open Sans" w:cs="Open Sans"/>
          <w:color w:val="000000" w:themeColor="text1"/>
          <w:sz w:val="22"/>
          <w:szCs w:val="22"/>
        </w:rPr>
        <w:lastRenderedPageBreak/>
        <w:t xml:space="preserve">OSESGY. The Houthi’s accused the UN of partiality and engaging with their adversaries. The OSESGY works closely together with the Gulf Council, in which Saudi Arabia has an important role. Saudi Arabia is currently spearheading a coalition which aims to remove the Houthi’s from power, and reinstate President Hadi (Buys &amp; Garwood-Gowers, 2018). This is why the Houthi movement possibly perceives the United Nations not as an ally in peaceful conflict resolution, but as an institute with strong ties to their member-states, which actively oppose the current hostilities. The perception of the UN in general, and the OSESGY specifically, will thus be not one of unbiased and impartial actions. The perception of impartiality is thus context dependent. The perception of unbiased and impartial actions is neither necessary nor sufficient for increased credibility. </w:t>
      </w:r>
    </w:p>
    <w:p w14:paraId="7B181570"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65FB640B"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Demonstrated experience and transparent practices</w:t>
      </w:r>
    </w:p>
    <w:p w14:paraId="7839EBA9"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United Nations have an extensive track record of providing aid to crisis situations (De Mul, 2002). With the aim of relieving acute humanitarian disasters, the UN and its subordinate divisions have provided aid to millions in need (Edis, 1992). These vast experiences have established the United Nations as one of the most relevant actors concerned with international conflict-resolving. Therefore, their experiences contribute to their credibility. The OSESGY is building on the track record of other past and present UN initiatives and divisions, utilizing their goodwill to promote their policy in Yemen. Member-states are more likely to give the OSESGY the necessary autonomy to carry out their work when it has a proven history of effectively navigating complex situations and achieving positive outcomes. In addition to the demonstrated experience, the OSESGY can utilize transparent practices to promote their credibility, which could lead to an increase in autonomy. Transparent practices in decision-making, resource allocation, and engagement with stakeholders can enhance the autonomy of the OSESGY. By building relationships with relevant involved actors and including them in the decision-making process the OSESGY can establish themselves as a central actor. This could open up new possibilities for cooperation with state- and non-state actors. </w:t>
      </w:r>
    </w:p>
    <w:p w14:paraId="6112A149" w14:textId="77777777" w:rsidR="004F5CF9" w:rsidRPr="00742342" w:rsidRDefault="004F5CF9" w:rsidP="004F5CF9">
      <w:pPr>
        <w:rPr>
          <w:rFonts w:ascii="Open Sans" w:hAnsi="Open Sans" w:cs="Open Sans"/>
          <w:color w:val="000000" w:themeColor="text1"/>
          <w:sz w:val="22"/>
          <w:szCs w:val="22"/>
        </w:rPr>
      </w:pPr>
    </w:p>
    <w:p w14:paraId="22C26721" w14:textId="77777777" w:rsidR="004F5CF9" w:rsidRPr="00742342" w:rsidRDefault="004F5CF9" w:rsidP="004F5CF9">
      <w:pPr>
        <w:pStyle w:val="Heading2"/>
        <w:numPr>
          <w:ilvl w:val="1"/>
          <w:numId w:val="5"/>
        </w:numPr>
        <w:tabs>
          <w:tab w:val="num" w:pos="360"/>
        </w:tabs>
        <w:spacing w:line="276" w:lineRule="auto"/>
        <w:ind w:left="0" w:firstLine="0"/>
        <w:rPr>
          <w:rFonts w:ascii="Open Sans" w:hAnsi="Open Sans" w:cs="Open Sans"/>
          <w:color w:val="000000" w:themeColor="text1"/>
          <w:sz w:val="24"/>
          <w:szCs w:val="24"/>
        </w:rPr>
      </w:pPr>
      <w:bookmarkStart w:id="101" w:name="_Toc136706608"/>
      <w:bookmarkStart w:id="102" w:name="_Toc138247514"/>
      <w:r w:rsidRPr="00742342">
        <w:rPr>
          <w:rFonts w:ascii="Open Sans" w:hAnsi="Open Sans" w:cs="Open Sans"/>
          <w:color w:val="000000" w:themeColor="text1"/>
          <w:sz w:val="24"/>
          <w:szCs w:val="24"/>
        </w:rPr>
        <w:t>Results</w:t>
      </w:r>
      <w:bookmarkEnd w:id="101"/>
      <w:r w:rsidRPr="00742342">
        <w:rPr>
          <w:rFonts w:ascii="Open Sans" w:hAnsi="Open Sans" w:cs="Open Sans"/>
          <w:color w:val="000000" w:themeColor="text1"/>
          <w:sz w:val="24"/>
          <w:szCs w:val="24"/>
        </w:rPr>
        <w:t xml:space="preserve"> before the 2022 truce</w:t>
      </w:r>
      <w:bookmarkEnd w:id="102"/>
    </w:p>
    <w:p w14:paraId="16FB2F43"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Following the analysis of the engagements of the Office of the Special Envoy to the Secretary-General in Yemen between 2014 and the 2022 truce, there are different examples of the role the autonomy of the OSESGY played. These manifestations of autonomy are in part comparable to the hypothesized dimensions of autonomy, which origins I discussed in the second chapter of this thesis. </w:t>
      </w:r>
    </w:p>
    <w:p w14:paraId="3D50E1C0"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62F1565E"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For every item that was present in the operationalization of the dimensions, I first indicated if the effect of that item on the dimension was present. The items that had an effect on the dimension, and thus influenced autonomy, were discussed in the analysis in paragraph 5.2. Although all items were carefully selected, based on a literature review, </w:t>
      </w:r>
      <w:r w:rsidRPr="00742342">
        <w:rPr>
          <w:rFonts w:ascii="Open Sans" w:hAnsi="Open Sans" w:cs="Open Sans"/>
          <w:color w:val="000000" w:themeColor="text1"/>
          <w:sz w:val="22"/>
          <w:szCs w:val="22"/>
        </w:rPr>
        <w:lastRenderedPageBreak/>
        <w:t xml:space="preserve">the analysis uncovered that there were certain items that did not have an influence on the construction of the dimension, and thus had no influence on the autonomy of the OSESGY. This can mean one of two things. Either the item does not have an effect on the autonomy of an intergovernmental organization in general, or the effect of the item was not present in this specific case. Further research can investigate the potential effects on the items that did not have a measurable effect on the autonomy of the OSESGY. More suggestions on future research will be discussed in the following chapter. </w:t>
      </w:r>
    </w:p>
    <w:p w14:paraId="5F8B4942"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7D866581"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 de following table I have indicated which items did or did not contribute to the conception of the dimensions of autonomy. I have scored the presence and effect of the items with three symbols: </w:t>
      </w:r>
      <w:r w:rsidRPr="00742342">
        <w:rPr>
          <w:rFonts w:ascii="Open Sans" w:hAnsi="Open Sans" w:cs="Open Sans"/>
          <w:b/>
          <w:bCs/>
          <w:color w:val="000000" w:themeColor="text1"/>
          <w:sz w:val="22"/>
          <w:szCs w:val="22"/>
        </w:rPr>
        <w:t>-,</w:t>
      </w:r>
      <w:r w:rsidRPr="00742342">
        <w:rPr>
          <w:rFonts w:ascii="Open Sans" w:hAnsi="Open Sans" w:cs="Open Sans"/>
          <w:color w:val="000000" w:themeColor="text1"/>
          <w:sz w:val="22"/>
          <w:szCs w:val="22"/>
        </w:rPr>
        <w:t xml:space="preserve"> </w:t>
      </w:r>
      <w:r w:rsidRPr="00742342">
        <w:rPr>
          <w:rFonts w:ascii="Open Sans" w:hAnsi="Open Sans" w:cs="Open Sans"/>
          <w:b/>
          <w:bCs/>
          <w:color w:val="000000" w:themeColor="text1"/>
          <w:sz w:val="22"/>
          <w:szCs w:val="22"/>
        </w:rPr>
        <w:t>+</w:t>
      </w:r>
      <w:r w:rsidRPr="00742342">
        <w:rPr>
          <w:rFonts w:ascii="Open Sans" w:hAnsi="Open Sans" w:cs="Open Sans"/>
          <w:color w:val="000000" w:themeColor="text1"/>
          <w:sz w:val="22"/>
          <w:szCs w:val="22"/>
        </w:rPr>
        <w:t xml:space="preserve"> and </w:t>
      </w:r>
      <w:r w:rsidRPr="00742342">
        <w:rPr>
          <w:rFonts w:ascii="Open Sans" w:hAnsi="Open Sans" w:cs="Open Sans"/>
          <w:b/>
          <w:bCs/>
          <w:color w:val="000000" w:themeColor="text1"/>
          <w:sz w:val="22"/>
          <w:szCs w:val="22"/>
        </w:rPr>
        <w:t xml:space="preserve">++. </w:t>
      </w:r>
      <w:r w:rsidRPr="00742342">
        <w:rPr>
          <w:rFonts w:ascii="Open Sans" w:hAnsi="Open Sans" w:cs="Open Sans"/>
          <w:color w:val="000000" w:themeColor="text1"/>
          <w:sz w:val="22"/>
          <w:szCs w:val="22"/>
        </w:rPr>
        <w:t xml:space="preserve">In the table, the symbol </w:t>
      </w:r>
      <w:r w:rsidRPr="00742342">
        <w:rPr>
          <w:rFonts w:ascii="Open Sans" w:hAnsi="Open Sans" w:cs="Open Sans"/>
          <w:b/>
          <w:bCs/>
          <w:color w:val="000000" w:themeColor="text1"/>
          <w:sz w:val="22"/>
          <w:szCs w:val="22"/>
        </w:rPr>
        <w:t>-</w:t>
      </w:r>
      <w:r w:rsidRPr="00742342">
        <w:rPr>
          <w:rFonts w:ascii="Open Sans" w:hAnsi="Open Sans" w:cs="Open Sans"/>
          <w:color w:val="000000" w:themeColor="text1"/>
          <w:sz w:val="22"/>
          <w:szCs w:val="22"/>
        </w:rPr>
        <w:t xml:space="preserve"> refers to items that were not present in the analysis, and thus have had no effect on the autonomy of the OSESGY. The symbol </w:t>
      </w:r>
      <w:r w:rsidRPr="00742342">
        <w:rPr>
          <w:rFonts w:ascii="Open Sans" w:hAnsi="Open Sans" w:cs="Open Sans"/>
          <w:b/>
          <w:bCs/>
          <w:color w:val="000000" w:themeColor="text1"/>
          <w:sz w:val="22"/>
          <w:szCs w:val="22"/>
        </w:rPr>
        <w:t xml:space="preserve">+ </w:t>
      </w:r>
      <w:r w:rsidRPr="00742342">
        <w:rPr>
          <w:rFonts w:ascii="Open Sans" w:hAnsi="Open Sans" w:cs="Open Sans"/>
          <w:color w:val="000000" w:themeColor="text1"/>
          <w:sz w:val="22"/>
          <w:szCs w:val="22"/>
        </w:rPr>
        <w:t xml:space="preserve">refers to a presence and positive influence of the item, </w:t>
      </w:r>
      <w:r w:rsidRPr="00742342">
        <w:rPr>
          <w:rFonts w:ascii="Open Sans" w:hAnsi="Open Sans" w:cs="Open Sans"/>
          <w:b/>
          <w:bCs/>
          <w:color w:val="000000" w:themeColor="text1"/>
          <w:sz w:val="22"/>
          <w:szCs w:val="22"/>
        </w:rPr>
        <w:t>++</w:t>
      </w:r>
      <w:r w:rsidRPr="00742342">
        <w:rPr>
          <w:rFonts w:ascii="Open Sans" w:hAnsi="Open Sans" w:cs="Open Sans"/>
          <w:color w:val="000000" w:themeColor="text1"/>
          <w:sz w:val="22"/>
          <w:szCs w:val="22"/>
        </w:rPr>
        <w:t xml:space="preserve"> refers to a very strong positive influence of the item. </w:t>
      </w:r>
    </w:p>
    <w:p w14:paraId="27F101B9" w14:textId="77777777" w:rsidR="004F5CF9" w:rsidRPr="00742342" w:rsidRDefault="004F5CF9" w:rsidP="004F5CF9">
      <w:pPr>
        <w:spacing w:line="276" w:lineRule="auto"/>
        <w:rPr>
          <w:rFonts w:ascii="Open Sans" w:hAnsi="Open Sans" w:cs="Open Sans"/>
          <w:color w:val="000000" w:themeColor="text1"/>
          <w:sz w:val="22"/>
          <w:szCs w:val="22"/>
        </w:rPr>
      </w:pPr>
    </w:p>
    <w:tbl>
      <w:tblPr>
        <w:tblStyle w:val="PlainTable5"/>
        <w:tblW w:w="0" w:type="auto"/>
        <w:tblLook w:val="04A0" w:firstRow="1" w:lastRow="0" w:firstColumn="1" w:lastColumn="0" w:noHBand="0" w:noVBand="1"/>
      </w:tblPr>
      <w:tblGrid>
        <w:gridCol w:w="2972"/>
        <w:gridCol w:w="5282"/>
        <w:gridCol w:w="762"/>
      </w:tblGrid>
      <w:tr w:rsidR="004F5CF9" w:rsidRPr="00742342" w14:paraId="1B069E62" w14:textId="77777777" w:rsidTr="00F069A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972" w:type="dxa"/>
          </w:tcPr>
          <w:p w14:paraId="63DBD36C"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Dimension</w:t>
            </w:r>
          </w:p>
        </w:tc>
        <w:tc>
          <w:tcPr>
            <w:tcW w:w="5282" w:type="dxa"/>
          </w:tcPr>
          <w:p w14:paraId="034ABF70" w14:textId="77777777" w:rsidR="004F5CF9" w:rsidRPr="00742342" w:rsidRDefault="004F5CF9" w:rsidP="00F069AA">
            <w:pPr>
              <w:spacing w:line="276" w:lineRule="auto"/>
              <w:jc w:val="both"/>
              <w:cnfStyle w:val="100000000000" w:firstRow="1" w:lastRow="0" w:firstColumn="0" w:lastColumn="0" w:oddVBand="0" w:evenVBand="0" w:oddHBand="0" w:evenHBand="0" w:firstRowFirstColumn="0" w:firstRowLastColumn="0" w:lastRowFirstColumn="0" w:lastRowLastColumn="0"/>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Items</w:t>
            </w:r>
          </w:p>
        </w:tc>
        <w:tc>
          <w:tcPr>
            <w:tcW w:w="762" w:type="dxa"/>
          </w:tcPr>
          <w:p w14:paraId="659EE00F" w14:textId="77777777" w:rsidR="004F5CF9" w:rsidRPr="00742342" w:rsidRDefault="004F5CF9" w:rsidP="00F069AA">
            <w:pPr>
              <w:spacing w:line="276" w:lineRule="auto"/>
              <w:jc w:val="both"/>
              <w:cnfStyle w:val="100000000000" w:firstRow="1" w:lastRow="0" w:firstColumn="0" w:lastColumn="0" w:oddVBand="0" w:evenVBand="0" w:oddHBand="0" w:evenHBand="0" w:firstRowFirstColumn="0" w:firstRowLastColumn="0" w:lastRowFirstColumn="0" w:lastRowLastColumn="0"/>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Effect</w:t>
            </w:r>
          </w:p>
        </w:tc>
      </w:tr>
      <w:tr w:rsidR="004F5CF9" w:rsidRPr="00742342" w14:paraId="4F2EB804"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67F6D48A" w14:textId="2CD4F7FE" w:rsidR="004F5CF9" w:rsidRPr="00742342" w:rsidRDefault="00143459" w:rsidP="00F069AA">
            <w:pPr>
              <w:spacing w:line="276" w:lineRule="auto"/>
              <w:jc w:val="both"/>
              <w:rPr>
                <w:rFonts w:ascii="Open Sans" w:eastAsiaTheme="minorHAnsi" w:hAnsi="Open Sans" w:cs="Open Sans"/>
                <w:color w:val="000000" w:themeColor="text1"/>
                <w:kern w:val="2"/>
                <w:sz w:val="22"/>
                <w:szCs w:val="22"/>
                <w14:ligatures w14:val="standardContextual"/>
              </w:rPr>
            </w:pPr>
            <w:r>
              <w:rPr>
                <w:rFonts w:ascii="Open Sans" w:eastAsiaTheme="minorHAnsi" w:hAnsi="Open Sans" w:cs="Open Sans"/>
                <w:color w:val="000000" w:themeColor="text1"/>
                <w:kern w:val="2"/>
                <w:sz w:val="22"/>
                <w:szCs w:val="22"/>
                <w14:ligatures w14:val="standardContextual"/>
              </w:rPr>
              <w:t>D</w:t>
            </w:r>
            <w:r w:rsidR="00B80D16" w:rsidRPr="00B80D16">
              <w:rPr>
                <w:rFonts w:ascii="Open Sans" w:eastAsiaTheme="minorHAnsi" w:hAnsi="Open Sans" w:cs="Open Sans"/>
                <w:color w:val="000000" w:themeColor="text1"/>
                <w:kern w:val="2"/>
                <w:sz w:val="22"/>
                <w:szCs w:val="22"/>
                <w14:ligatures w14:val="standardContextual"/>
              </w:rPr>
              <w:t xml:space="preserve">epoliticization </w:t>
            </w:r>
            <w:r w:rsidR="004F5CF9" w:rsidRPr="00742342">
              <w:rPr>
                <w:rFonts w:ascii="Open Sans" w:eastAsiaTheme="minorHAnsi" w:hAnsi="Open Sans" w:cs="Open Sans"/>
                <w:color w:val="000000" w:themeColor="text1"/>
                <w:kern w:val="2"/>
                <w:sz w:val="22"/>
                <w:szCs w:val="22"/>
                <w14:ligatures w14:val="standardContextual"/>
              </w:rPr>
              <w:t>of IGOs</w:t>
            </w:r>
          </w:p>
        </w:tc>
        <w:tc>
          <w:tcPr>
            <w:tcW w:w="5282" w:type="dxa"/>
          </w:tcPr>
          <w:p w14:paraId="0344A228"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p>
        </w:tc>
        <w:tc>
          <w:tcPr>
            <w:tcW w:w="762" w:type="dxa"/>
          </w:tcPr>
          <w:p w14:paraId="7B0D7AD8"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p>
        </w:tc>
      </w:tr>
      <w:tr w:rsidR="004F5CF9" w:rsidRPr="00742342" w14:paraId="181E5F89" w14:textId="77777777" w:rsidTr="00F069AA">
        <w:tc>
          <w:tcPr>
            <w:cnfStyle w:val="001000000000" w:firstRow="0" w:lastRow="0" w:firstColumn="1" w:lastColumn="0" w:oddVBand="0" w:evenVBand="0" w:oddHBand="0" w:evenHBand="0" w:firstRowFirstColumn="0" w:firstRowLastColumn="0" w:lastRowFirstColumn="0" w:lastRowLastColumn="0"/>
            <w:tcW w:w="2972" w:type="dxa"/>
          </w:tcPr>
          <w:p w14:paraId="4E56527C"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5282" w:type="dxa"/>
          </w:tcPr>
          <w:p w14:paraId="60A74180" w14:textId="5E4C85E3" w:rsidR="004F5CF9" w:rsidRPr="00742342" w:rsidRDefault="004F5CF9" w:rsidP="00F069AA">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 xml:space="preserve">Political neutrality of the </w:t>
            </w:r>
            <w:r w:rsidR="0044352B">
              <w:rPr>
                <w:rFonts w:ascii="Open Sans" w:hAnsi="Open Sans" w:cs="Open Sans"/>
                <w:color w:val="000000" w:themeColor="text1"/>
                <w:kern w:val="2"/>
                <w:sz w:val="22"/>
                <w:szCs w:val="22"/>
                <w14:ligatures w14:val="standardContextual"/>
              </w:rPr>
              <w:t>S</w:t>
            </w:r>
            <w:r w:rsidRPr="00742342">
              <w:rPr>
                <w:rFonts w:ascii="Open Sans" w:hAnsi="Open Sans" w:cs="Open Sans"/>
                <w:color w:val="000000" w:themeColor="text1"/>
                <w:kern w:val="2"/>
                <w:sz w:val="22"/>
                <w:szCs w:val="22"/>
                <w14:ligatures w14:val="standardContextual"/>
              </w:rPr>
              <w:t>ecretariat towards the member-states</w:t>
            </w:r>
          </w:p>
        </w:tc>
        <w:tc>
          <w:tcPr>
            <w:tcW w:w="762" w:type="dxa"/>
          </w:tcPr>
          <w:p w14:paraId="0B88BF45"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36A1582D"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6043B75A"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5282" w:type="dxa"/>
          </w:tcPr>
          <w:p w14:paraId="20DDD475" w14:textId="77777777" w:rsidR="004F5CF9" w:rsidRPr="00742342" w:rsidRDefault="004F5CF9" w:rsidP="00F069AA">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Decision-making transparency</w:t>
            </w:r>
          </w:p>
        </w:tc>
        <w:tc>
          <w:tcPr>
            <w:tcW w:w="762" w:type="dxa"/>
          </w:tcPr>
          <w:p w14:paraId="792C6165"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641214A5" w14:textId="77777777" w:rsidTr="00F069AA">
        <w:tc>
          <w:tcPr>
            <w:cnfStyle w:val="001000000000" w:firstRow="0" w:lastRow="0" w:firstColumn="1" w:lastColumn="0" w:oddVBand="0" w:evenVBand="0" w:oddHBand="0" w:evenHBand="0" w:firstRowFirstColumn="0" w:firstRowLastColumn="0" w:lastRowFirstColumn="0" w:lastRowLastColumn="0"/>
            <w:tcW w:w="2972" w:type="dxa"/>
          </w:tcPr>
          <w:p w14:paraId="66C0932F"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5282" w:type="dxa"/>
          </w:tcPr>
          <w:p w14:paraId="04DB4DF1" w14:textId="77777777" w:rsidR="004F5CF9" w:rsidRPr="00742342" w:rsidRDefault="004F5CF9" w:rsidP="00F069AA">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Policy consistency</w:t>
            </w:r>
          </w:p>
        </w:tc>
        <w:tc>
          <w:tcPr>
            <w:tcW w:w="762" w:type="dxa"/>
          </w:tcPr>
          <w:p w14:paraId="6C49BE2F"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36ADD645"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24AEFCA6"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5282" w:type="dxa"/>
          </w:tcPr>
          <w:p w14:paraId="681F25B3" w14:textId="77777777" w:rsidR="004F5CF9" w:rsidRPr="00742342" w:rsidRDefault="004F5CF9" w:rsidP="00F069AA">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Institutional autonomy</w:t>
            </w:r>
          </w:p>
        </w:tc>
        <w:tc>
          <w:tcPr>
            <w:tcW w:w="762" w:type="dxa"/>
          </w:tcPr>
          <w:p w14:paraId="0DF6231D"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7EFEEEFA" w14:textId="77777777" w:rsidTr="00F069AA">
        <w:tc>
          <w:tcPr>
            <w:cnfStyle w:val="001000000000" w:firstRow="0" w:lastRow="0" w:firstColumn="1" w:lastColumn="0" w:oddVBand="0" w:evenVBand="0" w:oddHBand="0" w:evenHBand="0" w:firstRowFirstColumn="0" w:firstRowLastColumn="0" w:lastRowFirstColumn="0" w:lastRowLastColumn="0"/>
            <w:tcW w:w="2972" w:type="dxa"/>
          </w:tcPr>
          <w:p w14:paraId="4601DA86"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Time sensitivity</w:t>
            </w:r>
          </w:p>
        </w:tc>
        <w:tc>
          <w:tcPr>
            <w:tcW w:w="5282" w:type="dxa"/>
          </w:tcPr>
          <w:p w14:paraId="50292F21" w14:textId="77777777" w:rsidR="004F5CF9" w:rsidRPr="00742342" w:rsidRDefault="004F5CF9" w:rsidP="00F069AA">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p>
        </w:tc>
        <w:tc>
          <w:tcPr>
            <w:tcW w:w="762" w:type="dxa"/>
          </w:tcPr>
          <w:p w14:paraId="5701E6C5"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p>
        </w:tc>
      </w:tr>
      <w:tr w:rsidR="004F5CF9" w:rsidRPr="00742342" w14:paraId="7A710D64"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1522DDBD"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5282" w:type="dxa"/>
          </w:tcPr>
          <w:p w14:paraId="75A16B4E" w14:textId="77777777" w:rsidR="004F5CF9" w:rsidRPr="00742342" w:rsidRDefault="004F5CF9" w:rsidP="00F069AA">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Policy implementation timeline</w:t>
            </w:r>
          </w:p>
        </w:tc>
        <w:tc>
          <w:tcPr>
            <w:tcW w:w="762" w:type="dxa"/>
          </w:tcPr>
          <w:p w14:paraId="4C9E92C2"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6A57EF42" w14:textId="77777777" w:rsidTr="00F069AA">
        <w:tc>
          <w:tcPr>
            <w:cnfStyle w:val="001000000000" w:firstRow="0" w:lastRow="0" w:firstColumn="1" w:lastColumn="0" w:oddVBand="0" w:evenVBand="0" w:oddHBand="0" w:evenHBand="0" w:firstRowFirstColumn="0" w:firstRowLastColumn="0" w:lastRowFirstColumn="0" w:lastRowLastColumn="0"/>
            <w:tcW w:w="2972" w:type="dxa"/>
          </w:tcPr>
          <w:p w14:paraId="5E1BAB44"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5282" w:type="dxa"/>
          </w:tcPr>
          <w:p w14:paraId="668625F2" w14:textId="77777777" w:rsidR="004F5CF9" w:rsidRPr="00742342" w:rsidRDefault="004F5CF9" w:rsidP="00F069AA">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Level of urgency</w:t>
            </w:r>
          </w:p>
        </w:tc>
        <w:tc>
          <w:tcPr>
            <w:tcW w:w="762" w:type="dxa"/>
          </w:tcPr>
          <w:p w14:paraId="436A9160"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7600FF67"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4A829995"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Increased credibility</w:t>
            </w:r>
          </w:p>
        </w:tc>
        <w:tc>
          <w:tcPr>
            <w:tcW w:w="5282" w:type="dxa"/>
          </w:tcPr>
          <w:p w14:paraId="0F4AC478" w14:textId="77777777" w:rsidR="004F5CF9" w:rsidRPr="00742342" w:rsidRDefault="004F5CF9" w:rsidP="00F069AA">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p>
        </w:tc>
        <w:tc>
          <w:tcPr>
            <w:tcW w:w="762" w:type="dxa"/>
          </w:tcPr>
          <w:p w14:paraId="425FF32E"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p>
        </w:tc>
      </w:tr>
      <w:tr w:rsidR="004F5CF9" w:rsidRPr="00742342" w14:paraId="7100958D" w14:textId="77777777" w:rsidTr="00F069AA">
        <w:tc>
          <w:tcPr>
            <w:cnfStyle w:val="001000000000" w:firstRow="0" w:lastRow="0" w:firstColumn="1" w:lastColumn="0" w:oddVBand="0" w:evenVBand="0" w:oddHBand="0" w:evenHBand="0" w:firstRowFirstColumn="0" w:firstRowLastColumn="0" w:lastRowFirstColumn="0" w:lastRowLastColumn="0"/>
            <w:tcW w:w="2972" w:type="dxa"/>
          </w:tcPr>
          <w:p w14:paraId="1F530E80"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5282" w:type="dxa"/>
          </w:tcPr>
          <w:p w14:paraId="5060168C" w14:textId="77777777" w:rsidR="004F5CF9" w:rsidRPr="00742342" w:rsidRDefault="004F5CF9" w:rsidP="00F069AA">
            <w:pPr>
              <w:spacing w:line="276" w:lineRule="auto"/>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Unbiased and impartial actions towards external actors</w:t>
            </w:r>
          </w:p>
        </w:tc>
        <w:tc>
          <w:tcPr>
            <w:tcW w:w="762" w:type="dxa"/>
          </w:tcPr>
          <w:p w14:paraId="114DCEBB"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34A19EAE"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3E763636"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5282" w:type="dxa"/>
          </w:tcPr>
          <w:p w14:paraId="580A9659" w14:textId="77777777" w:rsidR="004F5CF9" w:rsidRPr="00742342" w:rsidRDefault="004F5CF9" w:rsidP="00F069AA">
            <w:pPr>
              <w:spacing w:line="276" w:lineRule="auto"/>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Demonstrated experience and transparent practices</w:t>
            </w:r>
          </w:p>
        </w:tc>
        <w:tc>
          <w:tcPr>
            <w:tcW w:w="762" w:type="dxa"/>
          </w:tcPr>
          <w:p w14:paraId="2936C148"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bl>
    <w:p w14:paraId="3751438A" w14:textId="77777777" w:rsidR="004F5CF9" w:rsidRPr="00742342" w:rsidRDefault="004F5CF9" w:rsidP="004F5CF9">
      <w:pPr>
        <w:pStyle w:val="Caption"/>
        <w:spacing w:line="276" w:lineRule="auto"/>
        <w:jc w:val="center"/>
        <w:rPr>
          <w:rFonts w:ascii="Open Sans" w:hAnsi="Open Sans" w:cs="Open Sans"/>
          <w:color w:val="000000" w:themeColor="text1"/>
        </w:rPr>
      </w:pPr>
    </w:p>
    <w:p w14:paraId="4398E62A" w14:textId="66772AA2" w:rsidR="004F5CF9" w:rsidRPr="00742342" w:rsidRDefault="004F5CF9" w:rsidP="004F5CF9">
      <w:pPr>
        <w:pStyle w:val="Caption"/>
        <w:spacing w:line="276" w:lineRule="auto"/>
        <w:jc w:val="center"/>
        <w:rPr>
          <w:rFonts w:ascii="Open Sans" w:hAnsi="Open Sans" w:cs="Open Sans"/>
          <w:color w:val="000000" w:themeColor="text1"/>
          <w:sz w:val="22"/>
          <w:szCs w:val="22"/>
        </w:rPr>
      </w:pPr>
      <w:r w:rsidRPr="00742342">
        <w:rPr>
          <w:rFonts w:ascii="Open Sans" w:hAnsi="Open Sans" w:cs="Open Sans"/>
          <w:color w:val="000000" w:themeColor="text1"/>
        </w:rPr>
        <w:t xml:space="preserve">Table </w:t>
      </w:r>
      <w:r w:rsidR="00C52CCC">
        <w:rPr>
          <w:rFonts w:ascii="Open Sans" w:hAnsi="Open Sans" w:cs="Open Sans"/>
          <w:color w:val="000000" w:themeColor="text1"/>
        </w:rPr>
        <w:t>3</w:t>
      </w:r>
      <w:r w:rsidRPr="00742342">
        <w:rPr>
          <w:rFonts w:ascii="Open Sans" w:hAnsi="Open Sans" w:cs="Open Sans"/>
          <w:color w:val="000000" w:themeColor="text1"/>
        </w:rPr>
        <w:t>, item scores prior to the 2022 truce.</w:t>
      </w:r>
    </w:p>
    <w:p w14:paraId="5BC2BBB6"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As is shown in the table, the political neutrality of the UN Secretariat did not influence the depoliticized nature of the OSESGY. Although the OSESGY reports to the Secretary-General, the analysis pointed out that the Secretariat is less concerned with the political aspect of the UN. For future research, I would recommend changing this dimension to the neutrality of the Security Council, as the Council has a large influence over the OSESGY. Although certain forms of transparency seem vital for public support of an intergovernmental organization, this analysis did not uncover a relationship between </w:t>
      </w:r>
      <w:r w:rsidRPr="00742342">
        <w:rPr>
          <w:rFonts w:ascii="Open Sans" w:hAnsi="Open Sans" w:cs="Open Sans"/>
          <w:color w:val="000000" w:themeColor="text1"/>
          <w:sz w:val="22"/>
          <w:szCs w:val="22"/>
        </w:rPr>
        <w:lastRenderedPageBreak/>
        <w:t xml:space="preserve">transparency and autonomy. Following the dimension of time sensitivity, there have been no indications that the policy implementation timeline has any influence on the autonomy. My hypothesis was that if an IGO could influence the timeline and increase the implementation speed, bypassing bureaucratic restrictions, it could increase its autonomy. There have been no indications to support this hypothesis. The last item that did not influence the autonomy of the OSESGY is concerning the unbiased and impartial actions towards external actors. This was the most difficult item to score. The OSESGY did prove to act in the general interest of all involved actors of the Yemeni civil war but did carry a certain bias towards actors affiliated to the principal. There are demonstrations of unbiased and impartial actions by the OSESGY, but they did eventually not contribute to their autonomy.  </w:t>
      </w:r>
    </w:p>
    <w:p w14:paraId="58A828E1" w14:textId="77777777" w:rsidR="004F5CF9" w:rsidRPr="00742342" w:rsidRDefault="004F5CF9" w:rsidP="004F5CF9">
      <w:pPr>
        <w:rPr>
          <w:rFonts w:ascii="Open Sans" w:hAnsi="Open Sans" w:cs="Open Sans"/>
          <w:color w:val="000000" w:themeColor="text1"/>
          <w:sz w:val="22"/>
          <w:szCs w:val="22"/>
        </w:rPr>
      </w:pPr>
    </w:p>
    <w:p w14:paraId="463531EE" w14:textId="77777777" w:rsidR="004F5CF9" w:rsidRPr="00742342" w:rsidRDefault="004F5CF9" w:rsidP="004F5CF9">
      <w:pPr>
        <w:rPr>
          <w:rFonts w:ascii="Open Sans" w:hAnsi="Open Sans" w:cs="Open Sans"/>
          <w:color w:val="000000" w:themeColor="text1"/>
          <w:sz w:val="22"/>
          <w:szCs w:val="22"/>
        </w:rPr>
      </w:pPr>
      <w:r w:rsidRPr="00742342">
        <w:rPr>
          <w:rFonts w:ascii="Open Sans" w:hAnsi="Open Sans" w:cs="Open Sans"/>
          <w:color w:val="000000" w:themeColor="text1"/>
          <w:sz w:val="22"/>
          <w:szCs w:val="22"/>
        </w:rPr>
        <w:br w:type="page"/>
      </w:r>
    </w:p>
    <w:p w14:paraId="01C94A69" w14:textId="77777777" w:rsidR="004F5CF9" w:rsidRPr="00742342" w:rsidRDefault="004F5CF9" w:rsidP="004F5CF9">
      <w:pPr>
        <w:pStyle w:val="Heading2"/>
        <w:numPr>
          <w:ilvl w:val="1"/>
          <w:numId w:val="5"/>
        </w:numPr>
        <w:tabs>
          <w:tab w:val="num" w:pos="360"/>
        </w:tabs>
        <w:spacing w:line="276" w:lineRule="auto"/>
        <w:ind w:left="0" w:firstLine="0"/>
        <w:rPr>
          <w:rFonts w:ascii="Open Sans" w:hAnsi="Open Sans" w:cs="Open Sans"/>
          <w:color w:val="000000" w:themeColor="text1"/>
          <w:sz w:val="24"/>
          <w:szCs w:val="24"/>
        </w:rPr>
      </w:pPr>
      <w:bookmarkStart w:id="103" w:name="_Toc136706607"/>
      <w:bookmarkStart w:id="104" w:name="_Toc138247515"/>
      <w:r w:rsidRPr="00742342">
        <w:rPr>
          <w:rFonts w:ascii="Open Sans" w:hAnsi="Open Sans" w:cs="Open Sans"/>
          <w:color w:val="000000" w:themeColor="text1"/>
          <w:sz w:val="24"/>
          <w:szCs w:val="24"/>
        </w:rPr>
        <w:lastRenderedPageBreak/>
        <w:t>The 2022 truce</w:t>
      </w:r>
      <w:bookmarkEnd w:id="103"/>
      <w:bookmarkEnd w:id="104"/>
    </w:p>
    <w:p w14:paraId="2238548B"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 April 2022 the Special Envoy brokered a truce between the Houthi movement and the internationally recognized government of Yemen. The truce initially lasted for two months, with the option to renew the truce with further periods of two months at a time (Office of the Special-Envoy of the Secretary-General for Yemen, n.d.). The OSESGY had two purposes when initiating the truce; an immediate ceasefire could provide the opportunity for humanitarian relief and prove to be an opportunity for the fighting parties to reach a permanent ceasefire (Ibid, n.d.). The truce agreement included arrangements between the OSESGY, the Houthi movement and the Yemeni government about the entry of fuel ships into main ports, and the reopening of Sana’a airport</w:t>
      </w:r>
      <w:r w:rsidRPr="00742342">
        <w:rPr>
          <w:rStyle w:val="FootnoteReference"/>
          <w:rFonts w:ascii="Open Sans" w:hAnsi="Open Sans" w:cs="Open Sans"/>
          <w:color w:val="000000" w:themeColor="text1"/>
          <w:sz w:val="22"/>
          <w:szCs w:val="22"/>
        </w:rPr>
        <w:footnoteReference w:id="27"/>
      </w:r>
      <w:r w:rsidRPr="00742342">
        <w:rPr>
          <w:rFonts w:ascii="Open Sans" w:hAnsi="Open Sans" w:cs="Open Sans"/>
          <w:color w:val="000000" w:themeColor="text1"/>
          <w:sz w:val="22"/>
          <w:szCs w:val="22"/>
        </w:rPr>
        <w:t xml:space="preserve">. The truce agreement explicitly stated that the truce is not a pause in fighting to be used to reinforce their military capacity, and that the truce should usher in a new period of peacebuilding (Ibid, n.d.). The truce marks an important moment in the history of the OSESGY, as they initiated the conception of the truce, and were responsible for the subsequent negotiations between the Houthi’s and the Yemeni government. As discussed, the truce initially lasted for two months. After the two months, the involved actors reconvened, and they agreed that the truce was to be extended by a further two months. Later, the deadline to renew the truce for another two months passed, while fighting resumed. The truce eventually appeared to be temporary in nature. The OSESGY was not able to use the truce as a successful platform to negotiate a permanent ceasefire. In the following paragraphs, I will discuss the implications of the truce on the dimensions for autonomy. I will indicate which items changed during the truce, and what their impact on the autonomy of the OSESGY was. Afterwards, I will dive deeper into some dimensions that were not identified based on the literature analysis but were discovered during the analysis, as part of the theory-developing aspect of this thesis. </w:t>
      </w:r>
    </w:p>
    <w:p w14:paraId="66102D64"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15AA3E75" w14:textId="77777777" w:rsidR="004F5CF9" w:rsidRPr="00742342" w:rsidRDefault="004F5CF9" w:rsidP="004F5CF9">
      <w:pPr>
        <w:pStyle w:val="Heading3"/>
        <w:rPr>
          <w:rFonts w:ascii="Open Sans" w:hAnsi="Open Sans" w:cs="Open Sans"/>
          <w:color w:val="000000" w:themeColor="text1"/>
        </w:rPr>
      </w:pPr>
      <w:r w:rsidRPr="00742342">
        <w:rPr>
          <w:rFonts w:ascii="Open Sans" w:hAnsi="Open Sans" w:cs="Open Sans"/>
          <w:color w:val="000000" w:themeColor="text1"/>
        </w:rPr>
        <w:t>The impact of the identified dimensions of autonomy</w:t>
      </w:r>
    </w:p>
    <w:p w14:paraId="3F2ABBE9" w14:textId="77777777" w:rsidR="004F5CF9" w:rsidRPr="00742342" w:rsidRDefault="004F5CF9" w:rsidP="004F5CF9">
      <w:pPr>
        <w:spacing w:line="276" w:lineRule="auto"/>
        <w:jc w:val="both"/>
        <w:rPr>
          <w:rFonts w:ascii="Open Sans" w:hAnsi="Open Sans" w:cs="Open Sans"/>
          <w:i/>
          <w:iCs/>
          <w:color w:val="000000" w:themeColor="text1"/>
          <w:sz w:val="22"/>
          <w:szCs w:val="22"/>
        </w:rPr>
      </w:pPr>
    </w:p>
    <w:p w14:paraId="6577B654"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The depoliticized nature of IGOs</w:t>
      </w:r>
    </w:p>
    <w:p w14:paraId="3C9AA8CE" w14:textId="77299F65"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establishment of the truce was largely due to the continued efforts of the Office of the Special Envoy to the Secretary-General in Yemen (Staff, 2022; United Nations, 2022). Although the OSESGY reports to the Secretary-General, their most important achievement to date was created without intervention of other UN</w:t>
      </w:r>
      <w:r w:rsidR="00FE6969">
        <w:rPr>
          <w:rFonts w:ascii="Open Sans" w:hAnsi="Open Sans" w:cs="Open Sans"/>
          <w:color w:val="000000" w:themeColor="text1"/>
          <w:sz w:val="22"/>
          <w:szCs w:val="22"/>
        </w:rPr>
        <w:t xml:space="preserve"> organizations</w:t>
      </w:r>
      <w:r w:rsidRPr="00742342">
        <w:rPr>
          <w:rFonts w:ascii="Open Sans" w:hAnsi="Open Sans" w:cs="Open Sans"/>
          <w:color w:val="000000" w:themeColor="text1"/>
          <w:sz w:val="22"/>
          <w:szCs w:val="22"/>
        </w:rPr>
        <w:t xml:space="preserve">. The lack of interference from other intergovernmental organizations has most certainly affected the process. The Houthi movement </w:t>
      </w:r>
      <w:r w:rsidR="00892A51">
        <w:rPr>
          <w:rFonts w:ascii="Open Sans" w:hAnsi="Open Sans" w:cs="Open Sans"/>
          <w:color w:val="000000" w:themeColor="text1"/>
          <w:sz w:val="22"/>
          <w:szCs w:val="22"/>
        </w:rPr>
        <w:t xml:space="preserve">will not usually </w:t>
      </w:r>
      <w:r w:rsidRPr="00742342">
        <w:rPr>
          <w:rFonts w:ascii="Open Sans" w:hAnsi="Open Sans" w:cs="Open Sans"/>
          <w:color w:val="000000" w:themeColor="text1"/>
          <w:sz w:val="22"/>
          <w:szCs w:val="22"/>
        </w:rPr>
        <w:t xml:space="preserve">cooperate with organizations affiliated with the Saudi-led coalition (Johnston et al., 2020). Presumably, the Houthi’s understood the non-political intentions of the OSESGY, and were therefore inclined to </w:t>
      </w:r>
      <w:r w:rsidRPr="00742342">
        <w:rPr>
          <w:rFonts w:ascii="Open Sans" w:hAnsi="Open Sans" w:cs="Open Sans"/>
          <w:color w:val="000000" w:themeColor="text1"/>
          <w:sz w:val="22"/>
          <w:szCs w:val="22"/>
        </w:rPr>
        <w:lastRenderedPageBreak/>
        <w:t xml:space="preserve">cooperate. Because the OSESGY engaged with the Houthi’s directly, there was no interference of the Secretary-General, or the Security Council. This gave the OSESGY the possibility to negotiate a truce not based on political preferences, but on the promise of humanitarian and economic aid to the Yemeni population. </w:t>
      </w:r>
    </w:p>
    <w:p w14:paraId="144ABD15"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124484BB"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explicit purpose of the truce, and the ambition the OSESGY promoted with brokering the truce speaks in favor of an increase in decision-making transparency for the organization. The draft version, as well as the published signed version of the truce states that the truce is meant to produce a ‘conductive environment for a peaceful settlement of the conflict’ (Office of the Special-Envoy of the Secretary-General for Yemen, n.d.). The aims of the truce are not political, but diplomatic in nature. Because this was communicated not only to the involved actors, but also to the principal (the United Nations Secretary-General and Security Council), the decision-making transparency increased, while increasing the depoliticized nature of the OSESGY, contributing to an increase in autonomy for the organization. </w:t>
      </w:r>
    </w:p>
    <w:p w14:paraId="69A4B2F4"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6E721D3E"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Time sensitivity</w:t>
      </w:r>
    </w:p>
    <w:p w14:paraId="2AD8D53A"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 addition to an increase in autonomy through the depolarized nature of the OSESGY, the truce also saw an increase in autonomy due to the added time sensitivity. While the Houthi movement was governing an estimated 80% of the Yemeni population at the time the truce was brokered (Wilson Center, 2022), the group suffered heavy losses (Global Conflict Tracker, 2023). The OSESGY presumably pressured and convinced both the Houthi movement and the Yemeni government to pursue a truce, as it was in the best interest of all fighting parties. The nature of the Houthi movement would likely cause the group not to engage in negotiations with the OSESGY and the Yemeni government if there was no advantage for them to gain as well. The OSESGY invested in maintaining relations with the Houthi’s, making sure not to exclude and alienate the movement. As negotiations for the second extension of the truce failed however, the increase in supposed autonomy seemed insufficient to renew the truce for a third time.</w:t>
      </w:r>
    </w:p>
    <w:p w14:paraId="5B78D5BB"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45AC4199"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Increased credibility through perceived independence and field knowledge</w:t>
      </w:r>
    </w:p>
    <w:p w14:paraId="7C5D5C2D"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last dimension, the increased credibility of the IGO through demonstrated experience and transparent practices also contributed to an increase in autonomy for the OSESGY. The initiative for the truce, including the ambitions and an outline for the practical execution, stated that there would be no independent monitoring of the truce (Office of the Special-Envoy of the Secretary-General for Yemen, n.d.). This meant that the OSESGY is solely responsible for monitoring the execution of the terms described in the truce. During the truce, although there were minor violations, both the Houthi movement and the Yemeni government seemed to adhere to the agreements (Armed Conflict </w:t>
      </w:r>
      <w:r w:rsidRPr="00742342">
        <w:rPr>
          <w:rFonts w:ascii="Open Sans" w:hAnsi="Open Sans" w:cs="Open Sans"/>
          <w:color w:val="000000" w:themeColor="text1"/>
          <w:sz w:val="22"/>
          <w:szCs w:val="22"/>
        </w:rPr>
        <w:lastRenderedPageBreak/>
        <w:t xml:space="preserve">Location &amp; Event Data Project, 2022). This successful implementation of the truce added to the perceived experiences of the OSESGY, which further increased their autonomy. </w:t>
      </w:r>
    </w:p>
    <w:p w14:paraId="24A62322" w14:textId="77777777" w:rsidR="004F5CF9" w:rsidRPr="00742342" w:rsidRDefault="004F5CF9" w:rsidP="004F5CF9">
      <w:pPr>
        <w:rPr>
          <w:rFonts w:ascii="Open Sans" w:hAnsi="Open Sans" w:cs="Open Sans"/>
          <w:color w:val="000000" w:themeColor="text1"/>
          <w:sz w:val="22"/>
          <w:szCs w:val="22"/>
        </w:rPr>
      </w:pPr>
    </w:p>
    <w:p w14:paraId="149EA1B3" w14:textId="77777777" w:rsidR="004F5CF9" w:rsidRPr="00742342" w:rsidRDefault="004F5CF9" w:rsidP="004F5CF9">
      <w:pPr>
        <w:rPr>
          <w:rFonts w:ascii="Open Sans" w:hAnsi="Open Sans" w:cs="Open Sans"/>
          <w:color w:val="000000" w:themeColor="text1"/>
          <w:sz w:val="22"/>
          <w:szCs w:val="22"/>
        </w:rPr>
      </w:pPr>
      <w:r w:rsidRPr="00742342">
        <w:rPr>
          <w:rFonts w:ascii="Open Sans" w:hAnsi="Open Sans" w:cs="Open Sans"/>
          <w:i/>
          <w:iCs/>
          <w:color w:val="000000" w:themeColor="text1"/>
          <w:sz w:val="22"/>
          <w:szCs w:val="22"/>
        </w:rPr>
        <w:t>The truce’s possible negative impact on OSESGY autonomy</w:t>
      </w:r>
    </w:p>
    <w:p w14:paraId="24AE1B68" w14:textId="4DB513F1"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As discussed, there are strong indications that the truce the OSESGY brokered has resulted in an increase in autonomy for the organization. But there might also be factors that could be deducting from their autonomy. As the truce eventually was not renewed and did not prove to be the wanted platform for further conflict resolution, the general long-term ambition of the OSESGY proved to have failed. Although the inability to renew the truce was not caused by any </w:t>
      </w:r>
      <w:r w:rsidR="003C0DE0" w:rsidRPr="00742342">
        <w:rPr>
          <w:rFonts w:ascii="Open Sans" w:hAnsi="Open Sans" w:cs="Open Sans"/>
          <w:color w:val="000000" w:themeColor="text1"/>
          <w:sz w:val="22"/>
          <w:szCs w:val="22"/>
        </w:rPr>
        <w:t>activities</w:t>
      </w:r>
      <w:r w:rsidRPr="00742342">
        <w:rPr>
          <w:rFonts w:ascii="Open Sans" w:hAnsi="Open Sans" w:cs="Open Sans"/>
          <w:color w:val="000000" w:themeColor="text1"/>
          <w:sz w:val="22"/>
          <w:szCs w:val="22"/>
        </w:rPr>
        <w:t xml:space="preserve"> </w:t>
      </w:r>
      <w:r w:rsidR="0075289D">
        <w:rPr>
          <w:rFonts w:ascii="Open Sans" w:hAnsi="Open Sans" w:cs="Open Sans"/>
          <w:color w:val="000000" w:themeColor="text1"/>
          <w:sz w:val="22"/>
          <w:szCs w:val="22"/>
        </w:rPr>
        <w:t>of</w:t>
      </w:r>
      <w:r w:rsidRPr="00742342">
        <w:rPr>
          <w:rFonts w:ascii="Open Sans" w:hAnsi="Open Sans" w:cs="Open Sans"/>
          <w:color w:val="000000" w:themeColor="text1"/>
          <w:sz w:val="22"/>
          <w:szCs w:val="22"/>
        </w:rPr>
        <w:t xml:space="preserve"> the OSESGY, but rather by the other actors, it could lead to a decrease in autonomy through demonstrated experiences, as the OSESGY was eventually unsuccessful. Reputation damage due to the blame for the unsuccessful outcome of the truce negotiations could harmfully impact the perceived credibility through demonstrated experiences, which could in term lead to a decrease in autonomy. </w:t>
      </w:r>
    </w:p>
    <w:p w14:paraId="465E3448"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27087D48" w14:textId="77777777" w:rsidR="004F5CF9" w:rsidRPr="00742342" w:rsidRDefault="004F5CF9" w:rsidP="004F5CF9">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Increase in autonomy after the truce</w:t>
      </w:r>
    </w:p>
    <w:p w14:paraId="0BBB05CE" w14:textId="7D3AE66E"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UN brokered truce in Yemen was a crucial moment in the history of the Office of the Special Envoy. Contextually, it was the first ceasefire since the Stockholm agreement of 2018, and it was the first truce that was brokered without interference of different divisions of the United Nations, other than the OSESGY. The truce can be seen as a demonstration of their autonomy. It also had implications for the results of this analysis. Items that previously demonstrated no effect on the autonomy of the OSESGY, now showed to influence its autonomy. Other items saw their effects increased. Table </w:t>
      </w:r>
      <w:r w:rsidR="009B193E">
        <w:rPr>
          <w:rFonts w:ascii="Open Sans" w:hAnsi="Open Sans" w:cs="Open Sans"/>
          <w:color w:val="000000" w:themeColor="text1"/>
          <w:sz w:val="22"/>
          <w:szCs w:val="22"/>
        </w:rPr>
        <w:t>4</w:t>
      </w:r>
      <w:r w:rsidRPr="00742342">
        <w:rPr>
          <w:rFonts w:ascii="Open Sans" w:hAnsi="Open Sans" w:cs="Open Sans"/>
          <w:color w:val="000000" w:themeColor="text1"/>
          <w:sz w:val="22"/>
          <w:szCs w:val="22"/>
        </w:rPr>
        <w:t xml:space="preserve"> displays the scores for the items during the truce. The symbol </w:t>
      </w:r>
      <w:r w:rsidRPr="00742342">
        <w:rPr>
          <w:rFonts w:ascii="Open Sans" w:hAnsi="Open Sans" w:cs="Open Sans"/>
          <w:b/>
          <w:bCs/>
          <w:color w:val="000000" w:themeColor="text1"/>
          <w:sz w:val="22"/>
          <w:szCs w:val="22"/>
        </w:rPr>
        <w:t xml:space="preserve">+ </w:t>
      </w:r>
      <w:r w:rsidRPr="00742342">
        <w:rPr>
          <w:rFonts w:ascii="Open Sans" w:hAnsi="Open Sans" w:cs="Open Sans"/>
          <w:color w:val="000000" w:themeColor="text1"/>
          <w:sz w:val="22"/>
          <w:szCs w:val="22"/>
        </w:rPr>
        <w:t xml:space="preserve">displays </w:t>
      </w:r>
      <w:r w:rsidR="00711A43">
        <w:rPr>
          <w:rFonts w:ascii="Open Sans" w:hAnsi="Open Sans" w:cs="Open Sans"/>
          <w:color w:val="000000" w:themeColor="text1"/>
          <w:sz w:val="22"/>
          <w:szCs w:val="22"/>
        </w:rPr>
        <w:t xml:space="preserve">the presence and positive influence </w:t>
      </w:r>
      <w:r w:rsidRPr="00742342">
        <w:rPr>
          <w:rFonts w:ascii="Open Sans" w:hAnsi="Open Sans" w:cs="Open Sans"/>
          <w:color w:val="000000" w:themeColor="text1"/>
          <w:sz w:val="22"/>
          <w:szCs w:val="22"/>
        </w:rPr>
        <w:t>in the effect of the item on the dimension</w:t>
      </w:r>
      <w:r w:rsidR="00BB6E18">
        <w:rPr>
          <w:rFonts w:ascii="Open Sans" w:hAnsi="Open Sans" w:cs="Open Sans"/>
          <w:color w:val="000000" w:themeColor="text1"/>
          <w:sz w:val="22"/>
          <w:szCs w:val="22"/>
        </w:rPr>
        <w:t xml:space="preserve">, while </w:t>
      </w:r>
      <w:r w:rsidR="00BB6E18">
        <w:rPr>
          <w:rFonts w:ascii="Open Sans" w:hAnsi="Open Sans" w:cs="Open Sans"/>
          <w:b/>
          <w:bCs/>
          <w:color w:val="000000" w:themeColor="text1"/>
          <w:sz w:val="22"/>
          <w:szCs w:val="22"/>
        </w:rPr>
        <w:t xml:space="preserve">++ </w:t>
      </w:r>
      <w:r w:rsidR="00711A43">
        <w:rPr>
          <w:rFonts w:ascii="Open Sans" w:hAnsi="Open Sans" w:cs="Open Sans"/>
          <w:color w:val="000000" w:themeColor="text1"/>
          <w:sz w:val="22"/>
          <w:szCs w:val="22"/>
        </w:rPr>
        <w:t>indicates a strong presence and effect</w:t>
      </w:r>
      <w:r w:rsidRPr="00742342">
        <w:rPr>
          <w:rFonts w:ascii="Open Sans" w:hAnsi="Open Sans" w:cs="Open Sans"/>
          <w:color w:val="000000" w:themeColor="text1"/>
          <w:sz w:val="22"/>
          <w:szCs w:val="22"/>
        </w:rPr>
        <w:t xml:space="preserve">. No effect is shown by the </w:t>
      </w:r>
      <w:r w:rsidR="00711A43">
        <w:rPr>
          <w:rFonts w:ascii="Open Sans" w:hAnsi="Open Sans" w:cs="Open Sans"/>
          <w:b/>
          <w:bCs/>
          <w:color w:val="000000" w:themeColor="text1"/>
          <w:sz w:val="22"/>
          <w:szCs w:val="22"/>
        </w:rPr>
        <w:t>–</w:t>
      </w:r>
      <w:r w:rsidRPr="00742342">
        <w:rPr>
          <w:rFonts w:ascii="Open Sans" w:hAnsi="Open Sans" w:cs="Open Sans"/>
          <w:color w:val="000000" w:themeColor="text1"/>
          <w:sz w:val="22"/>
          <w:szCs w:val="22"/>
        </w:rPr>
        <w:t xml:space="preserve"> symbol</w:t>
      </w:r>
      <w:r w:rsidR="00711A43">
        <w:rPr>
          <w:rFonts w:ascii="Open Sans" w:hAnsi="Open Sans" w:cs="Open Sans"/>
          <w:color w:val="000000" w:themeColor="text1"/>
          <w:sz w:val="22"/>
          <w:szCs w:val="22"/>
        </w:rPr>
        <w:t xml:space="preserve">, </w:t>
      </w:r>
      <w:r w:rsidR="00757078">
        <w:rPr>
          <w:rFonts w:ascii="Open Sans" w:hAnsi="Open Sans" w:cs="Open Sans"/>
          <w:color w:val="000000" w:themeColor="text1"/>
          <w:sz w:val="22"/>
          <w:szCs w:val="22"/>
        </w:rPr>
        <w:t xml:space="preserve">as is the case in table </w:t>
      </w:r>
      <w:r w:rsidR="00C52CCC">
        <w:rPr>
          <w:rFonts w:ascii="Open Sans" w:hAnsi="Open Sans" w:cs="Open Sans"/>
          <w:color w:val="000000" w:themeColor="text1"/>
          <w:sz w:val="22"/>
          <w:szCs w:val="22"/>
        </w:rPr>
        <w:t>3</w:t>
      </w:r>
      <w:r w:rsidRPr="00742342">
        <w:rPr>
          <w:rFonts w:ascii="Open Sans" w:hAnsi="Open Sans" w:cs="Open Sans"/>
          <w:color w:val="000000" w:themeColor="text1"/>
          <w:sz w:val="22"/>
          <w:szCs w:val="22"/>
        </w:rPr>
        <w:t xml:space="preserve">. I observed no decrease in the effect of an item on any dimension. </w:t>
      </w:r>
    </w:p>
    <w:p w14:paraId="20DA70BA" w14:textId="77777777" w:rsidR="004F5CF9" w:rsidRPr="00742342" w:rsidRDefault="004F5CF9" w:rsidP="004F5CF9">
      <w:pPr>
        <w:rPr>
          <w:rFonts w:ascii="Open Sans" w:hAnsi="Open Sans" w:cs="Open Sans"/>
          <w:color w:val="000000" w:themeColor="text1"/>
          <w:sz w:val="22"/>
          <w:szCs w:val="22"/>
        </w:rPr>
      </w:pPr>
      <w:r w:rsidRPr="00742342">
        <w:rPr>
          <w:rFonts w:ascii="Open Sans" w:hAnsi="Open Sans" w:cs="Open Sans"/>
          <w:color w:val="000000" w:themeColor="text1"/>
          <w:sz w:val="22"/>
          <w:szCs w:val="22"/>
        </w:rPr>
        <w:br w:type="page"/>
      </w:r>
    </w:p>
    <w:p w14:paraId="77234E95" w14:textId="77777777" w:rsidR="004F5CF9" w:rsidRPr="00742342" w:rsidRDefault="004F5CF9" w:rsidP="004F5CF9">
      <w:pPr>
        <w:spacing w:line="276" w:lineRule="auto"/>
        <w:jc w:val="both"/>
        <w:rPr>
          <w:rFonts w:ascii="Open Sans" w:hAnsi="Open Sans" w:cs="Open Sans"/>
          <w:color w:val="000000" w:themeColor="text1"/>
          <w:sz w:val="22"/>
          <w:szCs w:val="22"/>
        </w:rPr>
      </w:pPr>
    </w:p>
    <w:tbl>
      <w:tblPr>
        <w:tblStyle w:val="PlainTable5"/>
        <w:tblW w:w="0" w:type="auto"/>
        <w:tblLook w:val="04A0" w:firstRow="1" w:lastRow="0" w:firstColumn="1" w:lastColumn="0" w:noHBand="0" w:noVBand="1"/>
      </w:tblPr>
      <w:tblGrid>
        <w:gridCol w:w="3005"/>
        <w:gridCol w:w="3653"/>
        <w:gridCol w:w="2358"/>
      </w:tblGrid>
      <w:tr w:rsidR="004F5CF9" w:rsidRPr="00742342" w14:paraId="18596E53" w14:textId="77777777" w:rsidTr="00F069A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05" w:type="dxa"/>
          </w:tcPr>
          <w:p w14:paraId="208AA11E"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Dimensions</w:t>
            </w:r>
          </w:p>
        </w:tc>
        <w:tc>
          <w:tcPr>
            <w:tcW w:w="3653" w:type="dxa"/>
          </w:tcPr>
          <w:p w14:paraId="0153C076" w14:textId="77777777" w:rsidR="004F5CF9" w:rsidRPr="00742342" w:rsidRDefault="004F5CF9" w:rsidP="00F069AA">
            <w:pPr>
              <w:spacing w:line="276" w:lineRule="auto"/>
              <w:jc w:val="both"/>
              <w:cnfStyle w:val="100000000000" w:firstRow="1" w:lastRow="0" w:firstColumn="0" w:lastColumn="0" w:oddVBand="0" w:evenVBand="0" w:oddHBand="0" w:evenHBand="0" w:firstRowFirstColumn="0" w:firstRowLastColumn="0" w:lastRowFirstColumn="0" w:lastRowLastColumn="0"/>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Items</w:t>
            </w:r>
          </w:p>
        </w:tc>
        <w:tc>
          <w:tcPr>
            <w:tcW w:w="2358" w:type="dxa"/>
          </w:tcPr>
          <w:p w14:paraId="050B2A11" w14:textId="77777777" w:rsidR="004F5CF9" w:rsidRPr="00742342" w:rsidRDefault="004F5CF9" w:rsidP="00F069AA">
            <w:pPr>
              <w:spacing w:line="276" w:lineRule="auto"/>
              <w:jc w:val="both"/>
              <w:cnfStyle w:val="100000000000" w:firstRow="1" w:lastRow="0" w:firstColumn="0" w:lastColumn="0" w:oddVBand="0" w:evenVBand="0" w:oddHBand="0" w:evenHBand="0" w:firstRowFirstColumn="0" w:firstRowLastColumn="0" w:lastRowFirstColumn="0" w:lastRowLastColumn="0"/>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Effect during truce</w:t>
            </w:r>
          </w:p>
        </w:tc>
      </w:tr>
      <w:tr w:rsidR="004F5CF9" w:rsidRPr="00742342" w14:paraId="5FCABC88"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39EA2234" w14:textId="3B3BB630" w:rsidR="004F5CF9" w:rsidRPr="00742342" w:rsidRDefault="0075289D" w:rsidP="00F069AA">
            <w:pPr>
              <w:spacing w:line="276" w:lineRule="auto"/>
              <w:jc w:val="both"/>
              <w:rPr>
                <w:rFonts w:ascii="Open Sans" w:eastAsiaTheme="minorHAnsi" w:hAnsi="Open Sans" w:cs="Open Sans"/>
                <w:color w:val="000000" w:themeColor="text1"/>
                <w:kern w:val="2"/>
                <w:sz w:val="22"/>
                <w:szCs w:val="22"/>
                <w14:ligatures w14:val="standardContextual"/>
              </w:rPr>
            </w:pPr>
            <w:r>
              <w:rPr>
                <w:rFonts w:ascii="Open Sans" w:eastAsiaTheme="minorHAnsi" w:hAnsi="Open Sans" w:cs="Open Sans"/>
                <w:color w:val="000000" w:themeColor="text1"/>
                <w:kern w:val="2"/>
                <w:sz w:val="22"/>
                <w:szCs w:val="22"/>
                <w14:ligatures w14:val="standardContextual"/>
              </w:rPr>
              <w:t>Depoliticization</w:t>
            </w:r>
            <w:r w:rsidR="004F5CF9" w:rsidRPr="00742342">
              <w:rPr>
                <w:rFonts w:ascii="Open Sans" w:eastAsiaTheme="minorHAnsi" w:hAnsi="Open Sans" w:cs="Open Sans"/>
                <w:color w:val="000000" w:themeColor="text1"/>
                <w:kern w:val="2"/>
                <w:sz w:val="22"/>
                <w:szCs w:val="22"/>
                <w14:ligatures w14:val="standardContextual"/>
              </w:rPr>
              <w:t xml:space="preserve"> of IGOs</w:t>
            </w:r>
          </w:p>
        </w:tc>
        <w:tc>
          <w:tcPr>
            <w:tcW w:w="3653" w:type="dxa"/>
          </w:tcPr>
          <w:p w14:paraId="662EFA5D"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p>
        </w:tc>
        <w:tc>
          <w:tcPr>
            <w:tcW w:w="2358" w:type="dxa"/>
          </w:tcPr>
          <w:p w14:paraId="3347AD29"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p>
        </w:tc>
      </w:tr>
      <w:tr w:rsidR="004F5CF9" w:rsidRPr="00742342" w14:paraId="012F6FFB" w14:textId="77777777" w:rsidTr="00F069AA">
        <w:tc>
          <w:tcPr>
            <w:cnfStyle w:val="001000000000" w:firstRow="0" w:lastRow="0" w:firstColumn="1" w:lastColumn="0" w:oddVBand="0" w:evenVBand="0" w:oddHBand="0" w:evenHBand="0" w:firstRowFirstColumn="0" w:firstRowLastColumn="0" w:lastRowFirstColumn="0" w:lastRowLastColumn="0"/>
            <w:tcW w:w="3005" w:type="dxa"/>
          </w:tcPr>
          <w:p w14:paraId="7FAFA7E9"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3653" w:type="dxa"/>
          </w:tcPr>
          <w:p w14:paraId="10C9952D" w14:textId="34F68263"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 xml:space="preserve">Political neutrality of the </w:t>
            </w:r>
            <w:r w:rsidR="0044352B">
              <w:rPr>
                <w:rFonts w:ascii="Open Sans" w:hAnsi="Open Sans" w:cs="Open Sans"/>
                <w:color w:val="000000" w:themeColor="text1"/>
                <w:kern w:val="2"/>
                <w:sz w:val="22"/>
                <w:szCs w:val="22"/>
                <w14:ligatures w14:val="standardContextual"/>
              </w:rPr>
              <w:t>S</w:t>
            </w:r>
            <w:r w:rsidRPr="00742342">
              <w:rPr>
                <w:rFonts w:ascii="Open Sans" w:hAnsi="Open Sans" w:cs="Open Sans"/>
                <w:color w:val="000000" w:themeColor="text1"/>
                <w:kern w:val="2"/>
                <w:sz w:val="22"/>
                <w:szCs w:val="22"/>
                <w14:ligatures w14:val="standardContextual"/>
              </w:rPr>
              <w:t>ecretariat towards the member-states</w:t>
            </w:r>
          </w:p>
        </w:tc>
        <w:tc>
          <w:tcPr>
            <w:tcW w:w="2358" w:type="dxa"/>
          </w:tcPr>
          <w:p w14:paraId="206C98D2" w14:textId="2F0907AF" w:rsidR="004F5CF9" w:rsidRPr="00742342" w:rsidRDefault="008F4004"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Pr>
                <w:rFonts w:ascii="Open Sans" w:hAnsi="Open Sans" w:cs="Open Sans"/>
                <w:b/>
                <w:bCs/>
                <w:color w:val="000000" w:themeColor="text1"/>
                <w:kern w:val="2"/>
                <w:sz w:val="22"/>
                <w:szCs w:val="22"/>
                <w14:ligatures w14:val="standardContextual"/>
              </w:rPr>
              <w:t>-</w:t>
            </w:r>
          </w:p>
        </w:tc>
      </w:tr>
      <w:tr w:rsidR="004F5CF9" w:rsidRPr="00742342" w14:paraId="1DCAFB0C"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13E7B2CC"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3653" w:type="dxa"/>
          </w:tcPr>
          <w:p w14:paraId="3AC301F2"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Decision-making transparency</w:t>
            </w:r>
          </w:p>
        </w:tc>
        <w:tc>
          <w:tcPr>
            <w:tcW w:w="2358" w:type="dxa"/>
          </w:tcPr>
          <w:p w14:paraId="662E6AFB"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03F1BD90" w14:textId="77777777" w:rsidTr="00F069AA">
        <w:tc>
          <w:tcPr>
            <w:cnfStyle w:val="001000000000" w:firstRow="0" w:lastRow="0" w:firstColumn="1" w:lastColumn="0" w:oddVBand="0" w:evenVBand="0" w:oddHBand="0" w:evenHBand="0" w:firstRowFirstColumn="0" w:firstRowLastColumn="0" w:lastRowFirstColumn="0" w:lastRowLastColumn="0"/>
            <w:tcW w:w="3005" w:type="dxa"/>
          </w:tcPr>
          <w:p w14:paraId="0F0DC95D"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3653" w:type="dxa"/>
          </w:tcPr>
          <w:p w14:paraId="1EF2ABA3"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Policy consistency</w:t>
            </w:r>
          </w:p>
        </w:tc>
        <w:tc>
          <w:tcPr>
            <w:tcW w:w="2358" w:type="dxa"/>
          </w:tcPr>
          <w:p w14:paraId="5EAF3E31" w14:textId="14906F22" w:rsidR="004F5CF9" w:rsidRPr="00742342" w:rsidRDefault="00137FC8"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Pr>
                <w:rFonts w:ascii="Open Sans" w:hAnsi="Open Sans" w:cs="Open Sans"/>
                <w:b/>
                <w:bCs/>
                <w:color w:val="000000" w:themeColor="text1"/>
                <w:kern w:val="2"/>
                <w:sz w:val="22"/>
                <w:szCs w:val="22"/>
                <w14:ligatures w14:val="standardContextual"/>
              </w:rPr>
              <w:t>+</w:t>
            </w:r>
          </w:p>
        </w:tc>
      </w:tr>
      <w:tr w:rsidR="004F5CF9" w:rsidRPr="00742342" w14:paraId="4BB0ADBD"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6C01F608"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3653" w:type="dxa"/>
          </w:tcPr>
          <w:p w14:paraId="22487E01"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Institutional autonomy</w:t>
            </w:r>
          </w:p>
        </w:tc>
        <w:tc>
          <w:tcPr>
            <w:tcW w:w="2358" w:type="dxa"/>
          </w:tcPr>
          <w:p w14:paraId="5216B1D2" w14:textId="6F744DC8" w:rsidR="004F5CF9" w:rsidRPr="00742342" w:rsidRDefault="00137FC8"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Pr>
                <w:rFonts w:ascii="Open Sans" w:hAnsi="Open Sans" w:cs="Open Sans"/>
                <w:b/>
                <w:bCs/>
                <w:color w:val="000000" w:themeColor="text1"/>
                <w:kern w:val="2"/>
                <w:sz w:val="22"/>
                <w:szCs w:val="22"/>
                <w14:ligatures w14:val="standardContextual"/>
              </w:rPr>
              <w:t>+</w:t>
            </w:r>
            <w:r w:rsidR="00BB6E18">
              <w:rPr>
                <w:rFonts w:ascii="Open Sans" w:hAnsi="Open Sans" w:cs="Open Sans"/>
                <w:b/>
                <w:bCs/>
                <w:color w:val="000000" w:themeColor="text1"/>
                <w:kern w:val="2"/>
                <w:sz w:val="22"/>
                <w:szCs w:val="22"/>
                <w14:ligatures w14:val="standardContextual"/>
              </w:rPr>
              <w:t>+</w:t>
            </w:r>
          </w:p>
        </w:tc>
      </w:tr>
      <w:tr w:rsidR="004F5CF9" w:rsidRPr="00742342" w14:paraId="14B08C99" w14:textId="77777777" w:rsidTr="00F069AA">
        <w:tc>
          <w:tcPr>
            <w:cnfStyle w:val="001000000000" w:firstRow="0" w:lastRow="0" w:firstColumn="1" w:lastColumn="0" w:oddVBand="0" w:evenVBand="0" w:oddHBand="0" w:evenHBand="0" w:firstRowFirstColumn="0" w:firstRowLastColumn="0" w:lastRowFirstColumn="0" w:lastRowLastColumn="0"/>
            <w:tcW w:w="3005" w:type="dxa"/>
          </w:tcPr>
          <w:p w14:paraId="54060D71"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Time sensitivity</w:t>
            </w:r>
          </w:p>
        </w:tc>
        <w:tc>
          <w:tcPr>
            <w:tcW w:w="3653" w:type="dxa"/>
          </w:tcPr>
          <w:p w14:paraId="073E8378"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p>
        </w:tc>
        <w:tc>
          <w:tcPr>
            <w:tcW w:w="2358" w:type="dxa"/>
          </w:tcPr>
          <w:p w14:paraId="044636CA"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p>
        </w:tc>
      </w:tr>
      <w:tr w:rsidR="004F5CF9" w:rsidRPr="00742342" w14:paraId="6E9EBAC1"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540E794F"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3653" w:type="dxa"/>
          </w:tcPr>
          <w:p w14:paraId="4A50C096"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Policy implementation timeline</w:t>
            </w:r>
          </w:p>
        </w:tc>
        <w:tc>
          <w:tcPr>
            <w:tcW w:w="2358" w:type="dxa"/>
          </w:tcPr>
          <w:p w14:paraId="16F9221F"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6B6EB45F" w14:textId="77777777" w:rsidTr="00F069AA">
        <w:tc>
          <w:tcPr>
            <w:cnfStyle w:val="001000000000" w:firstRow="0" w:lastRow="0" w:firstColumn="1" w:lastColumn="0" w:oddVBand="0" w:evenVBand="0" w:oddHBand="0" w:evenHBand="0" w:firstRowFirstColumn="0" w:firstRowLastColumn="0" w:lastRowFirstColumn="0" w:lastRowLastColumn="0"/>
            <w:tcW w:w="3005" w:type="dxa"/>
          </w:tcPr>
          <w:p w14:paraId="5A6F607E"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3653" w:type="dxa"/>
          </w:tcPr>
          <w:p w14:paraId="7DD5AEA4"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Level of urgency</w:t>
            </w:r>
          </w:p>
        </w:tc>
        <w:tc>
          <w:tcPr>
            <w:tcW w:w="2358" w:type="dxa"/>
          </w:tcPr>
          <w:p w14:paraId="0999C6DD" w14:textId="5BD8EEDC"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73D34597"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110A812C"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r w:rsidRPr="00742342">
              <w:rPr>
                <w:rFonts w:ascii="Open Sans" w:eastAsiaTheme="minorHAnsi" w:hAnsi="Open Sans" w:cs="Open Sans"/>
                <w:color w:val="000000" w:themeColor="text1"/>
                <w:kern w:val="2"/>
                <w:sz w:val="22"/>
                <w:szCs w:val="22"/>
                <w14:ligatures w14:val="standardContextual"/>
              </w:rPr>
              <w:t>Increased credibility</w:t>
            </w:r>
          </w:p>
        </w:tc>
        <w:tc>
          <w:tcPr>
            <w:tcW w:w="3653" w:type="dxa"/>
          </w:tcPr>
          <w:p w14:paraId="5B0A34BF"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p>
        </w:tc>
        <w:tc>
          <w:tcPr>
            <w:tcW w:w="2358" w:type="dxa"/>
          </w:tcPr>
          <w:p w14:paraId="31967355"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p>
        </w:tc>
      </w:tr>
      <w:tr w:rsidR="004F5CF9" w:rsidRPr="00742342" w14:paraId="3749F51A" w14:textId="77777777" w:rsidTr="00F069AA">
        <w:tc>
          <w:tcPr>
            <w:cnfStyle w:val="001000000000" w:firstRow="0" w:lastRow="0" w:firstColumn="1" w:lastColumn="0" w:oddVBand="0" w:evenVBand="0" w:oddHBand="0" w:evenHBand="0" w:firstRowFirstColumn="0" w:firstRowLastColumn="0" w:lastRowFirstColumn="0" w:lastRowLastColumn="0"/>
            <w:tcW w:w="3005" w:type="dxa"/>
          </w:tcPr>
          <w:p w14:paraId="0B219729"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3653" w:type="dxa"/>
          </w:tcPr>
          <w:p w14:paraId="22B0C98D"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Unbiased and impartial actions towards external actors</w:t>
            </w:r>
          </w:p>
        </w:tc>
        <w:tc>
          <w:tcPr>
            <w:tcW w:w="2358" w:type="dxa"/>
          </w:tcPr>
          <w:p w14:paraId="7330EEE6" w14:textId="77777777" w:rsidR="004F5CF9" w:rsidRPr="00742342" w:rsidRDefault="004F5CF9" w:rsidP="00F069AA">
            <w:pPr>
              <w:spacing w:line="276" w:lineRule="auto"/>
              <w:jc w:val="both"/>
              <w:cnfStyle w:val="000000000000" w:firstRow="0" w:lastRow="0" w:firstColumn="0" w:lastColumn="0" w:oddVBand="0" w:evenVBand="0" w:oddHBand="0"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p>
        </w:tc>
      </w:tr>
      <w:tr w:rsidR="004F5CF9" w:rsidRPr="00742342" w14:paraId="58773A72" w14:textId="77777777" w:rsidTr="00F069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2B4CB08D" w14:textId="77777777" w:rsidR="004F5CF9" w:rsidRPr="00742342" w:rsidRDefault="004F5CF9" w:rsidP="00F069AA">
            <w:pPr>
              <w:spacing w:line="276" w:lineRule="auto"/>
              <w:jc w:val="both"/>
              <w:rPr>
                <w:rFonts w:ascii="Open Sans" w:eastAsiaTheme="minorHAnsi" w:hAnsi="Open Sans" w:cs="Open Sans"/>
                <w:color w:val="000000" w:themeColor="text1"/>
                <w:kern w:val="2"/>
                <w:sz w:val="22"/>
                <w:szCs w:val="22"/>
                <w14:ligatures w14:val="standardContextual"/>
              </w:rPr>
            </w:pPr>
          </w:p>
        </w:tc>
        <w:tc>
          <w:tcPr>
            <w:tcW w:w="3653" w:type="dxa"/>
          </w:tcPr>
          <w:p w14:paraId="381DDD5A" w14:textId="77777777"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color w:val="000000" w:themeColor="text1"/>
                <w:kern w:val="2"/>
                <w:sz w:val="22"/>
                <w:szCs w:val="22"/>
                <w14:ligatures w14:val="standardContextual"/>
              </w:rPr>
            </w:pPr>
            <w:r w:rsidRPr="00742342">
              <w:rPr>
                <w:rFonts w:ascii="Open Sans" w:hAnsi="Open Sans" w:cs="Open Sans"/>
                <w:color w:val="000000" w:themeColor="text1"/>
                <w:kern w:val="2"/>
                <w:sz w:val="22"/>
                <w:szCs w:val="22"/>
                <w14:ligatures w14:val="standardContextual"/>
              </w:rPr>
              <w:t>Demonstrated experience and transparent practices</w:t>
            </w:r>
          </w:p>
        </w:tc>
        <w:tc>
          <w:tcPr>
            <w:tcW w:w="2358" w:type="dxa"/>
          </w:tcPr>
          <w:p w14:paraId="6CC18E26" w14:textId="4252019B" w:rsidR="004F5CF9" w:rsidRPr="00742342" w:rsidRDefault="004F5CF9" w:rsidP="00F069AA">
            <w:pPr>
              <w:spacing w:line="276" w:lineRule="auto"/>
              <w:jc w:val="both"/>
              <w:cnfStyle w:val="000000100000" w:firstRow="0" w:lastRow="0" w:firstColumn="0" w:lastColumn="0" w:oddVBand="0" w:evenVBand="0" w:oddHBand="1" w:evenHBand="0" w:firstRowFirstColumn="0" w:firstRowLastColumn="0" w:lastRowFirstColumn="0" w:lastRowLastColumn="0"/>
              <w:rPr>
                <w:rFonts w:ascii="Open Sans" w:hAnsi="Open Sans" w:cs="Open Sans"/>
                <w:b/>
                <w:bCs/>
                <w:color w:val="000000" w:themeColor="text1"/>
                <w:kern w:val="2"/>
                <w:sz w:val="22"/>
                <w:szCs w:val="22"/>
                <w14:ligatures w14:val="standardContextual"/>
              </w:rPr>
            </w:pPr>
            <w:r w:rsidRPr="00742342">
              <w:rPr>
                <w:rFonts w:ascii="Open Sans" w:hAnsi="Open Sans" w:cs="Open Sans"/>
                <w:b/>
                <w:bCs/>
                <w:color w:val="000000" w:themeColor="text1"/>
                <w:kern w:val="2"/>
                <w:sz w:val="22"/>
                <w:szCs w:val="22"/>
                <w14:ligatures w14:val="standardContextual"/>
              </w:rPr>
              <w:t>+</w:t>
            </w:r>
            <w:r w:rsidR="007E4D3A">
              <w:rPr>
                <w:rFonts w:ascii="Open Sans" w:hAnsi="Open Sans" w:cs="Open Sans"/>
                <w:b/>
                <w:bCs/>
                <w:color w:val="000000" w:themeColor="text1"/>
                <w:kern w:val="2"/>
                <w:sz w:val="22"/>
                <w:szCs w:val="22"/>
                <w14:ligatures w14:val="standardContextual"/>
              </w:rPr>
              <w:t>+</w:t>
            </w:r>
          </w:p>
        </w:tc>
      </w:tr>
    </w:tbl>
    <w:p w14:paraId="7109FDF4" w14:textId="77777777" w:rsidR="004F5CF9" w:rsidRPr="00742342" w:rsidRDefault="004F5CF9" w:rsidP="004F5CF9">
      <w:pPr>
        <w:pStyle w:val="Caption"/>
        <w:spacing w:line="276" w:lineRule="auto"/>
        <w:jc w:val="center"/>
        <w:rPr>
          <w:rFonts w:ascii="Open Sans" w:hAnsi="Open Sans" w:cs="Open Sans"/>
          <w:color w:val="000000" w:themeColor="text1"/>
        </w:rPr>
      </w:pPr>
    </w:p>
    <w:p w14:paraId="276071FA" w14:textId="552E8BA4" w:rsidR="004F5CF9" w:rsidRPr="00742342" w:rsidRDefault="004F5CF9" w:rsidP="004F5CF9">
      <w:pPr>
        <w:pStyle w:val="Caption"/>
        <w:spacing w:line="276" w:lineRule="auto"/>
        <w:jc w:val="center"/>
        <w:rPr>
          <w:rFonts w:ascii="Open Sans" w:hAnsi="Open Sans" w:cs="Open Sans"/>
          <w:color w:val="000000" w:themeColor="text1"/>
          <w:sz w:val="22"/>
          <w:szCs w:val="22"/>
        </w:rPr>
      </w:pPr>
      <w:r w:rsidRPr="00742342">
        <w:rPr>
          <w:rFonts w:ascii="Open Sans" w:hAnsi="Open Sans" w:cs="Open Sans"/>
          <w:color w:val="000000" w:themeColor="text1"/>
        </w:rPr>
        <w:t xml:space="preserve">Table </w:t>
      </w:r>
      <w:r w:rsidR="009B193E">
        <w:rPr>
          <w:rFonts w:ascii="Open Sans" w:hAnsi="Open Sans" w:cs="Open Sans"/>
          <w:color w:val="000000" w:themeColor="text1"/>
        </w:rPr>
        <w:t>4</w:t>
      </w:r>
      <w:r w:rsidRPr="00742342">
        <w:rPr>
          <w:rFonts w:ascii="Open Sans" w:hAnsi="Open Sans" w:cs="Open Sans"/>
          <w:color w:val="000000" w:themeColor="text1"/>
        </w:rPr>
        <w:t>, item scores during 2022 truce.</w:t>
      </w:r>
    </w:p>
    <w:p w14:paraId="3A0152DF"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5FD500B0" w14:textId="1EF73553"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items that had no increased effect during the truce, are presumably linked to the item scores before the truce. As the OSESGY </w:t>
      </w:r>
      <w:r w:rsidR="00C036F8">
        <w:rPr>
          <w:rFonts w:ascii="Open Sans" w:hAnsi="Open Sans" w:cs="Open Sans"/>
          <w:color w:val="000000" w:themeColor="text1"/>
          <w:sz w:val="22"/>
          <w:szCs w:val="22"/>
        </w:rPr>
        <w:t>does not</w:t>
      </w:r>
      <w:r w:rsidRPr="00742342">
        <w:rPr>
          <w:rFonts w:ascii="Open Sans" w:hAnsi="Open Sans" w:cs="Open Sans"/>
          <w:color w:val="000000" w:themeColor="text1"/>
          <w:sz w:val="22"/>
          <w:szCs w:val="22"/>
        </w:rPr>
        <w:t xml:space="preserve"> receive autonomy from the political neutrality of the </w:t>
      </w:r>
      <w:r w:rsidR="0044352B">
        <w:rPr>
          <w:rFonts w:ascii="Open Sans" w:hAnsi="Open Sans" w:cs="Open Sans"/>
          <w:color w:val="000000" w:themeColor="text1"/>
          <w:sz w:val="22"/>
          <w:szCs w:val="22"/>
        </w:rPr>
        <w:t>S</w:t>
      </w:r>
      <w:r w:rsidRPr="00742342">
        <w:rPr>
          <w:rFonts w:ascii="Open Sans" w:hAnsi="Open Sans" w:cs="Open Sans"/>
          <w:color w:val="000000" w:themeColor="text1"/>
          <w:sz w:val="22"/>
          <w:szCs w:val="22"/>
        </w:rPr>
        <w:t xml:space="preserve">ecretariat, this item does not influence the dimension. The political consistency did also not prove to influence the increase in autonomy during the truce. As the institutional autonomy was already high and did have a large positive effect on the autonomy of the OSESGY, there is no additional effect. </w:t>
      </w:r>
    </w:p>
    <w:p w14:paraId="09884B50"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4CBDFAB4"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effect of decision-making transparency was important in the creation of the truce, as it spoke to the ambition of its making. The OSESGY showed willingness to engage with the Yemeni government and the Saudi-led coalition, as well as the Houthi movement. This signifies the first important causal mechanism that caused an increase in autonomy for the OSESGY. The transparency leading to increased autonomy was caused by the mechanism of depoliticization. Although not all items that I previously indicated aided the construction of the mechanism of depoliticization, the general dimension did constitute to the autonomy of the OSESGY before, and during the truce.</w:t>
      </w:r>
    </w:p>
    <w:p w14:paraId="2F479F89"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69C023EF"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Although the time sensitivity caused a significant effect on the autonomy of the OSESGY, I have perceived that there is no identifiable causal mechanism at play. The OSESGY seized the window of opportunity to engage with the Houthi movement and the other </w:t>
      </w:r>
      <w:r w:rsidRPr="00742342">
        <w:rPr>
          <w:rFonts w:ascii="Open Sans" w:hAnsi="Open Sans" w:cs="Open Sans"/>
          <w:color w:val="000000" w:themeColor="text1"/>
          <w:sz w:val="22"/>
          <w:szCs w:val="22"/>
        </w:rPr>
        <w:lastRenderedPageBreak/>
        <w:t xml:space="preserve">involved parties, but intergovernmental organizations cannot influence the momentum of the conflict. The perceived urgency can most certainly influence actors to engage in negotiation, but I have not noticed a causal mechanism that the OSESGY could utilize to increase their autonomy trough time sensitivity. Therefore, the increase in autonomy through time sensitivity is caused by the circumstances of the context, not by deliberate action. </w:t>
      </w:r>
    </w:p>
    <w:p w14:paraId="0B2F6783"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34A2BE58"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third dimension, the increased credibility through demonstrated experiences and field knowledge, saw an increase in their respective scores. Based on the analysis, I argue that the two items that constitute the dimension are strongly linked. The relation between the increased credibility and the autonomy of the OSESGY demonstrates a reciprocal relationship. There is simultaneity between the credibility and the autonomy of an intergovernmental organization. This means that the effects of credibility if the IGO influences the autonomy, while the increased autonomy through demonstrated practices positively effects the increased credibility of the IGO. This is the case for the OSESGY during the truce. </w:t>
      </w:r>
    </w:p>
    <w:p w14:paraId="626D00D2"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0AC563BD" w14:textId="7CF62720" w:rsidR="004F5CF9" w:rsidRPr="005A0D18" w:rsidRDefault="004F5CF9" w:rsidP="005A0D18">
      <w:pPr>
        <w:pStyle w:val="Heading2"/>
        <w:numPr>
          <w:ilvl w:val="1"/>
          <w:numId w:val="5"/>
        </w:numPr>
        <w:jc w:val="both"/>
        <w:rPr>
          <w:rFonts w:ascii="Open Sans" w:hAnsi="Open Sans" w:cs="Open Sans"/>
          <w:color w:val="000000" w:themeColor="text1"/>
          <w:sz w:val="24"/>
          <w:szCs w:val="24"/>
        </w:rPr>
      </w:pPr>
      <w:bookmarkStart w:id="105" w:name="_Toc138247516"/>
      <w:r w:rsidRPr="005A0D18">
        <w:rPr>
          <w:rFonts w:ascii="Open Sans" w:hAnsi="Open Sans" w:cs="Open Sans"/>
          <w:color w:val="000000" w:themeColor="text1"/>
          <w:sz w:val="24"/>
          <w:szCs w:val="24"/>
        </w:rPr>
        <w:t>Theory-developing</w:t>
      </w:r>
      <w:r w:rsidR="005A0D18">
        <w:rPr>
          <w:rFonts w:ascii="Open Sans" w:hAnsi="Open Sans" w:cs="Open Sans"/>
          <w:color w:val="000000" w:themeColor="text1"/>
          <w:sz w:val="24"/>
          <w:szCs w:val="24"/>
        </w:rPr>
        <w:t xml:space="preserve">: </w:t>
      </w:r>
      <w:r w:rsidRPr="005A0D18">
        <w:rPr>
          <w:rFonts w:ascii="Open Sans" w:hAnsi="Open Sans" w:cs="Open Sans"/>
          <w:color w:val="000000" w:themeColor="text1"/>
          <w:sz w:val="24"/>
          <w:szCs w:val="24"/>
        </w:rPr>
        <w:t>the increase in autonomy outside of the identified dimensions</w:t>
      </w:r>
      <w:bookmarkEnd w:id="105"/>
    </w:p>
    <w:p w14:paraId="6372BDEB" w14:textId="77777777" w:rsidR="00396F5F" w:rsidRPr="00396F5F" w:rsidRDefault="00396F5F" w:rsidP="00396F5F"/>
    <w:p w14:paraId="51900F45"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In addition to the increased autonomy through the depoliticized nature of the OSESGY and the time sensitivity that surrounds a truce agreement, the analysis has uncovered certain other aspects that have influenced the autonomy of the OSESGY during the truce. As discussed in the methodological chapter of this thesis, this analysis does not only serve the purposes of theory-testing but features a theory-developing aspect as well. The next paragraph will be dedicated to discussing these findings. During the analysis, I have identified two possible other reasons that led to an increase in intergovernmental autonomy, which led the OSESGY to engage effective and efficiently with the Houthi movement.</w:t>
      </w:r>
    </w:p>
    <w:p w14:paraId="1EA69A18"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78723DE4" w14:textId="77777777" w:rsidR="004F5CF9" w:rsidRPr="00742342" w:rsidRDefault="004F5CF9" w:rsidP="005A0D18">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Willingness to cooperate with violent non-state actors</w:t>
      </w:r>
    </w:p>
    <w:p w14:paraId="51BD565A"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Many nation-states and international organizations have labeled the Houthi movement as an international terrorist organization (</w:t>
      </w:r>
      <w:proofErr w:type="spellStart"/>
      <w:r w:rsidRPr="00742342">
        <w:rPr>
          <w:rFonts w:ascii="Open Sans" w:hAnsi="Open Sans" w:cs="Open Sans"/>
          <w:color w:val="000000" w:themeColor="text1"/>
          <w:sz w:val="22"/>
          <w:szCs w:val="22"/>
        </w:rPr>
        <w:t>Spetalnick</w:t>
      </w:r>
      <w:proofErr w:type="spellEnd"/>
      <w:r w:rsidRPr="00742342">
        <w:rPr>
          <w:rFonts w:ascii="Open Sans" w:hAnsi="Open Sans" w:cs="Open Sans"/>
          <w:color w:val="000000" w:themeColor="text1"/>
          <w:sz w:val="22"/>
          <w:szCs w:val="22"/>
        </w:rPr>
        <w:t>, 2021). The RAND Corporation, an influential American nonprofit think tank and research institute even went as far as to compare the Houthi movement to Hezbollah, the Lebanese Shi'a political party and militant group (Johnston et al., 2020). Although this designation might not be completely inaccurate given the modus operandi of violent non-state actors in general, and the Houthi movement specifically, the designation is not productive for further cooperation between the VNSA and the IGO (</w:t>
      </w:r>
      <w:proofErr w:type="spellStart"/>
      <w:r w:rsidRPr="00742342">
        <w:rPr>
          <w:rFonts w:ascii="Open Sans" w:hAnsi="Open Sans" w:cs="Open Sans"/>
          <w:color w:val="000000" w:themeColor="text1"/>
          <w:sz w:val="22"/>
          <w:szCs w:val="22"/>
        </w:rPr>
        <w:t>Spetalnick</w:t>
      </w:r>
      <w:proofErr w:type="spellEnd"/>
      <w:r w:rsidRPr="00742342">
        <w:rPr>
          <w:rFonts w:ascii="Open Sans" w:hAnsi="Open Sans" w:cs="Open Sans"/>
          <w:color w:val="000000" w:themeColor="text1"/>
          <w:sz w:val="22"/>
          <w:szCs w:val="22"/>
        </w:rPr>
        <w:t xml:space="preserve">, 2021). One of the reasons that the OSESGY brokered the truce and increased their autonomy was because the organization was not </w:t>
      </w:r>
      <w:r w:rsidRPr="00742342">
        <w:rPr>
          <w:rFonts w:ascii="Open Sans" w:hAnsi="Open Sans" w:cs="Open Sans"/>
          <w:color w:val="000000" w:themeColor="text1"/>
          <w:sz w:val="22"/>
          <w:szCs w:val="22"/>
        </w:rPr>
        <w:lastRenderedPageBreak/>
        <w:t xml:space="preserve">hindered to engage with a violent non-state actor. In this case the depoliticization of the OSESGY lead to the focus not on ideology but on finding a solution to reach a common goal, namely a ceasefire in Yemen. </w:t>
      </w:r>
    </w:p>
    <w:p w14:paraId="67A6A4B7"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7F0A0181" w14:textId="77777777" w:rsidR="004F5CF9" w:rsidRPr="00742342" w:rsidRDefault="004F5CF9" w:rsidP="005A0D18">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Personal leadership and norm-setting abilities</w:t>
      </w:r>
    </w:p>
    <w:p w14:paraId="3DE8A9D3" w14:textId="77777777" w:rsidR="004F5CF9" w:rsidRPr="00742342" w:rsidRDefault="004F5CF9" w:rsidP="004F5CF9">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One other possible reason for the increased autonomy of the OSESGY during the truce could be the influence of key actors within the organization. Some might argue that Special Representatives</w:t>
      </w:r>
      <w:r w:rsidRPr="00742342">
        <w:rPr>
          <w:rStyle w:val="FootnoteReference"/>
          <w:rFonts w:ascii="Open Sans" w:hAnsi="Open Sans" w:cs="Open Sans"/>
          <w:color w:val="000000" w:themeColor="text1"/>
          <w:sz w:val="22"/>
          <w:szCs w:val="22"/>
        </w:rPr>
        <w:footnoteReference w:id="28"/>
      </w:r>
      <w:r w:rsidRPr="00742342">
        <w:rPr>
          <w:rFonts w:ascii="Open Sans" w:hAnsi="Open Sans" w:cs="Open Sans"/>
          <w:color w:val="000000" w:themeColor="text1"/>
          <w:sz w:val="22"/>
          <w:szCs w:val="22"/>
        </w:rPr>
        <w:t xml:space="preserve"> to the Secretary-General can function as norm arbitrators (</w:t>
      </w:r>
      <w:proofErr w:type="spellStart"/>
      <w:r w:rsidRPr="00742342">
        <w:rPr>
          <w:rFonts w:ascii="Open Sans" w:hAnsi="Open Sans" w:cs="Open Sans"/>
          <w:color w:val="000000" w:themeColor="text1"/>
          <w:sz w:val="22"/>
          <w:szCs w:val="22"/>
        </w:rPr>
        <w:t>Karlsrud</w:t>
      </w:r>
      <w:proofErr w:type="spellEnd"/>
      <w:r w:rsidRPr="00742342">
        <w:rPr>
          <w:rFonts w:ascii="Open Sans" w:hAnsi="Open Sans" w:cs="Open Sans"/>
          <w:color w:val="000000" w:themeColor="text1"/>
          <w:sz w:val="22"/>
          <w:szCs w:val="22"/>
        </w:rPr>
        <w:t>, 2013). If the Special Envoy chooses to engage with a violent non-state actor based on depoliticized motives, for instance promoting a truce that does not solve the political issues but does allow for humanitarian help to research the population, this could affect future policy (</w:t>
      </w:r>
      <w:proofErr w:type="spellStart"/>
      <w:r w:rsidRPr="00742342">
        <w:rPr>
          <w:rFonts w:ascii="Open Sans" w:hAnsi="Open Sans" w:cs="Open Sans"/>
          <w:color w:val="000000" w:themeColor="text1"/>
          <w:sz w:val="22"/>
          <w:szCs w:val="22"/>
        </w:rPr>
        <w:t>Karlsrud</w:t>
      </w:r>
      <w:proofErr w:type="spellEnd"/>
      <w:r w:rsidRPr="00742342">
        <w:rPr>
          <w:rFonts w:ascii="Open Sans" w:hAnsi="Open Sans" w:cs="Open Sans"/>
          <w:color w:val="000000" w:themeColor="text1"/>
          <w:sz w:val="22"/>
          <w:szCs w:val="22"/>
        </w:rPr>
        <w:t>, 2013). This would mean that the agent imposes their norms on the principal, which the principal decides to accept or ignore. A UN special Envoy's capacity to interact with and take into consideration the opinions, needs, and ambitions of the violent non-state actors and the population most directly impacted by the conflict is referred to as having "bottom-up autonomy" (Ibid, 2013). This strategy acknowledges the value of local ownership and inclusive decision-making procedures. By actively engaging with the violent non-state actor the OSESGY can better understand the context and create plans that meet the interests and ambitions of the involved actors. This strategy promotes trust-building and can support long-term peacebuilding by strengthening the autonomy, credibility, and efficiency of the OSESGY.</w:t>
      </w:r>
    </w:p>
    <w:p w14:paraId="21C7D627" w14:textId="77777777" w:rsidR="004F5CF9" w:rsidRPr="00742342" w:rsidRDefault="004F5CF9" w:rsidP="004F5CF9">
      <w:pPr>
        <w:spacing w:line="276" w:lineRule="auto"/>
        <w:jc w:val="both"/>
        <w:rPr>
          <w:rFonts w:ascii="Open Sans" w:hAnsi="Open Sans" w:cs="Open Sans"/>
          <w:color w:val="000000" w:themeColor="text1"/>
          <w:sz w:val="22"/>
          <w:szCs w:val="22"/>
        </w:rPr>
      </w:pPr>
    </w:p>
    <w:p w14:paraId="0A6F491F" w14:textId="77777777" w:rsidR="004F5CF9" w:rsidRPr="00742342" w:rsidRDefault="004F5CF9" w:rsidP="004F5CF9">
      <w:pPr>
        <w:pStyle w:val="Heading2"/>
        <w:numPr>
          <w:ilvl w:val="1"/>
          <w:numId w:val="5"/>
        </w:numPr>
        <w:spacing w:line="276" w:lineRule="auto"/>
        <w:ind w:left="1080"/>
        <w:rPr>
          <w:rFonts w:ascii="Open Sans" w:hAnsi="Open Sans" w:cs="Open Sans"/>
          <w:color w:val="000000" w:themeColor="text1"/>
          <w:sz w:val="24"/>
          <w:szCs w:val="24"/>
        </w:rPr>
      </w:pPr>
      <w:bookmarkStart w:id="106" w:name="_Toc138247517"/>
      <w:r w:rsidRPr="00742342">
        <w:rPr>
          <w:rFonts w:ascii="Open Sans" w:hAnsi="Open Sans" w:cs="Open Sans"/>
          <w:color w:val="000000" w:themeColor="text1"/>
          <w:sz w:val="24"/>
          <w:szCs w:val="24"/>
        </w:rPr>
        <w:t>Interpretation and conclusion</w:t>
      </w:r>
      <w:bookmarkEnd w:id="106"/>
    </w:p>
    <w:p w14:paraId="6A54F184" w14:textId="1B36799F" w:rsidR="004F5CF9" w:rsidRPr="00742342" w:rsidRDefault="004F5CF9" w:rsidP="004F5CF9">
      <w:pPr>
        <w:spacing w:line="276" w:lineRule="auto"/>
        <w:jc w:val="both"/>
        <w:rPr>
          <w:rFonts w:ascii="Open Sans" w:hAnsi="Open Sans" w:cs="Open Sans"/>
          <w:sz w:val="22"/>
          <w:szCs w:val="22"/>
        </w:rPr>
      </w:pPr>
      <w:r w:rsidRPr="00742342">
        <w:rPr>
          <w:rFonts w:ascii="Open Sans" w:hAnsi="Open Sans" w:cs="Open Sans"/>
          <w:sz w:val="22"/>
          <w:szCs w:val="22"/>
        </w:rPr>
        <w:t xml:space="preserve">All identified dimensions did prove to influence the engagements of the OSESGY with the Houthi movement. However, there are differences between the implications of each dimension. The dimension time sensitivity did show to have impacted the constitution of the truce and aided the successful engagement of the IGO with the VNSA. Nevertheless, the OSESGY was not able to manipulate the timeline of the Yemeni civil war, and thus could not manipulate the timeline to gain more autonomy. The dimension of increased credibility is manifested in part through the demonstrated experiences of the OSESGY but is also heavily supported by the general demonstrated experiences and credibility of the United Nations, and all its divisions all over the world. This dimension does aid autonomy, but it is challenging for the OSESGY to significantly increase their credibility, other than through continuing their current efforts. Credibility is a complex dimension, which influence is often out of the reach of control for the intergovernmental organization. </w:t>
      </w:r>
    </w:p>
    <w:p w14:paraId="57C24B30" w14:textId="77777777" w:rsidR="004F5CF9" w:rsidRPr="00742342" w:rsidRDefault="004F5CF9" w:rsidP="004F5CF9">
      <w:pPr>
        <w:spacing w:line="276" w:lineRule="auto"/>
        <w:jc w:val="both"/>
        <w:rPr>
          <w:rFonts w:ascii="Open Sans" w:hAnsi="Open Sans" w:cs="Open Sans"/>
          <w:sz w:val="22"/>
          <w:szCs w:val="22"/>
        </w:rPr>
      </w:pPr>
    </w:p>
    <w:p w14:paraId="53CB6267" w14:textId="238D7308" w:rsidR="004F5CF9" w:rsidRPr="00742342" w:rsidRDefault="004F5CF9" w:rsidP="004F5CF9">
      <w:pPr>
        <w:spacing w:line="276" w:lineRule="auto"/>
        <w:jc w:val="both"/>
        <w:rPr>
          <w:rFonts w:ascii="Open Sans" w:hAnsi="Open Sans" w:cs="Open Sans"/>
          <w:sz w:val="22"/>
          <w:szCs w:val="22"/>
        </w:rPr>
      </w:pPr>
      <w:r w:rsidRPr="00742342">
        <w:rPr>
          <w:rFonts w:ascii="Open Sans" w:hAnsi="Open Sans" w:cs="Open Sans"/>
          <w:sz w:val="22"/>
          <w:szCs w:val="22"/>
        </w:rPr>
        <w:lastRenderedPageBreak/>
        <w:t xml:space="preserve">Which finally leads to the dimension that I feel shaped the autonomy of the OSESGY the most; the depoliticized nature of the intergovernmental organization. Before the truce, the OSESGY benefitted from their political consistency and from their strong institutional autonomy. Their institutional autonomy is a fixed item; its value does not change over time, as the institutional autonomy is bestowed upon them by the principal, in this case the United Nations Secretary-General. The </w:t>
      </w:r>
      <w:r w:rsidR="004C2D2D">
        <w:rPr>
          <w:rFonts w:ascii="Open Sans" w:hAnsi="Open Sans" w:cs="Open Sans"/>
          <w:sz w:val="22"/>
          <w:szCs w:val="22"/>
        </w:rPr>
        <w:t>depoliticization</w:t>
      </w:r>
      <w:r w:rsidRPr="00742342">
        <w:rPr>
          <w:rFonts w:ascii="Open Sans" w:hAnsi="Open Sans" w:cs="Open Sans"/>
          <w:sz w:val="22"/>
          <w:szCs w:val="22"/>
        </w:rPr>
        <w:t xml:space="preserve"> of the OSESGY increased during the 2022 truce through their increased decision-making transparency, which is discussed in paragraph 5.4 of this chapter. But the depoliticized nature of the IGO did also benefit intergovernmental autonomy through different mechanisms that were not originally apparent in the literature review and operationalization of this research. These mechanisms surfaced in the process tracing analysis of this chapter. As discussed in the methodological chapter, the analysis serves not only theory-testing, but also theory-developing purposes. The willingness to cooperate with violent non-state actors proved to be an important aspect of the effective engagements with the Houthi movement. The personal leadership and norm-setting capabilities of the Special Envoy and its office also contributed to the successful engagements with the violent non-state actor. I argue that these mechanisms can be identified as demonstrations of depoliticization. The motivation to cooperate with the VNSA can be explained as pragmatic policy, forgoing political preferences of the OSESGY, and its respective member-states. The mechanism of personal leadership and norm-setting capacities of the Special Envoy functions similar. The Special Envoy can engage with VNSAs without the interference of political preferences and interests of their member-states, which can serve as a norm for other engagements. </w:t>
      </w:r>
    </w:p>
    <w:p w14:paraId="3C8AEDD3" w14:textId="77777777" w:rsidR="004F5CF9" w:rsidRPr="00742342" w:rsidRDefault="004F5CF9" w:rsidP="004F5CF9">
      <w:pPr>
        <w:spacing w:line="276" w:lineRule="auto"/>
        <w:jc w:val="both"/>
        <w:rPr>
          <w:rFonts w:ascii="Open Sans" w:hAnsi="Open Sans" w:cs="Open Sans"/>
          <w:sz w:val="22"/>
          <w:szCs w:val="22"/>
        </w:rPr>
      </w:pPr>
    </w:p>
    <w:p w14:paraId="38D27A6A" w14:textId="1B899487" w:rsidR="004F5CF9" w:rsidRPr="00742342" w:rsidRDefault="004F5CF9" w:rsidP="004F5CF9">
      <w:pPr>
        <w:spacing w:line="276" w:lineRule="auto"/>
        <w:jc w:val="both"/>
        <w:rPr>
          <w:rFonts w:ascii="Open Sans" w:hAnsi="Open Sans" w:cs="Open Sans"/>
          <w:sz w:val="22"/>
          <w:szCs w:val="22"/>
        </w:rPr>
      </w:pPr>
      <w:r w:rsidRPr="00742342">
        <w:rPr>
          <w:rFonts w:ascii="Open Sans" w:hAnsi="Open Sans" w:cs="Open Sans"/>
          <w:sz w:val="22"/>
          <w:szCs w:val="22"/>
        </w:rPr>
        <w:t xml:space="preserve">The next and final chapter of this thesis will be the conclusion. In the conclusion I will review the theoretical and methodological choices I made during this thesis, answer the research question, and further reflect on the analysis. Finally, I will reflect on the theoretical and methodological choices that might have limited this thesis and offer concrete recommendations for possible future research. </w:t>
      </w:r>
    </w:p>
    <w:p w14:paraId="7DAF0846" w14:textId="77777777" w:rsidR="004F5CF9" w:rsidRPr="00742342" w:rsidRDefault="004F5CF9" w:rsidP="004F5CF9">
      <w:pPr>
        <w:spacing w:line="276" w:lineRule="auto"/>
        <w:jc w:val="both"/>
        <w:rPr>
          <w:rFonts w:ascii="Open Sans" w:hAnsi="Open Sans" w:cs="Open Sans"/>
          <w:sz w:val="22"/>
          <w:szCs w:val="22"/>
        </w:rPr>
      </w:pPr>
    </w:p>
    <w:p w14:paraId="3EDD687B" w14:textId="77777777" w:rsidR="004F5CF9" w:rsidRPr="00742342" w:rsidRDefault="004F5CF9" w:rsidP="004F5CF9">
      <w:pPr>
        <w:spacing w:line="276" w:lineRule="auto"/>
        <w:jc w:val="both"/>
        <w:rPr>
          <w:rFonts w:ascii="Open Sans" w:hAnsi="Open Sans" w:cs="Open Sans"/>
          <w:sz w:val="22"/>
          <w:szCs w:val="22"/>
        </w:rPr>
      </w:pPr>
    </w:p>
    <w:p w14:paraId="4EFE04AF" w14:textId="77777777" w:rsidR="004F5CF9" w:rsidRPr="00742342" w:rsidRDefault="004F5CF9" w:rsidP="004F5CF9">
      <w:pPr>
        <w:spacing w:line="276" w:lineRule="auto"/>
        <w:jc w:val="both"/>
        <w:rPr>
          <w:rFonts w:ascii="Open Sans" w:hAnsi="Open Sans" w:cs="Open Sans"/>
          <w:sz w:val="22"/>
          <w:szCs w:val="22"/>
        </w:rPr>
      </w:pPr>
    </w:p>
    <w:p w14:paraId="02068ACA" w14:textId="77777777" w:rsidR="004F5CF9" w:rsidRPr="00742342" w:rsidRDefault="004F5CF9" w:rsidP="004F5CF9">
      <w:pPr>
        <w:spacing w:line="276" w:lineRule="auto"/>
        <w:jc w:val="both"/>
        <w:rPr>
          <w:rFonts w:ascii="Open Sans" w:hAnsi="Open Sans" w:cs="Open Sans"/>
          <w:sz w:val="22"/>
          <w:szCs w:val="22"/>
        </w:rPr>
      </w:pPr>
      <w:r w:rsidRPr="00742342">
        <w:rPr>
          <w:rFonts w:ascii="Open Sans" w:hAnsi="Open Sans" w:cs="Open Sans"/>
          <w:sz w:val="22"/>
          <w:szCs w:val="22"/>
        </w:rPr>
        <w:t xml:space="preserve"> </w:t>
      </w:r>
    </w:p>
    <w:p w14:paraId="5007195C" w14:textId="77777777" w:rsidR="004F5CF9" w:rsidRPr="00742342" w:rsidRDefault="004F5CF9" w:rsidP="004F5CF9">
      <w:pPr>
        <w:spacing w:line="276" w:lineRule="auto"/>
        <w:jc w:val="both"/>
        <w:rPr>
          <w:rFonts w:ascii="Open Sans" w:hAnsi="Open Sans" w:cs="Open Sans"/>
          <w:sz w:val="22"/>
          <w:szCs w:val="22"/>
        </w:rPr>
      </w:pPr>
    </w:p>
    <w:p w14:paraId="3B64BE2F" w14:textId="77777777" w:rsidR="004F5CF9" w:rsidRPr="00742342" w:rsidRDefault="004F5CF9" w:rsidP="004F5CF9">
      <w:pPr>
        <w:jc w:val="both"/>
        <w:rPr>
          <w:rFonts w:ascii="Open Sans" w:hAnsi="Open Sans" w:cs="Open Sans"/>
          <w:sz w:val="22"/>
          <w:szCs w:val="22"/>
        </w:rPr>
      </w:pPr>
    </w:p>
    <w:p w14:paraId="22E0E0CD" w14:textId="77777777" w:rsidR="004F5CF9" w:rsidRPr="00742342" w:rsidRDefault="004F5CF9" w:rsidP="004F5CF9">
      <w:pPr>
        <w:jc w:val="both"/>
        <w:rPr>
          <w:rFonts w:ascii="Open Sans" w:hAnsi="Open Sans" w:cs="Open Sans"/>
          <w:sz w:val="22"/>
          <w:szCs w:val="22"/>
        </w:rPr>
      </w:pPr>
    </w:p>
    <w:p w14:paraId="281CD624" w14:textId="77777777" w:rsidR="004F5CF9" w:rsidRPr="00742342" w:rsidRDefault="004F5CF9" w:rsidP="004F5CF9">
      <w:pPr>
        <w:rPr>
          <w:rFonts w:ascii="Open Sans" w:hAnsi="Open Sans" w:cs="Open Sans"/>
          <w:sz w:val="22"/>
          <w:szCs w:val="22"/>
        </w:rPr>
      </w:pPr>
    </w:p>
    <w:p w14:paraId="754FE95C" w14:textId="77777777" w:rsidR="004F5CF9" w:rsidRPr="00742342" w:rsidRDefault="004F5CF9" w:rsidP="004F5CF9">
      <w:pPr>
        <w:rPr>
          <w:rFonts w:ascii="Open Sans" w:hAnsi="Open Sans" w:cs="Open Sans"/>
          <w:sz w:val="22"/>
          <w:szCs w:val="22"/>
        </w:rPr>
      </w:pPr>
    </w:p>
    <w:p w14:paraId="15B856CD" w14:textId="77777777" w:rsidR="004F5CF9" w:rsidRPr="00742342" w:rsidRDefault="004F5CF9" w:rsidP="004F5CF9">
      <w:pPr>
        <w:rPr>
          <w:rFonts w:ascii="Open Sans" w:hAnsi="Open Sans" w:cs="Open Sans"/>
          <w:sz w:val="22"/>
          <w:szCs w:val="22"/>
        </w:rPr>
      </w:pPr>
    </w:p>
    <w:p w14:paraId="5BE6AAFF" w14:textId="77777777" w:rsidR="004F5CF9" w:rsidRPr="00742342" w:rsidRDefault="004F5CF9" w:rsidP="004F5CF9">
      <w:pPr>
        <w:rPr>
          <w:rFonts w:ascii="Open Sans" w:hAnsi="Open Sans" w:cs="Open Sans"/>
          <w:sz w:val="22"/>
          <w:szCs w:val="22"/>
        </w:rPr>
      </w:pPr>
    </w:p>
    <w:p w14:paraId="3B3ADF24" w14:textId="77777777" w:rsidR="004F5CF9" w:rsidRPr="00742342" w:rsidRDefault="004F5CF9" w:rsidP="004F5CF9">
      <w:pPr>
        <w:rPr>
          <w:rFonts w:ascii="Open Sans" w:hAnsi="Open Sans" w:cs="Open Sans"/>
        </w:rPr>
      </w:pPr>
    </w:p>
    <w:p w14:paraId="5C8F2E22" w14:textId="77777777" w:rsidR="004F5CF9" w:rsidRPr="00742342" w:rsidRDefault="004F5CF9" w:rsidP="004F5CF9">
      <w:pPr>
        <w:rPr>
          <w:rFonts w:ascii="Open Sans" w:hAnsi="Open Sans" w:cs="Open Sans"/>
        </w:rPr>
      </w:pPr>
    </w:p>
    <w:p w14:paraId="7F91B944" w14:textId="7CD4CE62" w:rsidR="006F2AEF" w:rsidRPr="00742342" w:rsidRDefault="006F2AEF" w:rsidP="004F5CF9">
      <w:pPr>
        <w:spacing w:line="276" w:lineRule="auto"/>
        <w:rPr>
          <w:rFonts w:ascii="Open Sans" w:hAnsi="Open Sans" w:cs="Open Sans"/>
          <w:color w:val="000000" w:themeColor="text1"/>
          <w:sz w:val="22"/>
          <w:szCs w:val="22"/>
        </w:rPr>
      </w:pPr>
    </w:p>
    <w:p w14:paraId="0F183F21" w14:textId="48BAEAF2" w:rsidR="002620A5" w:rsidRPr="00742342" w:rsidRDefault="002620A5" w:rsidP="003E2BDE">
      <w:pPr>
        <w:pStyle w:val="Heading1"/>
        <w:numPr>
          <w:ilvl w:val="0"/>
          <w:numId w:val="5"/>
        </w:numPr>
        <w:spacing w:line="276" w:lineRule="auto"/>
        <w:rPr>
          <w:rFonts w:ascii="Open Sans" w:hAnsi="Open Sans" w:cs="Open Sans"/>
          <w:color w:val="000000" w:themeColor="text1"/>
          <w:sz w:val="28"/>
          <w:szCs w:val="28"/>
        </w:rPr>
      </w:pPr>
      <w:bookmarkStart w:id="107" w:name="_Toc138247518"/>
      <w:r w:rsidRPr="00742342">
        <w:rPr>
          <w:rFonts w:ascii="Open Sans" w:hAnsi="Open Sans" w:cs="Open Sans"/>
          <w:color w:val="000000" w:themeColor="text1"/>
          <w:sz w:val="28"/>
          <w:szCs w:val="28"/>
        </w:rPr>
        <w:t>Conclusion</w:t>
      </w:r>
      <w:bookmarkEnd w:id="107"/>
    </w:p>
    <w:p w14:paraId="74D60C2A" w14:textId="77777777" w:rsidR="002620A5" w:rsidRPr="00742342" w:rsidRDefault="002620A5" w:rsidP="00AC21C6">
      <w:pPr>
        <w:spacing w:line="276" w:lineRule="auto"/>
        <w:rPr>
          <w:rFonts w:ascii="Open Sans" w:hAnsi="Open Sans" w:cs="Open Sans"/>
          <w:b/>
          <w:bCs/>
          <w:color w:val="000000" w:themeColor="text1"/>
        </w:rPr>
      </w:pPr>
    </w:p>
    <w:p w14:paraId="734657B7" w14:textId="45D41929" w:rsidR="0092299C" w:rsidRPr="00742342" w:rsidRDefault="0092299C" w:rsidP="003E2BDE">
      <w:pPr>
        <w:pStyle w:val="Heading2"/>
        <w:numPr>
          <w:ilvl w:val="1"/>
          <w:numId w:val="5"/>
        </w:numPr>
        <w:spacing w:line="276" w:lineRule="auto"/>
        <w:rPr>
          <w:rFonts w:ascii="Open Sans" w:hAnsi="Open Sans" w:cs="Open Sans"/>
          <w:color w:val="000000" w:themeColor="text1"/>
          <w:sz w:val="24"/>
          <w:szCs w:val="24"/>
        </w:rPr>
      </w:pPr>
      <w:bookmarkStart w:id="108" w:name="_Toc138247519"/>
      <w:r w:rsidRPr="00742342">
        <w:rPr>
          <w:rFonts w:ascii="Open Sans" w:hAnsi="Open Sans" w:cs="Open Sans"/>
          <w:color w:val="000000" w:themeColor="text1"/>
          <w:sz w:val="24"/>
          <w:szCs w:val="24"/>
        </w:rPr>
        <w:t>Research design</w:t>
      </w:r>
      <w:bookmarkEnd w:id="108"/>
    </w:p>
    <w:p w14:paraId="6C9FFA0B" w14:textId="329FCB9E"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This thesis focused on analyzing the effect the autonomy of intergovernmental organizations in conflict situations, guided by the question how the level of intergovernmental autonomy influenced engagements with a violent non-state actor. Modern day conflicts have an increasingly intra-state character, in which international organizations play an important role. This thesis is centered around the case of the Yemeni civil war (2014 – </w:t>
      </w:r>
      <w:r w:rsidR="000D55EB">
        <w:rPr>
          <w:rFonts w:ascii="Open Sans" w:hAnsi="Open Sans" w:cs="Open Sans"/>
          <w:color w:val="000000" w:themeColor="text1"/>
          <w:sz w:val="22"/>
          <w:szCs w:val="22"/>
        </w:rPr>
        <w:t>present</w:t>
      </w:r>
      <w:r w:rsidRPr="00742342">
        <w:rPr>
          <w:rFonts w:ascii="Open Sans" w:hAnsi="Open Sans" w:cs="Open Sans"/>
          <w:color w:val="000000" w:themeColor="text1"/>
          <w:sz w:val="22"/>
          <w:szCs w:val="22"/>
        </w:rPr>
        <w:t xml:space="preserve">), in which intergovernmental organizations have a significant role. This thesis aimed to research which variables could increase the autonomy of an intergovernmental organization in such a crisis, and if those variables </w:t>
      </w:r>
      <w:r w:rsidR="000D55EB" w:rsidRPr="00742342">
        <w:rPr>
          <w:rFonts w:ascii="Open Sans" w:hAnsi="Open Sans" w:cs="Open Sans"/>
          <w:color w:val="000000" w:themeColor="text1"/>
          <w:sz w:val="22"/>
          <w:szCs w:val="22"/>
        </w:rPr>
        <w:t>lead</w:t>
      </w:r>
      <w:r w:rsidRPr="00742342">
        <w:rPr>
          <w:rFonts w:ascii="Open Sans" w:hAnsi="Open Sans" w:cs="Open Sans"/>
          <w:color w:val="000000" w:themeColor="text1"/>
          <w:sz w:val="22"/>
          <w:szCs w:val="22"/>
        </w:rPr>
        <w:t xml:space="preserve"> to increased effectiveness and efficiency in dealing with benevolent actors in the Yemeni civil war. The main research subject was the Office of the Special Envoy to the Secretary-General in Yemen (OSESGY). The office was originally founded in 2012 to represent the United Nations in the Yemeni civil war. </w:t>
      </w:r>
    </w:p>
    <w:p w14:paraId="50486DDC" w14:textId="77777777" w:rsidR="0092299C" w:rsidRPr="00742342" w:rsidRDefault="0092299C" w:rsidP="00AC21C6">
      <w:pPr>
        <w:spacing w:line="276" w:lineRule="auto"/>
        <w:jc w:val="both"/>
        <w:rPr>
          <w:rFonts w:ascii="Open Sans" w:hAnsi="Open Sans" w:cs="Open Sans"/>
          <w:color w:val="000000" w:themeColor="text1"/>
          <w:sz w:val="22"/>
          <w:szCs w:val="22"/>
        </w:rPr>
      </w:pPr>
    </w:p>
    <w:p w14:paraId="05AB6020" w14:textId="77777777"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 addition to the presence of intergovernmental organizations and state-level actors, the Yemeni civil war is characterized by the presence of so-called violent non-state actors (VNSAs). These non-state actors aim to gain power and influence through violence, often motivated by political or religious ambitions. The Yemeni civil war started because the Houthi movement, which can be identified as a violent non-state actor, launched a violent offence on the Yemeni capital Sana’a. The United Nations aimed to aid the suffering Yemeni population by providing humanitarian aid and with engaging in peacebuilding. As the Houthi movement controlled an estimated 80% of Yemen in 2022, the United Nations cannot work towards a peaceful resolution of the Yemeni crisis without engaging with the Houthi movement. </w:t>
      </w:r>
    </w:p>
    <w:p w14:paraId="1A935EE1" w14:textId="77777777" w:rsidR="0092299C" w:rsidRPr="00742342" w:rsidRDefault="0092299C" w:rsidP="00AC21C6">
      <w:pPr>
        <w:spacing w:line="276" w:lineRule="auto"/>
        <w:jc w:val="both"/>
        <w:rPr>
          <w:rFonts w:ascii="Open Sans" w:hAnsi="Open Sans" w:cs="Open Sans"/>
          <w:color w:val="000000" w:themeColor="text1"/>
          <w:sz w:val="22"/>
          <w:szCs w:val="22"/>
        </w:rPr>
      </w:pPr>
    </w:p>
    <w:p w14:paraId="2C532C9E" w14:textId="092AF144"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Following a literature review, I hypothesized that the concept of intergovernmental autonomy could contribute to increased effectiveness and efficiency when engaging with violent non-state actors. The rationale behind this hypothesis was that as intergovernmental organizations </w:t>
      </w:r>
      <w:r w:rsidR="00D61967">
        <w:rPr>
          <w:rFonts w:ascii="Open Sans" w:hAnsi="Open Sans" w:cs="Open Sans"/>
          <w:color w:val="000000" w:themeColor="text1"/>
          <w:sz w:val="22"/>
          <w:szCs w:val="22"/>
        </w:rPr>
        <w:t>enjoy</w:t>
      </w:r>
      <w:r w:rsidRPr="00742342">
        <w:rPr>
          <w:rFonts w:ascii="Open Sans" w:hAnsi="Open Sans" w:cs="Open Sans"/>
          <w:color w:val="000000" w:themeColor="text1"/>
          <w:sz w:val="22"/>
          <w:szCs w:val="22"/>
        </w:rPr>
        <w:t xml:space="preserve"> increased autonomy, they are less tied </w:t>
      </w:r>
      <w:r w:rsidR="00D61967">
        <w:rPr>
          <w:rFonts w:ascii="Open Sans" w:hAnsi="Open Sans" w:cs="Open Sans"/>
          <w:color w:val="000000" w:themeColor="text1"/>
          <w:sz w:val="22"/>
          <w:szCs w:val="22"/>
        </w:rPr>
        <w:t>to</w:t>
      </w:r>
      <w:r w:rsidRPr="00742342">
        <w:rPr>
          <w:rFonts w:ascii="Open Sans" w:hAnsi="Open Sans" w:cs="Open Sans"/>
          <w:color w:val="000000" w:themeColor="text1"/>
          <w:sz w:val="22"/>
          <w:szCs w:val="22"/>
        </w:rPr>
        <w:t xml:space="preserve"> other influential actors, have more policy freedom and are thus more capable to engage with violent non-state actors. This hypothesis is based on the theory of principal-agent relations, where the intergovernmental organization acts as the agent, engaging on behalf of the principal, the IGO member-states. In the case of the OSESGY in the </w:t>
      </w:r>
      <w:r w:rsidR="00BD547F">
        <w:rPr>
          <w:rFonts w:ascii="Open Sans" w:hAnsi="Open Sans" w:cs="Open Sans"/>
          <w:color w:val="000000" w:themeColor="text1"/>
          <w:sz w:val="22"/>
          <w:szCs w:val="22"/>
        </w:rPr>
        <w:t>Yemeni</w:t>
      </w:r>
      <w:r w:rsidRPr="00742342">
        <w:rPr>
          <w:rFonts w:ascii="Open Sans" w:hAnsi="Open Sans" w:cs="Open Sans"/>
          <w:color w:val="000000" w:themeColor="text1"/>
          <w:sz w:val="22"/>
          <w:szCs w:val="22"/>
        </w:rPr>
        <w:t xml:space="preserve"> civil war, the </w:t>
      </w:r>
      <w:r w:rsidR="00BD547F">
        <w:rPr>
          <w:rFonts w:ascii="Open Sans" w:hAnsi="Open Sans" w:cs="Open Sans"/>
          <w:color w:val="000000" w:themeColor="text1"/>
          <w:sz w:val="22"/>
          <w:szCs w:val="22"/>
        </w:rPr>
        <w:t xml:space="preserve">member-states are not the only principals. The UN secretariat and </w:t>
      </w:r>
      <w:r w:rsidR="00F76DF7">
        <w:rPr>
          <w:rFonts w:ascii="Open Sans" w:hAnsi="Open Sans" w:cs="Open Sans"/>
          <w:color w:val="000000" w:themeColor="text1"/>
          <w:sz w:val="22"/>
          <w:szCs w:val="22"/>
        </w:rPr>
        <w:t>Security Council also function as its principals.</w:t>
      </w:r>
      <w:r w:rsidRPr="00742342">
        <w:rPr>
          <w:rFonts w:ascii="Open Sans" w:hAnsi="Open Sans" w:cs="Open Sans"/>
          <w:color w:val="000000" w:themeColor="text1"/>
          <w:sz w:val="22"/>
          <w:szCs w:val="22"/>
        </w:rPr>
        <w:t xml:space="preserve"> Utilizing the concepts of the principal-agent theory, </w:t>
      </w:r>
      <w:r w:rsidRPr="00742342">
        <w:rPr>
          <w:rFonts w:ascii="Open Sans" w:hAnsi="Open Sans" w:cs="Open Sans"/>
          <w:color w:val="000000" w:themeColor="text1"/>
          <w:sz w:val="22"/>
          <w:szCs w:val="22"/>
        </w:rPr>
        <w:lastRenderedPageBreak/>
        <w:t>I identified three dimensions of autonomy based on a literature review, performed in the second chapter of the thesis. The three dimensions provide a framework for understanding how autonomy impacts the decision-making of intergovernmental organizations in regional conflicts and are formulated as three hypotheses:</w:t>
      </w:r>
    </w:p>
    <w:p w14:paraId="0DE37681" w14:textId="77777777" w:rsidR="0092299C" w:rsidRPr="00742342" w:rsidRDefault="0092299C" w:rsidP="00AC21C6">
      <w:pPr>
        <w:spacing w:line="276" w:lineRule="auto"/>
        <w:jc w:val="both"/>
        <w:rPr>
          <w:rFonts w:ascii="Open Sans" w:hAnsi="Open Sans" w:cs="Open Sans"/>
          <w:color w:val="000000" w:themeColor="text1"/>
          <w:sz w:val="22"/>
          <w:szCs w:val="22"/>
        </w:rPr>
      </w:pPr>
    </w:p>
    <w:p w14:paraId="6A45E2D1" w14:textId="7C43A1E6" w:rsidR="0092299C" w:rsidRPr="00742342" w:rsidRDefault="0092299C" w:rsidP="00AC21C6">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 xml:space="preserve">H1: </w:t>
      </w:r>
      <w:r w:rsidR="00C943D3">
        <w:rPr>
          <w:rFonts w:ascii="Open Sans" w:hAnsi="Open Sans" w:cs="Open Sans"/>
          <w:bCs/>
          <w:i/>
          <w:iCs/>
          <w:color w:val="000000" w:themeColor="text1"/>
          <w:sz w:val="22"/>
          <w:szCs w:val="22"/>
        </w:rPr>
        <w:t xml:space="preserve">The more depoliticized the IGO is, the more autonomy they </w:t>
      </w:r>
      <w:r w:rsidR="00807A5E">
        <w:rPr>
          <w:rFonts w:ascii="Open Sans" w:hAnsi="Open Sans" w:cs="Open Sans"/>
          <w:bCs/>
          <w:i/>
          <w:iCs/>
          <w:color w:val="000000" w:themeColor="text1"/>
          <w:sz w:val="22"/>
          <w:szCs w:val="22"/>
        </w:rPr>
        <w:t>enjoy</w:t>
      </w:r>
      <w:r w:rsidR="00C943D3">
        <w:rPr>
          <w:rFonts w:ascii="Open Sans" w:hAnsi="Open Sans" w:cs="Open Sans"/>
          <w:bCs/>
          <w:i/>
          <w:iCs/>
          <w:color w:val="000000" w:themeColor="text1"/>
          <w:sz w:val="22"/>
          <w:szCs w:val="22"/>
        </w:rPr>
        <w:t>.</w:t>
      </w:r>
    </w:p>
    <w:p w14:paraId="161B4F5C" w14:textId="7478495F" w:rsidR="0092299C" w:rsidRPr="00742342" w:rsidRDefault="0092299C" w:rsidP="00AC21C6">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H2: Time sensitivity increases autonomy</w:t>
      </w:r>
      <w:r w:rsidR="003C6A09" w:rsidRPr="00742342">
        <w:rPr>
          <w:rFonts w:ascii="Open Sans" w:hAnsi="Open Sans" w:cs="Open Sans"/>
          <w:i/>
          <w:iCs/>
          <w:color w:val="000000" w:themeColor="text1"/>
          <w:sz w:val="22"/>
          <w:szCs w:val="22"/>
        </w:rPr>
        <w:t>.</w:t>
      </w:r>
    </w:p>
    <w:p w14:paraId="30C03153" w14:textId="45A3BF9E" w:rsidR="0092299C" w:rsidRPr="00742342" w:rsidRDefault="0092299C" w:rsidP="00AC21C6">
      <w:pPr>
        <w:spacing w:line="276" w:lineRule="auto"/>
        <w:jc w:val="both"/>
        <w:rPr>
          <w:rFonts w:ascii="Open Sans" w:hAnsi="Open Sans" w:cs="Open Sans"/>
          <w:i/>
          <w:iCs/>
          <w:color w:val="000000" w:themeColor="text1"/>
          <w:sz w:val="22"/>
          <w:szCs w:val="22"/>
        </w:rPr>
      </w:pPr>
      <w:r w:rsidRPr="00742342">
        <w:rPr>
          <w:rFonts w:ascii="Open Sans" w:hAnsi="Open Sans" w:cs="Open Sans"/>
          <w:i/>
          <w:iCs/>
          <w:color w:val="000000" w:themeColor="text1"/>
          <w:sz w:val="22"/>
          <w:szCs w:val="22"/>
        </w:rPr>
        <w:t>H3: Credibility through independence and field knowledge increases autonomy</w:t>
      </w:r>
      <w:r w:rsidR="003C6A09" w:rsidRPr="00742342">
        <w:rPr>
          <w:rFonts w:ascii="Open Sans" w:hAnsi="Open Sans" w:cs="Open Sans"/>
          <w:i/>
          <w:iCs/>
          <w:color w:val="000000" w:themeColor="text1"/>
          <w:sz w:val="22"/>
          <w:szCs w:val="22"/>
        </w:rPr>
        <w:t>.</w:t>
      </w:r>
    </w:p>
    <w:p w14:paraId="5830F9C5" w14:textId="77777777" w:rsidR="0092299C" w:rsidRPr="00742342" w:rsidRDefault="0092299C" w:rsidP="00AC21C6">
      <w:pPr>
        <w:spacing w:line="276" w:lineRule="auto"/>
        <w:jc w:val="both"/>
        <w:rPr>
          <w:rFonts w:ascii="Open Sans" w:hAnsi="Open Sans" w:cs="Open Sans"/>
          <w:b/>
          <w:bCs/>
          <w:color w:val="000000" w:themeColor="text1"/>
        </w:rPr>
      </w:pPr>
    </w:p>
    <w:p w14:paraId="69EAD261" w14:textId="77777777" w:rsidR="0092299C" w:rsidRPr="00742342" w:rsidRDefault="0092299C" w:rsidP="003E2BDE">
      <w:pPr>
        <w:pStyle w:val="Heading2"/>
        <w:numPr>
          <w:ilvl w:val="1"/>
          <w:numId w:val="5"/>
        </w:numPr>
        <w:spacing w:line="276" w:lineRule="auto"/>
        <w:rPr>
          <w:rFonts w:ascii="Open Sans" w:hAnsi="Open Sans" w:cs="Open Sans"/>
          <w:color w:val="000000" w:themeColor="text1"/>
          <w:sz w:val="24"/>
          <w:szCs w:val="24"/>
        </w:rPr>
      </w:pPr>
      <w:bookmarkStart w:id="109" w:name="_Toc138247520"/>
      <w:r w:rsidRPr="00742342">
        <w:rPr>
          <w:rFonts w:ascii="Open Sans" w:hAnsi="Open Sans" w:cs="Open Sans"/>
          <w:color w:val="000000" w:themeColor="text1"/>
          <w:sz w:val="24"/>
          <w:szCs w:val="24"/>
        </w:rPr>
        <w:t>Methodology</w:t>
      </w:r>
      <w:bookmarkEnd w:id="109"/>
    </w:p>
    <w:p w14:paraId="7095CEF1" w14:textId="43851D9D"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Following the literature review, the identified dimensions were operationalized. This was done by creating items that together constitute the respective dimensions. The purpose of operationalization was to transform the theoretical dimensions into concrete items that could be measured in the analysis</w:t>
      </w:r>
      <w:r w:rsidR="00064139">
        <w:rPr>
          <w:rFonts w:ascii="Open Sans" w:hAnsi="Open Sans" w:cs="Open Sans"/>
          <w:color w:val="000000" w:themeColor="text1"/>
          <w:sz w:val="22"/>
          <w:szCs w:val="22"/>
        </w:rPr>
        <w:t xml:space="preserve"> </w:t>
      </w:r>
      <w:r w:rsidR="006E5632" w:rsidRPr="006E5632">
        <w:rPr>
          <w:rFonts w:ascii="Open Sans" w:hAnsi="Open Sans" w:cs="Open Sans"/>
          <w:color w:val="000000" w:themeColor="text1"/>
          <w:sz w:val="22"/>
          <w:szCs w:val="22"/>
        </w:rPr>
        <w:t>(Andrade, 2021; Singh, 2015)</w:t>
      </w:r>
      <w:r w:rsidRPr="00742342">
        <w:rPr>
          <w:rFonts w:ascii="Open Sans" w:hAnsi="Open Sans" w:cs="Open Sans"/>
          <w:color w:val="000000" w:themeColor="text1"/>
          <w:sz w:val="22"/>
          <w:szCs w:val="22"/>
        </w:rPr>
        <w:t xml:space="preserve">. To explore if the identified dimensions do constitute to the autonomy of an intergovernmental organization, I have chosen to perform </w:t>
      </w:r>
      <w:r w:rsidR="003C6A09" w:rsidRPr="00742342">
        <w:rPr>
          <w:rFonts w:ascii="Open Sans" w:hAnsi="Open Sans" w:cs="Open Sans"/>
          <w:color w:val="000000" w:themeColor="text1"/>
          <w:sz w:val="22"/>
          <w:szCs w:val="22"/>
        </w:rPr>
        <w:t>qualitative case</w:t>
      </w:r>
      <w:r w:rsidR="004D527E">
        <w:rPr>
          <w:rFonts w:ascii="Open Sans" w:hAnsi="Open Sans" w:cs="Open Sans"/>
          <w:color w:val="000000" w:themeColor="text1"/>
          <w:sz w:val="22"/>
          <w:szCs w:val="22"/>
        </w:rPr>
        <w:t xml:space="preserve"> </w:t>
      </w:r>
      <w:r w:rsidR="003C6A09" w:rsidRPr="00742342">
        <w:rPr>
          <w:rFonts w:ascii="Open Sans" w:hAnsi="Open Sans" w:cs="Open Sans"/>
          <w:color w:val="000000" w:themeColor="text1"/>
          <w:sz w:val="22"/>
          <w:szCs w:val="22"/>
        </w:rPr>
        <w:t>study research</w:t>
      </w:r>
      <w:r w:rsidRPr="00742342">
        <w:rPr>
          <w:rFonts w:ascii="Open Sans" w:hAnsi="Open Sans" w:cs="Open Sans"/>
          <w:color w:val="000000" w:themeColor="text1"/>
          <w:sz w:val="22"/>
          <w:szCs w:val="22"/>
        </w:rPr>
        <w:t>. This approach is suitable for exploring the construction of autonomy, and its effect on engaging with violent non-state actors</w:t>
      </w:r>
      <w:r w:rsidR="006E5632">
        <w:rPr>
          <w:rFonts w:ascii="Open Sans" w:hAnsi="Open Sans" w:cs="Open Sans"/>
          <w:color w:val="000000" w:themeColor="text1"/>
          <w:sz w:val="22"/>
          <w:szCs w:val="22"/>
        </w:rPr>
        <w:t xml:space="preserve"> </w:t>
      </w:r>
      <w:r w:rsidR="004906CA" w:rsidRPr="004906CA">
        <w:rPr>
          <w:rFonts w:ascii="Open Sans" w:hAnsi="Open Sans" w:cs="Open Sans"/>
          <w:color w:val="000000" w:themeColor="text1"/>
          <w:sz w:val="22"/>
          <w:szCs w:val="22"/>
        </w:rPr>
        <w:t>(Willis, 2021)</w:t>
      </w:r>
      <w:r w:rsidRPr="00742342">
        <w:rPr>
          <w:rFonts w:ascii="Open Sans" w:hAnsi="Open Sans" w:cs="Open Sans"/>
          <w:color w:val="000000" w:themeColor="text1"/>
          <w:sz w:val="22"/>
          <w:szCs w:val="22"/>
        </w:rPr>
        <w:t>. Qualitative research allows for an in-depth analysis of real-world practices</w:t>
      </w:r>
      <w:r w:rsidR="004906CA">
        <w:rPr>
          <w:rFonts w:ascii="Open Sans" w:hAnsi="Open Sans" w:cs="Open Sans"/>
          <w:color w:val="000000" w:themeColor="text1"/>
          <w:sz w:val="22"/>
          <w:szCs w:val="22"/>
        </w:rPr>
        <w:t xml:space="preserve"> </w:t>
      </w:r>
      <w:r w:rsidR="00EC1642" w:rsidRPr="00EC1642">
        <w:rPr>
          <w:rFonts w:ascii="Open Sans" w:hAnsi="Open Sans" w:cs="Open Sans"/>
          <w:color w:val="000000" w:themeColor="text1"/>
          <w:sz w:val="22"/>
          <w:szCs w:val="22"/>
        </w:rPr>
        <w:t>(Given, 2008; Johnson et al., 2020)</w:t>
      </w:r>
      <w:r w:rsidRPr="00742342">
        <w:rPr>
          <w:rFonts w:ascii="Open Sans" w:hAnsi="Open Sans" w:cs="Open Sans"/>
          <w:color w:val="000000" w:themeColor="text1"/>
          <w:sz w:val="22"/>
          <w:szCs w:val="22"/>
        </w:rPr>
        <w:t>. In addition to testing if the identified dimensions constitute to intergovernmental autonomy, this thesis also featured a theory-developing aspect. The qualitative approach facilitated this, as a case</w:t>
      </w:r>
      <w:r w:rsidR="004D527E">
        <w:rPr>
          <w:rFonts w:ascii="Open Sans" w:hAnsi="Open Sans" w:cs="Open Sans"/>
          <w:color w:val="000000" w:themeColor="text1"/>
          <w:sz w:val="22"/>
          <w:szCs w:val="22"/>
        </w:rPr>
        <w:t xml:space="preserve"> </w:t>
      </w:r>
      <w:r w:rsidRPr="00742342">
        <w:rPr>
          <w:rFonts w:ascii="Open Sans" w:hAnsi="Open Sans" w:cs="Open Sans"/>
          <w:color w:val="000000" w:themeColor="text1"/>
          <w:sz w:val="22"/>
          <w:szCs w:val="22"/>
        </w:rPr>
        <w:t>study is an explorative investigation into real-life series of events</w:t>
      </w:r>
      <w:r w:rsidR="0085288E">
        <w:rPr>
          <w:rFonts w:ascii="Open Sans" w:hAnsi="Open Sans" w:cs="Open Sans"/>
          <w:color w:val="000000" w:themeColor="text1"/>
          <w:sz w:val="22"/>
          <w:szCs w:val="22"/>
        </w:rPr>
        <w:t xml:space="preserve"> </w:t>
      </w:r>
      <w:r w:rsidR="0085288E" w:rsidRPr="0085288E">
        <w:rPr>
          <w:rFonts w:ascii="Open Sans" w:hAnsi="Open Sans" w:cs="Open Sans"/>
          <w:color w:val="000000" w:themeColor="text1"/>
          <w:sz w:val="22"/>
          <w:szCs w:val="22"/>
        </w:rPr>
        <w:t>(Geddes, 2004)</w:t>
      </w:r>
      <w:r w:rsidRPr="00742342">
        <w:rPr>
          <w:rFonts w:ascii="Open Sans" w:hAnsi="Open Sans" w:cs="Open Sans"/>
          <w:color w:val="000000" w:themeColor="text1"/>
          <w:sz w:val="22"/>
          <w:szCs w:val="22"/>
        </w:rPr>
        <w:t>. To find if the identified dimensions influenced the autonomy of the OSESGY and find of there might be alternative explanations of the role of autonomy for an intergovernmental organization, this analysis featured the use of process tracing methodology. Process tracing allowed me to uncover and evaluate causal mechanisms that constitute IGO autonomy and reconstruct how the OSESGY engaged with the Houthi movement</w:t>
      </w:r>
      <w:r w:rsidR="0085288E">
        <w:rPr>
          <w:rFonts w:ascii="Open Sans" w:hAnsi="Open Sans" w:cs="Open Sans"/>
          <w:color w:val="000000" w:themeColor="text1"/>
          <w:sz w:val="22"/>
          <w:szCs w:val="22"/>
        </w:rPr>
        <w:t xml:space="preserve"> </w:t>
      </w:r>
      <w:r w:rsidR="00085115" w:rsidRPr="00085115">
        <w:rPr>
          <w:rFonts w:ascii="Open Sans" w:hAnsi="Open Sans" w:cs="Open Sans"/>
          <w:color w:val="000000" w:themeColor="text1"/>
          <w:sz w:val="22"/>
          <w:szCs w:val="22"/>
        </w:rPr>
        <w:t>(Bennett &amp; Checkel, 2012)</w:t>
      </w:r>
      <w:r w:rsidRPr="00742342">
        <w:rPr>
          <w:rFonts w:ascii="Open Sans" w:hAnsi="Open Sans" w:cs="Open Sans"/>
          <w:color w:val="000000" w:themeColor="text1"/>
          <w:sz w:val="22"/>
          <w:szCs w:val="22"/>
        </w:rPr>
        <w:t xml:space="preserve">. </w:t>
      </w:r>
    </w:p>
    <w:p w14:paraId="3E30EF7C" w14:textId="77777777" w:rsidR="0092299C" w:rsidRPr="00742342" w:rsidRDefault="0092299C" w:rsidP="00AC21C6">
      <w:pPr>
        <w:spacing w:line="276" w:lineRule="auto"/>
        <w:rPr>
          <w:rFonts w:ascii="Open Sans" w:eastAsia="Times New Roman" w:hAnsi="Open Sans" w:cs="Open Sans"/>
          <w:color w:val="000000" w:themeColor="text1"/>
          <w:kern w:val="0"/>
          <w:lang w:eastAsia="en-GB"/>
          <w14:ligatures w14:val="none"/>
        </w:rPr>
      </w:pPr>
    </w:p>
    <w:p w14:paraId="76602C4E" w14:textId="77777777" w:rsidR="0092299C" w:rsidRPr="005A02C0" w:rsidRDefault="0092299C" w:rsidP="003E2BDE">
      <w:pPr>
        <w:pStyle w:val="Heading2"/>
        <w:numPr>
          <w:ilvl w:val="1"/>
          <w:numId w:val="5"/>
        </w:numPr>
        <w:spacing w:line="276" w:lineRule="auto"/>
        <w:rPr>
          <w:rFonts w:ascii="Open Sans" w:hAnsi="Open Sans" w:cs="Open Sans"/>
          <w:color w:val="000000" w:themeColor="text1"/>
          <w:sz w:val="24"/>
          <w:szCs w:val="24"/>
        </w:rPr>
      </w:pPr>
      <w:bookmarkStart w:id="110" w:name="_Toc138247521"/>
      <w:r w:rsidRPr="005A02C0">
        <w:rPr>
          <w:rFonts w:ascii="Open Sans" w:hAnsi="Open Sans" w:cs="Open Sans"/>
          <w:color w:val="000000" w:themeColor="text1"/>
          <w:sz w:val="24"/>
          <w:szCs w:val="24"/>
        </w:rPr>
        <w:t>Results</w:t>
      </w:r>
      <w:bookmarkEnd w:id="110"/>
    </w:p>
    <w:p w14:paraId="62909861" w14:textId="388163D8"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analysis of the policy of the OSESGY between 2014 and the 2022 truce uncovered </w:t>
      </w:r>
      <w:r w:rsidR="00C42F7E" w:rsidRPr="00742342">
        <w:rPr>
          <w:rFonts w:ascii="Open Sans" w:hAnsi="Open Sans" w:cs="Open Sans"/>
          <w:color w:val="000000" w:themeColor="text1"/>
          <w:sz w:val="22"/>
          <w:szCs w:val="22"/>
        </w:rPr>
        <w:t>noteworthy</w:t>
      </w:r>
      <w:r w:rsidRPr="00742342">
        <w:rPr>
          <w:rFonts w:ascii="Open Sans" w:hAnsi="Open Sans" w:cs="Open Sans"/>
          <w:color w:val="000000" w:themeColor="text1"/>
          <w:sz w:val="22"/>
          <w:szCs w:val="22"/>
        </w:rPr>
        <w:t xml:space="preserve"> results about the influence of autonomy on the OSESGY in this period. Following the three identified dimensions, which </w:t>
      </w:r>
      <w:r w:rsidR="00C42F7E">
        <w:rPr>
          <w:rFonts w:ascii="Open Sans" w:hAnsi="Open Sans" w:cs="Open Sans"/>
          <w:color w:val="000000" w:themeColor="text1"/>
          <w:sz w:val="22"/>
          <w:szCs w:val="22"/>
        </w:rPr>
        <w:t>represent the</w:t>
      </w:r>
      <w:r w:rsidRPr="00742342">
        <w:rPr>
          <w:rFonts w:ascii="Open Sans" w:hAnsi="Open Sans" w:cs="Open Sans"/>
          <w:color w:val="000000" w:themeColor="text1"/>
          <w:sz w:val="22"/>
          <w:szCs w:val="22"/>
        </w:rPr>
        <w:t xml:space="preserve"> three hypotheses, this research uncovered some of the mechanisms that lead to an increase in autonomy. It became clear that not all the identified items had to be present, for an item to contribute to intergovernmental autonomy. This is the case with the dimension of the </w:t>
      </w:r>
      <w:r w:rsidR="004C2D2D">
        <w:rPr>
          <w:rFonts w:ascii="Open Sans" w:hAnsi="Open Sans" w:cs="Open Sans"/>
          <w:color w:val="000000" w:themeColor="text1"/>
          <w:sz w:val="22"/>
          <w:szCs w:val="22"/>
        </w:rPr>
        <w:t>depoliticization</w:t>
      </w:r>
      <w:r w:rsidRPr="00742342">
        <w:rPr>
          <w:rFonts w:ascii="Open Sans" w:hAnsi="Open Sans" w:cs="Open Sans"/>
          <w:color w:val="000000" w:themeColor="text1"/>
          <w:sz w:val="22"/>
          <w:szCs w:val="22"/>
        </w:rPr>
        <w:t xml:space="preserve"> of the intergovernmental organization. This item had a strong impact on the autonomy of the OSESGY, especially during the truce. Therefore, the depoliticized nature of the OSESGY did have a significant influence on the autonomy of the organization. Following the manifestations of depoliticized policy of the OSESGY, I </w:t>
      </w:r>
      <w:r w:rsidRPr="00742342">
        <w:rPr>
          <w:rFonts w:ascii="Open Sans" w:hAnsi="Open Sans" w:cs="Open Sans"/>
          <w:color w:val="000000" w:themeColor="text1"/>
          <w:sz w:val="22"/>
          <w:szCs w:val="22"/>
        </w:rPr>
        <w:lastRenderedPageBreak/>
        <w:t xml:space="preserve">presume that this dimension can have explanatory power that can be externalized to other similar cases. I will touch on this subject in the following paragraph. The second hypothesis is more difficult to not reject based on the analysis. Although there is strong evidence that the tide of the Yemeni civil war was turning and the OSESGY seized their moment when they initiated the truce, the aspect of time is out of the control of the intergovernmental organization. While the OSESGY might be able to pressure the involved actors to negotiate, the organization cannot impact the timeline of the conflict. Therefore, the general hypothesis is valid; time sensitivity can increase autonomy, but because the dimension is very dependent on contextual circumstances, the evidence to support the dimension is questionable. The last hypothesis has also shown to have influenced the OSESGY in the Yemeni civil war, especially during the truce. Their demonstrated experiences did contribute to a more autonomous IGO, which made their engagements with the violent non-state actor more effective and efficient. The effect characterizes simultaneity, the autonomy and the increased credibility reinforce one another. </w:t>
      </w:r>
    </w:p>
    <w:p w14:paraId="6032BEBE" w14:textId="77777777" w:rsidR="0092299C" w:rsidRPr="00742342" w:rsidRDefault="0092299C" w:rsidP="00AC21C6">
      <w:pPr>
        <w:spacing w:line="276" w:lineRule="auto"/>
        <w:jc w:val="both"/>
        <w:rPr>
          <w:rFonts w:ascii="Open Sans" w:hAnsi="Open Sans" w:cs="Open Sans"/>
          <w:color w:val="000000" w:themeColor="text1"/>
        </w:rPr>
      </w:pPr>
    </w:p>
    <w:p w14:paraId="15CC6262" w14:textId="0FB5013D" w:rsidR="0092299C" w:rsidRPr="00742342" w:rsidRDefault="00D14251" w:rsidP="003E2BDE">
      <w:pPr>
        <w:pStyle w:val="Heading2"/>
        <w:numPr>
          <w:ilvl w:val="1"/>
          <w:numId w:val="5"/>
        </w:numPr>
        <w:spacing w:line="276" w:lineRule="auto"/>
        <w:rPr>
          <w:rFonts w:ascii="Open Sans" w:hAnsi="Open Sans" w:cs="Open Sans"/>
          <w:color w:val="000000" w:themeColor="text1"/>
          <w:sz w:val="24"/>
          <w:szCs w:val="24"/>
        </w:rPr>
      </w:pPr>
      <w:bookmarkStart w:id="111" w:name="_Toc138247522"/>
      <w:r>
        <w:rPr>
          <w:rFonts w:ascii="Open Sans" w:hAnsi="Open Sans" w:cs="Open Sans"/>
          <w:color w:val="000000" w:themeColor="text1"/>
          <w:sz w:val="24"/>
          <w:szCs w:val="24"/>
        </w:rPr>
        <w:t>Key findings</w:t>
      </w:r>
      <w:bookmarkEnd w:id="111"/>
    </w:p>
    <w:p w14:paraId="5CE6F788" w14:textId="6D8EA5CD"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This research was guided by the question how the level of IGO autonomy influenced engagements with a VNSA. Following the analysis, I feel that there are three different aspects of depoliticization that make it the most important condition for effective and efficient engagements with violent non-state actors. First and foremost, the </w:t>
      </w:r>
      <w:r w:rsidR="00F41C0E">
        <w:rPr>
          <w:rFonts w:ascii="Open Sans" w:hAnsi="Open Sans" w:cs="Open Sans"/>
          <w:color w:val="000000" w:themeColor="text1"/>
          <w:sz w:val="22"/>
          <w:szCs w:val="22"/>
        </w:rPr>
        <w:t>depoliticization</w:t>
      </w:r>
      <w:r w:rsidRPr="00742342">
        <w:rPr>
          <w:rFonts w:ascii="Open Sans" w:hAnsi="Open Sans" w:cs="Open Sans"/>
          <w:color w:val="000000" w:themeColor="text1"/>
          <w:sz w:val="22"/>
          <w:szCs w:val="22"/>
        </w:rPr>
        <w:t xml:space="preserve"> of the OSESGY increased its autonomy. Because the OSESGY was founded as a specialist’ division of the United Nations Secretary-General, the main body of the IGO did not engage with the VNSA directly. The distance between the VNSA and the principal gave the OSESGY the freedom to engage with the Houthi’s without political interference caused by the influence of the interests of the member-states. </w:t>
      </w:r>
    </w:p>
    <w:p w14:paraId="23B30382" w14:textId="77777777" w:rsidR="0092299C" w:rsidRPr="00742342" w:rsidRDefault="0092299C" w:rsidP="00AC21C6">
      <w:pPr>
        <w:spacing w:line="276" w:lineRule="auto"/>
        <w:jc w:val="both"/>
        <w:rPr>
          <w:rFonts w:ascii="Open Sans" w:hAnsi="Open Sans" w:cs="Open Sans"/>
          <w:color w:val="000000" w:themeColor="text1"/>
          <w:sz w:val="22"/>
          <w:szCs w:val="22"/>
        </w:rPr>
      </w:pPr>
    </w:p>
    <w:p w14:paraId="259A69AB" w14:textId="6F9AD48F"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Second, the analysis showed the willingness of the OSESGY and the Houthi movement to engage in negotiations. This aspect of depolarization was not originally hypothesized directly in the </w:t>
      </w:r>
      <w:r w:rsidR="009D33DB" w:rsidRPr="00742342">
        <w:rPr>
          <w:rFonts w:ascii="Open Sans" w:hAnsi="Open Sans" w:cs="Open Sans"/>
          <w:color w:val="000000" w:themeColor="text1"/>
          <w:sz w:val="22"/>
          <w:szCs w:val="22"/>
        </w:rPr>
        <w:t>operationalization but</w:t>
      </w:r>
      <w:r w:rsidRPr="00742342">
        <w:rPr>
          <w:rFonts w:ascii="Open Sans" w:hAnsi="Open Sans" w:cs="Open Sans"/>
          <w:color w:val="000000" w:themeColor="text1"/>
          <w:sz w:val="22"/>
          <w:szCs w:val="22"/>
        </w:rPr>
        <w:t xml:space="preserve"> was a result of the analysis. As the Houthi movement is characterized as a VNSA, utilizing violence to achieve their goals, one could easily determine that an organization with values like the United Nations does not want to engage with such a movement. Especially as the ambitions of the Houthi movement directly oppose those of the UN. But the case of the Yemeni civil war has shown that cooperation is </w:t>
      </w:r>
      <w:r w:rsidR="00C862FE" w:rsidRPr="00742342">
        <w:rPr>
          <w:rFonts w:ascii="Open Sans" w:hAnsi="Open Sans" w:cs="Open Sans"/>
          <w:color w:val="000000" w:themeColor="text1"/>
          <w:sz w:val="22"/>
          <w:szCs w:val="22"/>
        </w:rPr>
        <w:t>possible if</w:t>
      </w:r>
      <w:r w:rsidRPr="00742342">
        <w:rPr>
          <w:rFonts w:ascii="Open Sans" w:hAnsi="Open Sans" w:cs="Open Sans"/>
          <w:color w:val="000000" w:themeColor="text1"/>
          <w:sz w:val="22"/>
          <w:szCs w:val="22"/>
        </w:rPr>
        <w:t xml:space="preserve"> political tensions are removed and the IGO is willing</w:t>
      </w:r>
      <w:r w:rsidR="00FF04CC" w:rsidRPr="00742342">
        <w:rPr>
          <w:rFonts w:ascii="Open Sans" w:hAnsi="Open Sans" w:cs="Open Sans"/>
          <w:color w:val="000000" w:themeColor="text1"/>
          <w:sz w:val="22"/>
          <w:szCs w:val="22"/>
        </w:rPr>
        <w:t xml:space="preserve"> to cooperate</w:t>
      </w:r>
      <w:r w:rsidRPr="00742342">
        <w:rPr>
          <w:rFonts w:ascii="Open Sans" w:hAnsi="Open Sans" w:cs="Open Sans"/>
          <w:color w:val="000000" w:themeColor="text1"/>
          <w:sz w:val="22"/>
          <w:szCs w:val="22"/>
        </w:rPr>
        <w:t xml:space="preserve">. In the case of the 2022 truce this has led to a window of opportunity for humanitarian assistance, and the possibility for further dialogue. </w:t>
      </w:r>
    </w:p>
    <w:p w14:paraId="2FD49DFD" w14:textId="77777777" w:rsidR="0092299C" w:rsidRPr="00742342" w:rsidRDefault="0092299C" w:rsidP="00AC21C6">
      <w:pPr>
        <w:spacing w:line="276" w:lineRule="auto"/>
        <w:jc w:val="both"/>
        <w:rPr>
          <w:rFonts w:ascii="Open Sans" w:hAnsi="Open Sans" w:cs="Open Sans"/>
          <w:color w:val="000000" w:themeColor="text1"/>
          <w:sz w:val="22"/>
          <w:szCs w:val="22"/>
        </w:rPr>
      </w:pPr>
    </w:p>
    <w:p w14:paraId="0ABDB6B9" w14:textId="77777777"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The last aspect of the importance of depoliticization is the influence of leadership and norm-setting abilities of the Special Envoy, which was also not operationalized but rather </w:t>
      </w:r>
      <w:r w:rsidRPr="00742342">
        <w:rPr>
          <w:rFonts w:ascii="Open Sans" w:hAnsi="Open Sans" w:cs="Open Sans"/>
          <w:color w:val="000000" w:themeColor="text1"/>
          <w:sz w:val="22"/>
          <w:szCs w:val="22"/>
        </w:rPr>
        <w:lastRenderedPageBreak/>
        <w:t>the result of findings in the empirical analysis. This leadership is not necessarily tied to the specific person fulfilling the role of the Special Envoy, but to the function itself, although personal leadership can also influence the norm-setting abilities. Due to the experience with engaging with violent-non state actors in conflict situations, the Special Envoy has the capabilities to influence their principal. This norm-setting capacity can shape the policy of the United Nations and thus possibly shape future engagements with violent non-state actors.</w:t>
      </w:r>
    </w:p>
    <w:p w14:paraId="2B179972" w14:textId="77777777" w:rsidR="0092299C" w:rsidRPr="00742342" w:rsidRDefault="0092299C" w:rsidP="00AC21C6">
      <w:pPr>
        <w:spacing w:line="276" w:lineRule="auto"/>
        <w:jc w:val="both"/>
        <w:rPr>
          <w:rFonts w:ascii="Open Sans" w:hAnsi="Open Sans" w:cs="Open Sans"/>
          <w:color w:val="000000" w:themeColor="text1"/>
          <w:sz w:val="22"/>
          <w:szCs w:val="22"/>
        </w:rPr>
      </w:pPr>
    </w:p>
    <w:p w14:paraId="436673C5" w14:textId="31981D1A"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Conclusively, I argue that the autonomy of the OSESGY is primarily shaped by its </w:t>
      </w:r>
      <w:r w:rsidR="006F1DF3">
        <w:rPr>
          <w:rFonts w:ascii="Open Sans" w:hAnsi="Open Sans" w:cs="Open Sans"/>
          <w:color w:val="000000" w:themeColor="text1"/>
          <w:sz w:val="22"/>
          <w:szCs w:val="22"/>
        </w:rPr>
        <w:t>depoliticization efforts</w:t>
      </w:r>
      <w:r w:rsidRPr="00742342">
        <w:rPr>
          <w:rFonts w:ascii="Open Sans" w:hAnsi="Open Sans" w:cs="Open Sans"/>
          <w:color w:val="000000" w:themeColor="text1"/>
          <w:sz w:val="22"/>
          <w:szCs w:val="22"/>
        </w:rPr>
        <w:t xml:space="preserve">, which is constituted of depoliticized nature, the willingness to cooperate with violent non-state actors and the norm-setting capability and personal leadership of the Special Envoy. Although time sensitivity and the increased credibility of the IGO also showed to influence autonomy, the dimensions showed less explanatory power, in comparison to the depoliticized nature of intergovernmental autonomy. </w:t>
      </w:r>
    </w:p>
    <w:p w14:paraId="4C741FBD" w14:textId="77777777" w:rsidR="0092299C" w:rsidRPr="00742342" w:rsidRDefault="0092299C" w:rsidP="00AC21C6">
      <w:pPr>
        <w:spacing w:line="276" w:lineRule="auto"/>
        <w:jc w:val="both"/>
        <w:rPr>
          <w:rFonts w:ascii="Open Sans" w:hAnsi="Open Sans" w:cs="Open Sans"/>
          <w:color w:val="000000" w:themeColor="text1"/>
        </w:rPr>
      </w:pPr>
    </w:p>
    <w:p w14:paraId="1DF260F7" w14:textId="77777777" w:rsidR="0092299C" w:rsidRPr="00742342" w:rsidRDefault="0092299C" w:rsidP="003E2BDE">
      <w:pPr>
        <w:pStyle w:val="Heading2"/>
        <w:numPr>
          <w:ilvl w:val="1"/>
          <w:numId w:val="5"/>
        </w:numPr>
        <w:spacing w:line="276" w:lineRule="auto"/>
        <w:rPr>
          <w:rFonts w:ascii="Open Sans" w:hAnsi="Open Sans" w:cs="Open Sans"/>
          <w:color w:val="000000" w:themeColor="text1"/>
          <w:sz w:val="24"/>
          <w:szCs w:val="24"/>
        </w:rPr>
      </w:pPr>
      <w:bookmarkStart w:id="112" w:name="_Toc138247523"/>
      <w:r w:rsidRPr="00742342">
        <w:rPr>
          <w:rFonts w:ascii="Open Sans" w:hAnsi="Open Sans" w:cs="Open Sans"/>
          <w:color w:val="000000" w:themeColor="text1"/>
          <w:sz w:val="24"/>
          <w:szCs w:val="24"/>
        </w:rPr>
        <w:t>Reflection, discussion &amp; recommendations</w:t>
      </w:r>
      <w:bookmarkEnd w:id="112"/>
    </w:p>
    <w:p w14:paraId="767EAC42" w14:textId="48221B14"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The final paragraphs of this thesis will be dedicated to a reflection on the theoretical and methodological frameworks, and the results that followed it. To start with the theoretical framework, which influenced the scope of this research. The identified dimensions followed an intensive literature analysis and were aimed to explain how intergovernmental autonomy was constituted. These dimensions were then operationalized, with the function of providing items that could be identified in the empirical analysis. During the process of writing the empirical analysis of this thesis, I found out that not all items</w:t>
      </w:r>
      <w:r w:rsidR="004B144B">
        <w:rPr>
          <w:rFonts w:ascii="Open Sans" w:hAnsi="Open Sans" w:cs="Open Sans"/>
          <w:color w:val="000000" w:themeColor="text1"/>
          <w:sz w:val="22"/>
          <w:szCs w:val="22"/>
        </w:rPr>
        <w:t xml:space="preserve"> that originated from the operationalization </w:t>
      </w:r>
      <w:r w:rsidR="00E76F88">
        <w:rPr>
          <w:rFonts w:ascii="Open Sans" w:hAnsi="Open Sans" w:cs="Open Sans"/>
          <w:color w:val="000000" w:themeColor="text1"/>
          <w:sz w:val="22"/>
          <w:szCs w:val="22"/>
        </w:rPr>
        <w:t>influenced</w:t>
      </w:r>
      <w:r w:rsidR="00D321A4">
        <w:rPr>
          <w:rFonts w:ascii="Open Sans" w:hAnsi="Open Sans" w:cs="Open Sans"/>
          <w:color w:val="000000" w:themeColor="text1"/>
          <w:sz w:val="22"/>
          <w:szCs w:val="22"/>
        </w:rPr>
        <w:t xml:space="preserve"> their respective dimension. Some items</w:t>
      </w:r>
      <w:r w:rsidR="00EA1426">
        <w:rPr>
          <w:rFonts w:ascii="Open Sans" w:hAnsi="Open Sans" w:cs="Open Sans"/>
          <w:color w:val="000000" w:themeColor="text1"/>
          <w:sz w:val="22"/>
          <w:szCs w:val="22"/>
        </w:rPr>
        <w:t xml:space="preserve"> did not contribute to the dimension of autonomy. Other items </w:t>
      </w:r>
      <w:r w:rsidR="00E50C56">
        <w:rPr>
          <w:rFonts w:ascii="Open Sans" w:hAnsi="Open Sans" w:cs="Open Sans"/>
          <w:color w:val="000000" w:themeColor="text1"/>
          <w:sz w:val="22"/>
          <w:szCs w:val="22"/>
        </w:rPr>
        <w:t xml:space="preserve">were not correctly formulated. </w:t>
      </w:r>
      <w:r w:rsidRPr="00742342">
        <w:rPr>
          <w:rFonts w:ascii="Open Sans" w:hAnsi="Open Sans" w:cs="Open Sans"/>
          <w:color w:val="000000" w:themeColor="text1"/>
          <w:sz w:val="22"/>
          <w:szCs w:val="22"/>
        </w:rPr>
        <w:t xml:space="preserve">I therefore made the choice to remove certain items from the analysis. </w:t>
      </w:r>
    </w:p>
    <w:p w14:paraId="74A35995" w14:textId="77777777" w:rsidR="0092299C" w:rsidRPr="00742342" w:rsidRDefault="0092299C" w:rsidP="00AC21C6">
      <w:pPr>
        <w:spacing w:line="276" w:lineRule="auto"/>
        <w:jc w:val="both"/>
        <w:rPr>
          <w:rFonts w:ascii="Open Sans" w:hAnsi="Open Sans" w:cs="Open Sans"/>
          <w:color w:val="000000" w:themeColor="text1"/>
          <w:sz w:val="22"/>
          <w:szCs w:val="22"/>
        </w:rPr>
      </w:pPr>
    </w:p>
    <w:p w14:paraId="39B0A1D7" w14:textId="0E704580" w:rsidR="0092299C" w:rsidRPr="00742342" w:rsidRDefault="0092299C" w:rsidP="00AC21C6">
      <w:pPr>
        <w:spacing w:line="276" w:lineRule="auto"/>
        <w:jc w:val="both"/>
        <w:rPr>
          <w:rFonts w:ascii="Open Sans" w:hAnsi="Open Sans" w:cs="Open Sans"/>
          <w:color w:val="000000" w:themeColor="text1"/>
          <w:sz w:val="22"/>
          <w:szCs w:val="22"/>
        </w:rPr>
      </w:pPr>
      <w:r w:rsidRPr="00742342">
        <w:rPr>
          <w:rFonts w:ascii="Open Sans" w:hAnsi="Open Sans" w:cs="Open Sans"/>
          <w:color w:val="000000" w:themeColor="text1"/>
          <w:sz w:val="22"/>
          <w:szCs w:val="22"/>
        </w:rPr>
        <w:t xml:space="preserve">In addition to certain limitations caused by the operationalization of the independent variables, there are certain aspects of the chosen research methodology that I need to reflect on. As described in chapter </w:t>
      </w:r>
      <w:r w:rsidR="00F67FA6" w:rsidRPr="00742342">
        <w:rPr>
          <w:rFonts w:ascii="Open Sans" w:hAnsi="Open Sans" w:cs="Open Sans"/>
          <w:color w:val="000000" w:themeColor="text1"/>
          <w:sz w:val="22"/>
          <w:szCs w:val="22"/>
        </w:rPr>
        <w:t>3</w:t>
      </w:r>
      <w:r w:rsidRPr="00742342">
        <w:rPr>
          <w:rFonts w:ascii="Open Sans" w:hAnsi="Open Sans" w:cs="Open Sans"/>
          <w:color w:val="000000" w:themeColor="text1"/>
          <w:sz w:val="22"/>
          <w:szCs w:val="22"/>
        </w:rPr>
        <w:t xml:space="preserve">, I have chosen to make use of qualitative methods, focusing on a single case analysis of the engagements of the OSESGY in the Yemeni civil war. The single case analysis was chosen because </w:t>
      </w:r>
      <w:r w:rsidR="000D55EB">
        <w:rPr>
          <w:rFonts w:ascii="Open Sans" w:hAnsi="Open Sans" w:cs="Open Sans"/>
          <w:color w:val="000000" w:themeColor="text1"/>
          <w:sz w:val="22"/>
          <w:szCs w:val="22"/>
        </w:rPr>
        <w:t>the Yemeni civil war</w:t>
      </w:r>
      <w:r w:rsidRPr="00742342">
        <w:rPr>
          <w:rFonts w:ascii="Open Sans" w:hAnsi="Open Sans" w:cs="Open Sans"/>
          <w:color w:val="000000" w:themeColor="text1"/>
          <w:sz w:val="22"/>
          <w:szCs w:val="22"/>
        </w:rPr>
        <w:t xml:space="preserve"> proved to be a scientifically curious case, with the power to function for both theory-developing and theory-testing purposes</w:t>
      </w:r>
      <w:r w:rsidR="00F67FA6">
        <w:rPr>
          <w:rFonts w:ascii="Open Sans" w:hAnsi="Open Sans" w:cs="Open Sans"/>
          <w:color w:val="000000" w:themeColor="text1"/>
          <w:sz w:val="22"/>
          <w:szCs w:val="22"/>
        </w:rPr>
        <w:t xml:space="preserve"> </w:t>
      </w:r>
      <w:r w:rsidR="00484E79" w:rsidRPr="00484E79">
        <w:rPr>
          <w:rFonts w:ascii="Open Sans" w:hAnsi="Open Sans" w:cs="Open Sans"/>
          <w:color w:val="000000" w:themeColor="text1"/>
          <w:sz w:val="22"/>
          <w:szCs w:val="22"/>
        </w:rPr>
        <w:t>(Bennett &amp; Checkel, 2012; Geddes, 2004)</w:t>
      </w:r>
      <w:r w:rsidRPr="00742342">
        <w:rPr>
          <w:rFonts w:ascii="Open Sans" w:hAnsi="Open Sans" w:cs="Open Sans"/>
          <w:color w:val="000000" w:themeColor="text1"/>
          <w:sz w:val="22"/>
          <w:szCs w:val="22"/>
        </w:rPr>
        <w:t>. However, there are certain limitations to the methodology of single case analysis</w:t>
      </w:r>
      <w:r w:rsidR="00484E79">
        <w:rPr>
          <w:rFonts w:ascii="Open Sans" w:hAnsi="Open Sans" w:cs="Open Sans"/>
          <w:color w:val="000000" w:themeColor="text1"/>
          <w:sz w:val="22"/>
          <w:szCs w:val="22"/>
        </w:rPr>
        <w:t xml:space="preserve"> </w:t>
      </w:r>
      <w:r w:rsidR="001A5AD3" w:rsidRPr="001A5AD3">
        <w:rPr>
          <w:rFonts w:ascii="Open Sans" w:hAnsi="Open Sans" w:cs="Open Sans"/>
          <w:color w:val="000000" w:themeColor="text1"/>
          <w:sz w:val="22"/>
          <w:szCs w:val="22"/>
        </w:rPr>
        <w:t>(Lobo et al., 2017)</w:t>
      </w:r>
      <w:r w:rsidRPr="00742342">
        <w:rPr>
          <w:rFonts w:ascii="Open Sans" w:hAnsi="Open Sans" w:cs="Open Sans"/>
          <w:color w:val="000000" w:themeColor="text1"/>
          <w:sz w:val="22"/>
          <w:szCs w:val="22"/>
        </w:rPr>
        <w:t xml:space="preserve">. </w:t>
      </w:r>
      <w:r w:rsidR="004172E6">
        <w:rPr>
          <w:rFonts w:ascii="Open Sans" w:hAnsi="Open Sans" w:cs="Open Sans"/>
          <w:color w:val="000000" w:themeColor="text1"/>
          <w:sz w:val="22"/>
          <w:szCs w:val="22"/>
        </w:rPr>
        <w:t>S</w:t>
      </w:r>
      <w:r w:rsidRPr="00742342">
        <w:rPr>
          <w:rFonts w:ascii="Open Sans" w:hAnsi="Open Sans" w:cs="Open Sans"/>
          <w:color w:val="000000" w:themeColor="text1"/>
          <w:sz w:val="22"/>
          <w:szCs w:val="22"/>
        </w:rPr>
        <w:t>ingle cases</w:t>
      </w:r>
      <w:r w:rsidR="004172E6">
        <w:rPr>
          <w:rFonts w:ascii="Open Sans" w:hAnsi="Open Sans" w:cs="Open Sans"/>
          <w:color w:val="000000" w:themeColor="text1"/>
          <w:sz w:val="22"/>
          <w:szCs w:val="22"/>
        </w:rPr>
        <w:t xml:space="preserve"> analyses</w:t>
      </w:r>
      <w:r w:rsidRPr="00742342">
        <w:rPr>
          <w:rFonts w:ascii="Open Sans" w:hAnsi="Open Sans" w:cs="Open Sans"/>
          <w:color w:val="000000" w:themeColor="text1"/>
          <w:sz w:val="22"/>
          <w:szCs w:val="22"/>
        </w:rPr>
        <w:t xml:space="preserve"> have a limited generalizability</w:t>
      </w:r>
      <w:r w:rsidR="001A5AD3">
        <w:rPr>
          <w:rFonts w:ascii="Open Sans" w:hAnsi="Open Sans" w:cs="Open Sans"/>
          <w:color w:val="000000" w:themeColor="text1"/>
          <w:sz w:val="22"/>
          <w:szCs w:val="22"/>
        </w:rPr>
        <w:t xml:space="preserve"> </w:t>
      </w:r>
      <w:r w:rsidR="004172E6" w:rsidRPr="004172E6">
        <w:rPr>
          <w:rFonts w:ascii="Open Sans" w:hAnsi="Open Sans" w:cs="Open Sans"/>
          <w:color w:val="000000" w:themeColor="text1"/>
          <w:sz w:val="22"/>
          <w:szCs w:val="22"/>
        </w:rPr>
        <w:t>(Willis, 2021)</w:t>
      </w:r>
      <w:r w:rsidRPr="00742342">
        <w:rPr>
          <w:rFonts w:ascii="Open Sans" w:hAnsi="Open Sans" w:cs="Open Sans"/>
          <w:color w:val="000000" w:themeColor="text1"/>
          <w:sz w:val="22"/>
          <w:szCs w:val="22"/>
        </w:rPr>
        <w:t>. The case of Yemen might not accurately represent the dynamics and causal mechanisms that shape intergovernmental autonomy. Therefore, results and hypotheses from this single case analysis are not sufficient to make claims about intergovernmental autonomy in general</w:t>
      </w:r>
      <w:r w:rsidR="008A012D">
        <w:rPr>
          <w:rFonts w:ascii="Open Sans" w:hAnsi="Open Sans" w:cs="Open Sans"/>
          <w:color w:val="000000" w:themeColor="text1"/>
          <w:sz w:val="22"/>
          <w:szCs w:val="22"/>
        </w:rPr>
        <w:t xml:space="preserve"> (Ibid, 2021)</w:t>
      </w:r>
      <w:r w:rsidRPr="00742342">
        <w:rPr>
          <w:rFonts w:ascii="Open Sans" w:hAnsi="Open Sans" w:cs="Open Sans"/>
          <w:color w:val="000000" w:themeColor="text1"/>
          <w:sz w:val="22"/>
          <w:szCs w:val="22"/>
        </w:rPr>
        <w:t xml:space="preserve">. The </w:t>
      </w:r>
      <w:r w:rsidRPr="00742342">
        <w:rPr>
          <w:rFonts w:ascii="Open Sans" w:hAnsi="Open Sans" w:cs="Open Sans"/>
          <w:color w:val="000000" w:themeColor="text1"/>
          <w:sz w:val="22"/>
          <w:szCs w:val="22"/>
        </w:rPr>
        <w:lastRenderedPageBreak/>
        <w:t>case of the OSESGY in Yemen could also possibly be an outlier case, meaning that the findings are unique, due to the specific context of the case</w:t>
      </w:r>
      <w:r w:rsidR="008A012D">
        <w:rPr>
          <w:rFonts w:ascii="Open Sans" w:hAnsi="Open Sans" w:cs="Open Sans"/>
          <w:color w:val="000000" w:themeColor="text1"/>
          <w:sz w:val="22"/>
          <w:szCs w:val="22"/>
        </w:rPr>
        <w:t xml:space="preserve"> </w:t>
      </w:r>
      <w:r w:rsidR="008A012D" w:rsidRPr="008A012D">
        <w:rPr>
          <w:rFonts w:ascii="Open Sans" w:hAnsi="Open Sans" w:cs="Open Sans"/>
          <w:color w:val="000000" w:themeColor="text1"/>
          <w:sz w:val="22"/>
          <w:szCs w:val="22"/>
        </w:rPr>
        <w:t>(Lobo et al., 2017; Willis, 2021)</w:t>
      </w:r>
      <w:r w:rsidRPr="00742342">
        <w:rPr>
          <w:rFonts w:ascii="Open Sans" w:hAnsi="Open Sans" w:cs="Open Sans"/>
          <w:color w:val="000000" w:themeColor="text1"/>
          <w:sz w:val="22"/>
          <w:szCs w:val="22"/>
        </w:rPr>
        <w:t xml:space="preserve">.  Due to the research design, the results can thus not be extrapolated to other cases without further research into the phenomenon of intergovernmental autonomy. </w:t>
      </w:r>
    </w:p>
    <w:p w14:paraId="483D808F" w14:textId="77777777" w:rsidR="0092299C" w:rsidRPr="00742342" w:rsidRDefault="0092299C" w:rsidP="00AC21C6">
      <w:pPr>
        <w:spacing w:line="276" w:lineRule="auto"/>
        <w:jc w:val="both"/>
        <w:rPr>
          <w:rFonts w:ascii="Open Sans" w:hAnsi="Open Sans" w:cs="Open Sans"/>
          <w:color w:val="000000" w:themeColor="text1"/>
          <w:sz w:val="22"/>
          <w:szCs w:val="22"/>
        </w:rPr>
      </w:pPr>
    </w:p>
    <w:p w14:paraId="08635A2B" w14:textId="77777777" w:rsidR="001920EA" w:rsidRDefault="001920EA" w:rsidP="001920EA">
      <w:pPr>
        <w:spacing w:line="276" w:lineRule="auto"/>
        <w:rPr>
          <w:rFonts w:ascii="Open Sans" w:hAnsi="Open Sans" w:cs="Open Sans"/>
          <w:color w:val="000000" w:themeColor="text1"/>
          <w:sz w:val="22"/>
          <w:szCs w:val="22"/>
        </w:rPr>
      </w:pPr>
    </w:p>
    <w:p w14:paraId="564FB879" w14:textId="1F01A602" w:rsidR="001920EA" w:rsidRPr="001920EA" w:rsidRDefault="001920EA" w:rsidP="001920EA">
      <w:pPr>
        <w:pStyle w:val="Heading2"/>
        <w:numPr>
          <w:ilvl w:val="1"/>
          <w:numId w:val="5"/>
        </w:numPr>
        <w:spacing w:line="276" w:lineRule="auto"/>
        <w:rPr>
          <w:rFonts w:ascii="Open Sans" w:hAnsi="Open Sans" w:cs="Open Sans"/>
          <w:color w:val="000000" w:themeColor="text1"/>
          <w:sz w:val="24"/>
          <w:szCs w:val="24"/>
        </w:rPr>
      </w:pPr>
      <w:bookmarkStart w:id="113" w:name="_Toc138247524"/>
      <w:r w:rsidRPr="001920EA">
        <w:rPr>
          <w:rFonts w:ascii="Open Sans" w:hAnsi="Open Sans" w:cs="Open Sans"/>
          <w:color w:val="000000" w:themeColor="text1"/>
          <w:sz w:val="24"/>
          <w:szCs w:val="24"/>
        </w:rPr>
        <w:t xml:space="preserve">Recommendations </w:t>
      </w:r>
      <w:r>
        <w:rPr>
          <w:rFonts w:ascii="Open Sans" w:hAnsi="Open Sans" w:cs="Open Sans"/>
          <w:color w:val="000000" w:themeColor="text1"/>
          <w:sz w:val="24"/>
          <w:szCs w:val="24"/>
        </w:rPr>
        <w:t>for future research and theoretical development</w:t>
      </w:r>
      <w:bookmarkEnd w:id="113"/>
    </w:p>
    <w:p w14:paraId="73139027" w14:textId="562600BD" w:rsidR="006C6133" w:rsidRDefault="001920EA" w:rsidP="001920EA">
      <w:pPr>
        <w:spacing w:line="276" w:lineRule="auto"/>
        <w:jc w:val="both"/>
        <w:rPr>
          <w:rFonts w:ascii="Open Sans" w:hAnsi="Open Sans" w:cs="Open Sans"/>
          <w:color w:val="000000" w:themeColor="text1"/>
          <w:sz w:val="22"/>
          <w:szCs w:val="22"/>
        </w:rPr>
      </w:pPr>
      <w:r w:rsidRPr="001920EA">
        <w:rPr>
          <w:rFonts w:ascii="Open Sans" w:hAnsi="Open Sans" w:cs="Open Sans"/>
          <w:color w:val="000000" w:themeColor="text1"/>
          <w:sz w:val="22"/>
          <w:szCs w:val="22"/>
        </w:rPr>
        <w:t>I want to conclude this thesis with recommendations for possible further research into different aspects that perhaps remained underexposed in this research. My first recommendation for future research is to expand upon the utilized methodology of this research. Instead of a single case design, future research can benefit from a comparative, or multi</w:t>
      </w:r>
      <w:r w:rsidR="00D11FB1">
        <w:rPr>
          <w:rFonts w:ascii="Open Sans" w:hAnsi="Open Sans" w:cs="Open Sans"/>
          <w:color w:val="000000" w:themeColor="text1"/>
          <w:sz w:val="22"/>
          <w:szCs w:val="22"/>
        </w:rPr>
        <w:t xml:space="preserve"> </w:t>
      </w:r>
      <w:r w:rsidRPr="001920EA">
        <w:rPr>
          <w:rFonts w:ascii="Open Sans" w:hAnsi="Open Sans" w:cs="Open Sans"/>
          <w:color w:val="000000" w:themeColor="text1"/>
          <w:sz w:val="22"/>
          <w:szCs w:val="22"/>
        </w:rPr>
        <w:t>case approach. This research design can offer a broader perspective, and potentially discover more generalizable findings.</w:t>
      </w:r>
      <w:r w:rsidR="006C6133">
        <w:rPr>
          <w:rFonts w:ascii="Open Sans" w:hAnsi="Open Sans" w:cs="Open Sans"/>
          <w:color w:val="000000" w:themeColor="text1"/>
          <w:sz w:val="22"/>
          <w:szCs w:val="22"/>
        </w:rPr>
        <w:t xml:space="preserve"> </w:t>
      </w:r>
      <w:r w:rsidRPr="001920EA">
        <w:rPr>
          <w:rFonts w:ascii="Open Sans" w:hAnsi="Open Sans" w:cs="Open Sans"/>
          <w:color w:val="000000" w:themeColor="text1"/>
          <w:sz w:val="22"/>
          <w:szCs w:val="22"/>
        </w:rPr>
        <w:t>A concrete suggestion I want to offer is to investigate the engagements of intergovernmental organizations with violent non-state actors in other past- and present conflicts, for instance in Afghanistan, Nigeria, Sudan, and Syria.</w:t>
      </w:r>
      <w:r w:rsidR="006F54BB">
        <w:rPr>
          <w:rFonts w:ascii="Open Sans" w:hAnsi="Open Sans" w:cs="Open Sans"/>
          <w:color w:val="000000" w:themeColor="text1"/>
          <w:sz w:val="22"/>
          <w:szCs w:val="22"/>
        </w:rPr>
        <w:t xml:space="preserve"> </w:t>
      </w:r>
    </w:p>
    <w:p w14:paraId="4D0765BF" w14:textId="77777777" w:rsidR="006C6133" w:rsidRDefault="006C6133" w:rsidP="001920EA">
      <w:pPr>
        <w:spacing w:line="276" w:lineRule="auto"/>
        <w:jc w:val="both"/>
        <w:rPr>
          <w:rFonts w:ascii="Open Sans" w:hAnsi="Open Sans" w:cs="Open Sans"/>
          <w:color w:val="000000" w:themeColor="text1"/>
          <w:sz w:val="22"/>
          <w:szCs w:val="22"/>
        </w:rPr>
      </w:pPr>
    </w:p>
    <w:p w14:paraId="2089E408" w14:textId="40AC5483" w:rsidR="009E1802" w:rsidRPr="001920EA" w:rsidRDefault="00196C17" w:rsidP="001920EA">
      <w:pPr>
        <w:spacing w:line="276" w:lineRule="auto"/>
        <w:jc w:val="both"/>
        <w:rPr>
          <w:rFonts w:ascii="Open Sans" w:hAnsi="Open Sans" w:cs="Open Sans"/>
          <w:color w:val="000000" w:themeColor="text1"/>
          <w:sz w:val="22"/>
          <w:szCs w:val="22"/>
        </w:rPr>
      </w:pPr>
      <w:r>
        <w:rPr>
          <w:rFonts w:ascii="Open Sans" w:hAnsi="Open Sans" w:cs="Open Sans"/>
          <w:color w:val="000000" w:themeColor="text1"/>
          <w:sz w:val="22"/>
          <w:szCs w:val="22"/>
        </w:rPr>
        <w:t>Additionally</w:t>
      </w:r>
      <w:r w:rsidR="001920EA" w:rsidRPr="001920EA">
        <w:rPr>
          <w:rFonts w:ascii="Open Sans" w:hAnsi="Open Sans" w:cs="Open Sans"/>
          <w:color w:val="000000" w:themeColor="text1"/>
          <w:sz w:val="22"/>
          <w:szCs w:val="22"/>
        </w:rPr>
        <w:t xml:space="preserve">, I would suggest further research into the concept of intergovernmental depoliticization. It seems relevant to explore intergovernmental depoliticization in more detail. This entails looking at the methods, processes, and results of depoliticization initiatives as well as how they affect engagements with violent non-state actors. This would create a more nuanced and complex understanding of how depoliticization can be used by intergovernmental organizations to engage better with violent non-state actors. </w:t>
      </w:r>
      <w:r w:rsidR="009E1802">
        <w:rPr>
          <w:rFonts w:ascii="Open Sans" w:hAnsi="Open Sans" w:cs="Open Sans"/>
          <w:color w:val="000000" w:themeColor="text1"/>
          <w:sz w:val="22"/>
          <w:szCs w:val="22"/>
        </w:rPr>
        <w:t xml:space="preserve">The items of depoliticization that were utilized in this study can be </w:t>
      </w:r>
      <w:r w:rsidR="000E04BF">
        <w:rPr>
          <w:rFonts w:ascii="Open Sans" w:hAnsi="Open Sans" w:cs="Open Sans"/>
          <w:color w:val="000000" w:themeColor="text1"/>
          <w:sz w:val="22"/>
          <w:szCs w:val="22"/>
        </w:rPr>
        <w:t xml:space="preserve">expanded to include </w:t>
      </w:r>
      <w:r w:rsidR="002D207C">
        <w:rPr>
          <w:rFonts w:ascii="Open Sans" w:hAnsi="Open Sans" w:cs="Open Sans"/>
          <w:color w:val="000000" w:themeColor="text1"/>
          <w:sz w:val="22"/>
          <w:szCs w:val="22"/>
        </w:rPr>
        <w:t>the dimension of the willingness to cooperate and the personal leadership and norm-setting capabilities of the Special Envoy</w:t>
      </w:r>
      <w:r w:rsidR="006B1236">
        <w:rPr>
          <w:rFonts w:ascii="Open Sans" w:hAnsi="Open Sans" w:cs="Open Sans"/>
          <w:color w:val="000000" w:themeColor="text1"/>
          <w:sz w:val="22"/>
          <w:szCs w:val="22"/>
        </w:rPr>
        <w:t xml:space="preserve">. These two dimensions, originating in the theory-developing aspect of this thesis, proved to shape the engagements of the OSESGY with the Houthi movement significantly. Therefore, future research could prove additional insights in how intergovernmental autonomy is constituted, and what role </w:t>
      </w:r>
      <w:r w:rsidR="00855FD0">
        <w:rPr>
          <w:rFonts w:ascii="Open Sans" w:hAnsi="Open Sans" w:cs="Open Sans"/>
          <w:color w:val="000000" w:themeColor="text1"/>
          <w:sz w:val="22"/>
          <w:szCs w:val="22"/>
        </w:rPr>
        <w:t>depoliticization</w:t>
      </w:r>
      <w:r w:rsidR="006B1236">
        <w:rPr>
          <w:rFonts w:ascii="Open Sans" w:hAnsi="Open Sans" w:cs="Open Sans"/>
          <w:color w:val="000000" w:themeColor="text1"/>
          <w:sz w:val="22"/>
          <w:szCs w:val="22"/>
        </w:rPr>
        <w:t xml:space="preserve"> can play in </w:t>
      </w:r>
      <w:r w:rsidR="000030A9">
        <w:rPr>
          <w:rFonts w:ascii="Open Sans" w:hAnsi="Open Sans" w:cs="Open Sans"/>
          <w:color w:val="000000" w:themeColor="text1"/>
          <w:sz w:val="22"/>
          <w:szCs w:val="22"/>
        </w:rPr>
        <w:t>future engagements between intergovernmental organizations and violent non-state actors.</w:t>
      </w:r>
    </w:p>
    <w:p w14:paraId="784EF62C" w14:textId="26DFA8D2" w:rsidR="001920EA" w:rsidRDefault="00D56F23" w:rsidP="001920EA">
      <w:pPr>
        <w:pStyle w:val="Heading2"/>
      </w:pPr>
      <w:r w:rsidRPr="00742342">
        <w:br w:type="page"/>
      </w:r>
    </w:p>
    <w:p w14:paraId="0A347A6C" w14:textId="77777777" w:rsidR="001920EA" w:rsidRPr="00742342" w:rsidRDefault="001920EA">
      <w:pPr>
        <w:rPr>
          <w:rFonts w:ascii="Open Sans" w:hAnsi="Open Sans" w:cs="Open Sans"/>
          <w:color w:val="000000" w:themeColor="text1"/>
          <w:sz w:val="22"/>
          <w:szCs w:val="22"/>
        </w:rPr>
      </w:pPr>
    </w:p>
    <w:p w14:paraId="540AA281" w14:textId="08AA5F5E" w:rsidR="0092299C" w:rsidRPr="00742342" w:rsidRDefault="00D56F23" w:rsidP="002857AC">
      <w:pPr>
        <w:pStyle w:val="Heading1"/>
        <w:jc w:val="center"/>
        <w:rPr>
          <w:rFonts w:ascii="Open Sans" w:hAnsi="Open Sans" w:cs="Open Sans"/>
          <w:color w:val="000000" w:themeColor="text1"/>
          <w:sz w:val="28"/>
          <w:szCs w:val="28"/>
        </w:rPr>
      </w:pPr>
      <w:bookmarkStart w:id="114" w:name="_Toc138247525"/>
      <w:r w:rsidRPr="00742342">
        <w:rPr>
          <w:rFonts w:ascii="Open Sans" w:hAnsi="Open Sans" w:cs="Open Sans"/>
          <w:color w:val="000000" w:themeColor="text1"/>
          <w:sz w:val="28"/>
          <w:szCs w:val="28"/>
        </w:rPr>
        <w:t>References</w:t>
      </w:r>
      <w:bookmarkEnd w:id="114"/>
    </w:p>
    <w:p w14:paraId="70860742" w14:textId="77777777" w:rsidR="00815AEC" w:rsidRPr="00742342" w:rsidRDefault="00815AEC" w:rsidP="00815AEC">
      <w:pPr>
        <w:rPr>
          <w:rFonts w:ascii="Open Sans" w:hAnsi="Open Sans" w:cs="Open Sans"/>
        </w:rPr>
      </w:pPr>
    </w:p>
    <w:p w14:paraId="788DA282" w14:textId="77777777" w:rsidR="00815AEC" w:rsidRPr="00634B05" w:rsidRDefault="00815AEC" w:rsidP="00815AEC">
      <w:pPr>
        <w:spacing w:line="360" w:lineRule="auto"/>
        <w:ind w:left="720" w:hanging="720"/>
        <w:rPr>
          <w:rFonts w:ascii="Open Sans" w:eastAsia="Calibri" w:hAnsi="Open Sans" w:cs="Open Sans"/>
          <w:kern w:val="0"/>
          <w:sz w:val="22"/>
          <w:szCs w:val="22"/>
          <w:lang w:val="nl-NL" w:eastAsia="en-GB"/>
          <w14:ligatures w14:val="none"/>
        </w:rPr>
      </w:pPr>
      <w:r w:rsidRPr="00742342">
        <w:rPr>
          <w:rFonts w:ascii="Open Sans" w:eastAsia="Calibri" w:hAnsi="Open Sans" w:cs="Open Sans"/>
          <w:kern w:val="0"/>
          <w:sz w:val="22"/>
          <w:szCs w:val="22"/>
          <w:lang w:eastAsia="en-GB"/>
          <w14:ligatures w14:val="none"/>
        </w:rPr>
        <w:t xml:space="preserve">Al Jazeera. (2022, March 26). Saudi Aramco’s Jeddah oil depot hit by Houthi attack. </w:t>
      </w:r>
      <w:r w:rsidRPr="00634B05">
        <w:rPr>
          <w:rFonts w:ascii="Open Sans" w:eastAsia="Calibri" w:hAnsi="Open Sans" w:cs="Open Sans"/>
          <w:i/>
          <w:iCs/>
          <w:kern w:val="0"/>
          <w:sz w:val="22"/>
          <w:szCs w:val="22"/>
          <w:lang w:val="nl-NL" w:eastAsia="en-GB"/>
          <w14:ligatures w14:val="none"/>
        </w:rPr>
        <w:t xml:space="preserve">News | Al </w:t>
      </w:r>
      <w:proofErr w:type="spellStart"/>
      <w:r w:rsidRPr="00634B05">
        <w:rPr>
          <w:rFonts w:ascii="Open Sans" w:eastAsia="Calibri" w:hAnsi="Open Sans" w:cs="Open Sans"/>
          <w:i/>
          <w:iCs/>
          <w:kern w:val="0"/>
          <w:sz w:val="22"/>
          <w:szCs w:val="22"/>
          <w:lang w:val="nl-NL" w:eastAsia="en-GB"/>
          <w14:ligatures w14:val="none"/>
        </w:rPr>
        <w:t>Jazeera</w:t>
      </w:r>
      <w:proofErr w:type="spellEnd"/>
      <w:r w:rsidRPr="00634B05">
        <w:rPr>
          <w:rFonts w:ascii="Open Sans" w:eastAsia="Calibri" w:hAnsi="Open Sans" w:cs="Open Sans"/>
          <w:kern w:val="0"/>
          <w:sz w:val="22"/>
          <w:szCs w:val="22"/>
          <w:lang w:val="nl-NL" w:eastAsia="en-GB"/>
          <w14:ligatures w14:val="none"/>
        </w:rPr>
        <w:t>. https://www.aljazeera.com/news/2022/3/25/saudi-aramco-jeddah-storage-facility-hit-by-attack</w:t>
      </w:r>
    </w:p>
    <w:p w14:paraId="6CA03AF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Al-Dawsari, N. (2012). Tribal Governance and Stability in Yemen. </w:t>
      </w:r>
      <w:r w:rsidRPr="00742342">
        <w:rPr>
          <w:rFonts w:ascii="Open Sans" w:eastAsia="Calibri" w:hAnsi="Open Sans" w:cs="Open Sans"/>
          <w:i/>
          <w:iCs/>
          <w:kern w:val="0"/>
          <w:sz w:val="22"/>
          <w:szCs w:val="22"/>
          <w:lang w:eastAsia="en-GB"/>
          <w14:ligatures w14:val="none"/>
        </w:rPr>
        <w:t>Carnegie Endowment for International Peace</w:t>
      </w:r>
      <w:r w:rsidRPr="00742342">
        <w:rPr>
          <w:rFonts w:ascii="Open Sans" w:eastAsia="Calibri" w:hAnsi="Open Sans" w:cs="Open Sans"/>
          <w:kern w:val="0"/>
          <w:sz w:val="22"/>
          <w:szCs w:val="22"/>
          <w:lang w:eastAsia="en-GB"/>
          <w14:ligatures w14:val="none"/>
        </w:rPr>
        <w:t>. https://carnegieendowment.org/files/yemen_tribal_governance.pdf</w:t>
      </w:r>
    </w:p>
    <w:p w14:paraId="5A037C6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Alterman, J. B. &amp; Center for Strategic &amp; International Studies. (2022, November 15). </w:t>
      </w:r>
      <w:r w:rsidRPr="00742342">
        <w:rPr>
          <w:rFonts w:ascii="Open Sans" w:eastAsia="Calibri" w:hAnsi="Open Sans" w:cs="Open Sans"/>
          <w:i/>
          <w:iCs/>
          <w:kern w:val="0"/>
          <w:sz w:val="22"/>
          <w:szCs w:val="22"/>
          <w:lang w:eastAsia="en-GB"/>
          <w14:ligatures w14:val="none"/>
        </w:rPr>
        <w:t>Yemen in Conflict</w:t>
      </w:r>
      <w:r w:rsidRPr="00742342">
        <w:rPr>
          <w:rFonts w:ascii="Open Sans" w:eastAsia="Calibri" w:hAnsi="Open Sans" w:cs="Open Sans"/>
          <w:kern w:val="0"/>
          <w:sz w:val="22"/>
          <w:szCs w:val="22"/>
          <w:lang w:eastAsia="en-GB"/>
          <w14:ligatures w14:val="none"/>
        </w:rPr>
        <w:t>. Center for Strategic &amp; International Studies. https://www.csis.org/analysis/yemen-conflict</w:t>
      </w:r>
    </w:p>
    <w:p w14:paraId="52C992A7"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Andrade, C. (2021). A Student’s Guide to the Classification and Operationalization of Variables in the Conceptualization and Design of a Clinical Study: Part 1. </w:t>
      </w:r>
      <w:r w:rsidRPr="00742342">
        <w:rPr>
          <w:rFonts w:ascii="Open Sans" w:eastAsia="Calibri" w:hAnsi="Open Sans" w:cs="Open Sans"/>
          <w:i/>
          <w:iCs/>
          <w:kern w:val="0"/>
          <w:sz w:val="22"/>
          <w:szCs w:val="22"/>
          <w:lang w:eastAsia="en-GB"/>
          <w14:ligatures w14:val="none"/>
        </w:rPr>
        <w:t>Indian Journal of Psychological Medicine</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43</w:t>
      </w:r>
      <w:r w:rsidRPr="00742342">
        <w:rPr>
          <w:rFonts w:ascii="Open Sans" w:eastAsia="Calibri" w:hAnsi="Open Sans" w:cs="Open Sans"/>
          <w:kern w:val="0"/>
          <w:sz w:val="22"/>
          <w:szCs w:val="22"/>
          <w:lang w:eastAsia="en-GB"/>
          <w14:ligatures w14:val="none"/>
        </w:rPr>
        <w:t>(2), 177–179. https://doi.org/10.1177/0253717621994334</w:t>
      </w:r>
    </w:p>
    <w:p w14:paraId="1A0BF2D4"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Armed Conflict Location &amp; Event Data Project. (2022, October 14). </w:t>
      </w:r>
      <w:r w:rsidRPr="00742342">
        <w:rPr>
          <w:rFonts w:ascii="Open Sans" w:eastAsia="Calibri" w:hAnsi="Open Sans" w:cs="Open Sans"/>
          <w:i/>
          <w:iCs/>
          <w:kern w:val="0"/>
          <w:sz w:val="22"/>
          <w:szCs w:val="22"/>
          <w:lang w:eastAsia="en-GB"/>
          <w14:ligatures w14:val="none"/>
        </w:rPr>
        <w:t>Violence in Yemen During the UN-Mediated Truce: April-October 2022 - Yemen</w:t>
      </w:r>
      <w:r w:rsidRPr="00742342">
        <w:rPr>
          <w:rFonts w:ascii="Open Sans" w:eastAsia="Calibri" w:hAnsi="Open Sans" w:cs="Open Sans"/>
          <w:kern w:val="0"/>
          <w:sz w:val="22"/>
          <w:szCs w:val="22"/>
          <w:lang w:eastAsia="en-GB"/>
          <w14:ligatures w14:val="none"/>
        </w:rPr>
        <w:t xml:space="preserve">. </w:t>
      </w:r>
      <w:proofErr w:type="spellStart"/>
      <w:r w:rsidRPr="00742342">
        <w:rPr>
          <w:rFonts w:ascii="Open Sans" w:eastAsia="Calibri" w:hAnsi="Open Sans" w:cs="Open Sans"/>
          <w:kern w:val="0"/>
          <w:sz w:val="22"/>
          <w:szCs w:val="22"/>
          <w:lang w:eastAsia="en-GB"/>
          <w14:ligatures w14:val="none"/>
        </w:rPr>
        <w:t>ReliefWeb</w:t>
      </w:r>
      <w:proofErr w:type="spellEnd"/>
      <w:r w:rsidRPr="00742342">
        <w:rPr>
          <w:rFonts w:ascii="Open Sans" w:eastAsia="Calibri" w:hAnsi="Open Sans" w:cs="Open Sans"/>
          <w:kern w:val="0"/>
          <w:sz w:val="22"/>
          <w:szCs w:val="22"/>
          <w:lang w:eastAsia="en-GB"/>
          <w14:ligatures w14:val="none"/>
        </w:rPr>
        <w:t>. https://reliefweb.int/report/yemen/violence-yemen-during-un-mediated-truce-april-october-2022</w:t>
      </w:r>
    </w:p>
    <w:p w14:paraId="576F608B"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Ataman, M. (2003). The Impact of Non-State Actors on World Politics: A Challenge to Nation-States. </w:t>
      </w:r>
      <w:r w:rsidRPr="00742342">
        <w:rPr>
          <w:rFonts w:ascii="Open Sans" w:eastAsia="Calibri" w:hAnsi="Open Sans" w:cs="Open Sans"/>
          <w:i/>
          <w:iCs/>
          <w:kern w:val="0"/>
          <w:sz w:val="22"/>
          <w:szCs w:val="22"/>
          <w:lang w:eastAsia="en-GB"/>
          <w14:ligatures w14:val="none"/>
        </w:rPr>
        <w:t xml:space="preserve">Istanbul University - </w:t>
      </w:r>
      <w:proofErr w:type="spellStart"/>
      <w:r w:rsidRPr="00742342">
        <w:rPr>
          <w:rFonts w:ascii="Open Sans" w:eastAsia="Calibri" w:hAnsi="Open Sans" w:cs="Open Sans"/>
          <w:i/>
          <w:iCs/>
          <w:kern w:val="0"/>
          <w:sz w:val="22"/>
          <w:szCs w:val="22"/>
          <w:lang w:eastAsia="en-GB"/>
          <w14:ligatures w14:val="none"/>
        </w:rPr>
        <w:t>DergiPark</w:t>
      </w:r>
      <w:proofErr w:type="spellEnd"/>
      <w:r w:rsidRPr="00742342">
        <w:rPr>
          <w:rFonts w:ascii="Open Sans" w:eastAsia="Calibri" w:hAnsi="Open Sans" w:cs="Open Sans"/>
          <w:kern w:val="0"/>
          <w:sz w:val="22"/>
          <w:szCs w:val="22"/>
          <w:lang w:eastAsia="en-GB"/>
          <w14:ligatures w14:val="none"/>
        </w:rPr>
        <w:t>. https://dergipark.org.tr/tr/download/article-file/19401</w:t>
      </w:r>
    </w:p>
    <w:p w14:paraId="66D790CE"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Autesserre, S. (2014). </w:t>
      </w:r>
      <w:proofErr w:type="spellStart"/>
      <w:r w:rsidRPr="00742342">
        <w:rPr>
          <w:rFonts w:ascii="Open Sans" w:eastAsia="Calibri" w:hAnsi="Open Sans" w:cs="Open Sans"/>
          <w:i/>
          <w:iCs/>
          <w:kern w:val="0"/>
          <w:sz w:val="22"/>
          <w:szCs w:val="22"/>
          <w:lang w:eastAsia="en-GB"/>
          <w14:ligatures w14:val="none"/>
        </w:rPr>
        <w:t>Peaceland</w:t>
      </w:r>
      <w:proofErr w:type="spellEnd"/>
      <w:r w:rsidRPr="00742342">
        <w:rPr>
          <w:rFonts w:ascii="Open Sans" w:eastAsia="Calibri" w:hAnsi="Open Sans" w:cs="Open Sans"/>
          <w:i/>
          <w:iCs/>
          <w:kern w:val="0"/>
          <w:sz w:val="22"/>
          <w:szCs w:val="22"/>
          <w:lang w:eastAsia="en-GB"/>
          <w14:ligatures w14:val="none"/>
        </w:rPr>
        <w:t>: Conflict Resolution and the Everyday Politics of International Intervention</w:t>
      </w:r>
      <w:r w:rsidRPr="00742342">
        <w:rPr>
          <w:rFonts w:ascii="Open Sans" w:eastAsia="Calibri" w:hAnsi="Open Sans" w:cs="Open Sans"/>
          <w:kern w:val="0"/>
          <w:sz w:val="22"/>
          <w:szCs w:val="22"/>
          <w:lang w:eastAsia="en-GB"/>
          <w14:ligatures w14:val="none"/>
        </w:rPr>
        <w:t>. Cambridge University Press.</w:t>
      </w:r>
    </w:p>
    <w:p w14:paraId="76DB26A5"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Aydinli, E. (2016). </w:t>
      </w:r>
      <w:r w:rsidRPr="00742342">
        <w:rPr>
          <w:rFonts w:ascii="Open Sans" w:eastAsia="Calibri" w:hAnsi="Open Sans" w:cs="Open Sans"/>
          <w:i/>
          <w:iCs/>
          <w:kern w:val="0"/>
          <w:sz w:val="22"/>
          <w:szCs w:val="22"/>
          <w:lang w:eastAsia="en-GB"/>
          <w14:ligatures w14:val="none"/>
        </w:rPr>
        <w:t>Violent Non-State Actors: From Anarchists to Jihadists</w:t>
      </w:r>
      <w:r w:rsidRPr="00742342">
        <w:rPr>
          <w:rFonts w:ascii="Open Sans" w:eastAsia="Calibri" w:hAnsi="Open Sans" w:cs="Open Sans"/>
          <w:kern w:val="0"/>
          <w:sz w:val="22"/>
          <w:szCs w:val="22"/>
          <w:lang w:eastAsia="en-GB"/>
          <w14:ligatures w14:val="none"/>
        </w:rPr>
        <w:t>. Taylor &amp; Francis.</w:t>
      </w:r>
    </w:p>
    <w:p w14:paraId="506672C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Azevedo, G. M. D. C., Jonas, D. S. O., Marques, R. P. F., &amp; Da </w:t>
      </w:r>
      <w:proofErr w:type="spellStart"/>
      <w:r w:rsidRPr="00742342">
        <w:rPr>
          <w:rFonts w:ascii="Open Sans" w:eastAsia="Calibri" w:hAnsi="Open Sans" w:cs="Open Sans"/>
          <w:kern w:val="0"/>
          <w:sz w:val="22"/>
          <w:szCs w:val="22"/>
          <w:lang w:eastAsia="en-GB"/>
          <w14:ligatures w14:val="none"/>
        </w:rPr>
        <w:t>Conceição</w:t>
      </w:r>
      <w:proofErr w:type="spellEnd"/>
      <w:r w:rsidRPr="00742342">
        <w:rPr>
          <w:rFonts w:ascii="Open Sans" w:eastAsia="Calibri" w:hAnsi="Open Sans" w:cs="Open Sans"/>
          <w:kern w:val="0"/>
          <w:sz w:val="22"/>
          <w:szCs w:val="22"/>
          <w:lang w:eastAsia="en-GB"/>
          <w14:ligatures w14:val="none"/>
        </w:rPr>
        <w:t xml:space="preserve"> Santos Ferreira, A. (2018). </w:t>
      </w:r>
      <w:r w:rsidRPr="00742342">
        <w:rPr>
          <w:rFonts w:ascii="Open Sans" w:eastAsia="Calibri" w:hAnsi="Open Sans" w:cs="Open Sans"/>
          <w:i/>
          <w:iCs/>
          <w:kern w:val="0"/>
          <w:sz w:val="22"/>
          <w:szCs w:val="22"/>
          <w:lang w:eastAsia="en-GB"/>
          <w14:ligatures w14:val="none"/>
        </w:rPr>
        <w:t>Handbook of Research on Modernization and Accountability in Public Sector Management</w:t>
      </w:r>
      <w:r w:rsidRPr="00742342">
        <w:rPr>
          <w:rFonts w:ascii="Open Sans" w:eastAsia="Calibri" w:hAnsi="Open Sans" w:cs="Open Sans"/>
          <w:kern w:val="0"/>
          <w:sz w:val="22"/>
          <w:szCs w:val="22"/>
          <w:lang w:eastAsia="en-GB"/>
          <w14:ligatures w14:val="none"/>
        </w:rPr>
        <w:t>. IGI Global.</w:t>
      </w:r>
    </w:p>
    <w:p w14:paraId="054E8A2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Bardach, E., &amp; Patashnik, E. M. (2019). </w:t>
      </w:r>
      <w:r w:rsidRPr="00742342">
        <w:rPr>
          <w:rFonts w:ascii="Open Sans" w:eastAsia="Calibri" w:hAnsi="Open Sans" w:cs="Open Sans"/>
          <w:i/>
          <w:iCs/>
          <w:kern w:val="0"/>
          <w:sz w:val="22"/>
          <w:szCs w:val="22"/>
          <w:lang w:eastAsia="en-GB"/>
          <w14:ligatures w14:val="none"/>
        </w:rPr>
        <w:t>A Practical Guide for Policy Analysis: The Eightfold Path to More Effective Problem Solving</w:t>
      </w:r>
      <w:r w:rsidRPr="00742342">
        <w:rPr>
          <w:rFonts w:ascii="Open Sans" w:eastAsia="Calibri" w:hAnsi="Open Sans" w:cs="Open Sans"/>
          <w:kern w:val="0"/>
          <w:sz w:val="22"/>
          <w:szCs w:val="22"/>
          <w:lang w:eastAsia="en-GB"/>
          <w14:ligatures w14:val="none"/>
        </w:rPr>
        <w:t>. CQ Press.</w:t>
      </w:r>
    </w:p>
    <w:p w14:paraId="31159FD4"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Barnett, M., &amp; </w:t>
      </w:r>
      <w:proofErr w:type="spellStart"/>
      <w:r w:rsidRPr="00742342">
        <w:rPr>
          <w:rFonts w:ascii="Open Sans" w:eastAsia="Calibri" w:hAnsi="Open Sans" w:cs="Open Sans"/>
          <w:kern w:val="0"/>
          <w:sz w:val="22"/>
          <w:szCs w:val="22"/>
          <w:lang w:eastAsia="en-GB"/>
          <w14:ligatures w14:val="none"/>
        </w:rPr>
        <w:t>Finnemore</w:t>
      </w:r>
      <w:proofErr w:type="spellEnd"/>
      <w:r w:rsidRPr="00742342">
        <w:rPr>
          <w:rFonts w:ascii="Open Sans" w:eastAsia="Calibri" w:hAnsi="Open Sans" w:cs="Open Sans"/>
          <w:kern w:val="0"/>
          <w:sz w:val="22"/>
          <w:szCs w:val="22"/>
          <w:lang w:eastAsia="en-GB"/>
          <w14:ligatures w14:val="none"/>
        </w:rPr>
        <w:t xml:space="preserve">, M. (1999). The Politics, Power, and Pathologies of International Organizations. </w:t>
      </w:r>
      <w:r w:rsidRPr="00742342">
        <w:rPr>
          <w:rFonts w:ascii="Open Sans" w:eastAsia="Calibri" w:hAnsi="Open Sans" w:cs="Open Sans"/>
          <w:i/>
          <w:iCs/>
          <w:kern w:val="0"/>
          <w:sz w:val="22"/>
          <w:szCs w:val="22"/>
          <w:lang w:eastAsia="en-GB"/>
          <w14:ligatures w14:val="none"/>
        </w:rPr>
        <w:t>International Organization</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53</w:t>
      </w:r>
      <w:r w:rsidRPr="00742342">
        <w:rPr>
          <w:rFonts w:ascii="Open Sans" w:eastAsia="Calibri" w:hAnsi="Open Sans" w:cs="Open Sans"/>
          <w:kern w:val="0"/>
          <w:sz w:val="22"/>
          <w:szCs w:val="22"/>
          <w:lang w:eastAsia="en-GB"/>
          <w14:ligatures w14:val="none"/>
        </w:rPr>
        <w:t>(4), 699–732. https://doi.org/10.1162/002081899551048</w:t>
      </w:r>
    </w:p>
    <w:p w14:paraId="25A15651" w14:textId="77777777" w:rsidR="00815AEC" w:rsidRPr="00634B05" w:rsidRDefault="00815AEC" w:rsidP="00815AEC">
      <w:pPr>
        <w:spacing w:line="360" w:lineRule="auto"/>
        <w:ind w:left="720" w:hanging="720"/>
        <w:rPr>
          <w:rFonts w:ascii="Open Sans" w:eastAsia="Calibri" w:hAnsi="Open Sans" w:cs="Open Sans"/>
          <w:kern w:val="0"/>
          <w:sz w:val="22"/>
          <w:szCs w:val="22"/>
          <w:lang w:val="nl-NL" w:eastAsia="en-GB"/>
          <w14:ligatures w14:val="none"/>
        </w:rPr>
      </w:pPr>
      <w:r w:rsidRPr="00742342">
        <w:rPr>
          <w:rFonts w:ascii="Open Sans" w:eastAsia="Calibri" w:hAnsi="Open Sans" w:cs="Open Sans"/>
          <w:kern w:val="0"/>
          <w:sz w:val="22"/>
          <w:szCs w:val="22"/>
          <w:lang w:eastAsia="en-GB"/>
          <w14:ligatures w14:val="none"/>
        </w:rPr>
        <w:t xml:space="preserve">Batati, S. A. (2015, March 29). Who are the Houthis in Yemen? </w:t>
      </w:r>
      <w:r w:rsidRPr="00634B05">
        <w:rPr>
          <w:rFonts w:ascii="Open Sans" w:eastAsia="Calibri" w:hAnsi="Open Sans" w:cs="Open Sans"/>
          <w:i/>
          <w:iCs/>
          <w:kern w:val="0"/>
          <w:sz w:val="22"/>
          <w:szCs w:val="22"/>
          <w:lang w:val="nl-NL" w:eastAsia="en-GB"/>
          <w14:ligatures w14:val="none"/>
        </w:rPr>
        <w:t xml:space="preserve">News | Al </w:t>
      </w:r>
      <w:proofErr w:type="spellStart"/>
      <w:r w:rsidRPr="00634B05">
        <w:rPr>
          <w:rFonts w:ascii="Open Sans" w:eastAsia="Calibri" w:hAnsi="Open Sans" w:cs="Open Sans"/>
          <w:i/>
          <w:iCs/>
          <w:kern w:val="0"/>
          <w:sz w:val="22"/>
          <w:szCs w:val="22"/>
          <w:lang w:val="nl-NL" w:eastAsia="en-GB"/>
          <w14:ligatures w14:val="none"/>
        </w:rPr>
        <w:t>Jazeera</w:t>
      </w:r>
      <w:proofErr w:type="spellEnd"/>
      <w:r w:rsidRPr="00634B05">
        <w:rPr>
          <w:rFonts w:ascii="Open Sans" w:eastAsia="Calibri" w:hAnsi="Open Sans" w:cs="Open Sans"/>
          <w:kern w:val="0"/>
          <w:sz w:val="22"/>
          <w:szCs w:val="22"/>
          <w:lang w:val="nl-NL" w:eastAsia="en-GB"/>
          <w14:ligatures w14:val="none"/>
        </w:rPr>
        <w:t>. http://www.aljazeera.com/news/middleeast/2014/08/yemen-houthis-hadi-protests-201482132719818986.html</w:t>
      </w:r>
    </w:p>
    <w:p w14:paraId="39793426"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Baumann, M., &amp; Weinlich, S. (2020). </w:t>
      </w:r>
      <w:r w:rsidRPr="00742342">
        <w:rPr>
          <w:rFonts w:ascii="Open Sans" w:eastAsia="Calibri" w:hAnsi="Open Sans" w:cs="Open Sans"/>
          <w:i/>
          <w:iCs/>
          <w:kern w:val="0"/>
          <w:sz w:val="22"/>
          <w:szCs w:val="22"/>
          <w:lang w:eastAsia="en-GB"/>
          <w14:ligatures w14:val="none"/>
        </w:rPr>
        <w:t>Routledge Handbook on the UN and Development</w:t>
      </w:r>
      <w:r w:rsidRPr="00742342">
        <w:rPr>
          <w:rFonts w:ascii="Open Sans" w:eastAsia="Calibri" w:hAnsi="Open Sans" w:cs="Open Sans"/>
          <w:kern w:val="0"/>
          <w:sz w:val="22"/>
          <w:szCs w:val="22"/>
          <w:lang w:eastAsia="en-GB"/>
          <w14:ligatures w14:val="none"/>
        </w:rPr>
        <w:t xml:space="preserve"> (1st ed.). Taylor &amp; Francis Group.</w:t>
      </w:r>
    </w:p>
    <w:p w14:paraId="79D25DA8"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Beach, D., &amp; Pedersen, R. U. (2013). Process-tracing methods: foundations and guidelines. </w:t>
      </w:r>
      <w:r w:rsidRPr="00742342">
        <w:rPr>
          <w:rFonts w:ascii="Open Sans" w:eastAsia="Calibri" w:hAnsi="Open Sans" w:cs="Open Sans"/>
          <w:i/>
          <w:iCs/>
          <w:kern w:val="0"/>
          <w:sz w:val="22"/>
          <w:szCs w:val="22"/>
          <w:lang w:eastAsia="en-GB"/>
          <w14:ligatures w14:val="none"/>
        </w:rPr>
        <w:t>Choice Reviews Online</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51</w:t>
      </w:r>
      <w:r w:rsidRPr="00742342">
        <w:rPr>
          <w:rFonts w:ascii="Open Sans" w:eastAsia="Calibri" w:hAnsi="Open Sans" w:cs="Open Sans"/>
          <w:kern w:val="0"/>
          <w:sz w:val="22"/>
          <w:szCs w:val="22"/>
          <w:lang w:eastAsia="en-GB"/>
          <w14:ligatures w14:val="none"/>
        </w:rPr>
        <w:t>(03), 51–1711. https://doi.org/10.5860/choice.51-1711</w:t>
      </w:r>
    </w:p>
    <w:p w14:paraId="165FFDA8"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Bennett, A. F. (2010). Process Tracing and Causal Inference. </w:t>
      </w:r>
      <w:r w:rsidRPr="00742342">
        <w:rPr>
          <w:rFonts w:ascii="Open Sans" w:eastAsia="Calibri" w:hAnsi="Open Sans" w:cs="Open Sans"/>
          <w:i/>
          <w:iCs/>
          <w:kern w:val="0"/>
          <w:sz w:val="22"/>
          <w:szCs w:val="22"/>
          <w:lang w:eastAsia="en-GB"/>
          <w14:ligatures w14:val="none"/>
        </w:rPr>
        <w:t>Rethinking Social Inquiry</w:t>
      </w:r>
      <w:r w:rsidRPr="00742342">
        <w:rPr>
          <w:rFonts w:ascii="Open Sans" w:eastAsia="Calibri" w:hAnsi="Open Sans" w:cs="Open Sans"/>
          <w:kern w:val="0"/>
          <w:sz w:val="22"/>
          <w:szCs w:val="22"/>
          <w:lang w:eastAsia="en-GB"/>
          <w14:ligatures w14:val="none"/>
        </w:rPr>
        <w:t>.</w:t>
      </w:r>
    </w:p>
    <w:p w14:paraId="7B92C0D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Bennett, A. F., &amp; Checkel, J. T. (2012). Process Tracing: From Philosophical Roots to Best Practices (SWP 21). </w:t>
      </w:r>
      <w:r w:rsidRPr="00742342">
        <w:rPr>
          <w:rFonts w:ascii="Open Sans" w:eastAsia="Calibri" w:hAnsi="Open Sans" w:cs="Open Sans"/>
          <w:i/>
          <w:iCs/>
          <w:kern w:val="0"/>
          <w:sz w:val="22"/>
          <w:szCs w:val="22"/>
          <w:lang w:eastAsia="en-GB"/>
          <w14:ligatures w14:val="none"/>
        </w:rPr>
        <w:t>Simons Papers in Security and Development</w:t>
      </w:r>
      <w:r w:rsidRPr="00742342">
        <w:rPr>
          <w:rFonts w:ascii="Open Sans" w:eastAsia="Calibri" w:hAnsi="Open Sans" w:cs="Open Sans"/>
          <w:kern w:val="0"/>
          <w:sz w:val="22"/>
          <w:szCs w:val="22"/>
          <w:lang w:eastAsia="en-GB"/>
          <w14:ligatures w14:val="none"/>
        </w:rPr>
        <w:t>.</w:t>
      </w:r>
    </w:p>
    <w:p w14:paraId="47FBE0E6"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Bleijenbergh, I. L. (2013). </w:t>
      </w:r>
      <w:proofErr w:type="spellStart"/>
      <w:r w:rsidRPr="00742342">
        <w:rPr>
          <w:rFonts w:ascii="Open Sans" w:eastAsia="Calibri" w:hAnsi="Open Sans" w:cs="Open Sans"/>
          <w:i/>
          <w:iCs/>
          <w:kern w:val="0"/>
          <w:sz w:val="22"/>
          <w:szCs w:val="22"/>
          <w:lang w:eastAsia="en-GB"/>
          <w14:ligatures w14:val="none"/>
        </w:rPr>
        <w:t>Kwalitatief</w:t>
      </w:r>
      <w:proofErr w:type="spellEnd"/>
      <w:r w:rsidRPr="00742342">
        <w:rPr>
          <w:rFonts w:ascii="Open Sans" w:eastAsia="Calibri" w:hAnsi="Open Sans" w:cs="Open Sans"/>
          <w:i/>
          <w:iCs/>
          <w:kern w:val="0"/>
          <w:sz w:val="22"/>
          <w:szCs w:val="22"/>
          <w:lang w:eastAsia="en-GB"/>
          <w14:ligatures w14:val="none"/>
        </w:rPr>
        <w:t xml:space="preserve"> </w:t>
      </w:r>
      <w:proofErr w:type="spellStart"/>
      <w:r w:rsidRPr="00742342">
        <w:rPr>
          <w:rFonts w:ascii="Open Sans" w:eastAsia="Calibri" w:hAnsi="Open Sans" w:cs="Open Sans"/>
          <w:i/>
          <w:iCs/>
          <w:kern w:val="0"/>
          <w:sz w:val="22"/>
          <w:szCs w:val="22"/>
          <w:lang w:eastAsia="en-GB"/>
          <w14:ligatures w14:val="none"/>
        </w:rPr>
        <w:t>onderzoek</w:t>
      </w:r>
      <w:proofErr w:type="spellEnd"/>
      <w:r w:rsidRPr="00742342">
        <w:rPr>
          <w:rFonts w:ascii="Open Sans" w:eastAsia="Calibri" w:hAnsi="Open Sans" w:cs="Open Sans"/>
          <w:i/>
          <w:iCs/>
          <w:kern w:val="0"/>
          <w:sz w:val="22"/>
          <w:szCs w:val="22"/>
          <w:lang w:eastAsia="en-GB"/>
          <w14:ligatures w14:val="none"/>
        </w:rPr>
        <w:t xml:space="preserve"> in </w:t>
      </w:r>
      <w:proofErr w:type="spellStart"/>
      <w:r w:rsidRPr="00742342">
        <w:rPr>
          <w:rFonts w:ascii="Open Sans" w:eastAsia="Calibri" w:hAnsi="Open Sans" w:cs="Open Sans"/>
          <w:i/>
          <w:iCs/>
          <w:kern w:val="0"/>
          <w:sz w:val="22"/>
          <w:szCs w:val="22"/>
          <w:lang w:eastAsia="en-GB"/>
          <w14:ligatures w14:val="none"/>
        </w:rPr>
        <w:t>organisaties</w:t>
      </w:r>
      <w:proofErr w:type="spellEnd"/>
      <w:r w:rsidRPr="00742342">
        <w:rPr>
          <w:rFonts w:ascii="Open Sans" w:eastAsia="Calibri" w:hAnsi="Open Sans" w:cs="Open Sans"/>
          <w:kern w:val="0"/>
          <w:sz w:val="22"/>
          <w:szCs w:val="22"/>
          <w:lang w:eastAsia="en-GB"/>
          <w14:ligatures w14:val="none"/>
        </w:rPr>
        <w:t>.</w:t>
      </w:r>
    </w:p>
    <w:p w14:paraId="24EFC2C7"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Bourke, B. (2014). Positionality: Reflecting on the Research Process. </w:t>
      </w:r>
      <w:r w:rsidRPr="00742342">
        <w:rPr>
          <w:rFonts w:ascii="Open Sans" w:eastAsia="Calibri" w:hAnsi="Open Sans" w:cs="Open Sans"/>
          <w:i/>
          <w:iCs/>
          <w:kern w:val="0"/>
          <w:sz w:val="22"/>
          <w:szCs w:val="22"/>
          <w:lang w:eastAsia="en-GB"/>
          <w14:ligatures w14:val="none"/>
        </w:rPr>
        <w:t>The Qualitative Report</w:t>
      </w:r>
      <w:r w:rsidRPr="00742342">
        <w:rPr>
          <w:rFonts w:ascii="Open Sans" w:eastAsia="Calibri" w:hAnsi="Open Sans" w:cs="Open Sans"/>
          <w:kern w:val="0"/>
          <w:sz w:val="22"/>
          <w:szCs w:val="22"/>
          <w:lang w:eastAsia="en-GB"/>
          <w14:ligatures w14:val="none"/>
        </w:rPr>
        <w:t>. https://doi.org/10.46743/2160-3715/2014.1026</w:t>
      </w:r>
    </w:p>
    <w:p w14:paraId="1D10235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Bovens</w:t>
      </w:r>
      <w:proofErr w:type="spellEnd"/>
      <w:r w:rsidRPr="00742342">
        <w:rPr>
          <w:rFonts w:ascii="Open Sans" w:eastAsia="Calibri" w:hAnsi="Open Sans" w:cs="Open Sans"/>
          <w:kern w:val="0"/>
          <w:sz w:val="22"/>
          <w:szCs w:val="22"/>
          <w:lang w:eastAsia="en-GB"/>
          <w14:ligatures w14:val="none"/>
        </w:rPr>
        <w:t xml:space="preserve">, M., </w:t>
      </w:r>
      <w:proofErr w:type="spellStart"/>
      <w:r w:rsidRPr="00742342">
        <w:rPr>
          <w:rFonts w:ascii="Open Sans" w:eastAsia="Calibri" w:hAnsi="Open Sans" w:cs="Open Sans"/>
          <w:kern w:val="0"/>
          <w:sz w:val="22"/>
          <w:szCs w:val="22"/>
          <w:lang w:eastAsia="en-GB"/>
          <w14:ligatures w14:val="none"/>
        </w:rPr>
        <w:t>Goodin</w:t>
      </w:r>
      <w:proofErr w:type="spellEnd"/>
      <w:r w:rsidRPr="00742342">
        <w:rPr>
          <w:rFonts w:ascii="Open Sans" w:eastAsia="Calibri" w:hAnsi="Open Sans" w:cs="Open Sans"/>
          <w:kern w:val="0"/>
          <w:sz w:val="22"/>
          <w:szCs w:val="22"/>
          <w:lang w:eastAsia="en-GB"/>
          <w14:ligatures w14:val="none"/>
        </w:rPr>
        <w:t xml:space="preserve">, R. E., </w:t>
      </w:r>
      <w:proofErr w:type="spellStart"/>
      <w:r w:rsidRPr="00742342">
        <w:rPr>
          <w:rFonts w:ascii="Open Sans" w:eastAsia="Calibri" w:hAnsi="Open Sans" w:cs="Open Sans"/>
          <w:kern w:val="0"/>
          <w:sz w:val="22"/>
          <w:szCs w:val="22"/>
          <w:lang w:eastAsia="en-GB"/>
          <w14:ligatures w14:val="none"/>
        </w:rPr>
        <w:t>Schillemans</w:t>
      </w:r>
      <w:proofErr w:type="spellEnd"/>
      <w:r w:rsidRPr="00742342">
        <w:rPr>
          <w:rFonts w:ascii="Open Sans" w:eastAsia="Calibri" w:hAnsi="Open Sans" w:cs="Open Sans"/>
          <w:kern w:val="0"/>
          <w:sz w:val="22"/>
          <w:szCs w:val="22"/>
          <w:lang w:eastAsia="en-GB"/>
          <w14:ligatures w14:val="none"/>
        </w:rPr>
        <w:t xml:space="preserve">, T., &amp; </w:t>
      </w:r>
      <w:proofErr w:type="spellStart"/>
      <w:r w:rsidRPr="00742342">
        <w:rPr>
          <w:rFonts w:ascii="Open Sans" w:eastAsia="Calibri" w:hAnsi="Open Sans" w:cs="Open Sans"/>
          <w:kern w:val="0"/>
          <w:sz w:val="22"/>
          <w:szCs w:val="22"/>
          <w:lang w:eastAsia="en-GB"/>
          <w14:ligatures w14:val="none"/>
        </w:rPr>
        <w:t>Gailmard</w:t>
      </w:r>
      <w:proofErr w:type="spellEnd"/>
      <w:r w:rsidRPr="00742342">
        <w:rPr>
          <w:rFonts w:ascii="Open Sans" w:eastAsia="Calibri" w:hAnsi="Open Sans" w:cs="Open Sans"/>
          <w:kern w:val="0"/>
          <w:sz w:val="22"/>
          <w:szCs w:val="22"/>
          <w:lang w:eastAsia="en-GB"/>
          <w14:ligatures w14:val="none"/>
        </w:rPr>
        <w:t xml:space="preserve">, S. (2014). Accountability and Principal–Agent Theory. </w:t>
      </w:r>
      <w:r w:rsidRPr="00742342">
        <w:rPr>
          <w:rFonts w:ascii="Open Sans" w:eastAsia="Calibri" w:hAnsi="Open Sans" w:cs="Open Sans"/>
          <w:i/>
          <w:iCs/>
          <w:kern w:val="0"/>
          <w:sz w:val="22"/>
          <w:szCs w:val="22"/>
          <w:lang w:eastAsia="en-GB"/>
          <w14:ligatures w14:val="none"/>
        </w:rPr>
        <w:t>The Oxford Handbook of Public Accountability</w:t>
      </w:r>
      <w:r w:rsidRPr="00742342">
        <w:rPr>
          <w:rFonts w:ascii="Open Sans" w:eastAsia="Calibri" w:hAnsi="Open Sans" w:cs="Open Sans"/>
          <w:kern w:val="0"/>
          <w:sz w:val="22"/>
          <w:szCs w:val="22"/>
          <w:lang w:eastAsia="en-GB"/>
          <w14:ligatures w14:val="none"/>
        </w:rPr>
        <w:t>. https://doi.org/10.1093/oxfordhb/9780199641253.013.0016</w:t>
      </w:r>
    </w:p>
    <w:p w14:paraId="0F295CD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Brady, H. E., &amp; Collier, D. (2010). </w:t>
      </w:r>
      <w:r w:rsidRPr="00742342">
        <w:rPr>
          <w:rFonts w:ascii="Open Sans" w:eastAsia="Calibri" w:hAnsi="Open Sans" w:cs="Open Sans"/>
          <w:i/>
          <w:iCs/>
          <w:kern w:val="0"/>
          <w:sz w:val="22"/>
          <w:szCs w:val="22"/>
          <w:lang w:eastAsia="en-GB"/>
          <w14:ligatures w14:val="none"/>
        </w:rPr>
        <w:t>Rethinking Social Inquiry: Diverse Tools, Shared Standards</w:t>
      </w:r>
      <w:r w:rsidRPr="00742342">
        <w:rPr>
          <w:rFonts w:ascii="Open Sans" w:eastAsia="Calibri" w:hAnsi="Open Sans" w:cs="Open Sans"/>
          <w:kern w:val="0"/>
          <w:sz w:val="22"/>
          <w:szCs w:val="22"/>
          <w:lang w:eastAsia="en-GB"/>
          <w14:ligatures w14:val="none"/>
        </w:rPr>
        <w:t>. Rowman &amp; Littlefield Publishers.</w:t>
      </w:r>
    </w:p>
    <w:p w14:paraId="40DA499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Brecher</w:t>
      </w:r>
      <w:proofErr w:type="spellEnd"/>
      <w:r w:rsidRPr="00742342">
        <w:rPr>
          <w:rFonts w:ascii="Open Sans" w:eastAsia="Calibri" w:hAnsi="Open Sans" w:cs="Open Sans"/>
          <w:kern w:val="0"/>
          <w:sz w:val="22"/>
          <w:szCs w:val="22"/>
          <w:lang w:eastAsia="en-GB"/>
          <w14:ligatures w14:val="none"/>
        </w:rPr>
        <w:t xml:space="preserve">, M., &amp; Wilkenfeld, J. (1997). </w:t>
      </w:r>
      <w:r w:rsidRPr="00742342">
        <w:rPr>
          <w:rFonts w:ascii="Open Sans" w:eastAsia="Calibri" w:hAnsi="Open Sans" w:cs="Open Sans"/>
          <w:i/>
          <w:iCs/>
          <w:kern w:val="0"/>
          <w:sz w:val="22"/>
          <w:szCs w:val="22"/>
          <w:lang w:eastAsia="en-GB"/>
          <w14:ligatures w14:val="none"/>
        </w:rPr>
        <w:t>A Study of Crisis</w:t>
      </w:r>
      <w:r w:rsidRPr="00742342">
        <w:rPr>
          <w:rFonts w:ascii="Open Sans" w:eastAsia="Calibri" w:hAnsi="Open Sans" w:cs="Open Sans"/>
          <w:kern w:val="0"/>
          <w:sz w:val="22"/>
          <w:szCs w:val="22"/>
          <w:lang w:eastAsia="en-GB"/>
          <w14:ligatures w14:val="none"/>
        </w:rPr>
        <w:t>. University of Michigan Press.</w:t>
      </w:r>
    </w:p>
    <w:p w14:paraId="1146F2C4"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Buys, L., &amp; Garwood-Gowers, A. (2018). The (</w:t>
      </w:r>
      <w:proofErr w:type="spellStart"/>
      <w:r w:rsidRPr="00742342">
        <w:rPr>
          <w:rFonts w:ascii="Open Sans" w:eastAsia="Calibri" w:hAnsi="Open Sans" w:cs="Open Sans"/>
          <w:kern w:val="0"/>
          <w:sz w:val="22"/>
          <w:szCs w:val="22"/>
          <w:lang w:eastAsia="en-GB"/>
          <w14:ligatures w14:val="none"/>
        </w:rPr>
        <w:t>Ir</w:t>
      </w:r>
      <w:proofErr w:type="spellEnd"/>
      <w:r w:rsidRPr="00742342">
        <w:rPr>
          <w:rFonts w:ascii="Open Sans" w:eastAsia="Calibri" w:hAnsi="Open Sans" w:cs="Open Sans"/>
          <w:kern w:val="0"/>
          <w:sz w:val="22"/>
          <w:szCs w:val="22"/>
          <w:lang w:eastAsia="en-GB"/>
          <w14:ligatures w14:val="none"/>
        </w:rPr>
        <w:t xml:space="preserve">)Relevance of Human Suffering: Humanitarian Intervention and Saudi Arabia’s Operation Decisive Storm in Yemen. </w:t>
      </w:r>
      <w:r w:rsidRPr="00742342">
        <w:rPr>
          <w:rFonts w:ascii="Open Sans" w:eastAsia="Calibri" w:hAnsi="Open Sans" w:cs="Open Sans"/>
          <w:i/>
          <w:iCs/>
          <w:kern w:val="0"/>
          <w:sz w:val="22"/>
          <w:szCs w:val="22"/>
          <w:lang w:eastAsia="en-GB"/>
          <w14:ligatures w14:val="none"/>
        </w:rPr>
        <w:t>Journal of Conflict and Security Law</w:t>
      </w:r>
      <w:r w:rsidRPr="00742342">
        <w:rPr>
          <w:rFonts w:ascii="Open Sans" w:eastAsia="Calibri" w:hAnsi="Open Sans" w:cs="Open Sans"/>
          <w:kern w:val="0"/>
          <w:sz w:val="22"/>
          <w:szCs w:val="22"/>
          <w:lang w:eastAsia="en-GB"/>
          <w14:ligatures w14:val="none"/>
        </w:rPr>
        <w:t>. https://doi.org/10.1093/jcsl/kry019</w:t>
      </w:r>
    </w:p>
    <w:p w14:paraId="69DBFDC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634B05">
        <w:rPr>
          <w:rFonts w:ascii="Open Sans" w:eastAsia="Calibri" w:hAnsi="Open Sans" w:cs="Open Sans"/>
          <w:kern w:val="0"/>
          <w:sz w:val="22"/>
          <w:szCs w:val="22"/>
          <w:lang w:val="nl-NL" w:eastAsia="en-GB"/>
          <w14:ligatures w14:val="none"/>
        </w:rPr>
        <w:t xml:space="preserve">Clavin, P., &amp; Wessel, J. W. (2005). </w:t>
      </w:r>
      <w:r w:rsidRPr="00742342">
        <w:rPr>
          <w:rFonts w:ascii="Open Sans" w:eastAsia="Calibri" w:hAnsi="Open Sans" w:cs="Open Sans"/>
          <w:kern w:val="0"/>
          <w:sz w:val="22"/>
          <w:szCs w:val="22"/>
          <w:lang w:eastAsia="en-GB"/>
          <w14:ligatures w14:val="none"/>
        </w:rPr>
        <w:t xml:space="preserve">Transnationalism and the League of Nations: Understanding the Work of Its Economic and Financial </w:t>
      </w:r>
      <w:proofErr w:type="spellStart"/>
      <w:r w:rsidRPr="00742342">
        <w:rPr>
          <w:rFonts w:ascii="Open Sans" w:eastAsia="Calibri" w:hAnsi="Open Sans" w:cs="Open Sans"/>
          <w:kern w:val="0"/>
          <w:sz w:val="22"/>
          <w:szCs w:val="22"/>
          <w:lang w:eastAsia="en-GB"/>
          <w14:ligatures w14:val="none"/>
        </w:rPr>
        <w:t>Organisation</w:t>
      </w:r>
      <w:proofErr w:type="spellEnd"/>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Contemporary European History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14</w:t>
      </w:r>
      <w:r w:rsidRPr="00742342">
        <w:rPr>
          <w:rFonts w:ascii="Open Sans" w:eastAsia="Calibri" w:hAnsi="Open Sans" w:cs="Open Sans"/>
          <w:kern w:val="0"/>
          <w:sz w:val="22"/>
          <w:szCs w:val="22"/>
          <w:lang w:eastAsia="en-GB"/>
          <w14:ligatures w14:val="none"/>
        </w:rPr>
        <w:t>(4), 465–492. https://doi.org/10.1017/s0960777305002729</w:t>
      </w:r>
    </w:p>
    <w:p w14:paraId="37A48EF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Clinton, D., Thompson, K., &amp; Morgenthau, H. (2005). </w:t>
      </w:r>
      <w:r w:rsidRPr="00742342">
        <w:rPr>
          <w:rFonts w:ascii="Open Sans" w:eastAsia="Calibri" w:hAnsi="Open Sans" w:cs="Open Sans"/>
          <w:i/>
          <w:iCs/>
          <w:kern w:val="0"/>
          <w:sz w:val="22"/>
          <w:szCs w:val="22"/>
          <w:lang w:eastAsia="en-GB"/>
          <w14:ligatures w14:val="none"/>
        </w:rPr>
        <w:t>Politics Among Nations</w:t>
      </w:r>
      <w:r w:rsidRPr="00742342">
        <w:rPr>
          <w:rFonts w:ascii="Open Sans" w:eastAsia="Calibri" w:hAnsi="Open Sans" w:cs="Open Sans"/>
          <w:kern w:val="0"/>
          <w:sz w:val="22"/>
          <w:szCs w:val="22"/>
          <w:lang w:eastAsia="en-GB"/>
          <w14:ligatures w14:val="none"/>
        </w:rPr>
        <w:t>. McGraw-Hill Education.</w:t>
      </w:r>
    </w:p>
    <w:p w14:paraId="3F0C9BD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Collins, R., &amp; White, N. D. (2011). </w:t>
      </w:r>
      <w:r w:rsidRPr="00742342">
        <w:rPr>
          <w:rFonts w:ascii="Open Sans" w:eastAsia="Calibri" w:hAnsi="Open Sans" w:cs="Open Sans"/>
          <w:i/>
          <w:iCs/>
          <w:kern w:val="0"/>
          <w:sz w:val="22"/>
          <w:szCs w:val="22"/>
          <w:lang w:eastAsia="en-GB"/>
          <w14:ligatures w14:val="none"/>
        </w:rPr>
        <w:t>International Organizations and the Idea of Autonomy: Institutional Independence in the International Legal Order</w:t>
      </w:r>
      <w:r w:rsidRPr="00742342">
        <w:rPr>
          <w:rFonts w:ascii="Open Sans" w:eastAsia="Calibri" w:hAnsi="Open Sans" w:cs="Open Sans"/>
          <w:kern w:val="0"/>
          <w:sz w:val="22"/>
          <w:szCs w:val="22"/>
          <w:lang w:eastAsia="en-GB"/>
          <w14:ligatures w14:val="none"/>
        </w:rPr>
        <w:t>. Routledge.</w:t>
      </w:r>
    </w:p>
    <w:p w14:paraId="61C3CE0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Collins, R., &amp; White, N. D. (2013). Between independence and accountability Exploring the legal autonomy of international organizations. In </w:t>
      </w:r>
      <w:r w:rsidRPr="00742342">
        <w:rPr>
          <w:rFonts w:ascii="Open Sans" w:eastAsia="Calibri" w:hAnsi="Open Sans" w:cs="Open Sans"/>
          <w:i/>
          <w:iCs/>
          <w:kern w:val="0"/>
          <w:sz w:val="22"/>
          <w:szCs w:val="22"/>
          <w:lang w:eastAsia="en-GB"/>
          <w14:ligatures w14:val="none"/>
        </w:rPr>
        <w:t>Routledge Handbook of International Organization</w:t>
      </w:r>
      <w:r w:rsidRPr="00742342">
        <w:rPr>
          <w:rFonts w:ascii="Open Sans" w:eastAsia="Calibri" w:hAnsi="Open Sans" w:cs="Open Sans"/>
          <w:kern w:val="0"/>
          <w:sz w:val="22"/>
          <w:szCs w:val="22"/>
          <w:lang w:eastAsia="en-GB"/>
          <w14:ligatures w14:val="none"/>
        </w:rPr>
        <w:t xml:space="preserve"> (1st ed., pp. 119–131). Routledge.</w:t>
      </w:r>
    </w:p>
    <w:p w14:paraId="2FC4394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Council on Foreign Relations. (2022, October 21). </w:t>
      </w:r>
      <w:r w:rsidRPr="00742342">
        <w:rPr>
          <w:rFonts w:ascii="Open Sans" w:eastAsia="Calibri" w:hAnsi="Open Sans" w:cs="Open Sans"/>
          <w:i/>
          <w:iCs/>
          <w:kern w:val="0"/>
          <w:sz w:val="22"/>
          <w:szCs w:val="22"/>
          <w:lang w:eastAsia="en-GB"/>
          <w14:ligatures w14:val="none"/>
        </w:rPr>
        <w:t>Yemen’s Tragedy: War, Stalemate, and Suffering</w:t>
      </w:r>
      <w:r w:rsidRPr="00742342">
        <w:rPr>
          <w:rFonts w:ascii="Open Sans" w:eastAsia="Calibri" w:hAnsi="Open Sans" w:cs="Open Sans"/>
          <w:kern w:val="0"/>
          <w:sz w:val="22"/>
          <w:szCs w:val="22"/>
          <w:lang w:eastAsia="en-GB"/>
          <w14:ligatures w14:val="none"/>
        </w:rPr>
        <w:t>. https://www.cfr.org/backgrounder/yemen-crisis</w:t>
      </w:r>
    </w:p>
    <w:p w14:paraId="15D695B1" w14:textId="77777777" w:rsidR="00815AEC" w:rsidRPr="00634B05" w:rsidRDefault="00815AEC" w:rsidP="00815AEC">
      <w:pPr>
        <w:spacing w:line="360" w:lineRule="auto"/>
        <w:ind w:left="720" w:hanging="720"/>
        <w:rPr>
          <w:rFonts w:ascii="Open Sans" w:eastAsia="Calibri" w:hAnsi="Open Sans" w:cs="Open Sans"/>
          <w:kern w:val="0"/>
          <w:sz w:val="22"/>
          <w:szCs w:val="22"/>
          <w:lang w:val="nl-NL" w:eastAsia="en-GB"/>
          <w14:ligatures w14:val="none"/>
        </w:rPr>
      </w:pPr>
      <w:r w:rsidRPr="00742342">
        <w:rPr>
          <w:rFonts w:ascii="Open Sans" w:eastAsia="Calibri" w:hAnsi="Open Sans" w:cs="Open Sans"/>
          <w:kern w:val="0"/>
          <w:sz w:val="22"/>
          <w:szCs w:val="22"/>
          <w:lang w:eastAsia="en-GB"/>
          <w14:ligatures w14:val="none"/>
        </w:rPr>
        <w:t xml:space="preserve">Courthoud, M. (2022, August 16). Understanding Omitted Variable Bias - Towards Data Science. </w:t>
      </w:r>
      <w:r w:rsidRPr="00634B05">
        <w:rPr>
          <w:rFonts w:ascii="Open Sans" w:eastAsia="Calibri" w:hAnsi="Open Sans" w:cs="Open Sans"/>
          <w:i/>
          <w:iCs/>
          <w:kern w:val="0"/>
          <w:sz w:val="22"/>
          <w:szCs w:val="22"/>
          <w:lang w:val="nl-NL" w:eastAsia="en-GB"/>
          <w14:ligatures w14:val="none"/>
        </w:rPr>
        <w:t>Medium</w:t>
      </w:r>
      <w:r w:rsidRPr="00634B05">
        <w:rPr>
          <w:rFonts w:ascii="Open Sans" w:eastAsia="Calibri" w:hAnsi="Open Sans" w:cs="Open Sans"/>
          <w:kern w:val="0"/>
          <w:sz w:val="22"/>
          <w:szCs w:val="22"/>
          <w:lang w:val="nl-NL" w:eastAsia="en-GB"/>
          <w14:ligatures w14:val="none"/>
        </w:rPr>
        <w:t>. https://towardsdatascience.com/omitted-variable-bias-and-what-can-we-do-about-it-344ac1477699</w:t>
      </w:r>
    </w:p>
    <w:p w14:paraId="6439578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D’Aspremont, J. (2011). The Multifaceted Concept of the Autonomy of International Organizations and International Legal Discourse. </w:t>
      </w:r>
      <w:r w:rsidRPr="00742342">
        <w:rPr>
          <w:rFonts w:ascii="Open Sans" w:eastAsia="Calibri" w:hAnsi="Open Sans" w:cs="Open Sans"/>
          <w:i/>
          <w:iCs/>
          <w:kern w:val="0"/>
          <w:sz w:val="22"/>
          <w:szCs w:val="22"/>
          <w:lang w:eastAsia="en-GB"/>
          <w14:ligatures w14:val="none"/>
        </w:rPr>
        <w:t>Social Science Research Network</w:t>
      </w:r>
      <w:r w:rsidRPr="00742342">
        <w:rPr>
          <w:rFonts w:ascii="Open Sans" w:eastAsia="Calibri" w:hAnsi="Open Sans" w:cs="Open Sans"/>
          <w:kern w:val="0"/>
          <w:sz w:val="22"/>
          <w:szCs w:val="22"/>
          <w:lang w:eastAsia="en-GB"/>
          <w14:ligatures w14:val="none"/>
        </w:rPr>
        <w:t>. https://papers.ssrn.com/sol3/Delivery.cfm/SSRN_ID1795112_code736816.pdf?abstractid=1621762&amp;mirid=1</w:t>
      </w:r>
    </w:p>
    <w:p w14:paraId="06E0BB88"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Day, S. W., &amp; Brehony, N. (2020). </w:t>
      </w:r>
      <w:r w:rsidRPr="00742342">
        <w:rPr>
          <w:rFonts w:ascii="Open Sans" w:eastAsia="Calibri" w:hAnsi="Open Sans" w:cs="Open Sans"/>
          <w:i/>
          <w:iCs/>
          <w:kern w:val="0"/>
          <w:sz w:val="22"/>
          <w:szCs w:val="22"/>
          <w:lang w:eastAsia="en-GB"/>
          <w14:ligatures w14:val="none"/>
        </w:rPr>
        <w:t>Global, Regional, and Local Dynamics in the Yemen Crisis</w:t>
      </w:r>
      <w:r w:rsidRPr="00742342">
        <w:rPr>
          <w:rFonts w:ascii="Open Sans" w:eastAsia="Calibri" w:hAnsi="Open Sans" w:cs="Open Sans"/>
          <w:kern w:val="0"/>
          <w:sz w:val="22"/>
          <w:szCs w:val="22"/>
          <w:lang w:eastAsia="en-GB"/>
          <w14:ligatures w14:val="none"/>
        </w:rPr>
        <w:t>. Springer Nature.</w:t>
      </w:r>
    </w:p>
    <w:p w14:paraId="7686F4D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De Mul, E. (2002). Coordination of humanitarian aid—a UN perspective. </w:t>
      </w:r>
      <w:r w:rsidRPr="00742342">
        <w:rPr>
          <w:rFonts w:ascii="Open Sans" w:eastAsia="Calibri" w:hAnsi="Open Sans" w:cs="Open Sans"/>
          <w:i/>
          <w:iCs/>
          <w:kern w:val="0"/>
          <w:sz w:val="22"/>
          <w:szCs w:val="22"/>
          <w:lang w:eastAsia="en-GB"/>
          <w14:ligatures w14:val="none"/>
        </w:rPr>
        <w:t>The Lancet</w:t>
      </w:r>
      <w:r w:rsidRPr="00742342">
        <w:rPr>
          <w:rFonts w:ascii="Open Sans" w:eastAsia="Calibri" w:hAnsi="Open Sans" w:cs="Open Sans"/>
          <w:kern w:val="0"/>
          <w:sz w:val="22"/>
          <w:szCs w:val="22"/>
          <w:lang w:eastAsia="en-GB"/>
          <w14:ligatures w14:val="none"/>
        </w:rPr>
        <w:t>. https://doi.org/10.1016/s0140-6736(02)09574-0</w:t>
      </w:r>
    </w:p>
    <w:p w14:paraId="326B00C5"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DiLorenzo, M., &amp; Rooney, B. (2021). International Constraints, Political Turnover, and Voting Consistency in the United Nations General Assembly. </w:t>
      </w:r>
      <w:r w:rsidRPr="00742342">
        <w:rPr>
          <w:rFonts w:ascii="Open Sans" w:eastAsia="Calibri" w:hAnsi="Open Sans" w:cs="Open Sans"/>
          <w:i/>
          <w:iCs/>
          <w:kern w:val="0"/>
          <w:sz w:val="22"/>
          <w:szCs w:val="22"/>
          <w:lang w:eastAsia="en-GB"/>
          <w14:ligatures w14:val="none"/>
        </w:rPr>
        <w:t>Foreign Policy Analysis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17</w:t>
      </w:r>
      <w:r w:rsidRPr="00742342">
        <w:rPr>
          <w:rFonts w:ascii="Open Sans" w:eastAsia="Calibri" w:hAnsi="Open Sans" w:cs="Open Sans"/>
          <w:kern w:val="0"/>
          <w:sz w:val="22"/>
          <w:szCs w:val="22"/>
          <w:lang w:eastAsia="en-GB"/>
          <w14:ligatures w14:val="none"/>
        </w:rPr>
        <w:t>(1), 162–186. https://doi.org/10.1093/fpa/oraa017</w:t>
      </w:r>
    </w:p>
    <w:p w14:paraId="4E094F5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Duchhardt</w:t>
      </w:r>
      <w:proofErr w:type="spellEnd"/>
      <w:r w:rsidRPr="00742342">
        <w:rPr>
          <w:rFonts w:ascii="Open Sans" w:eastAsia="Calibri" w:hAnsi="Open Sans" w:cs="Open Sans"/>
          <w:kern w:val="0"/>
          <w:sz w:val="22"/>
          <w:szCs w:val="22"/>
          <w:lang w:eastAsia="en-GB"/>
          <w14:ligatures w14:val="none"/>
        </w:rPr>
        <w:t xml:space="preserve">, H. (1999). „Westphalian System“. </w:t>
      </w:r>
      <w:proofErr w:type="spellStart"/>
      <w:r w:rsidRPr="00742342">
        <w:rPr>
          <w:rFonts w:ascii="Open Sans" w:eastAsia="Calibri" w:hAnsi="Open Sans" w:cs="Open Sans"/>
          <w:i/>
          <w:iCs/>
          <w:kern w:val="0"/>
          <w:sz w:val="22"/>
          <w:szCs w:val="22"/>
          <w:lang w:eastAsia="en-GB"/>
          <w14:ligatures w14:val="none"/>
        </w:rPr>
        <w:t>Historische</w:t>
      </w:r>
      <w:proofErr w:type="spellEnd"/>
      <w:r w:rsidRPr="00742342">
        <w:rPr>
          <w:rFonts w:ascii="Open Sans" w:eastAsia="Calibri" w:hAnsi="Open Sans" w:cs="Open Sans"/>
          <w:i/>
          <w:iCs/>
          <w:kern w:val="0"/>
          <w:sz w:val="22"/>
          <w:szCs w:val="22"/>
          <w:lang w:eastAsia="en-GB"/>
          <w14:ligatures w14:val="none"/>
        </w:rPr>
        <w:t xml:space="preserve"> </w:t>
      </w:r>
      <w:proofErr w:type="spellStart"/>
      <w:r w:rsidRPr="00742342">
        <w:rPr>
          <w:rFonts w:ascii="Open Sans" w:eastAsia="Calibri" w:hAnsi="Open Sans" w:cs="Open Sans"/>
          <w:i/>
          <w:iCs/>
          <w:kern w:val="0"/>
          <w:sz w:val="22"/>
          <w:szCs w:val="22"/>
          <w:lang w:eastAsia="en-GB"/>
          <w14:ligatures w14:val="none"/>
        </w:rPr>
        <w:t>Zeitschrift</w:t>
      </w:r>
      <w:proofErr w:type="spellEnd"/>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269</w:t>
      </w:r>
      <w:r w:rsidRPr="00742342">
        <w:rPr>
          <w:rFonts w:ascii="Open Sans" w:eastAsia="Calibri" w:hAnsi="Open Sans" w:cs="Open Sans"/>
          <w:kern w:val="0"/>
          <w:sz w:val="22"/>
          <w:szCs w:val="22"/>
          <w:lang w:eastAsia="en-GB"/>
          <w14:ligatures w14:val="none"/>
        </w:rPr>
        <w:t>(1), 305–316. https://doi.org/10.1524/hzhz.1999.269.jg.305</w:t>
      </w:r>
    </w:p>
    <w:p w14:paraId="5636C62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Durac</w:t>
      </w:r>
      <w:proofErr w:type="spellEnd"/>
      <w:r w:rsidRPr="00742342">
        <w:rPr>
          <w:rFonts w:ascii="Open Sans" w:eastAsia="Calibri" w:hAnsi="Open Sans" w:cs="Open Sans"/>
          <w:kern w:val="0"/>
          <w:sz w:val="22"/>
          <w:szCs w:val="22"/>
          <w:lang w:eastAsia="en-GB"/>
          <w14:ligatures w14:val="none"/>
        </w:rPr>
        <w:t xml:space="preserve">, V. (2015). </w:t>
      </w:r>
      <w:r w:rsidRPr="00742342">
        <w:rPr>
          <w:rFonts w:ascii="Open Sans" w:eastAsia="Calibri" w:hAnsi="Open Sans" w:cs="Open Sans"/>
          <w:i/>
          <w:iCs/>
          <w:kern w:val="0"/>
          <w:sz w:val="22"/>
          <w:szCs w:val="22"/>
          <w:lang w:eastAsia="en-GB"/>
          <w14:ligatures w14:val="none"/>
        </w:rPr>
        <w:t>The Role of Non-State Actors in Arab Countries after the Arab Uprisings</w:t>
      </w:r>
      <w:r w:rsidRPr="00742342">
        <w:rPr>
          <w:rFonts w:ascii="Open Sans" w:eastAsia="Calibri" w:hAnsi="Open Sans" w:cs="Open Sans"/>
          <w:kern w:val="0"/>
          <w:sz w:val="22"/>
          <w:szCs w:val="22"/>
          <w:lang w:eastAsia="en-GB"/>
          <w14:ligatures w14:val="none"/>
        </w:rPr>
        <w:t>. European Institute of the Mediterranean. https://www.iemed.org/publication/the-role-of-non-state-actors-in-arab-countries-after-the-arab-uprisings/</w:t>
      </w:r>
    </w:p>
    <w:p w14:paraId="0E5BB8EE"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Edis, R. (1992). A job well done: The founding of the united nations revisited. </w:t>
      </w:r>
      <w:r w:rsidRPr="00742342">
        <w:rPr>
          <w:rFonts w:ascii="Open Sans" w:eastAsia="Calibri" w:hAnsi="Open Sans" w:cs="Open Sans"/>
          <w:i/>
          <w:iCs/>
          <w:kern w:val="0"/>
          <w:sz w:val="22"/>
          <w:szCs w:val="22"/>
          <w:lang w:eastAsia="en-GB"/>
          <w14:ligatures w14:val="none"/>
        </w:rPr>
        <w:t>Cambridge Review of International Affairs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6</w:t>
      </w:r>
      <w:r w:rsidRPr="00742342">
        <w:rPr>
          <w:rFonts w:ascii="Open Sans" w:eastAsia="Calibri" w:hAnsi="Open Sans" w:cs="Open Sans"/>
          <w:kern w:val="0"/>
          <w:sz w:val="22"/>
          <w:szCs w:val="22"/>
          <w:lang w:eastAsia="en-GB"/>
          <w14:ligatures w14:val="none"/>
        </w:rPr>
        <w:t>(1), 29–40. https://doi.org/10.1080/09557579208400074</w:t>
      </w:r>
    </w:p>
    <w:p w14:paraId="6FD24D3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Elrod, R. B. (1976). The Concert of Europe: A Fresh Look at an International System. </w:t>
      </w:r>
      <w:r w:rsidRPr="00742342">
        <w:rPr>
          <w:rFonts w:ascii="Open Sans" w:eastAsia="Calibri" w:hAnsi="Open Sans" w:cs="Open Sans"/>
          <w:i/>
          <w:iCs/>
          <w:kern w:val="0"/>
          <w:sz w:val="22"/>
          <w:szCs w:val="22"/>
          <w:lang w:eastAsia="en-GB"/>
          <w14:ligatures w14:val="none"/>
        </w:rPr>
        <w:t>World Politics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28</w:t>
      </w:r>
      <w:r w:rsidRPr="00742342">
        <w:rPr>
          <w:rFonts w:ascii="Open Sans" w:eastAsia="Calibri" w:hAnsi="Open Sans" w:cs="Open Sans"/>
          <w:kern w:val="0"/>
          <w:sz w:val="22"/>
          <w:szCs w:val="22"/>
          <w:lang w:eastAsia="en-GB"/>
          <w14:ligatures w14:val="none"/>
        </w:rPr>
        <w:t>(2), 159–174. https://doi.org/10.2307/2009888</w:t>
      </w:r>
    </w:p>
    <w:p w14:paraId="71EA01A3"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European Journal of International Law. (2022, March 12). </w:t>
      </w:r>
      <w:r w:rsidRPr="00742342">
        <w:rPr>
          <w:rFonts w:ascii="Open Sans" w:eastAsia="Calibri" w:hAnsi="Open Sans" w:cs="Open Sans"/>
          <w:i/>
          <w:iCs/>
          <w:kern w:val="0"/>
          <w:sz w:val="22"/>
          <w:szCs w:val="22"/>
          <w:lang w:eastAsia="en-GB"/>
          <w14:ligatures w14:val="none"/>
        </w:rPr>
        <w:t>The Houthi Attacks Against the UAE: Rules of Conflict and International Law of State Responsibility</w:t>
      </w:r>
      <w:r w:rsidRPr="00742342">
        <w:rPr>
          <w:rFonts w:ascii="Open Sans" w:eastAsia="Calibri" w:hAnsi="Open Sans" w:cs="Open Sans"/>
          <w:kern w:val="0"/>
          <w:sz w:val="22"/>
          <w:szCs w:val="22"/>
          <w:lang w:eastAsia="en-GB"/>
          <w14:ligatures w14:val="none"/>
        </w:rPr>
        <w:t>. EJIL: Talk! https://www.ejiltalk.org/the-houthi-attacks-against-the-uae-rules-of-conflict-and-international-law-of-state-responsibility/</w:t>
      </w:r>
    </w:p>
    <w:p w14:paraId="394DBA6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Ezrow, N. (2017). </w:t>
      </w:r>
      <w:r w:rsidRPr="00742342">
        <w:rPr>
          <w:rFonts w:ascii="Open Sans" w:eastAsia="Calibri" w:hAnsi="Open Sans" w:cs="Open Sans"/>
          <w:i/>
          <w:iCs/>
          <w:kern w:val="0"/>
          <w:sz w:val="22"/>
          <w:szCs w:val="22"/>
          <w:lang w:eastAsia="en-GB"/>
          <w14:ligatures w14:val="none"/>
        </w:rPr>
        <w:t>Global Politics and Violent Non-State Actors</w:t>
      </w:r>
      <w:r w:rsidRPr="00742342">
        <w:rPr>
          <w:rFonts w:ascii="Open Sans" w:eastAsia="Calibri" w:hAnsi="Open Sans" w:cs="Open Sans"/>
          <w:kern w:val="0"/>
          <w:sz w:val="22"/>
          <w:szCs w:val="22"/>
          <w:lang w:eastAsia="en-GB"/>
          <w14:ligatures w14:val="none"/>
        </w:rPr>
        <w:t>. Sage Publications Ltd.</w:t>
      </w:r>
    </w:p>
    <w:p w14:paraId="75F4184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Freitas, R. (2005). </w:t>
      </w:r>
      <w:r w:rsidRPr="00742342">
        <w:rPr>
          <w:rFonts w:ascii="Open Sans" w:eastAsia="Calibri" w:hAnsi="Open Sans" w:cs="Open Sans"/>
          <w:i/>
          <w:iCs/>
          <w:kern w:val="0"/>
          <w:sz w:val="22"/>
          <w:szCs w:val="22"/>
          <w:lang w:eastAsia="en-GB"/>
          <w14:ligatures w14:val="none"/>
        </w:rPr>
        <w:t>Constraints and opportunities for IGOs’ autonomy: the case of the United Nations High Commissioner for Refugees (UNHCR)</w:t>
      </w:r>
      <w:r w:rsidRPr="00742342">
        <w:rPr>
          <w:rFonts w:ascii="Open Sans" w:eastAsia="Calibri" w:hAnsi="Open Sans" w:cs="Open Sans"/>
          <w:kern w:val="0"/>
          <w:sz w:val="22"/>
          <w:szCs w:val="22"/>
          <w:lang w:eastAsia="en-GB"/>
          <w14:ligatures w14:val="none"/>
        </w:rPr>
        <w:t xml:space="preserve"> [Dissertation]. European University Institute.</w:t>
      </w:r>
    </w:p>
    <w:p w14:paraId="3054D528"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Gardell, E. K., &amp; Verbeek, J. A. (2021). Key actors in the management of crises: International and regional organizations. In </w:t>
      </w:r>
      <w:r w:rsidRPr="00742342">
        <w:rPr>
          <w:rFonts w:ascii="Open Sans" w:eastAsia="Calibri" w:hAnsi="Open Sans" w:cs="Open Sans"/>
          <w:i/>
          <w:iCs/>
          <w:kern w:val="0"/>
          <w:sz w:val="22"/>
          <w:szCs w:val="22"/>
          <w:lang w:eastAsia="en-GB"/>
          <w14:ligatures w14:val="none"/>
        </w:rPr>
        <w:t>Oxford Research Encyclopedia of Politics</w:t>
      </w:r>
      <w:r w:rsidRPr="00742342">
        <w:rPr>
          <w:rFonts w:ascii="Open Sans" w:eastAsia="Calibri" w:hAnsi="Open Sans" w:cs="Open Sans"/>
          <w:kern w:val="0"/>
          <w:sz w:val="22"/>
          <w:szCs w:val="22"/>
          <w:lang w:eastAsia="en-GB"/>
          <w14:ligatures w14:val="none"/>
        </w:rPr>
        <w:t xml:space="preserve"> (1st ed.). Oxford University Press.</w:t>
      </w:r>
    </w:p>
    <w:p w14:paraId="4182263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Geddes, B. (2004). Paradigms and sand castles: theory building and research design in comparative politics. </w:t>
      </w:r>
      <w:r w:rsidRPr="00742342">
        <w:rPr>
          <w:rFonts w:ascii="Open Sans" w:eastAsia="Calibri" w:hAnsi="Open Sans" w:cs="Open Sans"/>
          <w:i/>
          <w:iCs/>
          <w:kern w:val="0"/>
          <w:sz w:val="22"/>
          <w:szCs w:val="22"/>
          <w:lang w:eastAsia="en-GB"/>
          <w14:ligatures w14:val="none"/>
        </w:rPr>
        <w:t>Choice Reviews Online</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41</w:t>
      </w:r>
      <w:r w:rsidRPr="00742342">
        <w:rPr>
          <w:rFonts w:ascii="Open Sans" w:eastAsia="Calibri" w:hAnsi="Open Sans" w:cs="Open Sans"/>
          <w:kern w:val="0"/>
          <w:sz w:val="22"/>
          <w:szCs w:val="22"/>
          <w:lang w:eastAsia="en-GB"/>
          <w14:ligatures w14:val="none"/>
        </w:rPr>
        <w:t>(11), 41–6782. https://doi.org/10.5860/choice.41-6782</w:t>
      </w:r>
    </w:p>
    <w:p w14:paraId="38FFE44B"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Gersovitz, M., &amp; Kriger, N. (2013). What Is a Civil </w:t>
      </w:r>
      <w:proofErr w:type="spellStart"/>
      <w:r w:rsidRPr="00742342">
        <w:rPr>
          <w:rFonts w:ascii="Open Sans" w:eastAsia="Calibri" w:hAnsi="Open Sans" w:cs="Open Sans"/>
          <w:kern w:val="0"/>
          <w:sz w:val="22"/>
          <w:szCs w:val="22"/>
          <w:lang w:eastAsia="en-GB"/>
          <w14:ligatures w14:val="none"/>
        </w:rPr>
        <w:t>War?A</w:t>
      </w:r>
      <w:proofErr w:type="spellEnd"/>
      <w:r w:rsidRPr="00742342">
        <w:rPr>
          <w:rFonts w:ascii="Open Sans" w:eastAsia="Calibri" w:hAnsi="Open Sans" w:cs="Open Sans"/>
          <w:kern w:val="0"/>
          <w:sz w:val="22"/>
          <w:szCs w:val="22"/>
          <w:lang w:eastAsia="en-GB"/>
          <w14:ligatures w14:val="none"/>
        </w:rPr>
        <w:t xml:space="preserve"> Critical Review of Its Definition and (Econometric) Consequences. </w:t>
      </w:r>
      <w:r w:rsidRPr="00742342">
        <w:rPr>
          <w:rFonts w:ascii="Open Sans" w:eastAsia="Calibri" w:hAnsi="Open Sans" w:cs="Open Sans"/>
          <w:i/>
          <w:iCs/>
          <w:kern w:val="0"/>
          <w:sz w:val="22"/>
          <w:szCs w:val="22"/>
          <w:lang w:eastAsia="en-GB"/>
          <w14:ligatures w14:val="none"/>
        </w:rPr>
        <w:t>The World Bank Research Observer</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28</w:t>
      </w:r>
      <w:r w:rsidRPr="00742342">
        <w:rPr>
          <w:rFonts w:ascii="Open Sans" w:eastAsia="Calibri" w:hAnsi="Open Sans" w:cs="Open Sans"/>
          <w:kern w:val="0"/>
          <w:sz w:val="22"/>
          <w:szCs w:val="22"/>
          <w:lang w:eastAsia="en-GB"/>
          <w14:ligatures w14:val="none"/>
        </w:rPr>
        <w:t>(2), 159–190. https://doi.org/10.1093/wbro/lkt005</w:t>
      </w:r>
    </w:p>
    <w:p w14:paraId="4BE5D774"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Given, L. M. (2008). The SAGE Encyclopedia of Qualitative Research Methods. </w:t>
      </w:r>
      <w:r w:rsidRPr="00742342">
        <w:rPr>
          <w:rFonts w:ascii="Open Sans" w:eastAsia="Calibri" w:hAnsi="Open Sans" w:cs="Open Sans"/>
          <w:i/>
          <w:iCs/>
          <w:kern w:val="0"/>
          <w:sz w:val="22"/>
          <w:szCs w:val="22"/>
          <w:lang w:eastAsia="en-GB"/>
          <w14:ligatures w14:val="none"/>
        </w:rPr>
        <w:t>SAGE Publications, Inc. eBooks</w:t>
      </w:r>
      <w:r w:rsidRPr="00742342">
        <w:rPr>
          <w:rFonts w:ascii="Open Sans" w:eastAsia="Calibri" w:hAnsi="Open Sans" w:cs="Open Sans"/>
          <w:kern w:val="0"/>
          <w:sz w:val="22"/>
          <w:szCs w:val="22"/>
          <w:lang w:eastAsia="en-GB"/>
          <w14:ligatures w14:val="none"/>
        </w:rPr>
        <w:t>. https://doi.org/10.4135/9781412963909</w:t>
      </w:r>
    </w:p>
    <w:p w14:paraId="4B875E8C"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Global Conflict Tracker. (2023, April 25). </w:t>
      </w:r>
      <w:r w:rsidRPr="00742342">
        <w:rPr>
          <w:rFonts w:ascii="Open Sans" w:eastAsia="Calibri" w:hAnsi="Open Sans" w:cs="Open Sans"/>
          <w:i/>
          <w:iCs/>
          <w:kern w:val="0"/>
          <w:sz w:val="22"/>
          <w:szCs w:val="22"/>
          <w:lang w:eastAsia="en-GB"/>
          <w14:ligatures w14:val="none"/>
        </w:rPr>
        <w:t>War in Yemen | Global Conflict Tracker</w:t>
      </w:r>
      <w:r w:rsidRPr="00742342">
        <w:rPr>
          <w:rFonts w:ascii="Open Sans" w:eastAsia="Calibri" w:hAnsi="Open Sans" w:cs="Open Sans"/>
          <w:kern w:val="0"/>
          <w:sz w:val="22"/>
          <w:szCs w:val="22"/>
          <w:lang w:eastAsia="en-GB"/>
          <w14:ligatures w14:val="none"/>
        </w:rPr>
        <w:t>. https://www.cfr.org/global-conflict-tracker/conflict/war-yemen</w:t>
      </w:r>
    </w:p>
    <w:p w14:paraId="2342FFCC"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Goertz, G., &amp; Mahoney, J. (2012). Concepts and measurement: Ontology and epistemology. </w:t>
      </w:r>
      <w:r w:rsidRPr="00742342">
        <w:rPr>
          <w:rFonts w:ascii="Open Sans" w:eastAsia="Calibri" w:hAnsi="Open Sans" w:cs="Open Sans"/>
          <w:i/>
          <w:iCs/>
          <w:kern w:val="0"/>
          <w:sz w:val="22"/>
          <w:szCs w:val="22"/>
          <w:lang w:eastAsia="en-GB"/>
          <w14:ligatures w14:val="none"/>
        </w:rPr>
        <w:t>Social Science Information</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51</w:t>
      </w:r>
      <w:r w:rsidRPr="00742342">
        <w:rPr>
          <w:rFonts w:ascii="Open Sans" w:eastAsia="Calibri" w:hAnsi="Open Sans" w:cs="Open Sans"/>
          <w:kern w:val="0"/>
          <w:sz w:val="22"/>
          <w:szCs w:val="22"/>
          <w:lang w:eastAsia="en-GB"/>
          <w14:ligatures w14:val="none"/>
        </w:rPr>
        <w:t>(2), 205–216. https://doi.org/10.1177/0539018412437108</w:t>
      </w:r>
    </w:p>
    <w:p w14:paraId="5C5BEDE7"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Gonzalez, N. (2013). </w:t>
      </w:r>
      <w:r w:rsidRPr="00742342">
        <w:rPr>
          <w:rFonts w:ascii="Open Sans" w:eastAsia="Calibri" w:hAnsi="Open Sans" w:cs="Open Sans"/>
          <w:i/>
          <w:iCs/>
          <w:kern w:val="0"/>
          <w:sz w:val="22"/>
          <w:szCs w:val="22"/>
          <w:lang w:eastAsia="en-GB"/>
          <w14:ligatures w14:val="none"/>
        </w:rPr>
        <w:t>The Sunni-Shia Conflict: Understanding Sectarian Violence in the Middle East</w:t>
      </w:r>
      <w:r w:rsidRPr="00742342">
        <w:rPr>
          <w:rFonts w:ascii="Open Sans" w:eastAsia="Calibri" w:hAnsi="Open Sans" w:cs="Open Sans"/>
          <w:kern w:val="0"/>
          <w:sz w:val="22"/>
          <w:szCs w:val="22"/>
          <w:lang w:eastAsia="en-GB"/>
          <w14:ligatures w14:val="none"/>
        </w:rPr>
        <w:t xml:space="preserve">. </w:t>
      </w:r>
      <w:proofErr w:type="spellStart"/>
      <w:r w:rsidRPr="00742342">
        <w:rPr>
          <w:rFonts w:ascii="Open Sans" w:eastAsia="Calibri" w:hAnsi="Open Sans" w:cs="Open Sans"/>
          <w:kern w:val="0"/>
          <w:sz w:val="22"/>
          <w:szCs w:val="22"/>
          <w:lang w:eastAsia="en-GB"/>
          <w14:ligatures w14:val="none"/>
        </w:rPr>
        <w:t>Nortia</w:t>
      </w:r>
      <w:proofErr w:type="spellEnd"/>
      <w:r w:rsidRPr="00742342">
        <w:rPr>
          <w:rFonts w:ascii="Open Sans" w:eastAsia="Calibri" w:hAnsi="Open Sans" w:cs="Open Sans"/>
          <w:kern w:val="0"/>
          <w:sz w:val="22"/>
          <w:szCs w:val="22"/>
          <w:lang w:eastAsia="en-GB"/>
          <w14:ligatures w14:val="none"/>
        </w:rPr>
        <w:t xml:space="preserve"> Media Ltd.</w:t>
      </w:r>
    </w:p>
    <w:p w14:paraId="4DC2AAFB"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Goodrich, L. M. (1947). From League of Nations to United Nations. </w:t>
      </w:r>
      <w:r w:rsidRPr="00742342">
        <w:rPr>
          <w:rFonts w:ascii="Open Sans" w:eastAsia="Calibri" w:hAnsi="Open Sans" w:cs="Open Sans"/>
          <w:i/>
          <w:iCs/>
          <w:kern w:val="0"/>
          <w:sz w:val="22"/>
          <w:szCs w:val="22"/>
          <w:lang w:eastAsia="en-GB"/>
          <w14:ligatures w14:val="none"/>
        </w:rPr>
        <w:t>International Organization</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w:t>
      </w:r>
      <w:r w:rsidRPr="00742342">
        <w:rPr>
          <w:rFonts w:ascii="Open Sans" w:eastAsia="Calibri" w:hAnsi="Open Sans" w:cs="Open Sans"/>
          <w:kern w:val="0"/>
          <w:sz w:val="22"/>
          <w:szCs w:val="22"/>
          <w:lang w:eastAsia="en-GB"/>
          <w14:ligatures w14:val="none"/>
        </w:rPr>
        <w:t>(1), 3–21. https://doi.org/10.1017/s002081830000655x</w:t>
      </w:r>
    </w:p>
    <w:p w14:paraId="402646E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Greenpeace International. (2022, January). </w:t>
      </w:r>
      <w:r w:rsidRPr="00742342">
        <w:rPr>
          <w:rFonts w:ascii="Open Sans" w:eastAsia="Calibri" w:hAnsi="Open Sans" w:cs="Open Sans"/>
          <w:i/>
          <w:iCs/>
          <w:kern w:val="0"/>
          <w:sz w:val="22"/>
          <w:szCs w:val="22"/>
          <w:lang w:eastAsia="en-GB"/>
          <w14:ligatures w14:val="none"/>
        </w:rPr>
        <w:t>FSO Safer: A shipwreck in slow motion</w:t>
      </w:r>
      <w:r w:rsidRPr="00742342">
        <w:rPr>
          <w:rFonts w:ascii="Open Sans" w:eastAsia="Calibri" w:hAnsi="Open Sans" w:cs="Open Sans"/>
          <w:kern w:val="0"/>
          <w:sz w:val="22"/>
          <w:szCs w:val="22"/>
          <w:lang w:eastAsia="en-GB"/>
          <w14:ligatures w14:val="none"/>
        </w:rPr>
        <w:t xml:space="preserve"> [Press release].</w:t>
      </w:r>
    </w:p>
    <w:p w14:paraId="177A34EE"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Grigorescu, A. (2010). The Spread of Bureaucratic Oversight Mechanisms across Intergovernmental Organizations1. </w:t>
      </w:r>
      <w:r w:rsidRPr="00742342">
        <w:rPr>
          <w:rFonts w:ascii="Open Sans" w:eastAsia="Calibri" w:hAnsi="Open Sans" w:cs="Open Sans"/>
          <w:i/>
          <w:iCs/>
          <w:kern w:val="0"/>
          <w:sz w:val="22"/>
          <w:szCs w:val="22"/>
          <w:lang w:eastAsia="en-GB"/>
          <w14:ligatures w14:val="none"/>
        </w:rPr>
        <w:t>International Studies Quarterly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54</w:t>
      </w:r>
      <w:r w:rsidRPr="00742342">
        <w:rPr>
          <w:rFonts w:ascii="Open Sans" w:eastAsia="Calibri" w:hAnsi="Open Sans" w:cs="Open Sans"/>
          <w:kern w:val="0"/>
          <w:sz w:val="22"/>
          <w:szCs w:val="22"/>
          <w:lang w:eastAsia="en-GB"/>
          <w14:ligatures w14:val="none"/>
        </w:rPr>
        <w:t>(3), 871–886. https://doi.org/10.1111/j.1468-2478.2010.00613.x</w:t>
      </w:r>
    </w:p>
    <w:p w14:paraId="464D465B"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Hermann, C. F. (1963). Some Consequences of Crisis Which Limit the Viability of Organizations. </w:t>
      </w:r>
      <w:r w:rsidRPr="00742342">
        <w:rPr>
          <w:rFonts w:ascii="Open Sans" w:eastAsia="Calibri" w:hAnsi="Open Sans" w:cs="Open Sans"/>
          <w:i/>
          <w:iCs/>
          <w:kern w:val="0"/>
          <w:sz w:val="22"/>
          <w:szCs w:val="22"/>
          <w:lang w:eastAsia="en-GB"/>
          <w14:ligatures w14:val="none"/>
        </w:rPr>
        <w:t>Administrative Science Quarterly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8</w:t>
      </w:r>
      <w:r w:rsidRPr="00742342">
        <w:rPr>
          <w:rFonts w:ascii="Open Sans" w:eastAsia="Calibri" w:hAnsi="Open Sans" w:cs="Open Sans"/>
          <w:kern w:val="0"/>
          <w:sz w:val="22"/>
          <w:szCs w:val="22"/>
          <w:lang w:eastAsia="en-GB"/>
          <w14:ligatures w14:val="none"/>
        </w:rPr>
        <w:t>(1), 61. https://doi.org/10.2307/2390887</w:t>
      </w:r>
    </w:p>
    <w:p w14:paraId="1D90FE3B"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Heyse, L. (2007). </w:t>
      </w:r>
      <w:r w:rsidRPr="00742342">
        <w:rPr>
          <w:rFonts w:ascii="Open Sans" w:eastAsia="Calibri" w:hAnsi="Open Sans" w:cs="Open Sans"/>
          <w:i/>
          <w:iCs/>
          <w:kern w:val="0"/>
          <w:sz w:val="22"/>
          <w:szCs w:val="22"/>
          <w:lang w:eastAsia="en-GB"/>
          <w14:ligatures w14:val="none"/>
        </w:rPr>
        <w:t>Choosing the Lesser Evil: Understanding Decision Making in Humanitarian Aid NGOs</w:t>
      </w:r>
      <w:r w:rsidRPr="00742342">
        <w:rPr>
          <w:rFonts w:ascii="Open Sans" w:eastAsia="Calibri" w:hAnsi="Open Sans" w:cs="Open Sans"/>
          <w:kern w:val="0"/>
          <w:sz w:val="22"/>
          <w:szCs w:val="22"/>
          <w:lang w:eastAsia="en-GB"/>
          <w14:ligatures w14:val="none"/>
        </w:rPr>
        <w:t>. Routledge.</w:t>
      </w:r>
    </w:p>
    <w:p w14:paraId="5E75E9DC"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Hill, G. (2017). </w:t>
      </w:r>
      <w:r w:rsidRPr="00742342">
        <w:rPr>
          <w:rFonts w:ascii="Open Sans" w:eastAsia="Calibri" w:hAnsi="Open Sans" w:cs="Open Sans"/>
          <w:i/>
          <w:iCs/>
          <w:kern w:val="0"/>
          <w:sz w:val="22"/>
          <w:szCs w:val="22"/>
          <w:lang w:eastAsia="en-GB"/>
          <w14:ligatures w14:val="none"/>
        </w:rPr>
        <w:t>Yemen Endures: Civil War, Saudi Adventurism and the Future of Arabia</w:t>
      </w:r>
      <w:r w:rsidRPr="00742342">
        <w:rPr>
          <w:rFonts w:ascii="Open Sans" w:eastAsia="Calibri" w:hAnsi="Open Sans" w:cs="Open Sans"/>
          <w:kern w:val="0"/>
          <w:sz w:val="22"/>
          <w:szCs w:val="22"/>
          <w:lang w:eastAsia="en-GB"/>
          <w14:ligatures w14:val="none"/>
        </w:rPr>
        <w:t>. Oxford University Press.</w:t>
      </w:r>
    </w:p>
    <w:p w14:paraId="6C99814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Hofmann, C., &amp; Schneckener, U. (2011). Engaging non-state armed actors in state- and peace-building: options and strategies. </w:t>
      </w:r>
      <w:r w:rsidRPr="00742342">
        <w:rPr>
          <w:rFonts w:ascii="Open Sans" w:eastAsia="Calibri" w:hAnsi="Open Sans" w:cs="Open Sans"/>
          <w:i/>
          <w:iCs/>
          <w:kern w:val="0"/>
          <w:sz w:val="22"/>
          <w:szCs w:val="22"/>
          <w:lang w:eastAsia="en-GB"/>
          <w14:ligatures w14:val="none"/>
        </w:rPr>
        <w:t>International Review of the Red Cross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93</w:t>
      </w:r>
      <w:r w:rsidRPr="00742342">
        <w:rPr>
          <w:rFonts w:ascii="Open Sans" w:eastAsia="Calibri" w:hAnsi="Open Sans" w:cs="Open Sans"/>
          <w:kern w:val="0"/>
          <w:sz w:val="22"/>
          <w:szCs w:val="22"/>
          <w:lang w:eastAsia="en-GB"/>
          <w14:ligatures w14:val="none"/>
        </w:rPr>
        <w:t>(883), 603–621. https://doi.org/10.1017/s1816383112000148</w:t>
      </w:r>
    </w:p>
    <w:p w14:paraId="58005668"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Holleis, J., &amp; Knipp, K. (2022, March 30). Houthi drones make Saudi Arabia an easy target. </w:t>
      </w:r>
      <w:r w:rsidRPr="00742342">
        <w:rPr>
          <w:rFonts w:ascii="Open Sans" w:eastAsia="Calibri" w:hAnsi="Open Sans" w:cs="Open Sans"/>
          <w:i/>
          <w:iCs/>
          <w:kern w:val="0"/>
          <w:sz w:val="22"/>
          <w:szCs w:val="22"/>
          <w:lang w:eastAsia="en-GB"/>
          <w14:ligatures w14:val="none"/>
        </w:rPr>
        <w:t>dw.com</w:t>
      </w:r>
      <w:r w:rsidRPr="00742342">
        <w:rPr>
          <w:rFonts w:ascii="Open Sans" w:eastAsia="Calibri" w:hAnsi="Open Sans" w:cs="Open Sans"/>
          <w:kern w:val="0"/>
          <w:sz w:val="22"/>
          <w:szCs w:val="22"/>
          <w:lang w:eastAsia="en-GB"/>
          <w14:ligatures w14:val="none"/>
        </w:rPr>
        <w:t>. https://www.dw.com/en/houthi-attacks-expose-saudi-arabias-defense-weakness/a-61294825</w:t>
      </w:r>
    </w:p>
    <w:p w14:paraId="1FFFABD3"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634B05">
        <w:rPr>
          <w:rFonts w:ascii="Open Sans" w:eastAsia="Calibri" w:hAnsi="Open Sans" w:cs="Open Sans"/>
          <w:kern w:val="0"/>
          <w:sz w:val="22"/>
          <w:szCs w:val="22"/>
          <w:lang w:val="nl-NL" w:eastAsia="en-GB"/>
          <w14:ligatures w14:val="none"/>
        </w:rPr>
        <w:t>Huynh</w:t>
      </w:r>
      <w:proofErr w:type="spellEnd"/>
      <w:r w:rsidRPr="00634B05">
        <w:rPr>
          <w:rFonts w:ascii="Open Sans" w:eastAsia="Calibri" w:hAnsi="Open Sans" w:cs="Open Sans"/>
          <w:kern w:val="0"/>
          <w:sz w:val="22"/>
          <w:szCs w:val="22"/>
          <w:lang w:val="nl-NL" w:eastAsia="en-GB"/>
          <w14:ligatures w14:val="none"/>
        </w:rPr>
        <w:t xml:space="preserve">, B. Q., </w:t>
      </w:r>
      <w:proofErr w:type="spellStart"/>
      <w:r w:rsidRPr="00634B05">
        <w:rPr>
          <w:rFonts w:ascii="Open Sans" w:eastAsia="Calibri" w:hAnsi="Open Sans" w:cs="Open Sans"/>
          <w:kern w:val="0"/>
          <w:sz w:val="22"/>
          <w:szCs w:val="22"/>
          <w:lang w:val="nl-NL" w:eastAsia="en-GB"/>
          <w14:ligatures w14:val="none"/>
        </w:rPr>
        <w:t>Kwong</w:t>
      </w:r>
      <w:proofErr w:type="spellEnd"/>
      <w:r w:rsidRPr="00634B05">
        <w:rPr>
          <w:rFonts w:ascii="Open Sans" w:eastAsia="Calibri" w:hAnsi="Open Sans" w:cs="Open Sans"/>
          <w:kern w:val="0"/>
          <w:sz w:val="22"/>
          <w:szCs w:val="22"/>
          <w:lang w:val="nl-NL" w:eastAsia="en-GB"/>
          <w14:ligatures w14:val="none"/>
        </w:rPr>
        <w:t xml:space="preserve">, L. H., </w:t>
      </w:r>
      <w:proofErr w:type="spellStart"/>
      <w:r w:rsidRPr="00634B05">
        <w:rPr>
          <w:rFonts w:ascii="Open Sans" w:eastAsia="Calibri" w:hAnsi="Open Sans" w:cs="Open Sans"/>
          <w:kern w:val="0"/>
          <w:sz w:val="22"/>
          <w:szCs w:val="22"/>
          <w:lang w:val="nl-NL" w:eastAsia="en-GB"/>
          <w14:ligatures w14:val="none"/>
        </w:rPr>
        <w:t>Kiang</w:t>
      </w:r>
      <w:proofErr w:type="spellEnd"/>
      <w:r w:rsidRPr="00634B05">
        <w:rPr>
          <w:rFonts w:ascii="Open Sans" w:eastAsia="Calibri" w:hAnsi="Open Sans" w:cs="Open Sans"/>
          <w:kern w:val="0"/>
          <w:sz w:val="22"/>
          <w:szCs w:val="22"/>
          <w:lang w:val="nl-NL" w:eastAsia="en-GB"/>
          <w14:ligatures w14:val="none"/>
        </w:rPr>
        <w:t xml:space="preserve">, M. V., </w:t>
      </w:r>
      <w:proofErr w:type="spellStart"/>
      <w:r w:rsidRPr="00634B05">
        <w:rPr>
          <w:rFonts w:ascii="Open Sans" w:eastAsia="Calibri" w:hAnsi="Open Sans" w:cs="Open Sans"/>
          <w:kern w:val="0"/>
          <w:sz w:val="22"/>
          <w:szCs w:val="22"/>
          <w:lang w:val="nl-NL" w:eastAsia="en-GB"/>
          <w14:ligatures w14:val="none"/>
        </w:rPr>
        <w:t>Chin</w:t>
      </w:r>
      <w:proofErr w:type="spellEnd"/>
      <w:r w:rsidRPr="00634B05">
        <w:rPr>
          <w:rFonts w:ascii="Open Sans" w:eastAsia="Calibri" w:hAnsi="Open Sans" w:cs="Open Sans"/>
          <w:kern w:val="0"/>
          <w:sz w:val="22"/>
          <w:szCs w:val="22"/>
          <w:lang w:val="nl-NL" w:eastAsia="en-GB"/>
          <w14:ligatures w14:val="none"/>
        </w:rPr>
        <w:t xml:space="preserve">, E., Boyd, A., </w:t>
      </w:r>
      <w:proofErr w:type="spellStart"/>
      <w:r w:rsidRPr="00634B05">
        <w:rPr>
          <w:rFonts w:ascii="Open Sans" w:eastAsia="Calibri" w:hAnsi="Open Sans" w:cs="Open Sans"/>
          <w:kern w:val="0"/>
          <w:sz w:val="22"/>
          <w:szCs w:val="22"/>
          <w:lang w:val="nl-NL" w:eastAsia="en-GB"/>
          <w14:ligatures w14:val="none"/>
        </w:rPr>
        <w:t>Jumaan</w:t>
      </w:r>
      <w:proofErr w:type="spellEnd"/>
      <w:r w:rsidRPr="00634B05">
        <w:rPr>
          <w:rFonts w:ascii="Open Sans" w:eastAsia="Calibri" w:hAnsi="Open Sans" w:cs="Open Sans"/>
          <w:kern w:val="0"/>
          <w:sz w:val="22"/>
          <w:szCs w:val="22"/>
          <w:lang w:val="nl-NL" w:eastAsia="en-GB"/>
          <w14:ligatures w14:val="none"/>
        </w:rPr>
        <w:t xml:space="preserve">, A. O., </w:t>
      </w:r>
      <w:proofErr w:type="spellStart"/>
      <w:r w:rsidRPr="00634B05">
        <w:rPr>
          <w:rFonts w:ascii="Open Sans" w:eastAsia="Calibri" w:hAnsi="Open Sans" w:cs="Open Sans"/>
          <w:kern w:val="0"/>
          <w:sz w:val="22"/>
          <w:szCs w:val="22"/>
          <w:lang w:val="nl-NL" w:eastAsia="en-GB"/>
          <w14:ligatures w14:val="none"/>
        </w:rPr>
        <w:t>Basu</w:t>
      </w:r>
      <w:proofErr w:type="spellEnd"/>
      <w:r w:rsidRPr="00634B05">
        <w:rPr>
          <w:rFonts w:ascii="Open Sans" w:eastAsia="Calibri" w:hAnsi="Open Sans" w:cs="Open Sans"/>
          <w:kern w:val="0"/>
          <w:sz w:val="22"/>
          <w:szCs w:val="22"/>
          <w:lang w:val="nl-NL" w:eastAsia="en-GB"/>
          <w14:ligatures w14:val="none"/>
        </w:rPr>
        <w:t xml:space="preserve">, S., </w:t>
      </w:r>
      <w:proofErr w:type="spellStart"/>
      <w:r w:rsidRPr="00634B05">
        <w:rPr>
          <w:rFonts w:ascii="Open Sans" w:eastAsia="Calibri" w:hAnsi="Open Sans" w:cs="Open Sans"/>
          <w:kern w:val="0"/>
          <w:sz w:val="22"/>
          <w:szCs w:val="22"/>
          <w:lang w:val="nl-NL" w:eastAsia="en-GB"/>
          <w14:ligatures w14:val="none"/>
        </w:rPr>
        <w:t>Geldsetzer</w:t>
      </w:r>
      <w:proofErr w:type="spellEnd"/>
      <w:r w:rsidRPr="00634B05">
        <w:rPr>
          <w:rFonts w:ascii="Open Sans" w:eastAsia="Calibri" w:hAnsi="Open Sans" w:cs="Open Sans"/>
          <w:kern w:val="0"/>
          <w:sz w:val="22"/>
          <w:szCs w:val="22"/>
          <w:lang w:val="nl-NL" w:eastAsia="en-GB"/>
          <w14:ligatures w14:val="none"/>
        </w:rPr>
        <w:t xml:space="preserve">, P., </w:t>
      </w:r>
      <w:proofErr w:type="spellStart"/>
      <w:r w:rsidRPr="00634B05">
        <w:rPr>
          <w:rFonts w:ascii="Open Sans" w:eastAsia="Calibri" w:hAnsi="Open Sans" w:cs="Open Sans"/>
          <w:kern w:val="0"/>
          <w:sz w:val="22"/>
          <w:szCs w:val="22"/>
          <w:lang w:val="nl-NL" w:eastAsia="en-GB"/>
          <w14:ligatures w14:val="none"/>
        </w:rPr>
        <w:t>Karaki</w:t>
      </w:r>
      <w:proofErr w:type="spellEnd"/>
      <w:r w:rsidRPr="00634B05">
        <w:rPr>
          <w:rFonts w:ascii="Open Sans" w:eastAsia="Calibri" w:hAnsi="Open Sans" w:cs="Open Sans"/>
          <w:kern w:val="0"/>
          <w:sz w:val="22"/>
          <w:szCs w:val="22"/>
          <w:lang w:val="nl-NL" w:eastAsia="en-GB"/>
          <w14:ligatures w14:val="none"/>
        </w:rPr>
        <w:t xml:space="preserve">, F. M., &amp; </w:t>
      </w:r>
      <w:proofErr w:type="spellStart"/>
      <w:r w:rsidRPr="00634B05">
        <w:rPr>
          <w:rFonts w:ascii="Open Sans" w:eastAsia="Calibri" w:hAnsi="Open Sans" w:cs="Open Sans"/>
          <w:kern w:val="0"/>
          <w:sz w:val="22"/>
          <w:szCs w:val="22"/>
          <w:lang w:val="nl-NL" w:eastAsia="en-GB"/>
          <w14:ligatures w14:val="none"/>
        </w:rPr>
        <w:t>Rehkopf</w:t>
      </w:r>
      <w:proofErr w:type="spellEnd"/>
      <w:r w:rsidRPr="00634B05">
        <w:rPr>
          <w:rFonts w:ascii="Open Sans" w:eastAsia="Calibri" w:hAnsi="Open Sans" w:cs="Open Sans"/>
          <w:kern w:val="0"/>
          <w:sz w:val="22"/>
          <w:szCs w:val="22"/>
          <w:lang w:val="nl-NL" w:eastAsia="en-GB"/>
          <w14:ligatures w14:val="none"/>
        </w:rPr>
        <w:t xml:space="preserve">, D. H. (2021). </w:t>
      </w:r>
      <w:r w:rsidRPr="00742342">
        <w:rPr>
          <w:rFonts w:ascii="Open Sans" w:eastAsia="Calibri" w:hAnsi="Open Sans" w:cs="Open Sans"/>
          <w:kern w:val="0"/>
          <w:sz w:val="22"/>
          <w:szCs w:val="22"/>
          <w:lang w:eastAsia="en-GB"/>
          <w14:ligatures w14:val="none"/>
        </w:rPr>
        <w:t xml:space="preserve">Public health impacts of an imminent Red Sea oil spill. </w:t>
      </w:r>
      <w:r w:rsidRPr="00742342">
        <w:rPr>
          <w:rFonts w:ascii="Open Sans" w:eastAsia="Calibri" w:hAnsi="Open Sans" w:cs="Open Sans"/>
          <w:i/>
          <w:iCs/>
          <w:kern w:val="0"/>
          <w:sz w:val="22"/>
          <w:szCs w:val="22"/>
          <w:lang w:eastAsia="en-GB"/>
          <w14:ligatures w14:val="none"/>
        </w:rPr>
        <w:t>Nature Sustainability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4</w:t>
      </w:r>
      <w:r w:rsidRPr="00742342">
        <w:rPr>
          <w:rFonts w:ascii="Open Sans" w:eastAsia="Calibri" w:hAnsi="Open Sans" w:cs="Open Sans"/>
          <w:kern w:val="0"/>
          <w:sz w:val="22"/>
          <w:szCs w:val="22"/>
          <w:lang w:eastAsia="en-GB"/>
          <w14:ligatures w14:val="none"/>
        </w:rPr>
        <w:t>(12), 1084–1091. https://doi.org/10.1038/s41893-021-00774-8</w:t>
      </w:r>
    </w:p>
    <w:p w14:paraId="2E6F818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Immordino, K. M. (2017). </w:t>
      </w:r>
      <w:r w:rsidRPr="00742342">
        <w:rPr>
          <w:rFonts w:ascii="Open Sans" w:eastAsia="Calibri" w:hAnsi="Open Sans" w:cs="Open Sans"/>
          <w:i/>
          <w:iCs/>
          <w:kern w:val="0"/>
          <w:sz w:val="22"/>
          <w:szCs w:val="22"/>
          <w:lang w:eastAsia="en-GB"/>
          <w14:ligatures w14:val="none"/>
        </w:rPr>
        <w:t>Organizational Assessment and Improvement in the Public Sector</w:t>
      </w:r>
      <w:r w:rsidRPr="00742342">
        <w:rPr>
          <w:rFonts w:ascii="Open Sans" w:eastAsia="Calibri" w:hAnsi="Open Sans" w:cs="Open Sans"/>
          <w:kern w:val="0"/>
          <w:sz w:val="22"/>
          <w:szCs w:val="22"/>
          <w:lang w:eastAsia="en-GB"/>
          <w14:ligatures w14:val="none"/>
        </w:rPr>
        <w:t>. Routledge.</w:t>
      </w:r>
    </w:p>
    <w:p w14:paraId="06C95457"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Johnson, J. S., Adkins, D., &amp; Chauvin, S. W. (2020). A Review of the Quality Indicators of Rigor in Qualitative Research. </w:t>
      </w:r>
      <w:r w:rsidRPr="00742342">
        <w:rPr>
          <w:rFonts w:ascii="Open Sans" w:eastAsia="Calibri" w:hAnsi="Open Sans" w:cs="Open Sans"/>
          <w:i/>
          <w:iCs/>
          <w:kern w:val="0"/>
          <w:sz w:val="22"/>
          <w:szCs w:val="22"/>
          <w:lang w:eastAsia="en-GB"/>
          <w14:ligatures w14:val="none"/>
        </w:rPr>
        <w:t>The American Journal of Pharmaceutical Education</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84</w:t>
      </w:r>
      <w:r w:rsidRPr="00742342">
        <w:rPr>
          <w:rFonts w:ascii="Open Sans" w:eastAsia="Calibri" w:hAnsi="Open Sans" w:cs="Open Sans"/>
          <w:kern w:val="0"/>
          <w:sz w:val="22"/>
          <w:szCs w:val="22"/>
          <w:lang w:eastAsia="en-GB"/>
          <w14:ligatures w14:val="none"/>
        </w:rPr>
        <w:t>(1), 7120. https://doi.org/10.5688/ajpe7120</w:t>
      </w:r>
    </w:p>
    <w:p w14:paraId="74B552D6"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Johnson, R. (2014). </w:t>
      </w:r>
      <w:r w:rsidRPr="00742342">
        <w:rPr>
          <w:rFonts w:ascii="Open Sans" w:eastAsia="Calibri" w:hAnsi="Open Sans" w:cs="Open Sans"/>
          <w:i/>
          <w:iCs/>
          <w:kern w:val="0"/>
          <w:sz w:val="22"/>
          <w:szCs w:val="22"/>
          <w:lang w:eastAsia="en-GB"/>
          <w14:ligatures w14:val="none"/>
        </w:rPr>
        <w:t>Security Policies and Implementation Issues: Print Bundle</w:t>
      </w:r>
      <w:r w:rsidRPr="00742342">
        <w:rPr>
          <w:rFonts w:ascii="Open Sans" w:eastAsia="Calibri" w:hAnsi="Open Sans" w:cs="Open Sans"/>
          <w:kern w:val="0"/>
          <w:sz w:val="22"/>
          <w:szCs w:val="22"/>
          <w:lang w:eastAsia="en-GB"/>
          <w14:ligatures w14:val="none"/>
        </w:rPr>
        <w:t>. Jones &amp; Bartlett Publishers.</w:t>
      </w:r>
    </w:p>
    <w:p w14:paraId="6B37D5A6"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Johnston, T., Lane, M., Casey, A. H., Williams, H., Rhoades, A. L., </w:t>
      </w:r>
      <w:proofErr w:type="spellStart"/>
      <w:r w:rsidRPr="00742342">
        <w:rPr>
          <w:rFonts w:ascii="Open Sans" w:eastAsia="Calibri" w:hAnsi="Open Sans" w:cs="Open Sans"/>
          <w:kern w:val="0"/>
          <w:sz w:val="22"/>
          <w:szCs w:val="22"/>
          <w:lang w:eastAsia="en-GB"/>
          <w14:ligatures w14:val="none"/>
        </w:rPr>
        <w:t>Sladden</w:t>
      </w:r>
      <w:proofErr w:type="spellEnd"/>
      <w:r w:rsidRPr="00742342">
        <w:rPr>
          <w:rFonts w:ascii="Open Sans" w:eastAsia="Calibri" w:hAnsi="Open Sans" w:cs="Open Sans"/>
          <w:kern w:val="0"/>
          <w:sz w:val="22"/>
          <w:szCs w:val="22"/>
          <w:lang w:eastAsia="en-GB"/>
          <w14:ligatures w14:val="none"/>
        </w:rPr>
        <w:t xml:space="preserve">, J., Vest, N., Reimer, J. R., Haberman, R., &amp; RAND Corporation. (2020). Could the Houthis Be the Next Hizballah? Iranian Proxy Development in Yemen and the Future of the Houthi Movement. In </w:t>
      </w:r>
      <w:r w:rsidRPr="00742342">
        <w:rPr>
          <w:rFonts w:ascii="Open Sans" w:eastAsia="Calibri" w:hAnsi="Open Sans" w:cs="Open Sans"/>
          <w:i/>
          <w:iCs/>
          <w:kern w:val="0"/>
          <w:sz w:val="22"/>
          <w:szCs w:val="22"/>
          <w:lang w:eastAsia="en-GB"/>
          <w14:ligatures w14:val="none"/>
        </w:rPr>
        <w:t>RAND Corporation eBooks</w:t>
      </w:r>
      <w:r w:rsidRPr="00742342">
        <w:rPr>
          <w:rFonts w:ascii="Open Sans" w:eastAsia="Calibri" w:hAnsi="Open Sans" w:cs="Open Sans"/>
          <w:kern w:val="0"/>
          <w:sz w:val="22"/>
          <w:szCs w:val="22"/>
          <w:lang w:eastAsia="en-GB"/>
          <w14:ligatures w14:val="none"/>
        </w:rPr>
        <w:t>. https://doi.org/10.7249/rr2551</w:t>
      </w:r>
    </w:p>
    <w:p w14:paraId="580C2F86"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Jones, S. G., Dobbins, J., </w:t>
      </w:r>
      <w:proofErr w:type="spellStart"/>
      <w:r w:rsidRPr="00742342">
        <w:rPr>
          <w:rFonts w:ascii="Open Sans" w:eastAsia="Calibri" w:hAnsi="Open Sans" w:cs="Open Sans"/>
          <w:kern w:val="0"/>
          <w:sz w:val="22"/>
          <w:szCs w:val="22"/>
          <w:lang w:eastAsia="en-GB"/>
          <w14:ligatures w14:val="none"/>
        </w:rPr>
        <w:t>Byman</w:t>
      </w:r>
      <w:proofErr w:type="spellEnd"/>
      <w:r w:rsidRPr="00742342">
        <w:rPr>
          <w:rFonts w:ascii="Open Sans" w:eastAsia="Calibri" w:hAnsi="Open Sans" w:cs="Open Sans"/>
          <w:kern w:val="0"/>
          <w:sz w:val="22"/>
          <w:szCs w:val="22"/>
          <w:lang w:eastAsia="en-GB"/>
          <w14:ligatures w14:val="none"/>
        </w:rPr>
        <w:t xml:space="preserve">, D., </w:t>
      </w:r>
      <w:proofErr w:type="spellStart"/>
      <w:r w:rsidRPr="00742342">
        <w:rPr>
          <w:rFonts w:ascii="Open Sans" w:eastAsia="Calibri" w:hAnsi="Open Sans" w:cs="Open Sans"/>
          <w:kern w:val="0"/>
          <w:sz w:val="22"/>
          <w:szCs w:val="22"/>
          <w:lang w:eastAsia="en-GB"/>
          <w14:ligatures w14:val="none"/>
        </w:rPr>
        <w:t>Chivvis</w:t>
      </w:r>
      <w:proofErr w:type="spellEnd"/>
      <w:r w:rsidRPr="00742342">
        <w:rPr>
          <w:rFonts w:ascii="Open Sans" w:eastAsia="Calibri" w:hAnsi="Open Sans" w:cs="Open Sans"/>
          <w:kern w:val="0"/>
          <w:sz w:val="22"/>
          <w:szCs w:val="22"/>
          <w:lang w:eastAsia="en-GB"/>
          <w14:ligatures w14:val="none"/>
        </w:rPr>
        <w:t xml:space="preserve">, C. S., </w:t>
      </w:r>
      <w:proofErr w:type="spellStart"/>
      <w:r w:rsidRPr="00742342">
        <w:rPr>
          <w:rFonts w:ascii="Open Sans" w:eastAsia="Calibri" w:hAnsi="Open Sans" w:cs="Open Sans"/>
          <w:kern w:val="0"/>
          <w:sz w:val="22"/>
          <w:szCs w:val="22"/>
          <w:lang w:eastAsia="en-GB"/>
          <w14:ligatures w14:val="none"/>
        </w:rPr>
        <w:t>Connable</w:t>
      </w:r>
      <w:proofErr w:type="spellEnd"/>
      <w:r w:rsidRPr="00742342">
        <w:rPr>
          <w:rFonts w:ascii="Open Sans" w:eastAsia="Calibri" w:hAnsi="Open Sans" w:cs="Open Sans"/>
          <w:kern w:val="0"/>
          <w:sz w:val="22"/>
          <w:szCs w:val="22"/>
          <w:lang w:eastAsia="en-GB"/>
          <w14:ligatures w14:val="none"/>
        </w:rPr>
        <w:t xml:space="preserve">, B., Martini, J., Robinson, E., &amp; Chandler, N. (2017). </w:t>
      </w:r>
      <w:r w:rsidRPr="00742342">
        <w:rPr>
          <w:rFonts w:ascii="Open Sans" w:eastAsia="Calibri" w:hAnsi="Open Sans" w:cs="Open Sans"/>
          <w:i/>
          <w:iCs/>
          <w:kern w:val="0"/>
          <w:sz w:val="22"/>
          <w:szCs w:val="22"/>
          <w:lang w:eastAsia="en-GB"/>
          <w14:ligatures w14:val="none"/>
        </w:rPr>
        <w:t>Rolling Back the Islamic State</w:t>
      </w:r>
      <w:r w:rsidRPr="00742342">
        <w:rPr>
          <w:rFonts w:ascii="Open Sans" w:eastAsia="Calibri" w:hAnsi="Open Sans" w:cs="Open Sans"/>
          <w:kern w:val="0"/>
          <w:sz w:val="22"/>
          <w:szCs w:val="22"/>
          <w:lang w:eastAsia="en-GB"/>
          <w14:ligatures w14:val="none"/>
        </w:rPr>
        <w:t>. RAND Corporation.</w:t>
      </w:r>
    </w:p>
    <w:p w14:paraId="6688090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Josselin, D., &amp; Wallace, W. (2001). </w:t>
      </w:r>
      <w:r w:rsidRPr="00742342">
        <w:rPr>
          <w:rFonts w:ascii="Open Sans" w:eastAsia="Calibri" w:hAnsi="Open Sans" w:cs="Open Sans"/>
          <w:i/>
          <w:iCs/>
          <w:kern w:val="0"/>
          <w:sz w:val="22"/>
          <w:szCs w:val="22"/>
          <w:lang w:eastAsia="en-GB"/>
          <w14:ligatures w14:val="none"/>
        </w:rPr>
        <w:t>Non-State Actors in World Politics</w:t>
      </w:r>
      <w:r w:rsidRPr="00742342">
        <w:rPr>
          <w:rFonts w:ascii="Open Sans" w:eastAsia="Calibri" w:hAnsi="Open Sans" w:cs="Open Sans"/>
          <w:kern w:val="0"/>
          <w:sz w:val="22"/>
          <w:szCs w:val="22"/>
          <w:lang w:eastAsia="en-GB"/>
          <w14:ligatures w14:val="none"/>
        </w:rPr>
        <w:t>. Palgrave Macmillan.</w:t>
      </w:r>
    </w:p>
    <w:p w14:paraId="0BCE900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Karlsrud</w:t>
      </w:r>
      <w:proofErr w:type="spellEnd"/>
      <w:r w:rsidRPr="00742342">
        <w:rPr>
          <w:rFonts w:ascii="Open Sans" w:eastAsia="Calibri" w:hAnsi="Open Sans" w:cs="Open Sans"/>
          <w:kern w:val="0"/>
          <w:sz w:val="22"/>
          <w:szCs w:val="22"/>
          <w:lang w:eastAsia="en-GB"/>
          <w14:ligatures w14:val="none"/>
        </w:rPr>
        <w:t xml:space="preserve">, J. (2013). Special Representatives of the Secretary-General as Norm Arbitrators? Understanding Bottom-up Authority in UN Peacekeeping. </w:t>
      </w:r>
      <w:r w:rsidRPr="00742342">
        <w:rPr>
          <w:rFonts w:ascii="Open Sans" w:eastAsia="Calibri" w:hAnsi="Open Sans" w:cs="Open Sans"/>
          <w:i/>
          <w:iCs/>
          <w:kern w:val="0"/>
          <w:sz w:val="22"/>
          <w:szCs w:val="22"/>
          <w:lang w:eastAsia="en-GB"/>
          <w14:ligatures w14:val="none"/>
        </w:rPr>
        <w:t>Global Governance: A Review of Multilateralism and International Organizations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19</w:t>
      </w:r>
      <w:r w:rsidRPr="00742342">
        <w:rPr>
          <w:rFonts w:ascii="Open Sans" w:eastAsia="Calibri" w:hAnsi="Open Sans" w:cs="Open Sans"/>
          <w:kern w:val="0"/>
          <w:sz w:val="22"/>
          <w:szCs w:val="22"/>
          <w:lang w:eastAsia="en-GB"/>
          <w14:ligatures w14:val="none"/>
        </w:rPr>
        <w:t>(4), 525–544. https://doi.org/10.1163/19426720-01904004</w:t>
      </w:r>
    </w:p>
    <w:p w14:paraId="0E794C5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Keohane, R. O. (2005). </w:t>
      </w:r>
      <w:r w:rsidRPr="00742342">
        <w:rPr>
          <w:rFonts w:ascii="Open Sans" w:eastAsia="Calibri" w:hAnsi="Open Sans" w:cs="Open Sans"/>
          <w:i/>
          <w:iCs/>
          <w:kern w:val="0"/>
          <w:sz w:val="22"/>
          <w:szCs w:val="22"/>
          <w:lang w:eastAsia="en-GB"/>
          <w14:ligatures w14:val="none"/>
        </w:rPr>
        <w:t>After Hegemony: Cooperation and Discord in the World Political Economy (Princeton Classic Editions)</w:t>
      </w:r>
      <w:r w:rsidRPr="00742342">
        <w:rPr>
          <w:rFonts w:ascii="Open Sans" w:eastAsia="Calibri" w:hAnsi="Open Sans" w:cs="Open Sans"/>
          <w:kern w:val="0"/>
          <w:sz w:val="22"/>
          <w:szCs w:val="22"/>
          <w:lang w:eastAsia="en-GB"/>
          <w14:ligatures w14:val="none"/>
        </w:rPr>
        <w:t xml:space="preserve"> (Revised). Princeton University Press.</w:t>
      </w:r>
    </w:p>
    <w:p w14:paraId="5E737F79"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Klotz, A., &amp; Prakash, D. (2008). </w:t>
      </w:r>
      <w:r w:rsidRPr="00742342">
        <w:rPr>
          <w:rFonts w:ascii="Open Sans" w:eastAsia="Calibri" w:hAnsi="Open Sans" w:cs="Open Sans"/>
          <w:i/>
          <w:iCs/>
          <w:kern w:val="0"/>
          <w:sz w:val="22"/>
          <w:szCs w:val="22"/>
          <w:lang w:eastAsia="en-GB"/>
          <w14:ligatures w14:val="none"/>
        </w:rPr>
        <w:t>Qualitative Methods in International Relations: A Pluralist Guide</w:t>
      </w:r>
      <w:r w:rsidRPr="00742342">
        <w:rPr>
          <w:rFonts w:ascii="Open Sans" w:eastAsia="Calibri" w:hAnsi="Open Sans" w:cs="Open Sans"/>
          <w:kern w:val="0"/>
          <w:sz w:val="22"/>
          <w:szCs w:val="22"/>
          <w:lang w:eastAsia="en-GB"/>
          <w14:ligatures w14:val="none"/>
        </w:rPr>
        <w:t>. Springer.</w:t>
      </w:r>
    </w:p>
    <w:p w14:paraId="0FEE302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Koch, M. (2009). </w:t>
      </w:r>
      <w:proofErr w:type="spellStart"/>
      <w:r w:rsidRPr="00742342">
        <w:rPr>
          <w:rFonts w:ascii="Open Sans" w:eastAsia="Calibri" w:hAnsi="Open Sans" w:cs="Open Sans"/>
          <w:kern w:val="0"/>
          <w:sz w:val="22"/>
          <w:szCs w:val="22"/>
          <w:lang w:eastAsia="en-GB"/>
          <w14:ligatures w14:val="none"/>
        </w:rPr>
        <w:t>Autonomization</w:t>
      </w:r>
      <w:proofErr w:type="spellEnd"/>
      <w:r w:rsidRPr="00742342">
        <w:rPr>
          <w:rFonts w:ascii="Open Sans" w:eastAsia="Calibri" w:hAnsi="Open Sans" w:cs="Open Sans"/>
          <w:kern w:val="0"/>
          <w:sz w:val="22"/>
          <w:szCs w:val="22"/>
          <w:lang w:eastAsia="en-GB"/>
          <w14:ligatures w14:val="none"/>
        </w:rPr>
        <w:t xml:space="preserve"> of IGOs. </w:t>
      </w:r>
      <w:r w:rsidRPr="00742342">
        <w:rPr>
          <w:rFonts w:ascii="Open Sans" w:eastAsia="Calibri" w:hAnsi="Open Sans" w:cs="Open Sans"/>
          <w:i/>
          <w:iCs/>
          <w:kern w:val="0"/>
          <w:sz w:val="22"/>
          <w:szCs w:val="22"/>
          <w:lang w:eastAsia="en-GB"/>
          <w14:ligatures w14:val="none"/>
        </w:rPr>
        <w:t>International Political Sociology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3</w:t>
      </w:r>
      <w:r w:rsidRPr="00742342">
        <w:rPr>
          <w:rFonts w:ascii="Open Sans" w:eastAsia="Calibri" w:hAnsi="Open Sans" w:cs="Open Sans"/>
          <w:kern w:val="0"/>
          <w:sz w:val="22"/>
          <w:szCs w:val="22"/>
          <w:lang w:eastAsia="en-GB"/>
          <w14:ligatures w14:val="none"/>
        </w:rPr>
        <w:t>(4), 431–448. https://doi.org/10.1111/j.1749-5687.2009.00085.x</w:t>
      </w:r>
    </w:p>
    <w:p w14:paraId="3FBB2BC7"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Kohler, J. C., &amp; Bowra, A. (2020). Exploring anti-corruption, transparency, and accountability in the World Health Organization, the United Nations Development Programme, the World Bank Group, and the Global Fund to Fight AIDS, Tuberculosis and Malaria. </w:t>
      </w:r>
      <w:r w:rsidRPr="00742342">
        <w:rPr>
          <w:rFonts w:ascii="Open Sans" w:eastAsia="Calibri" w:hAnsi="Open Sans" w:cs="Open Sans"/>
          <w:i/>
          <w:iCs/>
          <w:kern w:val="0"/>
          <w:sz w:val="22"/>
          <w:szCs w:val="22"/>
          <w:lang w:eastAsia="en-GB"/>
          <w14:ligatures w14:val="none"/>
        </w:rPr>
        <w:t>Globalization and Health</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16</w:t>
      </w:r>
      <w:r w:rsidRPr="00742342">
        <w:rPr>
          <w:rFonts w:ascii="Open Sans" w:eastAsia="Calibri" w:hAnsi="Open Sans" w:cs="Open Sans"/>
          <w:kern w:val="0"/>
          <w:sz w:val="22"/>
          <w:szCs w:val="22"/>
          <w:lang w:eastAsia="en-GB"/>
          <w14:ligatures w14:val="none"/>
        </w:rPr>
        <w:t>(1). https://doi.org/10.1186/s12992-020-00629-5</w:t>
      </w:r>
    </w:p>
    <w:p w14:paraId="0A8B4DA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Langhorne, R. (2005). The Diplomacy of Non-State Actors. </w:t>
      </w:r>
      <w:r w:rsidRPr="00742342">
        <w:rPr>
          <w:rFonts w:ascii="Open Sans" w:eastAsia="Calibri" w:hAnsi="Open Sans" w:cs="Open Sans"/>
          <w:i/>
          <w:iCs/>
          <w:kern w:val="0"/>
          <w:sz w:val="22"/>
          <w:szCs w:val="22"/>
          <w:lang w:eastAsia="en-GB"/>
          <w14:ligatures w14:val="none"/>
        </w:rPr>
        <w:t>Diplomacy &amp;Amp; Statecraft</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16</w:t>
      </w:r>
      <w:r w:rsidRPr="00742342">
        <w:rPr>
          <w:rFonts w:ascii="Open Sans" w:eastAsia="Calibri" w:hAnsi="Open Sans" w:cs="Open Sans"/>
          <w:kern w:val="0"/>
          <w:sz w:val="22"/>
          <w:szCs w:val="22"/>
          <w:lang w:eastAsia="en-GB"/>
          <w14:ligatures w14:val="none"/>
        </w:rPr>
        <w:t>(2), 331–339. https://doi.org/10.1080/09592290590948388</w:t>
      </w:r>
    </w:p>
    <w:p w14:paraId="1D2FE4A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Lhote, X. (2021, June 17). </w:t>
      </w:r>
      <w:r w:rsidRPr="00742342">
        <w:rPr>
          <w:rFonts w:ascii="Open Sans" w:eastAsia="Calibri" w:hAnsi="Open Sans" w:cs="Open Sans"/>
          <w:i/>
          <w:iCs/>
          <w:kern w:val="0"/>
          <w:sz w:val="22"/>
          <w:szCs w:val="22"/>
          <w:lang w:eastAsia="en-GB"/>
          <w14:ligatures w14:val="none"/>
        </w:rPr>
        <w:t>New conflicts require better coordination among international actors</w:t>
      </w:r>
      <w:r w:rsidRPr="00742342">
        <w:rPr>
          <w:rFonts w:ascii="Open Sans" w:eastAsia="Calibri" w:hAnsi="Open Sans" w:cs="Open Sans"/>
          <w:kern w:val="0"/>
          <w:sz w:val="22"/>
          <w:szCs w:val="22"/>
          <w:lang w:eastAsia="en-GB"/>
          <w14:ligatures w14:val="none"/>
        </w:rPr>
        <w:t>. ID4D. https://ideas4development.org/en/new-conflicts-require-better-coordination-among-international-actors/</w:t>
      </w:r>
    </w:p>
    <w:p w14:paraId="5162B4D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Lijphart</w:t>
      </w:r>
      <w:proofErr w:type="spellEnd"/>
      <w:r w:rsidRPr="00742342">
        <w:rPr>
          <w:rFonts w:ascii="Open Sans" w:eastAsia="Calibri" w:hAnsi="Open Sans" w:cs="Open Sans"/>
          <w:kern w:val="0"/>
          <w:sz w:val="22"/>
          <w:szCs w:val="22"/>
          <w:lang w:eastAsia="en-GB"/>
          <w14:ligatures w14:val="none"/>
        </w:rPr>
        <w:t xml:space="preserve">, A. (1971). Comparative Politics and the Comparative Method. </w:t>
      </w:r>
      <w:r w:rsidRPr="00742342">
        <w:rPr>
          <w:rFonts w:ascii="Open Sans" w:eastAsia="Calibri" w:hAnsi="Open Sans" w:cs="Open Sans"/>
          <w:i/>
          <w:iCs/>
          <w:kern w:val="0"/>
          <w:sz w:val="22"/>
          <w:szCs w:val="22"/>
          <w:lang w:eastAsia="en-GB"/>
          <w14:ligatures w14:val="none"/>
        </w:rPr>
        <w:t>American Political Science Review</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65</w:t>
      </w:r>
      <w:r w:rsidRPr="00742342">
        <w:rPr>
          <w:rFonts w:ascii="Open Sans" w:eastAsia="Calibri" w:hAnsi="Open Sans" w:cs="Open Sans"/>
          <w:kern w:val="0"/>
          <w:sz w:val="22"/>
          <w:szCs w:val="22"/>
          <w:lang w:eastAsia="en-GB"/>
          <w14:ligatures w14:val="none"/>
        </w:rPr>
        <w:t>(3), 682–693. https://doi.org/10.2307/1955513</w:t>
      </w:r>
    </w:p>
    <w:p w14:paraId="52C0EA28"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Lobo, M., </w:t>
      </w:r>
      <w:proofErr w:type="spellStart"/>
      <w:r w:rsidRPr="00742342">
        <w:rPr>
          <w:rFonts w:ascii="Open Sans" w:eastAsia="Calibri" w:hAnsi="Open Sans" w:cs="Open Sans"/>
          <w:kern w:val="0"/>
          <w:sz w:val="22"/>
          <w:szCs w:val="22"/>
          <w:lang w:eastAsia="en-GB"/>
          <w14:ligatures w14:val="none"/>
        </w:rPr>
        <w:t>Moeyaert</w:t>
      </w:r>
      <w:proofErr w:type="spellEnd"/>
      <w:r w:rsidRPr="00742342">
        <w:rPr>
          <w:rFonts w:ascii="Open Sans" w:eastAsia="Calibri" w:hAnsi="Open Sans" w:cs="Open Sans"/>
          <w:kern w:val="0"/>
          <w:sz w:val="22"/>
          <w:szCs w:val="22"/>
          <w:lang w:eastAsia="en-GB"/>
          <w14:ligatures w14:val="none"/>
        </w:rPr>
        <w:t xml:space="preserve">, M., Cunha, A. B., &amp; </w:t>
      </w:r>
      <w:proofErr w:type="spellStart"/>
      <w:r w:rsidRPr="00742342">
        <w:rPr>
          <w:rFonts w:ascii="Open Sans" w:eastAsia="Calibri" w:hAnsi="Open Sans" w:cs="Open Sans"/>
          <w:kern w:val="0"/>
          <w:sz w:val="22"/>
          <w:szCs w:val="22"/>
          <w:lang w:eastAsia="en-GB"/>
          <w14:ligatures w14:val="none"/>
        </w:rPr>
        <w:t>Babik</w:t>
      </w:r>
      <w:proofErr w:type="spellEnd"/>
      <w:r w:rsidRPr="00742342">
        <w:rPr>
          <w:rFonts w:ascii="Open Sans" w:eastAsia="Calibri" w:hAnsi="Open Sans" w:cs="Open Sans"/>
          <w:kern w:val="0"/>
          <w:sz w:val="22"/>
          <w:szCs w:val="22"/>
          <w:lang w:eastAsia="en-GB"/>
          <w14:ligatures w14:val="none"/>
        </w:rPr>
        <w:t xml:space="preserve">, I. (2017). Single-Case Design, Analysis, and Quality Assessment for Intervention Research. </w:t>
      </w:r>
      <w:r w:rsidRPr="00742342">
        <w:rPr>
          <w:rFonts w:ascii="Open Sans" w:eastAsia="Calibri" w:hAnsi="Open Sans" w:cs="Open Sans"/>
          <w:i/>
          <w:iCs/>
          <w:kern w:val="0"/>
          <w:sz w:val="22"/>
          <w:szCs w:val="22"/>
          <w:lang w:eastAsia="en-GB"/>
          <w14:ligatures w14:val="none"/>
        </w:rPr>
        <w:t>Journal of Neurologic Physical Therapy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41</w:t>
      </w:r>
      <w:r w:rsidRPr="00742342">
        <w:rPr>
          <w:rFonts w:ascii="Open Sans" w:eastAsia="Calibri" w:hAnsi="Open Sans" w:cs="Open Sans"/>
          <w:kern w:val="0"/>
          <w:sz w:val="22"/>
          <w:szCs w:val="22"/>
          <w:lang w:eastAsia="en-GB"/>
          <w14:ligatures w14:val="none"/>
        </w:rPr>
        <w:t>(3), 187–197. https://doi.org/10.1097/npt.0000000000000187</w:t>
      </w:r>
    </w:p>
    <w:p w14:paraId="4DE3EE0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Louis, M., &amp; Maertens, L. (2021). Why International Organizations Hate Politics. </w:t>
      </w:r>
      <w:r w:rsidRPr="00742342">
        <w:rPr>
          <w:rFonts w:ascii="Open Sans" w:eastAsia="Calibri" w:hAnsi="Open Sans" w:cs="Open Sans"/>
          <w:i/>
          <w:iCs/>
          <w:kern w:val="0"/>
          <w:sz w:val="22"/>
          <w:szCs w:val="22"/>
          <w:lang w:eastAsia="en-GB"/>
          <w14:ligatures w14:val="none"/>
        </w:rPr>
        <w:t xml:space="preserve">HAL (Le Centre Pour La Communication </w:t>
      </w:r>
      <w:proofErr w:type="spellStart"/>
      <w:r w:rsidRPr="00742342">
        <w:rPr>
          <w:rFonts w:ascii="Open Sans" w:eastAsia="Calibri" w:hAnsi="Open Sans" w:cs="Open Sans"/>
          <w:i/>
          <w:iCs/>
          <w:kern w:val="0"/>
          <w:sz w:val="22"/>
          <w:szCs w:val="22"/>
          <w:lang w:eastAsia="en-GB"/>
          <w14:ligatures w14:val="none"/>
        </w:rPr>
        <w:t>Scientifique</w:t>
      </w:r>
      <w:proofErr w:type="spellEnd"/>
      <w:r w:rsidRPr="00742342">
        <w:rPr>
          <w:rFonts w:ascii="Open Sans" w:eastAsia="Calibri" w:hAnsi="Open Sans" w:cs="Open Sans"/>
          <w:i/>
          <w:iCs/>
          <w:kern w:val="0"/>
          <w:sz w:val="22"/>
          <w:szCs w:val="22"/>
          <w:lang w:eastAsia="en-GB"/>
          <w14:ligatures w14:val="none"/>
        </w:rPr>
        <w:t xml:space="preserve"> </w:t>
      </w:r>
      <w:proofErr w:type="spellStart"/>
      <w:r w:rsidRPr="00742342">
        <w:rPr>
          <w:rFonts w:ascii="Open Sans" w:eastAsia="Calibri" w:hAnsi="Open Sans" w:cs="Open Sans"/>
          <w:i/>
          <w:iCs/>
          <w:kern w:val="0"/>
          <w:sz w:val="22"/>
          <w:szCs w:val="22"/>
          <w:lang w:eastAsia="en-GB"/>
          <w14:ligatures w14:val="none"/>
        </w:rPr>
        <w:t>Directe</w:t>
      </w:r>
      <w:proofErr w:type="spellEnd"/>
      <w:r w:rsidRPr="00742342">
        <w:rPr>
          <w:rFonts w:ascii="Open Sans" w:eastAsia="Calibri" w:hAnsi="Open Sans" w:cs="Open Sans"/>
          <w:i/>
          <w:iCs/>
          <w:kern w:val="0"/>
          <w:sz w:val="22"/>
          <w:szCs w:val="22"/>
          <w:lang w:eastAsia="en-GB"/>
          <w14:ligatures w14:val="none"/>
        </w:rPr>
        <w:t>)</w:t>
      </w:r>
      <w:r w:rsidRPr="00742342">
        <w:rPr>
          <w:rFonts w:ascii="Open Sans" w:eastAsia="Calibri" w:hAnsi="Open Sans" w:cs="Open Sans"/>
          <w:kern w:val="0"/>
          <w:sz w:val="22"/>
          <w:szCs w:val="22"/>
          <w:lang w:eastAsia="en-GB"/>
          <w14:ligatures w14:val="none"/>
        </w:rPr>
        <w:t>. https://doi.org/10.4324/9780429466984</w:t>
      </w:r>
    </w:p>
    <w:p w14:paraId="3C2E5E4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Lu, Y., </w:t>
      </w:r>
      <w:proofErr w:type="spellStart"/>
      <w:r w:rsidRPr="00742342">
        <w:rPr>
          <w:rFonts w:ascii="Open Sans" w:eastAsia="Calibri" w:hAnsi="Open Sans" w:cs="Open Sans"/>
          <w:kern w:val="0"/>
          <w:sz w:val="22"/>
          <w:szCs w:val="22"/>
          <w:lang w:eastAsia="en-GB"/>
          <w14:ligatures w14:val="none"/>
        </w:rPr>
        <w:t>Nakicenovic</w:t>
      </w:r>
      <w:proofErr w:type="spellEnd"/>
      <w:r w:rsidRPr="00742342">
        <w:rPr>
          <w:rFonts w:ascii="Open Sans" w:eastAsia="Calibri" w:hAnsi="Open Sans" w:cs="Open Sans"/>
          <w:kern w:val="0"/>
          <w:sz w:val="22"/>
          <w:szCs w:val="22"/>
          <w:lang w:eastAsia="en-GB"/>
          <w14:ligatures w14:val="none"/>
        </w:rPr>
        <w:t xml:space="preserve">, N., </w:t>
      </w:r>
      <w:proofErr w:type="spellStart"/>
      <w:r w:rsidRPr="00742342">
        <w:rPr>
          <w:rFonts w:ascii="Open Sans" w:eastAsia="Calibri" w:hAnsi="Open Sans" w:cs="Open Sans"/>
          <w:kern w:val="0"/>
          <w:sz w:val="22"/>
          <w:szCs w:val="22"/>
          <w:lang w:eastAsia="en-GB"/>
          <w14:ligatures w14:val="none"/>
        </w:rPr>
        <w:t>Visbeck</w:t>
      </w:r>
      <w:proofErr w:type="spellEnd"/>
      <w:r w:rsidRPr="00742342">
        <w:rPr>
          <w:rFonts w:ascii="Open Sans" w:eastAsia="Calibri" w:hAnsi="Open Sans" w:cs="Open Sans"/>
          <w:kern w:val="0"/>
          <w:sz w:val="22"/>
          <w:szCs w:val="22"/>
          <w:lang w:eastAsia="en-GB"/>
          <w14:ligatures w14:val="none"/>
        </w:rPr>
        <w:t xml:space="preserve">, M., &amp; </w:t>
      </w:r>
      <w:proofErr w:type="spellStart"/>
      <w:r w:rsidRPr="00742342">
        <w:rPr>
          <w:rFonts w:ascii="Open Sans" w:eastAsia="Calibri" w:hAnsi="Open Sans" w:cs="Open Sans"/>
          <w:kern w:val="0"/>
          <w:sz w:val="22"/>
          <w:szCs w:val="22"/>
          <w:lang w:eastAsia="en-GB"/>
          <w14:ligatures w14:val="none"/>
        </w:rPr>
        <w:t>Stevance</w:t>
      </w:r>
      <w:proofErr w:type="spellEnd"/>
      <w:r w:rsidRPr="00742342">
        <w:rPr>
          <w:rFonts w:ascii="Open Sans" w:eastAsia="Calibri" w:hAnsi="Open Sans" w:cs="Open Sans"/>
          <w:kern w:val="0"/>
          <w:sz w:val="22"/>
          <w:szCs w:val="22"/>
          <w:lang w:eastAsia="en-GB"/>
          <w14:ligatures w14:val="none"/>
        </w:rPr>
        <w:t xml:space="preserve">, A. (2015). Policy: Five priorities for the UN Sustainable Development Goals. </w:t>
      </w:r>
      <w:r w:rsidRPr="00742342">
        <w:rPr>
          <w:rFonts w:ascii="Open Sans" w:eastAsia="Calibri" w:hAnsi="Open Sans" w:cs="Open Sans"/>
          <w:i/>
          <w:iCs/>
          <w:kern w:val="0"/>
          <w:sz w:val="22"/>
          <w:szCs w:val="22"/>
          <w:lang w:eastAsia="en-GB"/>
          <w14:ligatures w14:val="none"/>
        </w:rPr>
        <w:t>Nature</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520</w:t>
      </w:r>
      <w:r w:rsidRPr="00742342">
        <w:rPr>
          <w:rFonts w:ascii="Open Sans" w:eastAsia="Calibri" w:hAnsi="Open Sans" w:cs="Open Sans"/>
          <w:kern w:val="0"/>
          <w:sz w:val="22"/>
          <w:szCs w:val="22"/>
          <w:lang w:eastAsia="en-GB"/>
          <w14:ligatures w14:val="none"/>
        </w:rPr>
        <w:t>(7548), 432–433. https://doi.org/10.1038/520432a</w:t>
      </w:r>
    </w:p>
    <w:p w14:paraId="59E483D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Luck, E. C. (2006). </w:t>
      </w:r>
      <w:r w:rsidRPr="00742342">
        <w:rPr>
          <w:rFonts w:ascii="Open Sans" w:eastAsia="Calibri" w:hAnsi="Open Sans" w:cs="Open Sans"/>
          <w:i/>
          <w:iCs/>
          <w:kern w:val="0"/>
          <w:sz w:val="22"/>
          <w:szCs w:val="22"/>
          <w:lang w:eastAsia="en-GB"/>
          <w14:ligatures w14:val="none"/>
        </w:rPr>
        <w:t>UN Security Council: Practice and Promise</w:t>
      </w:r>
      <w:r w:rsidRPr="00742342">
        <w:rPr>
          <w:rFonts w:ascii="Open Sans" w:eastAsia="Calibri" w:hAnsi="Open Sans" w:cs="Open Sans"/>
          <w:kern w:val="0"/>
          <w:sz w:val="22"/>
          <w:szCs w:val="22"/>
          <w:lang w:eastAsia="en-GB"/>
          <w14:ligatures w14:val="none"/>
        </w:rPr>
        <w:t>. Psychology Press.</w:t>
      </w:r>
    </w:p>
    <w:p w14:paraId="2EA1CC95"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Mahmood, F. (2013). Power versus the Sovereign Equality of States: The Veto, the P-5 and United Nations Security Council Reforms. </w:t>
      </w:r>
      <w:r w:rsidRPr="00742342">
        <w:rPr>
          <w:rFonts w:ascii="Open Sans" w:eastAsia="Calibri" w:hAnsi="Open Sans" w:cs="Open Sans"/>
          <w:i/>
          <w:iCs/>
          <w:kern w:val="0"/>
          <w:sz w:val="22"/>
          <w:szCs w:val="22"/>
          <w:lang w:eastAsia="en-GB"/>
          <w14:ligatures w14:val="none"/>
        </w:rPr>
        <w:t>Perceptions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18</w:t>
      </w:r>
      <w:r w:rsidRPr="00742342">
        <w:rPr>
          <w:rFonts w:ascii="Open Sans" w:eastAsia="Calibri" w:hAnsi="Open Sans" w:cs="Open Sans"/>
          <w:kern w:val="0"/>
          <w:sz w:val="22"/>
          <w:szCs w:val="22"/>
          <w:lang w:eastAsia="en-GB"/>
          <w14:ligatures w14:val="none"/>
        </w:rPr>
        <w:t>(4), 127–130. https://www.academia.edu/37009227/Are_International_Organisations_Principals_or_Agents_in_International_Relations</w:t>
      </w:r>
    </w:p>
    <w:p w14:paraId="103239F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McGillivray, M., Naude, W., &amp; Santos-</w:t>
      </w:r>
      <w:proofErr w:type="spellStart"/>
      <w:r w:rsidRPr="00742342">
        <w:rPr>
          <w:rFonts w:ascii="Open Sans" w:eastAsia="Calibri" w:hAnsi="Open Sans" w:cs="Open Sans"/>
          <w:kern w:val="0"/>
          <w:sz w:val="22"/>
          <w:szCs w:val="22"/>
          <w:lang w:eastAsia="en-GB"/>
          <w14:ligatures w14:val="none"/>
        </w:rPr>
        <w:t>Paulino</w:t>
      </w:r>
      <w:proofErr w:type="spellEnd"/>
      <w:r w:rsidRPr="00742342">
        <w:rPr>
          <w:rFonts w:ascii="Open Sans" w:eastAsia="Calibri" w:hAnsi="Open Sans" w:cs="Open Sans"/>
          <w:kern w:val="0"/>
          <w:sz w:val="22"/>
          <w:szCs w:val="22"/>
          <w:lang w:eastAsia="en-GB"/>
          <w14:ligatures w14:val="none"/>
        </w:rPr>
        <w:t xml:space="preserve">, A. (2011). </w:t>
      </w:r>
      <w:r w:rsidRPr="00742342">
        <w:rPr>
          <w:rFonts w:ascii="Open Sans" w:eastAsia="Calibri" w:hAnsi="Open Sans" w:cs="Open Sans"/>
          <w:i/>
          <w:iCs/>
          <w:kern w:val="0"/>
          <w:sz w:val="22"/>
          <w:szCs w:val="22"/>
          <w:lang w:eastAsia="en-GB"/>
          <w14:ligatures w14:val="none"/>
        </w:rPr>
        <w:t>Fragile States: Causes, Costs, and Responses</w:t>
      </w:r>
      <w:r w:rsidRPr="00742342">
        <w:rPr>
          <w:rFonts w:ascii="Open Sans" w:eastAsia="Calibri" w:hAnsi="Open Sans" w:cs="Open Sans"/>
          <w:kern w:val="0"/>
          <w:sz w:val="22"/>
          <w:szCs w:val="22"/>
          <w:lang w:eastAsia="en-GB"/>
          <w14:ligatures w14:val="none"/>
        </w:rPr>
        <w:t>. Oxford University Press, USA.</w:t>
      </w:r>
    </w:p>
    <w:p w14:paraId="71E55C7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McGlinchey, S., Walters, R., &amp; </w:t>
      </w:r>
      <w:proofErr w:type="spellStart"/>
      <w:r w:rsidRPr="00742342">
        <w:rPr>
          <w:rFonts w:ascii="Open Sans" w:eastAsia="Calibri" w:hAnsi="Open Sans" w:cs="Open Sans"/>
          <w:kern w:val="0"/>
          <w:sz w:val="22"/>
          <w:szCs w:val="22"/>
          <w:lang w:eastAsia="en-GB"/>
          <w14:ligatures w14:val="none"/>
        </w:rPr>
        <w:t>Scheinpflug</w:t>
      </w:r>
      <w:proofErr w:type="spellEnd"/>
      <w:r w:rsidRPr="00742342">
        <w:rPr>
          <w:rFonts w:ascii="Open Sans" w:eastAsia="Calibri" w:hAnsi="Open Sans" w:cs="Open Sans"/>
          <w:kern w:val="0"/>
          <w:sz w:val="22"/>
          <w:szCs w:val="22"/>
          <w:lang w:eastAsia="en-GB"/>
          <w14:ligatures w14:val="none"/>
        </w:rPr>
        <w:t xml:space="preserve">, C. (2017). </w:t>
      </w:r>
      <w:r w:rsidRPr="00742342">
        <w:rPr>
          <w:rFonts w:ascii="Open Sans" w:eastAsia="Calibri" w:hAnsi="Open Sans" w:cs="Open Sans"/>
          <w:i/>
          <w:iCs/>
          <w:kern w:val="0"/>
          <w:sz w:val="22"/>
          <w:szCs w:val="22"/>
          <w:lang w:eastAsia="en-GB"/>
          <w14:ligatures w14:val="none"/>
        </w:rPr>
        <w:t>International Relations Theory (E-IR Foundations)</w:t>
      </w:r>
      <w:r w:rsidRPr="00742342">
        <w:rPr>
          <w:rFonts w:ascii="Open Sans" w:eastAsia="Calibri" w:hAnsi="Open Sans" w:cs="Open Sans"/>
          <w:kern w:val="0"/>
          <w:sz w:val="22"/>
          <w:szCs w:val="22"/>
          <w:lang w:eastAsia="en-GB"/>
          <w14:ligatures w14:val="none"/>
        </w:rPr>
        <w:t>. E-International Relations.</w:t>
      </w:r>
    </w:p>
    <w:p w14:paraId="071833F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Mearsheimer, J. J. (1995). The False Promise of International Institutions. </w:t>
      </w:r>
      <w:r w:rsidRPr="00742342">
        <w:rPr>
          <w:rFonts w:ascii="Open Sans" w:eastAsia="Calibri" w:hAnsi="Open Sans" w:cs="Open Sans"/>
          <w:i/>
          <w:iCs/>
          <w:kern w:val="0"/>
          <w:sz w:val="22"/>
          <w:szCs w:val="22"/>
          <w:lang w:eastAsia="en-GB"/>
          <w14:ligatures w14:val="none"/>
        </w:rPr>
        <w:t>International Security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19</w:t>
      </w:r>
      <w:r w:rsidRPr="00742342">
        <w:rPr>
          <w:rFonts w:ascii="Open Sans" w:eastAsia="Calibri" w:hAnsi="Open Sans" w:cs="Open Sans"/>
          <w:kern w:val="0"/>
          <w:sz w:val="22"/>
          <w:szCs w:val="22"/>
          <w:lang w:eastAsia="en-GB"/>
          <w14:ligatures w14:val="none"/>
        </w:rPr>
        <w:t>(3), 5. https://doi.org/10.2307/2539078</w:t>
      </w:r>
    </w:p>
    <w:p w14:paraId="468F622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Merlingen</w:t>
      </w:r>
      <w:proofErr w:type="spellEnd"/>
      <w:r w:rsidRPr="00742342">
        <w:rPr>
          <w:rFonts w:ascii="Open Sans" w:eastAsia="Calibri" w:hAnsi="Open Sans" w:cs="Open Sans"/>
          <w:kern w:val="0"/>
          <w:sz w:val="22"/>
          <w:szCs w:val="22"/>
          <w:lang w:eastAsia="en-GB"/>
          <w14:ligatures w14:val="none"/>
        </w:rPr>
        <w:t xml:space="preserve">, M. (2003). Governmentality. </w:t>
      </w:r>
      <w:r w:rsidRPr="00742342">
        <w:rPr>
          <w:rFonts w:ascii="Open Sans" w:eastAsia="Calibri" w:hAnsi="Open Sans" w:cs="Open Sans"/>
          <w:i/>
          <w:iCs/>
          <w:kern w:val="0"/>
          <w:sz w:val="22"/>
          <w:szCs w:val="22"/>
          <w:lang w:eastAsia="en-GB"/>
          <w14:ligatures w14:val="none"/>
        </w:rPr>
        <w:t>Cooperation and Conflict</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38</w:t>
      </w:r>
      <w:r w:rsidRPr="00742342">
        <w:rPr>
          <w:rFonts w:ascii="Open Sans" w:eastAsia="Calibri" w:hAnsi="Open Sans" w:cs="Open Sans"/>
          <w:kern w:val="0"/>
          <w:sz w:val="22"/>
          <w:szCs w:val="22"/>
          <w:lang w:eastAsia="en-GB"/>
          <w14:ligatures w14:val="none"/>
        </w:rPr>
        <w:t>(4), 361–384. https://doi.org/10.1177/0010836703384002</w:t>
      </w:r>
    </w:p>
    <w:p w14:paraId="05B45113"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Morgenthau, H. J., &amp; Thompson, K. W. (1993). </w:t>
      </w:r>
      <w:r w:rsidRPr="00742342">
        <w:rPr>
          <w:rFonts w:ascii="Open Sans" w:eastAsia="Calibri" w:hAnsi="Open Sans" w:cs="Open Sans"/>
          <w:i/>
          <w:iCs/>
          <w:kern w:val="0"/>
          <w:sz w:val="22"/>
          <w:szCs w:val="22"/>
          <w:lang w:eastAsia="en-GB"/>
          <w14:ligatures w14:val="none"/>
        </w:rPr>
        <w:t>Politics Among Nations: The Struggle for Power and Peace</w:t>
      </w:r>
      <w:r w:rsidRPr="00742342">
        <w:rPr>
          <w:rFonts w:ascii="Open Sans" w:eastAsia="Calibri" w:hAnsi="Open Sans" w:cs="Open Sans"/>
          <w:kern w:val="0"/>
          <w:sz w:val="22"/>
          <w:szCs w:val="22"/>
          <w:lang w:eastAsia="en-GB"/>
          <w14:ligatures w14:val="none"/>
        </w:rPr>
        <w:t>. McGraw-Hill Education.</w:t>
      </w:r>
    </w:p>
    <w:p w14:paraId="71970B8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Nadvi, K. (2008). Global standards, global governance and the organization of global value chains. </w:t>
      </w:r>
      <w:r w:rsidRPr="00742342">
        <w:rPr>
          <w:rFonts w:ascii="Open Sans" w:eastAsia="Calibri" w:hAnsi="Open Sans" w:cs="Open Sans"/>
          <w:i/>
          <w:iCs/>
          <w:kern w:val="0"/>
          <w:sz w:val="22"/>
          <w:szCs w:val="22"/>
          <w:lang w:eastAsia="en-GB"/>
          <w14:ligatures w14:val="none"/>
        </w:rPr>
        <w:t>Journal of Economic Geography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8</w:t>
      </w:r>
      <w:r w:rsidRPr="00742342">
        <w:rPr>
          <w:rFonts w:ascii="Open Sans" w:eastAsia="Calibri" w:hAnsi="Open Sans" w:cs="Open Sans"/>
          <w:kern w:val="0"/>
          <w:sz w:val="22"/>
          <w:szCs w:val="22"/>
          <w:lang w:eastAsia="en-GB"/>
          <w14:ligatures w14:val="none"/>
        </w:rPr>
        <w:t>(3), 323–343. https://doi.org/10.1093/jeg/lbn003</w:t>
      </w:r>
    </w:p>
    <w:p w14:paraId="4AA1709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Ness, G. D., &amp; </w:t>
      </w:r>
      <w:proofErr w:type="spellStart"/>
      <w:r w:rsidRPr="00742342">
        <w:rPr>
          <w:rFonts w:ascii="Open Sans" w:eastAsia="Calibri" w:hAnsi="Open Sans" w:cs="Open Sans"/>
          <w:kern w:val="0"/>
          <w:sz w:val="22"/>
          <w:szCs w:val="22"/>
          <w:lang w:eastAsia="en-GB"/>
          <w14:ligatures w14:val="none"/>
        </w:rPr>
        <w:t>Brechin</w:t>
      </w:r>
      <w:proofErr w:type="spellEnd"/>
      <w:r w:rsidRPr="00742342">
        <w:rPr>
          <w:rFonts w:ascii="Open Sans" w:eastAsia="Calibri" w:hAnsi="Open Sans" w:cs="Open Sans"/>
          <w:kern w:val="0"/>
          <w:sz w:val="22"/>
          <w:szCs w:val="22"/>
          <w:lang w:eastAsia="en-GB"/>
          <w14:ligatures w14:val="none"/>
        </w:rPr>
        <w:t xml:space="preserve">, S. R. (1988). Bridging the gap: international organizations as organizations. </w:t>
      </w:r>
      <w:r w:rsidRPr="00742342">
        <w:rPr>
          <w:rFonts w:ascii="Open Sans" w:eastAsia="Calibri" w:hAnsi="Open Sans" w:cs="Open Sans"/>
          <w:i/>
          <w:iCs/>
          <w:kern w:val="0"/>
          <w:sz w:val="22"/>
          <w:szCs w:val="22"/>
          <w:lang w:eastAsia="en-GB"/>
          <w14:ligatures w14:val="none"/>
        </w:rPr>
        <w:t>International Organization</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42</w:t>
      </w:r>
      <w:r w:rsidRPr="00742342">
        <w:rPr>
          <w:rFonts w:ascii="Open Sans" w:eastAsia="Calibri" w:hAnsi="Open Sans" w:cs="Open Sans"/>
          <w:kern w:val="0"/>
          <w:sz w:val="22"/>
          <w:szCs w:val="22"/>
          <w:lang w:eastAsia="en-GB"/>
          <w14:ligatures w14:val="none"/>
        </w:rPr>
        <w:t>(2), 245–273. https://doi.org/10.1017/s0020818300032811</w:t>
      </w:r>
    </w:p>
    <w:p w14:paraId="2E6A1093"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Neuman, W. L. (2013). </w:t>
      </w:r>
      <w:r w:rsidRPr="00742342">
        <w:rPr>
          <w:rFonts w:ascii="Open Sans" w:eastAsia="Calibri" w:hAnsi="Open Sans" w:cs="Open Sans"/>
          <w:i/>
          <w:iCs/>
          <w:kern w:val="0"/>
          <w:sz w:val="22"/>
          <w:szCs w:val="22"/>
          <w:lang w:eastAsia="en-GB"/>
          <w14:ligatures w14:val="none"/>
        </w:rPr>
        <w:t>Social Research Methods: Qualitative and Quantitative Approaches</w:t>
      </w:r>
      <w:r w:rsidRPr="00742342">
        <w:rPr>
          <w:rFonts w:ascii="Open Sans" w:eastAsia="Calibri" w:hAnsi="Open Sans" w:cs="Open Sans"/>
          <w:kern w:val="0"/>
          <w:sz w:val="22"/>
          <w:szCs w:val="22"/>
          <w:lang w:eastAsia="en-GB"/>
          <w14:ligatures w14:val="none"/>
        </w:rPr>
        <w:t>.</w:t>
      </w:r>
    </w:p>
    <w:p w14:paraId="360AB39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Nevola, L. (2023). Beyond Riyadh: Houthi Cross-Border Aerial Warfare (2015-2022). </w:t>
      </w:r>
      <w:r w:rsidRPr="00742342">
        <w:rPr>
          <w:rFonts w:ascii="Open Sans" w:eastAsia="Calibri" w:hAnsi="Open Sans" w:cs="Open Sans"/>
          <w:i/>
          <w:iCs/>
          <w:kern w:val="0"/>
          <w:sz w:val="22"/>
          <w:szCs w:val="22"/>
          <w:lang w:eastAsia="en-GB"/>
          <w14:ligatures w14:val="none"/>
        </w:rPr>
        <w:t>ACLED</w:t>
      </w:r>
      <w:r w:rsidRPr="00742342">
        <w:rPr>
          <w:rFonts w:ascii="Open Sans" w:eastAsia="Calibri" w:hAnsi="Open Sans" w:cs="Open Sans"/>
          <w:kern w:val="0"/>
          <w:sz w:val="22"/>
          <w:szCs w:val="22"/>
          <w:lang w:eastAsia="en-GB"/>
          <w14:ligatures w14:val="none"/>
        </w:rPr>
        <w:t>. https://acleddata.com/2023/01/17/beyond-riyadh-houthi-cross-border-aerial-warfare-2015-2022/</w:t>
      </w:r>
    </w:p>
    <w:p w14:paraId="5397852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New America. (n.d.). </w:t>
      </w:r>
      <w:r w:rsidRPr="00742342">
        <w:rPr>
          <w:rFonts w:ascii="Open Sans" w:eastAsia="Calibri" w:hAnsi="Open Sans" w:cs="Open Sans"/>
          <w:i/>
          <w:iCs/>
          <w:kern w:val="0"/>
          <w:sz w:val="22"/>
          <w:szCs w:val="22"/>
          <w:lang w:eastAsia="en-GB"/>
          <w14:ligatures w14:val="none"/>
        </w:rPr>
        <w:t>Twenty-First Century Proxy Warfare: Confronting Strategic Innovation in a Multipolar World</w:t>
      </w:r>
      <w:r w:rsidRPr="00742342">
        <w:rPr>
          <w:rFonts w:ascii="Open Sans" w:eastAsia="Calibri" w:hAnsi="Open Sans" w:cs="Open Sans"/>
          <w:kern w:val="0"/>
          <w:sz w:val="22"/>
          <w:szCs w:val="22"/>
          <w:lang w:eastAsia="en-GB"/>
          <w14:ligatures w14:val="none"/>
        </w:rPr>
        <w:t>. https://www.newamerica.org/international-security/reports/twenty-first-century-proxy-warfare-confronting-strategic-innovation-multipolar-world/rethinking-proxy-warfare/</w:t>
      </w:r>
    </w:p>
    <w:p w14:paraId="76DD4F29"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Oestreich</w:t>
      </w:r>
      <w:proofErr w:type="spellEnd"/>
      <w:r w:rsidRPr="00742342">
        <w:rPr>
          <w:rFonts w:ascii="Open Sans" w:eastAsia="Calibri" w:hAnsi="Open Sans" w:cs="Open Sans"/>
          <w:kern w:val="0"/>
          <w:sz w:val="22"/>
          <w:szCs w:val="22"/>
          <w:lang w:eastAsia="en-GB"/>
          <w14:ligatures w14:val="none"/>
        </w:rPr>
        <w:t xml:space="preserve">, J. (Ed.). (2012). International Organizations as Self-Directed Actors. </w:t>
      </w:r>
      <w:r w:rsidRPr="00742342">
        <w:rPr>
          <w:rFonts w:ascii="Open Sans" w:eastAsia="Calibri" w:hAnsi="Open Sans" w:cs="Open Sans"/>
          <w:i/>
          <w:iCs/>
          <w:kern w:val="0"/>
          <w:sz w:val="22"/>
          <w:szCs w:val="22"/>
          <w:lang w:eastAsia="en-GB"/>
          <w14:ligatures w14:val="none"/>
        </w:rPr>
        <w:t>Global Institutions</w:t>
      </w:r>
      <w:r w:rsidRPr="00742342">
        <w:rPr>
          <w:rFonts w:ascii="Open Sans" w:eastAsia="Calibri" w:hAnsi="Open Sans" w:cs="Open Sans"/>
          <w:kern w:val="0"/>
          <w:sz w:val="22"/>
          <w:szCs w:val="22"/>
          <w:lang w:eastAsia="en-GB"/>
          <w14:ligatures w14:val="none"/>
        </w:rPr>
        <w:t>. https://doi.org/10.4324/9780203123782</w:t>
      </w:r>
    </w:p>
    <w:p w14:paraId="2332D819"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Office for the Coordination of Humanitarian Affairs. (2022, November 22). </w:t>
      </w:r>
      <w:r w:rsidRPr="00742342">
        <w:rPr>
          <w:rFonts w:ascii="Open Sans" w:eastAsia="Calibri" w:hAnsi="Open Sans" w:cs="Open Sans"/>
          <w:i/>
          <w:iCs/>
          <w:kern w:val="0"/>
          <w:sz w:val="22"/>
          <w:szCs w:val="22"/>
          <w:lang w:eastAsia="en-GB"/>
          <w14:ligatures w14:val="none"/>
        </w:rPr>
        <w:t>The Situation in the Middle East (Yemen) - Security Council, 9199th Meeting</w:t>
      </w:r>
      <w:r w:rsidRPr="00742342">
        <w:rPr>
          <w:rFonts w:ascii="Open Sans" w:eastAsia="Calibri" w:hAnsi="Open Sans" w:cs="Open Sans"/>
          <w:kern w:val="0"/>
          <w:sz w:val="22"/>
          <w:szCs w:val="22"/>
          <w:lang w:eastAsia="en-GB"/>
          <w14:ligatures w14:val="none"/>
        </w:rPr>
        <w:t>. media.un.org. https://media.un.org/en/asset/k1p/k1pbpwtoug</w:t>
      </w:r>
    </w:p>
    <w:p w14:paraId="709908D3"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Office of the Special Envoy of the Secretary-General for Yemen. (2018, December 13). </w:t>
      </w:r>
      <w:r w:rsidRPr="00742342">
        <w:rPr>
          <w:rFonts w:ascii="Open Sans" w:eastAsia="Calibri" w:hAnsi="Open Sans" w:cs="Open Sans"/>
          <w:i/>
          <w:iCs/>
          <w:kern w:val="0"/>
          <w:sz w:val="22"/>
          <w:szCs w:val="22"/>
          <w:lang w:eastAsia="en-GB"/>
          <w14:ligatures w14:val="none"/>
        </w:rPr>
        <w:t>Stockholm Agreement</w:t>
      </w:r>
      <w:r w:rsidRPr="00742342">
        <w:rPr>
          <w:rFonts w:ascii="Open Sans" w:eastAsia="Calibri" w:hAnsi="Open Sans" w:cs="Open Sans"/>
          <w:kern w:val="0"/>
          <w:sz w:val="22"/>
          <w:szCs w:val="22"/>
          <w:lang w:eastAsia="en-GB"/>
          <w14:ligatures w14:val="none"/>
        </w:rPr>
        <w:t xml:space="preserve"> [Press release]. https://osesgy.unmissions.org/full-text-stockholm-agreement</w:t>
      </w:r>
    </w:p>
    <w:p w14:paraId="39F48D6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Office of the Special Envoy of the Secretary-General for Yemen. (2023). </w:t>
      </w:r>
      <w:r w:rsidRPr="00742342">
        <w:rPr>
          <w:rFonts w:ascii="Open Sans" w:eastAsia="Calibri" w:hAnsi="Open Sans" w:cs="Open Sans"/>
          <w:i/>
          <w:iCs/>
          <w:kern w:val="0"/>
          <w:sz w:val="22"/>
          <w:szCs w:val="22"/>
          <w:lang w:eastAsia="en-GB"/>
          <w14:ligatures w14:val="none"/>
        </w:rPr>
        <w:t>Mandate</w:t>
      </w:r>
      <w:r w:rsidRPr="00742342">
        <w:rPr>
          <w:rFonts w:ascii="Open Sans" w:eastAsia="Calibri" w:hAnsi="Open Sans" w:cs="Open Sans"/>
          <w:kern w:val="0"/>
          <w:sz w:val="22"/>
          <w:szCs w:val="22"/>
          <w:lang w:eastAsia="en-GB"/>
          <w14:ligatures w14:val="none"/>
        </w:rPr>
        <w:t>. https://osesgy.unmissions.org/mandate</w:t>
      </w:r>
    </w:p>
    <w:p w14:paraId="75E0662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Office of the Special-Envoy of the Secretary-General for Yemen. (n.d.). </w:t>
      </w:r>
      <w:r w:rsidRPr="00742342">
        <w:rPr>
          <w:rFonts w:ascii="Open Sans" w:eastAsia="Calibri" w:hAnsi="Open Sans" w:cs="Open Sans"/>
          <w:i/>
          <w:iCs/>
          <w:kern w:val="0"/>
          <w:sz w:val="22"/>
          <w:szCs w:val="22"/>
          <w:lang w:eastAsia="en-GB"/>
          <w14:ligatures w14:val="none"/>
        </w:rPr>
        <w:t>OSESGY Resources</w:t>
      </w:r>
      <w:r w:rsidRPr="00742342">
        <w:rPr>
          <w:rFonts w:ascii="Open Sans" w:eastAsia="Calibri" w:hAnsi="Open Sans" w:cs="Open Sans"/>
          <w:kern w:val="0"/>
          <w:sz w:val="22"/>
          <w:szCs w:val="22"/>
          <w:lang w:eastAsia="en-GB"/>
          <w14:ligatures w14:val="none"/>
        </w:rPr>
        <w:t>. OSESGY Missions. https://osesgy.unmissions.org/resources</w:t>
      </w:r>
    </w:p>
    <w:p w14:paraId="3CBADA0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Office of the UN Secretary General. (2021). </w:t>
      </w:r>
      <w:r w:rsidRPr="00742342">
        <w:rPr>
          <w:rFonts w:ascii="Open Sans" w:eastAsia="Calibri" w:hAnsi="Open Sans" w:cs="Open Sans"/>
          <w:i/>
          <w:iCs/>
          <w:kern w:val="0"/>
          <w:sz w:val="22"/>
          <w:szCs w:val="22"/>
          <w:lang w:eastAsia="en-GB"/>
          <w14:ligatures w14:val="none"/>
        </w:rPr>
        <w:t>Special Envoy</w:t>
      </w:r>
      <w:r w:rsidRPr="00742342">
        <w:rPr>
          <w:rFonts w:ascii="Open Sans" w:eastAsia="Calibri" w:hAnsi="Open Sans" w:cs="Open Sans"/>
          <w:kern w:val="0"/>
          <w:sz w:val="22"/>
          <w:szCs w:val="22"/>
          <w:lang w:eastAsia="en-GB"/>
          <w14:ligatures w14:val="none"/>
        </w:rPr>
        <w:t>. United Nations Secretary General. https://www.un.org/sg/en/content/profiles/hans-grundberg</w:t>
      </w:r>
    </w:p>
    <w:p w14:paraId="674C0B73"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634B05">
        <w:rPr>
          <w:rFonts w:ascii="Open Sans" w:eastAsia="Calibri" w:hAnsi="Open Sans" w:cs="Open Sans"/>
          <w:kern w:val="0"/>
          <w:sz w:val="22"/>
          <w:szCs w:val="22"/>
          <w:lang w:val="nl-NL" w:eastAsia="en-GB"/>
          <w14:ligatures w14:val="none"/>
        </w:rPr>
        <w:t>Olsson</w:t>
      </w:r>
      <w:proofErr w:type="spellEnd"/>
      <w:r w:rsidRPr="00634B05">
        <w:rPr>
          <w:rFonts w:ascii="Open Sans" w:eastAsia="Calibri" w:hAnsi="Open Sans" w:cs="Open Sans"/>
          <w:kern w:val="0"/>
          <w:sz w:val="22"/>
          <w:szCs w:val="22"/>
          <w:lang w:val="nl-NL" w:eastAsia="en-GB"/>
          <w14:ligatures w14:val="none"/>
        </w:rPr>
        <w:t xml:space="preserve">, E. K., &amp; Verbeek, B. (2016). </w:t>
      </w:r>
      <w:r w:rsidRPr="00742342">
        <w:rPr>
          <w:rFonts w:ascii="Open Sans" w:eastAsia="Calibri" w:hAnsi="Open Sans" w:cs="Open Sans"/>
          <w:kern w:val="0"/>
          <w:sz w:val="22"/>
          <w:szCs w:val="22"/>
          <w:lang w:eastAsia="en-GB"/>
          <w14:ligatures w14:val="none"/>
        </w:rPr>
        <w:t xml:space="preserve">International </w:t>
      </w:r>
      <w:proofErr w:type="spellStart"/>
      <w:r w:rsidRPr="00742342">
        <w:rPr>
          <w:rFonts w:ascii="Open Sans" w:eastAsia="Calibri" w:hAnsi="Open Sans" w:cs="Open Sans"/>
          <w:kern w:val="0"/>
          <w:sz w:val="22"/>
          <w:szCs w:val="22"/>
          <w:lang w:eastAsia="en-GB"/>
          <w14:ligatures w14:val="none"/>
        </w:rPr>
        <w:t>organisations</w:t>
      </w:r>
      <w:proofErr w:type="spellEnd"/>
      <w:r w:rsidRPr="00742342">
        <w:rPr>
          <w:rFonts w:ascii="Open Sans" w:eastAsia="Calibri" w:hAnsi="Open Sans" w:cs="Open Sans"/>
          <w:kern w:val="0"/>
          <w:sz w:val="22"/>
          <w:szCs w:val="22"/>
          <w:lang w:eastAsia="en-GB"/>
          <w14:ligatures w14:val="none"/>
        </w:rPr>
        <w:t xml:space="preserve"> and crisis management: Do crises enable or constrain IO autonomy? </w:t>
      </w:r>
      <w:r w:rsidRPr="00742342">
        <w:rPr>
          <w:rFonts w:ascii="Open Sans" w:eastAsia="Calibri" w:hAnsi="Open Sans" w:cs="Open Sans"/>
          <w:i/>
          <w:iCs/>
          <w:kern w:val="0"/>
          <w:sz w:val="22"/>
          <w:szCs w:val="22"/>
          <w:lang w:eastAsia="en-GB"/>
          <w14:ligatures w14:val="none"/>
        </w:rPr>
        <w:t>Journal of International Relations and Development</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21</w:t>
      </w:r>
      <w:r w:rsidRPr="00742342">
        <w:rPr>
          <w:rFonts w:ascii="Open Sans" w:eastAsia="Calibri" w:hAnsi="Open Sans" w:cs="Open Sans"/>
          <w:kern w:val="0"/>
          <w:sz w:val="22"/>
          <w:szCs w:val="22"/>
          <w:lang w:eastAsia="en-GB"/>
          <w14:ligatures w14:val="none"/>
        </w:rPr>
        <w:t>(2), 275–299. https://doi.org/10.1057/s41268-016-0071-z</w:t>
      </w:r>
    </w:p>
    <w:p w14:paraId="6B6015B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634B05">
        <w:rPr>
          <w:rFonts w:ascii="Open Sans" w:eastAsia="Calibri" w:hAnsi="Open Sans" w:cs="Open Sans"/>
          <w:kern w:val="0"/>
          <w:sz w:val="22"/>
          <w:szCs w:val="22"/>
          <w:lang w:val="nl-NL" w:eastAsia="en-GB"/>
          <w14:ligatures w14:val="none"/>
        </w:rPr>
        <w:t>Olsson</w:t>
      </w:r>
      <w:proofErr w:type="spellEnd"/>
      <w:r w:rsidRPr="00634B05">
        <w:rPr>
          <w:rFonts w:ascii="Open Sans" w:eastAsia="Calibri" w:hAnsi="Open Sans" w:cs="Open Sans"/>
          <w:kern w:val="0"/>
          <w:sz w:val="22"/>
          <w:szCs w:val="22"/>
          <w:lang w:val="nl-NL" w:eastAsia="en-GB"/>
          <w14:ligatures w14:val="none"/>
        </w:rPr>
        <w:t xml:space="preserve"> Gardell, E., &amp; Verbeek, B. (2013). </w:t>
      </w:r>
      <w:r w:rsidRPr="00742342">
        <w:rPr>
          <w:rFonts w:ascii="Open Sans" w:eastAsia="Calibri" w:hAnsi="Open Sans" w:cs="Open Sans"/>
          <w:kern w:val="0"/>
          <w:sz w:val="22"/>
          <w:szCs w:val="22"/>
          <w:lang w:eastAsia="en-GB"/>
          <w14:ligatures w14:val="none"/>
        </w:rPr>
        <w:t xml:space="preserve">International Organizations and Crisis Management. In </w:t>
      </w:r>
      <w:r w:rsidRPr="00742342">
        <w:rPr>
          <w:rFonts w:ascii="Open Sans" w:eastAsia="Calibri" w:hAnsi="Open Sans" w:cs="Open Sans"/>
          <w:i/>
          <w:iCs/>
          <w:kern w:val="0"/>
          <w:sz w:val="22"/>
          <w:szCs w:val="22"/>
          <w:lang w:eastAsia="en-GB"/>
          <w14:ligatures w14:val="none"/>
        </w:rPr>
        <w:t>Handbook of International Organizations</w:t>
      </w:r>
      <w:r w:rsidRPr="00742342">
        <w:rPr>
          <w:rFonts w:ascii="Open Sans" w:eastAsia="Calibri" w:hAnsi="Open Sans" w:cs="Open Sans"/>
          <w:kern w:val="0"/>
          <w:sz w:val="22"/>
          <w:szCs w:val="22"/>
          <w:lang w:eastAsia="en-GB"/>
          <w14:ligatures w14:val="none"/>
        </w:rPr>
        <w:t xml:space="preserve"> (pp. 324–336). </w:t>
      </w:r>
      <w:proofErr w:type="spellStart"/>
      <w:r w:rsidRPr="00742342">
        <w:rPr>
          <w:rFonts w:ascii="Open Sans" w:eastAsia="Calibri" w:hAnsi="Open Sans" w:cs="Open Sans"/>
          <w:kern w:val="0"/>
          <w:sz w:val="22"/>
          <w:szCs w:val="22"/>
          <w:lang w:eastAsia="en-GB"/>
          <w14:ligatures w14:val="none"/>
        </w:rPr>
        <w:t>Routlegde</w:t>
      </w:r>
      <w:proofErr w:type="spellEnd"/>
      <w:r w:rsidRPr="00742342">
        <w:rPr>
          <w:rFonts w:ascii="Open Sans" w:eastAsia="Calibri" w:hAnsi="Open Sans" w:cs="Open Sans"/>
          <w:kern w:val="0"/>
          <w:sz w:val="22"/>
          <w:szCs w:val="22"/>
          <w:lang w:eastAsia="en-GB"/>
          <w14:ligatures w14:val="none"/>
        </w:rPr>
        <w:t>. https://www.researchgate.net/publication/281004743_International_Organizations_and_Crisis_Management</w:t>
      </w:r>
    </w:p>
    <w:p w14:paraId="602EE12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Osmańczyk, E. J. (2003). </w:t>
      </w:r>
      <w:r w:rsidRPr="00742342">
        <w:rPr>
          <w:rFonts w:ascii="Open Sans" w:eastAsia="Calibri" w:hAnsi="Open Sans" w:cs="Open Sans"/>
          <w:i/>
          <w:iCs/>
          <w:kern w:val="0"/>
          <w:sz w:val="22"/>
          <w:szCs w:val="22"/>
          <w:lang w:eastAsia="en-GB"/>
          <w14:ligatures w14:val="none"/>
        </w:rPr>
        <w:t>Encyclopedia of the United Nations and International Agreements: T to Z</w:t>
      </w:r>
      <w:r w:rsidRPr="00742342">
        <w:rPr>
          <w:rFonts w:ascii="Open Sans" w:eastAsia="Calibri" w:hAnsi="Open Sans" w:cs="Open Sans"/>
          <w:kern w:val="0"/>
          <w:sz w:val="22"/>
          <w:szCs w:val="22"/>
          <w:lang w:eastAsia="en-GB"/>
          <w14:ligatures w14:val="none"/>
        </w:rPr>
        <w:t>.</w:t>
      </w:r>
    </w:p>
    <w:p w14:paraId="017F975E"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Paczyńska, A. (2021). “New” State Actors and Conflict-Affected States: Confronting Violence, Shifting Ambitions, and Adjusting Principles. </w:t>
      </w:r>
      <w:r w:rsidRPr="00742342">
        <w:rPr>
          <w:rFonts w:ascii="Open Sans" w:eastAsia="Calibri" w:hAnsi="Open Sans" w:cs="Open Sans"/>
          <w:i/>
          <w:iCs/>
          <w:kern w:val="0"/>
          <w:sz w:val="22"/>
          <w:szCs w:val="22"/>
          <w:lang w:eastAsia="en-GB"/>
          <w14:ligatures w14:val="none"/>
        </w:rPr>
        <w:t>Frontiers in Political Science</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3</w:t>
      </w:r>
      <w:r w:rsidRPr="00742342">
        <w:rPr>
          <w:rFonts w:ascii="Open Sans" w:eastAsia="Calibri" w:hAnsi="Open Sans" w:cs="Open Sans"/>
          <w:kern w:val="0"/>
          <w:sz w:val="22"/>
          <w:szCs w:val="22"/>
          <w:lang w:eastAsia="en-GB"/>
          <w14:ligatures w14:val="none"/>
        </w:rPr>
        <w:t>. https://doi.org/10.3389/fpos.2021.663432</w:t>
      </w:r>
    </w:p>
    <w:p w14:paraId="16DEA59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Palik</w:t>
      </w:r>
      <w:proofErr w:type="spellEnd"/>
      <w:r w:rsidRPr="00742342">
        <w:rPr>
          <w:rFonts w:ascii="Open Sans" w:eastAsia="Calibri" w:hAnsi="Open Sans" w:cs="Open Sans"/>
          <w:kern w:val="0"/>
          <w:sz w:val="22"/>
          <w:szCs w:val="22"/>
          <w:lang w:eastAsia="en-GB"/>
          <w14:ligatures w14:val="none"/>
        </w:rPr>
        <w:t xml:space="preserve">, J. (2017). “Dancing on the heads of snakes”: The emergence of the Houthi movement and the role of securitizing subjectivity in Yemen’s civil war. </w:t>
      </w:r>
      <w:r w:rsidRPr="00742342">
        <w:rPr>
          <w:rFonts w:ascii="Open Sans" w:eastAsia="Calibri" w:hAnsi="Open Sans" w:cs="Open Sans"/>
          <w:i/>
          <w:iCs/>
          <w:kern w:val="0"/>
          <w:sz w:val="22"/>
          <w:szCs w:val="22"/>
          <w:lang w:eastAsia="en-GB"/>
          <w14:ligatures w14:val="none"/>
        </w:rPr>
        <w:t>Corvinus Journal of International Affairs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2</w:t>
      </w:r>
      <w:r w:rsidRPr="00742342">
        <w:rPr>
          <w:rFonts w:ascii="Open Sans" w:eastAsia="Calibri" w:hAnsi="Open Sans" w:cs="Open Sans"/>
          <w:kern w:val="0"/>
          <w:sz w:val="22"/>
          <w:szCs w:val="22"/>
          <w:lang w:eastAsia="en-GB"/>
          <w14:ligatures w14:val="none"/>
        </w:rPr>
        <w:t>(2–3), 42–56. https://doi.org/10.14267/cojourn.2017v2n2a4</w:t>
      </w:r>
    </w:p>
    <w:p w14:paraId="7683BE1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Paul, J., &amp; </w:t>
      </w:r>
      <w:proofErr w:type="spellStart"/>
      <w:r w:rsidRPr="00742342">
        <w:rPr>
          <w:rFonts w:ascii="Open Sans" w:eastAsia="Calibri" w:hAnsi="Open Sans" w:cs="Open Sans"/>
          <w:kern w:val="0"/>
          <w:sz w:val="22"/>
          <w:szCs w:val="22"/>
          <w:lang w:eastAsia="en-GB"/>
          <w14:ligatures w14:val="none"/>
        </w:rPr>
        <w:t>Nahory</w:t>
      </w:r>
      <w:proofErr w:type="spellEnd"/>
      <w:r w:rsidRPr="00742342">
        <w:rPr>
          <w:rFonts w:ascii="Open Sans" w:eastAsia="Calibri" w:hAnsi="Open Sans" w:cs="Open Sans"/>
          <w:kern w:val="0"/>
          <w:sz w:val="22"/>
          <w:szCs w:val="22"/>
          <w:lang w:eastAsia="en-GB"/>
          <w14:ligatures w14:val="none"/>
        </w:rPr>
        <w:t xml:space="preserve">, C. (2005, July 13). </w:t>
      </w:r>
      <w:r w:rsidRPr="00742342">
        <w:rPr>
          <w:rFonts w:ascii="Open Sans" w:eastAsia="Calibri" w:hAnsi="Open Sans" w:cs="Open Sans"/>
          <w:i/>
          <w:iCs/>
          <w:kern w:val="0"/>
          <w:sz w:val="22"/>
          <w:szCs w:val="22"/>
          <w:lang w:eastAsia="en-GB"/>
          <w14:ligatures w14:val="none"/>
        </w:rPr>
        <w:t>Theses Towards a Democratic Reform of the UN Security Council</w:t>
      </w:r>
      <w:r w:rsidRPr="00742342">
        <w:rPr>
          <w:rFonts w:ascii="Open Sans" w:eastAsia="Calibri" w:hAnsi="Open Sans" w:cs="Open Sans"/>
          <w:kern w:val="0"/>
          <w:sz w:val="22"/>
          <w:szCs w:val="22"/>
          <w:lang w:eastAsia="en-GB"/>
          <w14:ligatures w14:val="none"/>
        </w:rPr>
        <w:t>. https://archive.globalpolicy.org/security-council/security-council-reform/transparency-including-working-methods-and-decisionmaking-process/41131.html%3Fitemid=914.html</w:t>
      </w:r>
    </w:p>
    <w:p w14:paraId="37215A94"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Pew Research Center. (2022, February 3). Mapping the Global Muslim Population. </w:t>
      </w:r>
      <w:r w:rsidRPr="00742342">
        <w:rPr>
          <w:rFonts w:ascii="Open Sans" w:eastAsia="Calibri" w:hAnsi="Open Sans" w:cs="Open Sans"/>
          <w:i/>
          <w:iCs/>
          <w:kern w:val="0"/>
          <w:sz w:val="22"/>
          <w:szCs w:val="22"/>
          <w:lang w:eastAsia="en-GB"/>
          <w14:ligatures w14:val="none"/>
        </w:rPr>
        <w:t>Pew Research Center’s Religion &amp; Public Life Project</w:t>
      </w:r>
      <w:r w:rsidRPr="00742342">
        <w:rPr>
          <w:rFonts w:ascii="Open Sans" w:eastAsia="Calibri" w:hAnsi="Open Sans" w:cs="Open Sans"/>
          <w:kern w:val="0"/>
          <w:sz w:val="22"/>
          <w:szCs w:val="22"/>
          <w:lang w:eastAsia="en-GB"/>
          <w14:ligatures w14:val="none"/>
        </w:rPr>
        <w:t>. https://www.pewresearch.org/religion/2009/10/07/mapping-the-global-muslim-population/</w:t>
      </w:r>
    </w:p>
    <w:p w14:paraId="159CC18D"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Reinalda, B. (2014). </w:t>
      </w:r>
      <w:r w:rsidRPr="00742342">
        <w:rPr>
          <w:rFonts w:ascii="Open Sans" w:eastAsia="Calibri" w:hAnsi="Open Sans" w:cs="Open Sans"/>
          <w:i/>
          <w:iCs/>
          <w:kern w:val="0"/>
          <w:sz w:val="22"/>
          <w:szCs w:val="22"/>
          <w:lang w:eastAsia="en-GB"/>
          <w14:ligatures w14:val="none"/>
        </w:rPr>
        <w:t>Routledge Handbook of International Organization</w:t>
      </w:r>
      <w:r w:rsidRPr="00742342">
        <w:rPr>
          <w:rFonts w:ascii="Open Sans" w:eastAsia="Calibri" w:hAnsi="Open Sans" w:cs="Open Sans"/>
          <w:kern w:val="0"/>
          <w:sz w:val="22"/>
          <w:szCs w:val="22"/>
          <w:lang w:eastAsia="en-GB"/>
          <w14:ligatures w14:val="none"/>
        </w:rPr>
        <w:t>. Routledge.</w:t>
      </w:r>
    </w:p>
    <w:p w14:paraId="39B9F346"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San-Akca, B. (2017). States and Nonstate Armed Groups (NAGs) in International Relations Theory. </w:t>
      </w:r>
      <w:r w:rsidRPr="00742342">
        <w:rPr>
          <w:rFonts w:ascii="Open Sans" w:eastAsia="Calibri" w:hAnsi="Open Sans" w:cs="Open Sans"/>
          <w:i/>
          <w:iCs/>
          <w:kern w:val="0"/>
          <w:sz w:val="22"/>
          <w:szCs w:val="22"/>
          <w:lang w:eastAsia="en-GB"/>
          <w14:ligatures w14:val="none"/>
        </w:rPr>
        <w:t>Oxford Research Encyclopedia of Politics</w:t>
      </w:r>
      <w:r w:rsidRPr="00742342">
        <w:rPr>
          <w:rFonts w:ascii="Open Sans" w:eastAsia="Calibri" w:hAnsi="Open Sans" w:cs="Open Sans"/>
          <w:kern w:val="0"/>
          <w:sz w:val="22"/>
          <w:szCs w:val="22"/>
          <w:lang w:eastAsia="en-GB"/>
          <w14:ligatures w14:val="none"/>
        </w:rPr>
        <w:t>. https://doi.org/10.1093/acrefore/9780190228637.013.303</w:t>
      </w:r>
    </w:p>
    <w:p w14:paraId="2DB68EFC"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Segell</w:t>
      </w:r>
      <w:proofErr w:type="spellEnd"/>
      <w:r w:rsidRPr="00742342">
        <w:rPr>
          <w:rFonts w:ascii="Open Sans" w:eastAsia="Calibri" w:hAnsi="Open Sans" w:cs="Open Sans"/>
          <w:kern w:val="0"/>
          <w:sz w:val="22"/>
          <w:szCs w:val="22"/>
          <w:lang w:eastAsia="en-GB"/>
          <w14:ligatures w14:val="none"/>
        </w:rPr>
        <w:t xml:space="preserve">, G. (2019). Non-State Power: The Case of Hamas. </w:t>
      </w:r>
      <w:r w:rsidRPr="00742342">
        <w:rPr>
          <w:rFonts w:ascii="Open Sans" w:eastAsia="Calibri" w:hAnsi="Open Sans" w:cs="Open Sans"/>
          <w:i/>
          <w:iCs/>
          <w:kern w:val="0"/>
          <w:sz w:val="22"/>
          <w:szCs w:val="22"/>
          <w:lang w:eastAsia="en-GB"/>
          <w14:ligatures w14:val="none"/>
        </w:rPr>
        <w:t>E-International Relations</w:t>
      </w:r>
      <w:r w:rsidRPr="00742342">
        <w:rPr>
          <w:rFonts w:ascii="Open Sans" w:eastAsia="Calibri" w:hAnsi="Open Sans" w:cs="Open Sans"/>
          <w:kern w:val="0"/>
          <w:sz w:val="22"/>
          <w:szCs w:val="22"/>
          <w:lang w:eastAsia="en-GB"/>
          <w14:ligatures w14:val="none"/>
        </w:rPr>
        <w:t>. https://www.e-ir.info/2019/02/18/non-state-power-the-case-of-hamas/</w:t>
      </w:r>
    </w:p>
    <w:p w14:paraId="4F98291F" w14:textId="77777777" w:rsidR="00815AEC" w:rsidRPr="00634B05" w:rsidRDefault="00815AEC" w:rsidP="00815AEC">
      <w:pPr>
        <w:spacing w:line="360" w:lineRule="auto"/>
        <w:ind w:left="720" w:hanging="720"/>
        <w:rPr>
          <w:rFonts w:ascii="Open Sans" w:eastAsia="Calibri" w:hAnsi="Open Sans" w:cs="Open Sans"/>
          <w:kern w:val="0"/>
          <w:sz w:val="22"/>
          <w:szCs w:val="22"/>
          <w:lang w:val="nl-NL" w:eastAsia="en-GB"/>
          <w14:ligatures w14:val="none"/>
        </w:rPr>
      </w:pPr>
      <w:proofErr w:type="spellStart"/>
      <w:r w:rsidRPr="00742342">
        <w:rPr>
          <w:rFonts w:ascii="Open Sans" w:eastAsia="Calibri" w:hAnsi="Open Sans" w:cs="Open Sans"/>
          <w:kern w:val="0"/>
          <w:sz w:val="22"/>
          <w:szCs w:val="22"/>
          <w:lang w:eastAsia="en-GB"/>
          <w14:ligatures w14:val="none"/>
        </w:rPr>
        <w:t>Selvik</w:t>
      </w:r>
      <w:proofErr w:type="spellEnd"/>
      <w:r w:rsidRPr="00742342">
        <w:rPr>
          <w:rFonts w:ascii="Open Sans" w:eastAsia="Calibri" w:hAnsi="Open Sans" w:cs="Open Sans"/>
          <w:kern w:val="0"/>
          <w:sz w:val="22"/>
          <w:szCs w:val="22"/>
          <w:lang w:eastAsia="en-GB"/>
          <w14:ligatures w14:val="none"/>
        </w:rPr>
        <w:t xml:space="preserve">, K. (2015, October). </w:t>
      </w:r>
      <w:r w:rsidRPr="00742342">
        <w:rPr>
          <w:rFonts w:ascii="Open Sans" w:eastAsia="Calibri" w:hAnsi="Open Sans" w:cs="Open Sans"/>
          <w:i/>
          <w:iCs/>
          <w:kern w:val="0"/>
          <w:sz w:val="22"/>
          <w:szCs w:val="22"/>
          <w:lang w:eastAsia="en-GB"/>
          <w14:ligatures w14:val="none"/>
        </w:rPr>
        <w:t>The War in Yemen: The view from Iran</w:t>
      </w:r>
      <w:r w:rsidRPr="00742342">
        <w:rPr>
          <w:rFonts w:ascii="Open Sans" w:eastAsia="Calibri" w:hAnsi="Open Sans" w:cs="Open Sans"/>
          <w:kern w:val="0"/>
          <w:sz w:val="22"/>
          <w:szCs w:val="22"/>
          <w:lang w:eastAsia="en-GB"/>
          <w14:ligatures w14:val="none"/>
        </w:rPr>
        <w:t xml:space="preserve">. </w:t>
      </w:r>
      <w:r w:rsidRPr="00634B05">
        <w:rPr>
          <w:rFonts w:ascii="Open Sans" w:eastAsia="Calibri" w:hAnsi="Open Sans" w:cs="Open Sans"/>
          <w:kern w:val="0"/>
          <w:sz w:val="22"/>
          <w:szCs w:val="22"/>
          <w:lang w:val="nl-NL" w:eastAsia="en-GB"/>
          <w14:ligatures w14:val="none"/>
        </w:rPr>
        <w:t xml:space="preserve">CMI - Chr. Michelsen </w:t>
      </w:r>
      <w:proofErr w:type="spellStart"/>
      <w:r w:rsidRPr="00634B05">
        <w:rPr>
          <w:rFonts w:ascii="Open Sans" w:eastAsia="Calibri" w:hAnsi="Open Sans" w:cs="Open Sans"/>
          <w:kern w:val="0"/>
          <w:sz w:val="22"/>
          <w:szCs w:val="22"/>
          <w:lang w:val="nl-NL" w:eastAsia="en-GB"/>
          <w14:ligatures w14:val="none"/>
        </w:rPr>
        <w:t>Institute</w:t>
      </w:r>
      <w:proofErr w:type="spellEnd"/>
      <w:r w:rsidRPr="00634B05">
        <w:rPr>
          <w:rFonts w:ascii="Open Sans" w:eastAsia="Calibri" w:hAnsi="Open Sans" w:cs="Open Sans"/>
          <w:kern w:val="0"/>
          <w:sz w:val="22"/>
          <w:szCs w:val="22"/>
          <w:lang w:val="nl-NL" w:eastAsia="en-GB"/>
          <w14:ligatures w14:val="none"/>
        </w:rPr>
        <w:t>. https://www.cmi.no/publications/5654-war-in-yemen-the-view-from-iran</w:t>
      </w:r>
    </w:p>
    <w:p w14:paraId="1B6E605B"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Sharp, J. M. (2019). </w:t>
      </w:r>
      <w:r w:rsidRPr="00742342">
        <w:rPr>
          <w:rFonts w:ascii="Open Sans" w:eastAsia="Calibri" w:hAnsi="Open Sans" w:cs="Open Sans"/>
          <w:i/>
          <w:iCs/>
          <w:kern w:val="0"/>
          <w:sz w:val="22"/>
          <w:szCs w:val="22"/>
          <w:lang w:eastAsia="en-GB"/>
          <w14:ligatures w14:val="none"/>
        </w:rPr>
        <w:t>Yemen: Civil War and Regional Intervention</w:t>
      </w:r>
      <w:r w:rsidRPr="00742342">
        <w:rPr>
          <w:rFonts w:ascii="Open Sans" w:eastAsia="Calibri" w:hAnsi="Open Sans" w:cs="Open Sans"/>
          <w:kern w:val="0"/>
          <w:sz w:val="22"/>
          <w:szCs w:val="22"/>
          <w:lang w:eastAsia="en-GB"/>
          <w14:ligatures w14:val="none"/>
        </w:rPr>
        <w:t>. https://digital.library.unt.edu/ark:/67531/metadc795402/m1/1/high_res_d/R43960_2015Oct02.pdf</w:t>
      </w:r>
    </w:p>
    <w:p w14:paraId="74735195"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Simister</w:t>
      </w:r>
      <w:proofErr w:type="spellEnd"/>
      <w:r w:rsidRPr="00742342">
        <w:rPr>
          <w:rFonts w:ascii="Open Sans" w:eastAsia="Calibri" w:hAnsi="Open Sans" w:cs="Open Sans"/>
          <w:kern w:val="0"/>
          <w:sz w:val="22"/>
          <w:szCs w:val="22"/>
          <w:lang w:eastAsia="en-GB"/>
          <w14:ligatures w14:val="none"/>
        </w:rPr>
        <w:t xml:space="preserve">, N., &amp; Scholz, V. (2017). Process Tracing. </w:t>
      </w:r>
      <w:proofErr w:type="spellStart"/>
      <w:r w:rsidRPr="00742342">
        <w:rPr>
          <w:rFonts w:ascii="Open Sans" w:eastAsia="Calibri" w:hAnsi="Open Sans" w:cs="Open Sans"/>
          <w:i/>
          <w:iCs/>
          <w:kern w:val="0"/>
          <w:sz w:val="22"/>
          <w:szCs w:val="22"/>
          <w:lang w:eastAsia="en-GB"/>
          <w14:ligatures w14:val="none"/>
        </w:rPr>
        <w:t>Intract</w:t>
      </w:r>
      <w:proofErr w:type="spellEnd"/>
      <w:r w:rsidRPr="00742342">
        <w:rPr>
          <w:rFonts w:ascii="Open Sans" w:eastAsia="Calibri" w:hAnsi="Open Sans" w:cs="Open Sans"/>
          <w:i/>
          <w:iCs/>
          <w:kern w:val="0"/>
          <w:sz w:val="22"/>
          <w:szCs w:val="22"/>
          <w:lang w:eastAsia="en-GB"/>
          <w14:ligatures w14:val="none"/>
        </w:rPr>
        <w:t>: For Civil Society</w:t>
      </w:r>
      <w:r w:rsidRPr="00742342">
        <w:rPr>
          <w:rFonts w:ascii="Open Sans" w:eastAsia="Calibri" w:hAnsi="Open Sans" w:cs="Open Sans"/>
          <w:kern w:val="0"/>
          <w:sz w:val="22"/>
          <w:szCs w:val="22"/>
          <w:lang w:eastAsia="en-GB"/>
          <w14:ligatures w14:val="none"/>
        </w:rPr>
        <w:t>. https://www.intrac.org/resources/process-tracing/process-tracing-2/</w:t>
      </w:r>
    </w:p>
    <w:p w14:paraId="070DA8C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Singh, K. (2015). Creating Your Own Qualitative Research Approach: Selecting, Integrating and Operationalizing Philosophy, Methodology and Methods. </w:t>
      </w:r>
      <w:r w:rsidRPr="00742342">
        <w:rPr>
          <w:rFonts w:ascii="Open Sans" w:eastAsia="Calibri" w:hAnsi="Open Sans" w:cs="Open Sans"/>
          <w:i/>
          <w:iCs/>
          <w:kern w:val="0"/>
          <w:sz w:val="22"/>
          <w:szCs w:val="22"/>
          <w:lang w:eastAsia="en-GB"/>
          <w14:ligatures w14:val="none"/>
        </w:rPr>
        <w:t xml:space="preserve">Vision: </w:t>
      </w:r>
      <w:r w:rsidRPr="00742342">
        <w:rPr>
          <w:rFonts w:ascii="Open Sans" w:eastAsia="Calibri" w:hAnsi="Open Sans" w:cs="Open Sans"/>
          <w:i/>
          <w:iCs/>
          <w:kern w:val="0"/>
          <w:sz w:val="22"/>
          <w:szCs w:val="22"/>
          <w:lang w:eastAsia="en-GB"/>
          <w14:ligatures w14:val="none"/>
        </w:rPr>
        <w:lastRenderedPageBreak/>
        <w:t>The Journal of Business Perspective</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19</w:t>
      </w:r>
      <w:r w:rsidRPr="00742342">
        <w:rPr>
          <w:rFonts w:ascii="Open Sans" w:eastAsia="Calibri" w:hAnsi="Open Sans" w:cs="Open Sans"/>
          <w:kern w:val="0"/>
          <w:sz w:val="22"/>
          <w:szCs w:val="22"/>
          <w:lang w:eastAsia="en-GB"/>
          <w14:ligatures w14:val="none"/>
        </w:rPr>
        <w:t>(2), 132–146. https://doi.org/10.1177/0972262915575657</w:t>
      </w:r>
    </w:p>
    <w:p w14:paraId="320FD60C"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Spetalnick</w:t>
      </w:r>
      <w:proofErr w:type="spellEnd"/>
      <w:r w:rsidRPr="00742342">
        <w:rPr>
          <w:rFonts w:ascii="Open Sans" w:eastAsia="Calibri" w:hAnsi="Open Sans" w:cs="Open Sans"/>
          <w:kern w:val="0"/>
          <w:sz w:val="22"/>
          <w:szCs w:val="22"/>
          <w:lang w:eastAsia="en-GB"/>
          <w14:ligatures w14:val="none"/>
        </w:rPr>
        <w:t xml:space="preserve">, A. E. Y. J. L. M. (2021, January 11). U.S. plans to designate Yemen’s Houthi movement as foreign terrorist group. </w:t>
      </w:r>
      <w:r w:rsidRPr="00742342">
        <w:rPr>
          <w:rFonts w:ascii="Open Sans" w:eastAsia="Calibri" w:hAnsi="Open Sans" w:cs="Open Sans"/>
          <w:i/>
          <w:iCs/>
          <w:kern w:val="0"/>
          <w:sz w:val="22"/>
          <w:szCs w:val="22"/>
          <w:lang w:eastAsia="en-GB"/>
          <w14:ligatures w14:val="none"/>
        </w:rPr>
        <w:t>U.S.</w:t>
      </w:r>
      <w:r w:rsidRPr="00742342">
        <w:rPr>
          <w:rFonts w:ascii="Open Sans" w:eastAsia="Calibri" w:hAnsi="Open Sans" w:cs="Open Sans"/>
          <w:kern w:val="0"/>
          <w:sz w:val="22"/>
          <w:szCs w:val="22"/>
          <w:lang w:eastAsia="en-GB"/>
          <w14:ligatures w14:val="none"/>
        </w:rPr>
        <w:t xml:space="preserve"> https://www.reuters.com/article/uk-yemen-security-usa-idUKKBN29F0P3</w:t>
      </w:r>
    </w:p>
    <w:p w14:paraId="24934D59" w14:textId="77777777" w:rsidR="00815AEC" w:rsidRPr="00634B05" w:rsidRDefault="00815AEC" w:rsidP="00815AEC">
      <w:pPr>
        <w:spacing w:line="360" w:lineRule="auto"/>
        <w:ind w:left="720" w:hanging="720"/>
        <w:rPr>
          <w:rFonts w:ascii="Open Sans" w:eastAsia="Calibri" w:hAnsi="Open Sans" w:cs="Open Sans"/>
          <w:kern w:val="0"/>
          <w:sz w:val="22"/>
          <w:szCs w:val="22"/>
          <w:lang w:val="nl-NL" w:eastAsia="en-GB"/>
          <w14:ligatures w14:val="none"/>
        </w:rPr>
      </w:pPr>
      <w:r w:rsidRPr="00742342">
        <w:rPr>
          <w:rFonts w:ascii="Open Sans" w:eastAsia="Calibri" w:hAnsi="Open Sans" w:cs="Open Sans"/>
          <w:kern w:val="0"/>
          <w:sz w:val="22"/>
          <w:szCs w:val="22"/>
          <w:lang w:eastAsia="en-GB"/>
          <w14:ligatures w14:val="none"/>
        </w:rPr>
        <w:t xml:space="preserve">Staff, A. J. (2022, October 12). End of Yemen’s truce leaves civilians afraid dark days are back. </w:t>
      </w:r>
      <w:r w:rsidRPr="00634B05">
        <w:rPr>
          <w:rFonts w:ascii="Open Sans" w:eastAsia="Calibri" w:hAnsi="Open Sans" w:cs="Open Sans"/>
          <w:i/>
          <w:iCs/>
          <w:kern w:val="0"/>
          <w:sz w:val="22"/>
          <w:szCs w:val="22"/>
          <w:lang w:val="nl-NL" w:eastAsia="en-GB"/>
          <w14:ligatures w14:val="none"/>
        </w:rPr>
        <w:t xml:space="preserve">News | Al </w:t>
      </w:r>
      <w:proofErr w:type="spellStart"/>
      <w:r w:rsidRPr="00634B05">
        <w:rPr>
          <w:rFonts w:ascii="Open Sans" w:eastAsia="Calibri" w:hAnsi="Open Sans" w:cs="Open Sans"/>
          <w:i/>
          <w:iCs/>
          <w:kern w:val="0"/>
          <w:sz w:val="22"/>
          <w:szCs w:val="22"/>
          <w:lang w:val="nl-NL" w:eastAsia="en-GB"/>
          <w14:ligatures w14:val="none"/>
        </w:rPr>
        <w:t>Jazeera</w:t>
      </w:r>
      <w:proofErr w:type="spellEnd"/>
      <w:r w:rsidRPr="00634B05">
        <w:rPr>
          <w:rFonts w:ascii="Open Sans" w:eastAsia="Calibri" w:hAnsi="Open Sans" w:cs="Open Sans"/>
          <w:kern w:val="0"/>
          <w:sz w:val="22"/>
          <w:szCs w:val="22"/>
          <w:lang w:val="nl-NL" w:eastAsia="en-GB"/>
          <w14:ligatures w14:val="none"/>
        </w:rPr>
        <w:t>. https://www.aljazeera.com/news/2022/10/7/end-yemen-truce-leaves-civilians-afraid-dark-days-back</w:t>
      </w:r>
    </w:p>
    <w:p w14:paraId="420B11A5"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Staff, R. (2018, June 7). U.N.-sponsored peace talks for Yemen. </w:t>
      </w:r>
      <w:r w:rsidRPr="00742342">
        <w:rPr>
          <w:rFonts w:ascii="Open Sans" w:eastAsia="Calibri" w:hAnsi="Open Sans" w:cs="Open Sans"/>
          <w:i/>
          <w:iCs/>
          <w:kern w:val="0"/>
          <w:sz w:val="22"/>
          <w:szCs w:val="22"/>
          <w:lang w:eastAsia="en-GB"/>
          <w14:ligatures w14:val="none"/>
        </w:rPr>
        <w:t>U.S.</w:t>
      </w:r>
      <w:r w:rsidRPr="00742342">
        <w:rPr>
          <w:rFonts w:ascii="Open Sans" w:eastAsia="Calibri" w:hAnsi="Open Sans" w:cs="Open Sans"/>
          <w:kern w:val="0"/>
          <w:sz w:val="22"/>
          <w:szCs w:val="22"/>
          <w:lang w:eastAsia="en-GB"/>
          <w14:ligatures w14:val="none"/>
        </w:rPr>
        <w:t xml:space="preserve"> https://www.reuters.com/article/us-un-yemen-factbox-idUSKCN1J31M9</w:t>
      </w:r>
    </w:p>
    <w:p w14:paraId="3DB0B744"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634B05">
        <w:rPr>
          <w:rFonts w:ascii="Open Sans" w:eastAsia="Calibri" w:hAnsi="Open Sans" w:cs="Open Sans"/>
          <w:kern w:val="0"/>
          <w:sz w:val="22"/>
          <w:szCs w:val="22"/>
          <w:lang w:val="nl-NL" w:eastAsia="en-GB"/>
          <w14:ligatures w14:val="none"/>
        </w:rPr>
        <w:t xml:space="preserve">Steinwand, M. C., &amp; </w:t>
      </w:r>
      <w:proofErr w:type="spellStart"/>
      <w:r w:rsidRPr="00634B05">
        <w:rPr>
          <w:rFonts w:ascii="Open Sans" w:eastAsia="Calibri" w:hAnsi="Open Sans" w:cs="Open Sans"/>
          <w:kern w:val="0"/>
          <w:sz w:val="22"/>
          <w:szCs w:val="22"/>
          <w:lang w:val="nl-NL" w:eastAsia="en-GB"/>
          <w14:ligatures w14:val="none"/>
        </w:rPr>
        <w:t>Metternich</w:t>
      </w:r>
      <w:proofErr w:type="spellEnd"/>
      <w:r w:rsidRPr="00634B05">
        <w:rPr>
          <w:rFonts w:ascii="Open Sans" w:eastAsia="Calibri" w:hAnsi="Open Sans" w:cs="Open Sans"/>
          <w:kern w:val="0"/>
          <w:sz w:val="22"/>
          <w:szCs w:val="22"/>
          <w:lang w:val="nl-NL" w:eastAsia="en-GB"/>
          <w14:ligatures w14:val="none"/>
        </w:rPr>
        <w:t xml:space="preserve">, N. W. (2022). </w:t>
      </w:r>
      <w:r w:rsidRPr="00742342">
        <w:rPr>
          <w:rFonts w:ascii="Open Sans" w:eastAsia="Calibri" w:hAnsi="Open Sans" w:cs="Open Sans"/>
          <w:kern w:val="0"/>
          <w:sz w:val="22"/>
          <w:szCs w:val="22"/>
          <w:lang w:eastAsia="en-GB"/>
          <w14:ligatures w14:val="none"/>
        </w:rPr>
        <w:t xml:space="preserve">Who Joins and Who Fights? Explaining Tacit Coalition Behavior among Civil War Actors. </w:t>
      </w:r>
      <w:r w:rsidRPr="00742342">
        <w:rPr>
          <w:rFonts w:ascii="Open Sans" w:eastAsia="Calibri" w:hAnsi="Open Sans" w:cs="Open Sans"/>
          <w:i/>
          <w:iCs/>
          <w:kern w:val="0"/>
          <w:sz w:val="22"/>
          <w:szCs w:val="22"/>
          <w:lang w:eastAsia="en-GB"/>
          <w14:ligatures w14:val="none"/>
        </w:rPr>
        <w:t>International Studies Quarterly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66</w:t>
      </w:r>
      <w:r w:rsidRPr="00742342">
        <w:rPr>
          <w:rFonts w:ascii="Open Sans" w:eastAsia="Calibri" w:hAnsi="Open Sans" w:cs="Open Sans"/>
          <w:kern w:val="0"/>
          <w:sz w:val="22"/>
          <w:szCs w:val="22"/>
          <w:lang w:eastAsia="en-GB"/>
          <w14:ligatures w14:val="none"/>
        </w:rPr>
        <w:t>(4). https://doi.org/10.1093/isq/sqac077</w:t>
      </w:r>
    </w:p>
    <w:p w14:paraId="3F737AC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Swanborn</w:t>
      </w:r>
      <w:proofErr w:type="spellEnd"/>
      <w:r w:rsidRPr="00742342">
        <w:rPr>
          <w:rFonts w:ascii="Open Sans" w:eastAsia="Calibri" w:hAnsi="Open Sans" w:cs="Open Sans"/>
          <w:kern w:val="0"/>
          <w:sz w:val="22"/>
          <w:szCs w:val="22"/>
          <w:lang w:eastAsia="en-GB"/>
          <w14:ligatures w14:val="none"/>
        </w:rPr>
        <w:t xml:space="preserve">, P. (2010). </w:t>
      </w:r>
      <w:r w:rsidRPr="00742342">
        <w:rPr>
          <w:rFonts w:ascii="Open Sans" w:eastAsia="Calibri" w:hAnsi="Open Sans" w:cs="Open Sans"/>
          <w:i/>
          <w:iCs/>
          <w:kern w:val="0"/>
          <w:sz w:val="22"/>
          <w:szCs w:val="22"/>
          <w:lang w:eastAsia="en-GB"/>
          <w14:ligatures w14:val="none"/>
        </w:rPr>
        <w:t>Case Study Research: What, Why and How?</w:t>
      </w:r>
      <w:r w:rsidRPr="00742342">
        <w:rPr>
          <w:rFonts w:ascii="Open Sans" w:eastAsia="Calibri" w:hAnsi="Open Sans" w:cs="Open Sans"/>
          <w:kern w:val="0"/>
          <w:sz w:val="22"/>
          <w:szCs w:val="22"/>
          <w:lang w:eastAsia="en-GB"/>
          <w14:ligatures w14:val="none"/>
        </w:rPr>
        <w:t xml:space="preserve"> SAGE.</w:t>
      </w:r>
    </w:p>
    <w:p w14:paraId="4C3909C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Tan, K. H., &amp; </w:t>
      </w:r>
      <w:proofErr w:type="spellStart"/>
      <w:r w:rsidRPr="00742342">
        <w:rPr>
          <w:rFonts w:ascii="Open Sans" w:eastAsia="Calibri" w:hAnsi="Open Sans" w:cs="Open Sans"/>
          <w:kern w:val="0"/>
          <w:sz w:val="22"/>
          <w:szCs w:val="22"/>
          <w:lang w:eastAsia="en-GB"/>
          <w14:ligatures w14:val="none"/>
        </w:rPr>
        <w:t>Perudin</w:t>
      </w:r>
      <w:proofErr w:type="spellEnd"/>
      <w:r w:rsidRPr="00742342">
        <w:rPr>
          <w:rFonts w:ascii="Open Sans" w:eastAsia="Calibri" w:hAnsi="Open Sans" w:cs="Open Sans"/>
          <w:kern w:val="0"/>
          <w:sz w:val="22"/>
          <w:szCs w:val="22"/>
          <w:lang w:eastAsia="en-GB"/>
          <w14:ligatures w14:val="none"/>
        </w:rPr>
        <w:t xml:space="preserve">, A. (2019). The “Geopolitical” Factor in the Syrian Civil War: A Corpus-Based Thematic Analysis. </w:t>
      </w:r>
      <w:r w:rsidRPr="00742342">
        <w:rPr>
          <w:rFonts w:ascii="Open Sans" w:eastAsia="Calibri" w:hAnsi="Open Sans" w:cs="Open Sans"/>
          <w:i/>
          <w:iCs/>
          <w:kern w:val="0"/>
          <w:sz w:val="22"/>
          <w:szCs w:val="22"/>
          <w:lang w:eastAsia="en-GB"/>
          <w14:ligatures w14:val="none"/>
        </w:rPr>
        <w:t>SAGE Open</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9</w:t>
      </w:r>
      <w:r w:rsidRPr="00742342">
        <w:rPr>
          <w:rFonts w:ascii="Open Sans" w:eastAsia="Calibri" w:hAnsi="Open Sans" w:cs="Open Sans"/>
          <w:kern w:val="0"/>
          <w:sz w:val="22"/>
          <w:szCs w:val="22"/>
          <w:lang w:eastAsia="en-GB"/>
          <w14:ligatures w14:val="none"/>
        </w:rPr>
        <w:t>(2), 215824401985672. https://doi.org/10.1177/2158244019856729</w:t>
      </w:r>
    </w:p>
    <w:p w14:paraId="433975C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Terrill, W. A. (2014). Iranian Involvement in Yemen. </w:t>
      </w:r>
      <w:r w:rsidRPr="00742342">
        <w:rPr>
          <w:rFonts w:ascii="Open Sans" w:eastAsia="Calibri" w:hAnsi="Open Sans" w:cs="Open Sans"/>
          <w:i/>
          <w:iCs/>
          <w:kern w:val="0"/>
          <w:sz w:val="22"/>
          <w:szCs w:val="22"/>
          <w:lang w:eastAsia="en-GB"/>
          <w14:ligatures w14:val="none"/>
        </w:rPr>
        <w:t>Orbis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58</w:t>
      </w:r>
      <w:r w:rsidRPr="00742342">
        <w:rPr>
          <w:rFonts w:ascii="Open Sans" w:eastAsia="Calibri" w:hAnsi="Open Sans" w:cs="Open Sans"/>
          <w:kern w:val="0"/>
          <w:sz w:val="22"/>
          <w:szCs w:val="22"/>
          <w:lang w:eastAsia="en-GB"/>
          <w14:ligatures w14:val="none"/>
        </w:rPr>
        <w:t>(3), 429–440. https://doi.org/10.1016/j.orbis.2014.05.008</w:t>
      </w:r>
    </w:p>
    <w:p w14:paraId="0E67521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Teschke, B. (2002). Theorizing the Westphalian System of States: International Relations from Absolutism to Capitalism. </w:t>
      </w:r>
      <w:r w:rsidRPr="00742342">
        <w:rPr>
          <w:rFonts w:ascii="Open Sans" w:eastAsia="Calibri" w:hAnsi="Open Sans" w:cs="Open Sans"/>
          <w:i/>
          <w:iCs/>
          <w:kern w:val="0"/>
          <w:sz w:val="22"/>
          <w:szCs w:val="22"/>
          <w:lang w:eastAsia="en-GB"/>
          <w14:ligatures w14:val="none"/>
        </w:rPr>
        <w:t>European Journal of International Relations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8</w:t>
      </w:r>
      <w:r w:rsidRPr="00742342">
        <w:rPr>
          <w:rFonts w:ascii="Open Sans" w:eastAsia="Calibri" w:hAnsi="Open Sans" w:cs="Open Sans"/>
          <w:kern w:val="0"/>
          <w:sz w:val="22"/>
          <w:szCs w:val="22"/>
          <w:lang w:eastAsia="en-GB"/>
          <w14:ligatures w14:val="none"/>
        </w:rPr>
        <w:t>(1), 5–48. https://doi.org/10.1177/1354066102008001001</w:t>
      </w:r>
    </w:p>
    <w:p w14:paraId="2CC61D0B"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Thomas, T. S., Kiser, S. D., &amp; </w:t>
      </w:r>
      <w:proofErr w:type="spellStart"/>
      <w:r w:rsidRPr="00742342">
        <w:rPr>
          <w:rFonts w:ascii="Open Sans" w:eastAsia="Calibri" w:hAnsi="Open Sans" w:cs="Open Sans"/>
          <w:kern w:val="0"/>
          <w:sz w:val="22"/>
          <w:szCs w:val="22"/>
          <w:lang w:eastAsia="en-GB"/>
          <w14:ligatures w14:val="none"/>
        </w:rPr>
        <w:t>Casebeer</w:t>
      </w:r>
      <w:proofErr w:type="spellEnd"/>
      <w:r w:rsidRPr="00742342">
        <w:rPr>
          <w:rFonts w:ascii="Open Sans" w:eastAsia="Calibri" w:hAnsi="Open Sans" w:cs="Open Sans"/>
          <w:kern w:val="0"/>
          <w:sz w:val="22"/>
          <w:szCs w:val="22"/>
          <w:lang w:eastAsia="en-GB"/>
          <w14:ligatures w14:val="none"/>
        </w:rPr>
        <w:t xml:space="preserve">, W. D. (2005). </w:t>
      </w:r>
      <w:r w:rsidRPr="00742342">
        <w:rPr>
          <w:rFonts w:ascii="Open Sans" w:eastAsia="Calibri" w:hAnsi="Open Sans" w:cs="Open Sans"/>
          <w:i/>
          <w:iCs/>
          <w:kern w:val="0"/>
          <w:sz w:val="22"/>
          <w:szCs w:val="22"/>
          <w:lang w:eastAsia="en-GB"/>
          <w14:ligatures w14:val="none"/>
        </w:rPr>
        <w:t>Warlords Rising: Confronting Violent Non-state Actors</w:t>
      </w:r>
      <w:r w:rsidRPr="00742342">
        <w:rPr>
          <w:rFonts w:ascii="Open Sans" w:eastAsia="Calibri" w:hAnsi="Open Sans" w:cs="Open Sans"/>
          <w:kern w:val="0"/>
          <w:sz w:val="22"/>
          <w:szCs w:val="22"/>
          <w:lang w:eastAsia="en-GB"/>
          <w14:ligatures w14:val="none"/>
        </w:rPr>
        <w:t xml:space="preserve">. </w:t>
      </w:r>
      <w:proofErr w:type="spellStart"/>
      <w:r w:rsidRPr="00742342">
        <w:rPr>
          <w:rFonts w:ascii="Open Sans" w:eastAsia="Calibri" w:hAnsi="Open Sans" w:cs="Open Sans"/>
          <w:kern w:val="0"/>
          <w:sz w:val="22"/>
          <w:szCs w:val="22"/>
          <w:lang w:eastAsia="en-GB"/>
          <w14:ligatures w14:val="none"/>
        </w:rPr>
        <w:t>Adfo</w:t>
      </w:r>
      <w:proofErr w:type="spellEnd"/>
      <w:r w:rsidRPr="00742342">
        <w:rPr>
          <w:rFonts w:ascii="Open Sans" w:eastAsia="Calibri" w:hAnsi="Open Sans" w:cs="Open Sans"/>
          <w:kern w:val="0"/>
          <w:sz w:val="22"/>
          <w:szCs w:val="22"/>
          <w:lang w:eastAsia="en-GB"/>
          <w14:ligatures w14:val="none"/>
        </w:rPr>
        <w:t xml:space="preserve"> Books.</w:t>
      </w:r>
    </w:p>
    <w:p w14:paraId="47550829"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742342">
        <w:rPr>
          <w:rFonts w:ascii="Open Sans" w:eastAsia="Calibri" w:hAnsi="Open Sans" w:cs="Open Sans"/>
          <w:kern w:val="0"/>
          <w:sz w:val="22"/>
          <w:szCs w:val="22"/>
          <w:lang w:eastAsia="en-GB"/>
          <w14:ligatures w14:val="none"/>
        </w:rPr>
        <w:t>Tzanakopoulos</w:t>
      </w:r>
      <w:proofErr w:type="spellEnd"/>
      <w:r w:rsidRPr="00742342">
        <w:rPr>
          <w:rFonts w:ascii="Open Sans" w:eastAsia="Calibri" w:hAnsi="Open Sans" w:cs="Open Sans"/>
          <w:kern w:val="0"/>
          <w:sz w:val="22"/>
          <w:szCs w:val="22"/>
          <w:lang w:eastAsia="en-GB"/>
          <w14:ligatures w14:val="none"/>
        </w:rPr>
        <w:t xml:space="preserve">, A. (2013). Transparency in the Security Council. In </w:t>
      </w:r>
      <w:r w:rsidRPr="00742342">
        <w:rPr>
          <w:rFonts w:ascii="Open Sans" w:eastAsia="Calibri" w:hAnsi="Open Sans" w:cs="Open Sans"/>
          <w:i/>
          <w:iCs/>
          <w:kern w:val="0"/>
          <w:sz w:val="22"/>
          <w:szCs w:val="22"/>
          <w:lang w:eastAsia="en-GB"/>
          <w14:ligatures w14:val="none"/>
        </w:rPr>
        <w:t>Cambridge University Press eBooks</w:t>
      </w:r>
      <w:r w:rsidRPr="00742342">
        <w:rPr>
          <w:rFonts w:ascii="Open Sans" w:eastAsia="Calibri" w:hAnsi="Open Sans" w:cs="Open Sans"/>
          <w:kern w:val="0"/>
          <w:sz w:val="22"/>
          <w:szCs w:val="22"/>
          <w:lang w:eastAsia="en-GB"/>
          <w14:ligatures w14:val="none"/>
        </w:rPr>
        <w:t xml:space="preserve"> (pp. 367–391). https://doi.org/10.1017/cbo9781139108843.021</w:t>
      </w:r>
    </w:p>
    <w:p w14:paraId="2426EC94"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proofErr w:type="spellStart"/>
      <w:r w:rsidRPr="00634B05">
        <w:rPr>
          <w:rFonts w:ascii="Open Sans" w:eastAsia="Calibri" w:hAnsi="Open Sans" w:cs="Open Sans"/>
          <w:kern w:val="0"/>
          <w:sz w:val="22"/>
          <w:szCs w:val="22"/>
          <w:lang w:val="nl-NL" w:eastAsia="en-GB"/>
          <w14:ligatures w14:val="none"/>
        </w:rPr>
        <w:t>Ulriksen</w:t>
      </w:r>
      <w:proofErr w:type="spellEnd"/>
      <w:r w:rsidRPr="00634B05">
        <w:rPr>
          <w:rFonts w:ascii="Open Sans" w:eastAsia="Calibri" w:hAnsi="Open Sans" w:cs="Open Sans"/>
          <w:kern w:val="0"/>
          <w:sz w:val="22"/>
          <w:szCs w:val="22"/>
          <w:lang w:val="nl-NL" w:eastAsia="en-GB"/>
          <w14:ligatures w14:val="none"/>
        </w:rPr>
        <w:t xml:space="preserve">, M. S., &amp; </w:t>
      </w:r>
      <w:proofErr w:type="spellStart"/>
      <w:r w:rsidRPr="00634B05">
        <w:rPr>
          <w:rFonts w:ascii="Open Sans" w:eastAsia="Calibri" w:hAnsi="Open Sans" w:cs="Open Sans"/>
          <w:kern w:val="0"/>
          <w:sz w:val="22"/>
          <w:szCs w:val="22"/>
          <w:lang w:val="nl-NL" w:eastAsia="en-GB"/>
          <w14:ligatures w14:val="none"/>
        </w:rPr>
        <w:t>Dadalauri</w:t>
      </w:r>
      <w:proofErr w:type="spellEnd"/>
      <w:r w:rsidRPr="00634B05">
        <w:rPr>
          <w:rFonts w:ascii="Open Sans" w:eastAsia="Calibri" w:hAnsi="Open Sans" w:cs="Open Sans"/>
          <w:kern w:val="0"/>
          <w:sz w:val="22"/>
          <w:szCs w:val="22"/>
          <w:lang w:val="nl-NL" w:eastAsia="en-GB"/>
          <w14:ligatures w14:val="none"/>
        </w:rPr>
        <w:t xml:space="preserve">, N. (2016). </w:t>
      </w:r>
      <w:r w:rsidRPr="00742342">
        <w:rPr>
          <w:rFonts w:ascii="Open Sans" w:eastAsia="Calibri" w:hAnsi="Open Sans" w:cs="Open Sans"/>
          <w:kern w:val="0"/>
          <w:sz w:val="22"/>
          <w:szCs w:val="22"/>
          <w:lang w:eastAsia="en-GB"/>
          <w14:ligatures w14:val="none"/>
        </w:rPr>
        <w:t xml:space="preserve">Single case studies and theory-testing: the knots and dots of the process-tracing method. </w:t>
      </w:r>
      <w:r w:rsidRPr="00742342">
        <w:rPr>
          <w:rFonts w:ascii="Open Sans" w:eastAsia="Calibri" w:hAnsi="Open Sans" w:cs="Open Sans"/>
          <w:i/>
          <w:iCs/>
          <w:kern w:val="0"/>
          <w:sz w:val="22"/>
          <w:szCs w:val="22"/>
          <w:lang w:eastAsia="en-GB"/>
          <w14:ligatures w14:val="none"/>
        </w:rPr>
        <w:t>International Journal of Social Research Methodology</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19</w:t>
      </w:r>
      <w:r w:rsidRPr="00742342">
        <w:rPr>
          <w:rFonts w:ascii="Open Sans" w:eastAsia="Calibri" w:hAnsi="Open Sans" w:cs="Open Sans"/>
          <w:kern w:val="0"/>
          <w:sz w:val="22"/>
          <w:szCs w:val="22"/>
          <w:lang w:eastAsia="en-GB"/>
          <w14:ligatures w14:val="none"/>
        </w:rPr>
        <w:t>(2), 223–239. https://doi.org/10.1080/13645579.2014.979718</w:t>
      </w:r>
    </w:p>
    <w:p w14:paraId="044EC1E3"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UN Foundation. (n.d.). </w:t>
      </w:r>
      <w:r w:rsidRPr="00742342">
        <w:rPr>
          <w:rFonts w:ascii="Open Sans" w:eastAsia="Calibri" w:hAnsi="Open Sans" w:cs="Open Sans"/>
          <w:i/>
          <w:iCs/>
          <w:kern w:val="0"/>
          <w:sz w:val="22"/>
          <w:szCs w:val="22"/>
          <w:lang w:eastAsia="en-GB"/>
          <w14:ligatures w14:val="none"/>
        </w:rPr>
        <w:t>Yemen: A Brief Background</w:t>
      </w:r>
      <w:r w:rsidRPr="00742342">
        <w:rPr>
          <w:rFonts w:ascii="Open Sans" w:eastAsia="Calibri" w:hAnsi="Open Sans" w:cs="Open Sans"/>
          <w:kern w:val="0"/>
          <w:sz w:val="22"/>
          <w:szCs w:val="22"/>
          <w:lang w:eastAsia="en-GB"/>
          <w14:ligatures w14:val="none"/>
        </w:rPr>
        <w:t>. unfoundation.org. https://unfoundation.org/what-we-do/issues/peace-human-rights-and-humanitarian-response/yemen-a-brief-background/</w:t>
      </w:r>
    </w:p>
    <w:p w14:paraId="5C70C5F4"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(n.d.-a). </w:t>
      </w:r>
      <w:r w:rsidRPr="00742342">
        <w:rPr>
          <w:rFonts w:ascii="Open Sans" w:eastAsia="Calibri" w:hAnsi="Open Sans" w:cs="Open Sans"/>
          <w:i/>
          <w:iCs/>
          <w:kern w:val="0"/>
          <w:sz w:val="22"/>
          <w:szCs w:val="22"/>
          <w:lang w:eastAsia="en-GB"/>
          <w14:ligatures w14:val="none"/>
        </w:rPr>
        <w:t>Deliver Humanitarian Aid | United Nations</w:t>
      </w:r>
      <w:r w:rsidRPr="00742342">
        <w:rPr>
          <w:rFonts w:ascii="Open Sans" w:eastAsia="Calibri" w:hAnsi="Open Sans" w:cs="Open Sans"/>
          <w:kern w:val="0"/>
          <w:sz w:val="22"/>
          <w:szCs w:val="22"/>
          <w:lang w:eastAsia="en-GB"/>
          <w14:ligatures w14:val="none"/>
        </w:rPr>
        <w:t>. https://www.un.org/en/our-work/deliver-humanitarian-aid#:~:text=The%20Office%20for%20the%20Coordination,responsible%20for%20providing%20emergency%20relief.</w:t>
      </w:r>
    </w:p>
    <w:p w14:paraId="6D670D16"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(n.d.-b). </w:t>
      </w:r>
      <w:r w:rsidRPr="00742342">
        <w:rPr>
          <w:rFonts w:ascii="Open Sans" w:eastAsia="Calibri" w:hAnsi="Open Sans" w:cs="Open Sans"/>
          <w:i/>
          <w:iCs/>
          <w:kern w:val="0"/>
          <w:sz w:val="22"/>
          <w:szCs w:val="22"/>
          <w:lang w:eastAsia="en-GB"/>
          <w14:ligatures w14:val="none"/>
        </w:rPr>
        <w:t>United Nations Charter (full text) | United Nations</w:t>
      </w:r>
      <w:r w:rsidRPr="00742342">
        <w:rPr>
          <w:rFonts w:ascii="Open Sans" w:eastAsia="Calibri" w:hAnsi="Open Sans" w:cs="Open Sans"/>
          <w:kern w:val="0"/>
          <w:sz w:val="22"/>
          <w:szCs w:val="22"/>
          <w:lang w:eastAsia="en-GB"/>
          <w14:ligatures w14:val="none"/>
        </w:rPr>
        <w:t>. https://www.un.org/en/about-us/un-charter/full-text</w:t>
      </w:r>
    </w:p>
    <w:p w14:paraId="256DF0F7"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(2022, October 13). </w:t>
      </w:r>
      <w:r w:rsidRPr="00742342">
        <w:rPr>
          <w:rFonts w:ascii="Open Sans" w:eastAsia="Calibri" w:hAnsi="Open Sans" w:cs="Open Sans"/>
          <w:i/>
          <w:iCs/>
          <w:kern w:val="0"/>
          <w:sz w:val="22"/>
          <w:szCs w:val="22"/>
          <w:lang w:eastAsia="en-GB"/>
          <w14:ligatures w14:val="none"/>
        </w:rPr>
        <w:t>Yemen: End of nationwide truce heralds ‘heightened risk of war’, Security Council hears</w:t>
      </w:r>
      <w:r w:rsidRPr="00742342">
        <w:rPr>
          <w:rFonts w:ascii="Open Sans" w:eastAsia="Calibri" w:hAnsi="Open Sans" w:cs="Open Sans"/>
          <w:kern w:val="0"/>
          <w:sz w:val="22"/>
          <w:szCs w:val="22"/>
          <w:lang w:eastAsia="en-GB"/>
          <w14:ligatures w14:val="none"/>
        </w:rPr>
        <w:t>. UN News. https://news.un.org/en/story/2022/10/1129517</w:t>
      </w:r>
    </w:p>
    <w:p w14:paraId="05C203D5"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in Yemen. (2022, May 30). </w:t>
      </w:r>
      <w:r w:rsidRPr="00742342">
        <w:rPr>
          <w:rFonts w:ascii="Open Sans" w:eastAsia="Calibri" w:hAnsi="Open Sans" w:cs="Open Sans"/>
          <w:i/>
          <w:iCs/>
          <w:kern w:val="0"/>
          <w:sz w:val="22"/>
          <w:szCs w:val="22"/>
          <w:lang w:eastAsia="en-GB"/>
          <w14:ligatures w14:val="none"/>
        </w:rPr>
        <w:t>UN Explainer on the FSO Safer</w:t>
      </w:r>
      <w:r w:rsidRPr="00742342">
        <w:rPr>
          <w:rFonts w:ascii="Open Sans" w:eastAsia="Calibri" w:hAnsi="Open Sans" w:cs="Open Sans"/>
          <w:kern w:val="0"/>
          <w:sz w:val="22"/>
          <w:szCs w:val="22"/>
          <w:lang w:eastAsia="en-GB"/>
          <w14:ligatures w14:val="none"/>
        </w:rPr>
        <w:t xml:space="preserve"> [Press release].</w:t>
      </w:r>
    </w:p>
    <w:p w14:paraId="7F19BC85"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News. (2016, October 22). </w:t>
      </w:r>
      <w:r w:rsidRPr="00742342">
        <w:rPr>
          <w:rFonts w:ascii="Open Sans" w:eastAsia="Calibri" w:hAnsi="Open Sans" w:cs="Open Sans"/>
          <w:i/>
          <w:iCs/>
          <w:kern w:val="0"/>
          <w:sz w:val="22"/>
          <w:szCs w:val="22"/>
          <w:lang w:eastAsia="en-GB"/>
          <w14:ligatures w14:val="none"/>
        </w:rPr>
        <w:t>Yemen: UN envoy urges 72-hour extension of ceasefire</w:t>
      </w:r>
      <w:r w:rsidRPr="00742342">
        <w:rPr>
          <w:rFonts w:ascii="Open Sans" w:eastAsia="Calibri" w:hAnsi="Open Sans" w:cs="Open Sans"/>
          <w:kern w:val="0"/>
          <w:sz w:val="22"/>
          <w:szCs w:val="22"/>
          <w:lang w:eastAsia="en-GB"/>
          <w14:ligatures w14:val="none"/>
        </w:rPr>
        <w:t>. UN News. https://news.un.org/en/story/2016/10/543502-yemen-un-envoy-urges-72-hour-extension-ceasefire</w:t>
      </w:r>
    </w:p>
    <w:p w14:paraId="196238B9"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Population Fund. (2023, March 29). </w:t>
      </w:r>
      <w:r w:rsidRPr="00742342">
        <w:rPr>
          <w:rFonts w:ascii="Open Sans" w:eastAsia="Calibri" w:hAnsi="Open Sans" w:cs="Open Sans"/>
          <w:i/>
          <w:iCs/>
          <w:kern w:val="0"/>
          <w:sz w:val="22"/>
          <w:szCs w:val="22"/>
          <w:lang w:eastAsia="en-GB"/>
          <w14:ligatures w14:val="none"/>
        </w:rPr>
        <w:t>Yemen: The world’s largest humanitarian crisis</w:t>
      </w:r>
      <w:r w:rsidRPr="00742342">
        <w:rPr>
          <w:rFonts w:ascii="Open Sans" w:eastAsia="Calibri" w:hAnsi="Open Sans" w:cs="Open Sans"/>
          <w:kern w:val="0"/>
          <w:sz w:val="22"/>
          <w:szCs w:val="22"/>
          <w:lang w:eastAsia="en-GB"/>
          <w14:ligatures w14:val="none"/>
        </w:rPr>
        <w:t>. https://www.unfpa.org/yemen#:~:text=Yemen%20remains%20one%20of%20the,table%20and%20access%20basic%20services.</w:t>
      </w:r>
    </w:p>
    <w:p w14:paraId="6826D52A"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Press. (2022, February 15). </w:t>
      </w:r>
      <w:r w:rsidRPr="00742342">
        <w:rPr>
          <w:rFonts w:ascii="Open Sans" w:eastAsia="Calibri" w:hAnsi="Open Sans" w:cs="Open Sans"/>
          <w:i/>
          <w:iCs/>
          <w:kern w:val="0"/>
          <w:sz w:val="22"/>
          <w:szCs w:val="22"/>
          <w:lang w:eastAsia="en-GB"/>
          <w14:ligatures w14:val="none"/>
        </w:rPr>
        <w:t>Despite Military Escalation, Increased Humanitarian Crisis in Yemen, ‘a Way Out of This War’ Still Exists, Special Envoy Tells Security Council | UN Press</w:t>
      </w:r>
      <w:r w:rsidRPr="00742342">
        <w:rPr>
          <w:rFonts w:ascii="Open Sans" w:eastAsia="Calibri" w:hAnsi="Open Sans" w:cs="Open Sans"/>
          <w:kern w:val="0"/>
          <w:sz w:val="22"/>
          <w:szCs w:val="22"/>
          <w:lang w:eastAsia="en-GB"/>
          <w14:ligatures w14:val="none"/>
        </w:rPr>
        <w:t>. UN  Meetings Coverage and Press Releases. https://press.un.org/en/2022/sc14793.doc.htm</w:t>
      </w:r>
    </w:p>
    <w:p w14:paraId="34CCA2CC"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Press. (2023, April 17). </w:t>
      </w:r>
      <w:r w:rsidRPr="00742342">
        <w:rPr>
          <w:rFonts w:ascii="Open Sans" w:eastAsia="Calibri" w:hAnsi="Open Sans" w:cs="Open Sans"/>
          <w:i/>
          <w:iCs/>
          <w:kern w:val="0"/>
          <w:sz w:val="22"/>
          <w:szCs w:val="22"/>
          <w:lang w:eastAsia="en-GB"/>
          <w14:ligatures w14:val="none"/>
        </w:rPr>
        <w:t>Truce Providing Serious Opportunity for Ending Yemen’s Long Conflict, Briefers Tell Security Council | UN Press</w:t>
      </w:r>
      <w:r w:rsidRPr="00742342">
        <w:rPr>
          <w:rFonts w:ascii="Open Sans" w:eastAsia="Calibri" w:hAnsi="Open Sans" w:cs="Open Sans"/>
          <w:kern w:val="0"/>
          <w:sz w:val="22"/>
          <w:szCs w:val="22"/>
          <w:lang w:eastAsia="en-GB"/>
          <w14:ligatures w14:val="none"/>
        </w:rPr>
        <w:t>. United Nations Meetings Coverage and Press Releases. https://press.un.org/en/2023/sc15258.doc.htm</w:t>
      </w:r>
    </w:p>
    <w:p w14:paraId="298E2D39"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Secretary-General. (1999, January 22). </w:t>
      </w:r>
      <w:r w:rsidRPr="00742342">
        <w:rPr>
          <w:rFonts w:ascii="Open Sans" w:eastAsia="Calibri" w:hAnsi="Open Sans" w:cs="Open Sans"/>
          <w:i/>
          <w:iCs/>
          <w:kern w:val="0"/>
          <w:sz w:val="22"/>
          <w:szCs w:val="22"/>
          <w:lang w:eastAsia="en-GB"/>
          <w14:ligatures w14:val="none"/>
        </w:rPr>
        <w:t>Podium: Impartiality does not mean neutrality | United Nations Secretary-General</w:t>
      </w:r>
      <w:r w:rsidRPr="00742342">
        <w:rPr>
          <w:rFonts w:ascii="Open Sans" w:eastAsia="Calibri" w:hAnsi="Open Sans" w:cs="Open Sans"/>
          <w:kern w:val="0"/>
          <w:sz w:val="22"/>
          <w:szCs w:val="22"/>
          <w:lang w:eastAsia="en-GB"/>
          <w14:ligatures w14:val="none"/>
        </w:rPr>
        <w:t xml:space="preserve">. United Nations. </w:t>
      </w:r>
      <w:r w:rsidRPr="00742342">
        <w:rPr>
          <w:rFonts w:ascii="Open Sans" w:eastAsia="Calibri" w:hAnsi="Open Sans" w:cs="Open Sans"/>
          <w:kern w:val="0"/>
          <w:sz w:val="22"/>
          <w:szCs w:val="22"/>
          <w:lang w:eastAsia="en-GB"/>
          <w14:ligatures w14:val="none"/>
        </w:rPr>
        <w:lastRenderedPageBreak/>
        <w:t>https://www.un.org/sg/en/content/sg/articles/1999-01-22/podium-impartiality-does-not-mean-neutrality</w:t>
      </w:r>
    </w:p>
    <w:p w14:paraId="4E69B7A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Security Council. (2015a, February 15). </w:t>
      </w:r>
      <w:r w:rsidRPr="00742342">
        <w:rPr>
          <w:rFonts w:ascii="Open Sans" w:eastAsia="Calibri" w:hAnsi="Open Sans" w:cs="Open Sans"/>
          <w:i/>
          <w:iCs/>
          <w:kern w:val="0"/>
          <w:sz w:val="22"/>
          <w:szCs w:val="22"/>
          <w:lang w:eastAsia="en-GB"/>
          <w14:ligatures w14:val="none"/>
        </w:rPr>
        <w:t>Resolution 2201</w:t>
      </w:r>
      <w:r w:rsidRPr="00742342">
        <w:rPr>
          <w:rFonts w:ascii="Open Sans" w:eastAsia="Calibri" w:hAnsi="Open Sans" w:cs="Open Sans"/>
          <w:kern w:val="0"/>
          <w:sz w:val="22"/>
          <w:szCs w:val="22"/>
          <w:lang w:eastAsia="en-GB"/>
          <w14:ligatures w14:val="none"/>
        </w:rPr>
        <w:t xml:space="preserve"> [Press release].</w:t>
      </w:r>
    </w:p>
    <w:p w14:paraId="48B65FBF"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Security Council. (2015b, April 14). </w:t>
      </w:r>
      <w:r w:rsidRPr="00742342">
        <w:rPr>
          <w:rFonts w:ascii="Open Sans" w:eastAsia="Calibri" w:hAnsi="Open Sans" w:cs="Open Sans"/>
          <w:i/>
          <w:iCs/>
          <w:kern w:val="0"/>
          <w:sz w:val="22"/>
          <w:szCs w:val="22"/>
          <w:lang w:eastAsia="en-GB"/>
          <w14:ligatures w14:val="none"/>
        </w:rPr>
        <w:t>Resolution 2216</w:t>
      </w:r>
      <w:r w:rsidRPr="00742342">
        <w:rPr>
          <w:rFonts w:ascii="Open Sans" w:eastAsia="Calibri" w:hAnsi="Open Sans" w:cs="Open Sans"/>
          <w:kern w:val="0"/>
          <w:sz w:val="22"/>
          <w:szCs w:val="22"/>
          <w:lang w:eastAsia="en-GB"/>
          <w14:ligatures w14:val="none"/>
        </w:rPr>
        <w:t xml:space="preserve"> [Press release].</w:t>
      </w:r>
    </w:p>
    <w:p w14:paraId="17840E7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Security Council. (2018, February 28). </w:t>
      </w:r>
      <w:r w:rsidRPr="00742342">
        <w:rPr>
          <w:rFonts w:ascii="Open Sans" w:eastAsia="Calibri" w:hAnsi="Open Sans" w:cs="Open Sans"/>
          <w:i/>
          <w:iCs/>
          <w:kern w:val="0"/>
          <w:sz w:val="22"/>
          <w:szCs w:val="22"/>
          <w:lang w:eastAsia="en-GB"/>
          <w14:ligatures w14:val="none"/>
        </w:rPr>
        <w:t>United Kingdom of Great Britain and Northern Ireland: draft resolution</w:t>
      </w:r>
      <w:r w:rsidRPr="00742342">
        <w:rPr>
          <w:rFonts w:ascii="Open Sans" w:eastAsia="Calibri" w:hAnsi="Open Sans" w:cs="Open Sans"/>
          <w:kern w:val="0"/>
          <w:sz w:val="22"/>
          <w:szCs w:val="22"/>
          <w:lang w:eastAsia="en-GB"/>
          <w14:ligatures w14:val="none"/>
        </w:rPr>
        <w:t>. http://www.securitycouncilreport.org/atf/cf/%7B65BFCF9B-6D27-4E9C-8CD3-CF6E4FF96FF9%7D/s_2018_156.pdf</w:t>
      </w:r>
    </w:p>
    <w:p w14:paraId="402A8F5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Security Council. (2022, February 28). </w:t>
      </w:r>
      <w:r w:rsidRPr="00742342">
        <w:rPr>
          <w:rFonts w:ascii="Open Sans" w:eastAsia="Calibri" w:hAnsi="Open Sans" w:cs="Open Sans"/>
          <w:i/>
          <w:iCs/>
          <w:kern w:val="0"/>
          <w:sz w:val="22"/>
          <w:szCs w:val="22"/>
          <w:lang w:eastAsia="en-GB"/>
          <w14:ligatures w14:val="none"/>
        </w:rPr>
        <w:t>S/RES/2624</w:t>
      </w:r>
      <w:r w:rsidRPr="00742342">
        <w:rPr>
          <w:rFonts w:ascii="Arial" w:eastAsia="Calibri" w:hAnsi="Arial" w:cs="Arial"/>
          <w:i/>
          <w:iCs/>
          <w:kern w:val="0"/>
          <w:sz w:val="22"/>
          <w:szCs w:val="22"/>
          <w:lang w:eastAsia="en-GB"/>
          <w14:ligatures w14:val="none"/>
        </w:rPr>
        <w:t> </w:t>
      </w:r>
      <w:r w:rsidRPr="00742342">
        <w:rPr>
          <w:rFonts w:ascii="Open Sans" w:eastAsia="Calibri" w:hAnsi="Open Sans" w:cs="Open Sans"/>
          <w:i/>
          <w:iCs/>
          <w:kern w:val="0"/>
          <w:sz w:val="22"/>
          <w:szCs w:val="22"/>
          <w:lang w:eastAsia="en-GB"/>
          <w14:ligatures w14:val="none"/>
        </w:rPr>
        <w:t>: UN Documents</w:t>
      </w:r>
      <w:r w:rsidRPr="00742342">
        <w:rPr>
          <w:rFonts w:ascii="Arial" w:eastAsia="Calibri" w:hAnsi="Arial" w:cs="Arial"/>
          <w:i/>
          <w:iCs/>
          <w:kern w:val="0"/>
          <w:sz w:val="22"/>
          <w:szCs w:val="22"/>
          <w:lang w:eastAsia="en-GB"/>
          <w14:ligatures w14:val="none"/>
        </w:rPr>
        <w:t> </w:t>
      </w:r>
      <w:r w:rsidRPr="00742342">
        <w:rPr>
          <w:rFonts w:ascii="Open Sans" w:eastAsia="Calibri" w:hAnsi="Open Sans" w:cs="Open Sans"/>
          <w:i/>
          <w:iCs/>
          <w:kern w:val="0"/>
          <w:sz w:val="22"/>
          <w:szCs w:val="22"/>
          <w:lang w:eastAsia="en-GB"/>
          <w14:ligatures w14:val="none"/>
        </w:rPr>
        <w:t>: Security Council Report</w:t>
      </w:r>
      <w:r w:rsidRPr="00742342">
        <w:rPr>
          <w:rFonts w:ascii="Open Sans" w:eastAsia="Calibri" w:hAnsi="Open Sans" w:cs="Open Sans"/>
          <w:kern w:val="0"/>
          <w:sz w:val="22"/>
          <w:szCs w:val="22"/>
          <w:lang w:eastAsia="en-GB"/>
          <w14:ligatures w14:val="none"/>
        </w:rPr>
        <w:t>. UN Security Council Report. https://www.securitycouncilreport.org/un-documents/document/s-res-2624.php</w:t>
      </w:r>
    </w:p>
    <w:p w14:paraId="3BC8EBD8"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Web TV. (2023, May 21). </w:t>
      </w:r>
      <w:r w:rsidRPr="00742342">
        <w:rPr>
          <w:rFonts w:ascii="Open Sans" w:eastAsia="Calibri" w:hAnsi="Open Sans" w:cs="Open Sans"/>
          <w:i/>
          <w:iCs/>
          <w:kern w:val="0"/>
          <w:sz w:val="22"/>
          <w:szCs w:val="22"/>
          <w:lang w:eastAsia="en-GB"/>
          <w14:ligatures w14:val="none"/>
        </w:rPr>
        <w:t>UN web TV</w:t>
      </w:r>
      <w:r w:rsidRPr="00742342">
        <w:rPr>
          <w:rFonts w:ascii="Open Sans" w:eastAsia="Calibri" w:hAnsi="Open Sans" w:cs="Open Sans"/>
          <w:kern w:val="0"/>
          <w:sz w:val="22"/>
          <w:szCs w:val="22"/>
          <w:lang w:eastAsia="en-GB"/>
          <w14:ligatures w14:val="none"/>
        </w:rPr>
        <w:t>. UN Web TV. https://media.un.org/en/webtv</w:t>
      </w:r>
    </w:p>
    <w:p w14:paraId="260C9A0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United Nations Yemen &amp; Office of the Special Envoy of the Secretary-General for Yemen. (n.d.). </w:t>
      </w:r>
      <w:r w:rsidRPr="00742342">
        <w:rPr>
          <w:rFonts w:ascii="Open Sans" w:eastAsia="Calibri" w:hAnsi="Open Sans" w:cs="Open Sans"/>
          <w:i/>
          <w:iCs/>
          <w:kern w:val="0"/>
          <w:sz w:val="22"/>
          <w:szCs w:val="22"/>
          <w:lang w:eastAsia="en-GB"/>
          <w14:ligatures w14:val="none"/>
        </w:rPr>
        <w:t>The United Nations in Yemen</w:t>
      </w:r>
      <w:r w:rsidRPr="00742342">
        <w:rPr>
          <w:rFonts w:ascii="Open Sans" w:eastAsia="Calibri" w:hAnsi="Open Sans" w:cs="Open Sans"/>
          <w:kern w:val="0"/>
          <w:sz w:val="22"/>
          <w:szCs w:val="22"/>
          <w:lang w:eastAsia="en-GB"/>
          <w14:ligatures w14:val="none"/>
        </w:rPr>
        <w:t>. United Nations Yemen. https://yemen.un.org/en/about/about-the-un</w:t>
      </w:r>
    </w:p>
    <w:p w14:paraId="4C7CFEB7"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UNMHA. (2021, August 17). </w:t>
      </w:r>
      <w:r w:rsidRPr="00742342">
        <w:rPr>
          <w:rFonts w:ascii="Open Sans" w:eastAsia="Calibri" w:hAnsi="Open Sans" w:cs="Open Sans"/>
          <w:i/>
          <w:iCs/>
          <w:kern w:val="0"/>
          <w:sz w:val="22"/>
          <w:szCs w:val="22"/>
          <w:lang w:eastAsia="en-GB"/>
          <w14:ligatures w14:val="none"/>
        </w:rPr>
        <w:t>Stockholm Agreement</w:t>
      </w:r>
      <w:r w:rsidRPr="00742342">
        <w:rPr>
          <w:rFonts w:ascii="Open Sans" w:eastAsia="Calibri" w:hAnsi="Open Sans" w:cs="Open Sans"/>
          <w:kern w:val="0"/>
          <w:sz w:val="22"/>
          <w:szCs w:val="22"/>
          <w:lang w:eastAsia="en-GB"/>
          <w14:ligatures w14:val="none"/>
        </w:rPr>
        <w:t>. UN MISSION TO SUPPORT THE HUDAYDAH AGREEMENT. https://unmha.unmissions.org/stockholm-agreement</w:t>
      </w:r>
    </w:p>
    <w:p w14:paraId="724490F6"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Vargas, J. F. (2012). The persistent Colombian conflict: subnational analysis of the duration of violence. </w:t>
      </w:r>
      <w:proofErr w:type="spellStart"/>
      <w:r w:rsidRPr="00742342">
        <w:rPr>
          <w:rFonts w:ascii="Open Sans" w:eastAsia="Calibri" w:hAnsi="Open Sans" w:cs="Open Sans"/>
          <w:i/>
          <w:iCs/>
          <w:kern w:val="0"/>
          <w:sz w:val="22"/>
          <w:szCs w:val="22"/>
          <w:lang w:eastAsia="en-GB"/>
          <w14:ligatures w14:val="none"/>
        </w:rPr>
        <w:t>Defence</w:t>
      </w:r>
      <w:proofErr w:type="spellEnd"/>
      <w:r w:rsidRPr="00742342">
        <w:rPr>
          <w:rFonts w:ascii="Open Sans" w:eastAsia="Calibri" w:hAnsi="Open Sans" w:cs="Open Sans"/>
          <w:i/>
          <w:iCs/>
          <w:kern w:val="0"/>
          <w:sz w:val="22"/>
          <w:szCs w:val="22"/>
          <w:lang w:eastAsia="en-GB"/>
          <w14:ligatures w14:val="none"/>
        </w:rPr>
        <w:t xml:space="preserve"> and Peace Economics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23</w:t>
      </w:r>
      <w:r w:rsidRPr="00742342">
        <w:rPr>
          <w:rFonts w:ascii="Open Sans" w:eastAsia="Calibri" w:hAnsi="Open Sans" w:cs="Open Sans"/>
          <w:kern w:val="0"/>
          <w:sz w:val="22"/>
          <w:szCs w:val="22"/>
          <w:lang w:eastAsia="en-GB"/>
          <w14:ligatures w14:val="none"/>
        </w:rPr>
        <w:t>(2), 203–223. https://doi.org/10.1080/10242694.2011.597234</w:t>
      </w:r>
    </w:p>
    <w:p w14:paraId="4B7A2F7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Vaubel, R. (2006). Principal-agent problems in international organizations. </w:t>
      </w:r>
      <w:r w:rsidRPr="00742342">
        <w:rPr>
          <w:rFonts w:ascii="Open Sans" w:eastAsia="Calibri" w:hAnsi="Open Sans" w:cs="Open Sans"/>
          <w:i/>
          <w:iCs/>
          <w:kern w:val="0"/>
          <w:sz w:val="22"/>
          <w:szCs w:val="22"/>
          <w:lang w:eastAsia="en-GB"/>
          <w14:ligatures w14:val="none"/>
        </w:rPr>
        <w:t>The Review of International Organizations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w:t>
      </w:r>
      <w:r w:rsidRPr="00742342">
        <w:rPr>
          <w:rFonts w:ascii="Open Sans" w:eastAsia="Calibri" w:hAnsi="Open Sans" w:cs="Open Sans"/>
          <w:kern w:val="0"/>
          <w:sz w:val="22"/>
          <w:szCs w:val="22"/>
          <w:lang w:eastAsia="en-GB"/>
          <w14:ligatures w14:val="none"/>
        </w:rPr>
        <w:t>(2), 125–138. https://doi.org/10.1007/s11558-006-8340-z</w:t>
      </w:r>
    </w:p>
    <w:p w14:paraId="297AE87B"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Volgy, T. J., Fausett, E., Grant, K. A., &amp; Rodgers, S. (2008). Identifying Formal Intergovernmental Organizations. </w:t>
      </w:r>
      <w:r w:rsidRPr="00742342">
        <w:rPr>
          <w:rFonts w:ascii="Open Sans" w:eastAsia="Calibri" w:hAnsi="Open Sans" w:cs="Open Sans"/>
          <w:i/>
          <w:iCs/>
          <w:kern w:val="0"/>
          <w:sz w:val="22"/>
          <w:szCs w:val="22"/>
          <w:lang w:eastAsia="en-GB"/>
          <w14:ligatures w14:val="none"/>
        </w:rPr>
        <w:t>Journal of Peace Research</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45</w:t>
      </w:r>
      <w:r w:rsidRPr="00742342">
        <w:rPr>
          <w:rFonts w:ascii="Open Sans" w:eastAsia="Calibri" w:hAnsi="Open Sans" w:cs="Open Sans"/>
          <w:kern w:val="0"/>
          <w:sz w:val="22"/>
          <w:szCs w:val="22"/>
          <w:lang w:eastAsia="en-GB"/>
          <w14:ligatures w14:val="none"/>
        </w:rPr>
        <w:t>(6), 837–850. https://doi.org/10.1177/0022343308096159</w:t>
      </w:r>
    </w:p>
    <w:p w14:paraId="6B3575C5"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Warnecke, A. (2020). Can Intergovernmental Organizations Be Peacebuilders in Intra-State War? </w:t>
      </w:r>
      <w:r w:rsidRPr="00742342">
        <w:rPr>
          <w:rFonts w:ascii="Open Sans" w:eastAsia="Calibri" w:hAnsi="Open Sans" w:cs="Open Sans"/>
          <w:i/>
          <w:iCs/>
          <w:kern w:val="0"/>
          <w:sz w:val="22"/>
          <w:szCs w:val="22"/>
          <w:lang w:eastAsia="en-GB"/>
          <w14:ligatures w14:val="none"/>
        </w:rPr>
        <w:t xml:space="preserve">Journal of Intervention and </w:t>
      </w:r>
      <w:proofErr w:type="spellStart"/>
      <w:r w:rsidRPr="00742342">
        <w:rPr>
          <w:rFonts w:ascii="Open Sans" w:eastAsia="Calibri" w:hAnsi="Open Sans" w:cs="Open Sans"/>
          <w:i/>
          <w:iCs/>
          <w:kern w:val="0"/>
          <w:sz w:val="22"/>
          <w:szCs w:val="22"/>
          <w:lang w:eastAsia="en-GB"/>
          <w14:ligatures w14:val="none"/>
        </w:rPr>
        <w:t>Statebuilding</w:t>
      </w:r>
      <w:proofErr w:type="spellEnd"/>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14</w:t>
      </w:r>
      <w:r w:rsidRPr="00742342">
        <w:rPr>
          <w:rFonts w:ascii="Open Sans" w:eastAsia="Calibri" w:hAnsi="Open Sans" w:cs="Open Sans"/>
          <w:kern w:val="0"/>
          <w:sz w:val="22"/>
          <w:szCs w:val="22"/>
          <w:lang w:eastAsia="en-GB"/>
          <w14:ligatures w14:val="none"/>
        </w:rPr>
        <w:t>(5), 634–653. https://doi.org/10.1080/17502977.2020.1794132</w:t>
      </w:r>
    </w:p>
    <w:p w14:paraId="7CF40484"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lastRenderedPageBreak/>
        <w:t xml:space="preserve">Waters, T., &amp; Weber, M. (2015). </w:t>
      </w:r>
      <w:r w:rsidRPr="00742342">
        <w:rPr>
          <w:rFonts w:ascii="Open Sans" w:eastAsia="Calibri" w:hAnsi="Open Sans" w:cs="Open Sans"/>
          <w:i/>
          <w:iCs/>
          <w:kern w:val="0"/>
          <w:sz w:val="22"/>
          <w:szCs w:val="22"/>
          <w:lang w:eastAsia="en-GB"/>
          <w14:ligatures w14:val="none"/>
        </w:rPr>
        <w:t>Weber’s Rationalism and Modern Society: New Translations on Politics, Bureaucracy, and Social Stratification</w:t>
      </w:r>
      <w:r w:rsidRPr="00742342">
        <w:rPr>
          <w:rFonts w:ascii="Open Sans" w:eastAsia="Calibri" w:hAnsi="Open Sans" w:cs="Open Sans"/>
          <w:kern w:val="0"/>
          <w:sz w:val="22"/>
          <w:szCs w:val="22"/>
          <w:lang w:eastAsia="en-GB"/>
          <w14:ligatures w14:val="none"/>
        </w:rPr>
        <w:t>. Palgrave Macmillan.</w:t>
      </w:r>
    </w:p>
    <w:p w14:paraId="385E493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Weber, M., &amp; Tribe, K. (2019). </w:t>
      </w:r>
      <w:r w:rsidRPr="00742342">
        <w:rPr>
          <w:rFonts w:ascii="Open Sans" w:eastAsia="Calibri" w:hAnsi="Open Sans" w:cs="Open Sans"/>
          <w:i/>
          <w:iCs/>
          <w:kern w:val="0"/>
          <w:sz w:val="22"/>
          <w:szCs w:val="22"/>
          <w:lang w:eastAsia="en-GB"/>
          <w14:ligatures w14:val="none"/>
        </w:rPr>
        <w:t>Economy and Society: A New Translation</w:t>
      </w:r>
      <w:r w:rsidRPr="00742342">
        <w:rPr>
          <w:rFonts w:ascii="Open Sans" w:eastAsia="Calibri" w:hAnsi="Open Sans" w:cs="Open Sans"/>
          <w:kern w:val="0"/>
          <w:sz w:val="22"/>
          <w:szCs w:val="22"/>
          <w:lang w:eastAsia="en-GB"/>
          <w14:ligatures w14:val="none"/>
        </w:rPr>
        <w:t>. Amsterdam University Press.</w:t>
      </w:r>
    </w:p>
    <w:p w14:paraId="142AC5C7"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Weimer, D. L., &amp; Vining, A. R. (2017). </w:t>
      </w:r>
      <w:r w:rsidRPr="00742342">
        <w:rPr>
          <w:rFonts w:ascii="Open Sans" w:eastAsia="Calibri" w:hAnsi="Open Sans" w:cs="Open Sans"/>
          <w:i/>
          <w:iCs/>
          <w:kern w:val="0"/>
          <w:sz w:val="22"/>
          <w:szCs w:val="22"/>
          <w:lang w:eastAsia="en-GB"/>
          <w14:ligatures w14:val="none"/>
        </w:rPr>
        <w:t>Policy Analysis: Concepts and Practice</w:t>
      </w:r>
      <w:r w:rsidRPr="00742342">
        <w:rPr>
          <w:rFonts w:ascii="Open Sans" w:eastAsia="Calibri" w:hAnsi="Open Sans" w:cs="Open Sans"/>
          <w:kern w:val="0"/>
          <w:sz w:val="22"/>
          <w:szCs w:val="22"/>
          <w:lang w:eastAsia="en-GB"/>
          <w14:ligatures w14:val="none"/>
        </w:rPr>
        <w:t>. Taylor &amp; Francis.</w:t>
      </w:r>
    </w:p>
    <w:p w14:paraId="47F22920"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Wiegand, K. E. (2016). </w:t>
      </w:r>
      <w:r w:rsidRPr="00742342">
        <w:rPr>
          <w:rFonts w:ascii="Open Sans" w:eastAsia="Calibri" w:hAnsi="Open Sans" w:cs="Open Sans"/>
          <w:i/>
          <w:iCs/>
          <w:kern w:val="0"/>
          <w:sz w:val="22"/>
          <w:szCs w:val="22"/>
          <w:lang w:eastAsia="en-GB"/>
          <w14:ligatures w14:val="none"/>
        </w:rPr>
        <w:t>Bombs and Ballots: Governance by Islamist Terrorist and Guerrilla Groups</w:t>
      </w:r>
      <w:r w:rsidRPr="00742342">
        <w:rPr>
          <w:rFonts w:ascii="Open Sans" w:eastAsia="Calibri" w:hAnsi="Open Sans" w:cs="Open Sans"/>
          <w:kern w:val="0"/>
          <w:sz w:val="22"/>
          <w:szCs w:val="22"/>
          <w:lang w:eastAsia="en-GB"/>
          <w14:ligatures w14:val="none"/>
        </w:rPr>
        <w:t>. Taylor &amp; Francis.</w:t>
      </w:r>
    </w:p>
    <w:p w14:paraId="3020958E"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Willis, B. (2021). The Advantages and Limitations of Single Case Study Analysis. </w:t>
      </w:r>
      <w:r w:rsidRPr="00742342">
        <w:rPr>
          <w:rFonts w:ascii="Open Sans" w:eastAsia="Calibri" w:hAnsi="Open Sans" w:cs="Open Sans"/>
          <w:i/>
          <w:iCs/>
          <w:kern w:val="0"/>
          <w:sz w:val="22"/>
          <w:szCs w:val="22"/>
          <w:lang w:eastAsia="en-GB"/>
          <w14:ligatures w14:val="none"/>
        </w:rPr>
        <w:t>E-International Relations</w:t>
      </w:r>
      <w:r w:rsidRPr="00742342">
        <w:rPr>
          <w:rFonts w:ascii="Open Sans" w:eastAsia="Calibri" w:hAnsi="Open Sans" w:cs="Open Sans"/>
          <w:kern w:val="0"/>
          <w:sz w:val="22"/>
          <w:szCs w:val="22"/>
          <w:lang w:eastAsia="en-GB"/>
          <w14:ligatures w14:val="none"/>
        </w:rPr>
        <w:t>. https://www.e-ir.info/2014/07/05/the-advantages-and-limitations-of-single-case-study-analysis/</w:t>
      </w:r>
    </w:p>
    <w:p w14:paraId="6D1635C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Wilson Center. (2022, July 7). </w:t>
      </w:r>
      <w:r w:rsidRPr="00742342">
        <w:rPr>
          <w:rFonts w:ascii="Open Sans" w:eastAsia="Calibri" w:hAnsi="Open Sans" w:cs="Open Sans"/>
          <w:i/>
          <w:iCs/>
          <w:kern w:val="0"/>
          <w:sz w:val="22"/>
          <w:szCs w:val="22"/>
          <w:lang w:eastAsia="en-GB"/>
          <w14:ligatures w14:val="none"/>
        </w:rPr>
        <w:t>Who are Yemen’s Houthis?</w:t>
      </w:r>
      <w:r w:rsidRPr="00742342">
        <w:rPr>
          <w:rFonts w:ascii="Open Sans" w:eastAsia="Calibri" w:hAnsi="Open Sans" w:cs="Open Sans"/>
          <w:kern w:val="0"/>
          <w:sz w:val="22"/>
          <w:szCs w:val="22"/>
          <w:lang w:eastAsia="en-GB"/>
          <w14:ligatures w14:val="none"/>
        </w:rPr>
        <w:t xml:space="preserve"> https://www.wilsoncenter.org/article/who-are-yemens-houthis</w:t>
      </w:r>
    </w:p>
    <w:p w14:paraId="08195721"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World Food Programme. (2023). </w:t>
      </w:r>
      <w:r w:rsidRPr="00742342">
        <w:rPr>
          <w:rFonts w:ascii="Open Sans" w:eastAsia="Calibri" w:hAnsi="Open Sans" w:cs="Open Sans"/>
          <w:i/>
          <w:iCs/>
          <w:kern w:val="0"/>
          <w:sz w:val="22"/>
          <w:szCs w:val="22"/>
          <w:lang w:eastAsia="en-GB"/>
          <w14:ligatures w14:val="none"/>
        </w:rPr>
        <w:t>Yemen – The world’s worst humanitarian crisis</w:t>
      </w:r>
      <w:r w:rsidRPr="00742342">
        <w:rPr>
          <w:rFonts w:ascii="Open Sans" w:eastAsia="Calibri" w:hAnsi="Open Sans" w:cs="Open Sans"/>
          <w:kern w:val="0"/>
          <w:sz w:val="22"/>
          <w:szCs w:val="22"/>
          <w:lang w:eastAsia="en-GB"/>
          <w14:ligatures w14:val="none"/>
        </w:rPr>
        <w:t>. Yemen – the World’s Worst Humanitarian Crisis. https://www.wfp.org/yemen-crisis</w:t>
      </w:r>
    </w:p>
    <w:p w14:paraId="4F304602" w14:textId="77777777" w:rsidR="00815AEC" w:rsidRPr="00742342" w:rsidRDefault="00815AEC" w:rsidP="00815AEC">
      <w:pPr>
        <w:spacing w:line="360" w:lineRule="auto"/>
        <w:ind w:left="720" w:hanging="720"/>
        <w:rPr>
          <w:rFonts w:ascii="Open Sans" w:eastAsia="Calibri" w:hAnsi="Open Sans" w:cs="Open Sans"/>
          <w:kern w:val="0"/>
          <w:sz w:val="22"/>
          <w:szCs w:val="22"/>
          <w:lang w:eastAsia="en-GB"/>
          <w14:ligatures w14:val="none"/>
        </w:rPr>
      </w:pPr>
      <w:r w:rsidRPr="00742342">
        <w:rPr>
          <w:rFonts w:ascii="Open Sans" w:eastAsia="Calibri" w:hAnsi="Open Sans" w:cs="Open Sans"/>
          <w:kern w:val="0"/>
          <w:sz w:val="22"/>
          <w:szCs w:val="22"/>
          <w:lang w:eastAsia="en-GB"/>
          <w14:ligatures w14:val="none"/>
        </w:rPr>
        <w:t xml:space="preserve">Yin, R. K. (1984). Case Study Research: Design and Methods. </w:t>
      </w:r>
      <w:r w:rsidRPr="00742342">
        <w:rPr>
          <w:rFonts w:ascii="Open Sans" w:eastAsia="Calibri" w:hAnsi="Open Sans" w:cs="Open Sans"/>
          <w:i/>
          <w:iCs/>
          <w:kern w:val="0"/>
          <w:sz w:val="22"/>
          <w:szCs w:val="22"/>
          <w:lang w:eastAsia="en-GB"/>
          <w14:ligatures w14:val="none"/>
        </w:rPr>
        <w:t>Social Research Methods Series</w:t>
      </w:r>
      <w:r w:rsidRPr="00742342">
        <w:rPr>
          <w:rFonts w:ascii="Open Sans" w:eastAsia="Calibri" w:hAnsi="Open Sans" w:cs="Open Sans"/>
          <w:kern w:val="0"/>
          <w:sz w:val="22"/>
          <w:szCs w:val="22"/>
          <w:lang w:eastAsia="en-GB"/>
          <w14:ligatures w14:val="none"/>
        </w:rPr>
        <w:t xml:space="preserve">, </w:t>
      </w:r>
      <w:r w:rsidRPr="00742342">
        <w:rPr>
          <w:rFonts w:ascii="Open Sans" w:eastAsia="Calibri" w:hAnsi="Open Sans" w:cs="Open Sans"/>
          <w:i/>
          <w:iCs/>
          <w:kern w:val="0"/>
          <w:sz w:val="22"/>
          <w:szCs w:val="22"/>
          <w:lang w:eastAsia="en-GB"/>
          <w14:ligatures w14:val="none"/>
        </w:rPr>
        <w:t>5</w:t>
      </w:r>
      <w:r w:rsidRPr="00742342">
        <w:rPr>
          <w:rFonts w:ascii="Open Sans" w:eastAsia="Calibri" w:hAnsi="Open Sans" w:cs="Open Sans"/>
          <w:kern w:val="0"/>
          <w:sz w:val="22"/>
          <w:szCs w:val="22"/>
          <w:lang w:eastAsia="en-GB"/>
          <w14:ligatures w14:val="none"/>
        </w:rPr>
        <w:t>.</w:t>
      </w:r>
    </w:p>
    <w:p w14:paraId="288F5942" w14:textId="77777777" w:rsidR="00D56F23" w:rsidRPr="00742342" w:rsidRDefault="00D56F23" w:rsidP="00815AEC">
      <w:pPr>
        <w:spacing w:line="360" w:lineRule="auto"/>
        <w:rPr>
          <w:rFonts w:ascii="Open Sans" w:hAnsi="Open Sans" w:cs="Open Sans"/>
        </w:rPr>
      </w:pPr>
    </w:p>
    <w:p w14:paraId="64E54490" w14:textId="77777777" w:rsidR="00D56F23" w:rsidRPr="00742342" w:rsidRDefault="00D56F23" w:rsidP="00815AEC">
      <w:pPr>
        <w:spacing w:line="360" w:lineRule="auto"/>
        <w:rPr>
          <w:rFonts w:ascii="Open Sans" w:hAnsi="Open Sans" w:cs="Open Sans"/>
        </w:rPr>
      </w:pPr>
    </w:p>
    <w:p w14:paraId="0747EF79" w14:textId="77777777" w:rsidR="0092299C" w:rsidRPr="00742342" w:rsidRDefault="0092299C" w:rsidP="00815AEC">
      <w:pPr>
        <w:spacing w:line="360" w:lineRule="auto"/>
        <w:jc w:val="both"/>
        <w:rPr>
          <w:rFonts w:ascii="Open Sans" w:hAnsi="Open Sans" w:cs="Open Sans"/>
          <w:color w:val="000000" w:themeColor="text1"/>
        </w:rPr>
      </w:pPr>
    </w:p>
    <w:p w14:paraId="6DBAB94A" w14:textId="77777777" w:rsidR="0092299C" w:rsidRPr="00742342" w:rsidRDefault="0092299C" w:rsidP="00815AEC">
      <w:pPr>
        <w:spacing w:line="360" w:lineRule="auto"/>
        <w:jc w:val="both"/>
        <w:rPr>
          <w:rFonts w:ascii="Open Sans" w:hAnsi="Open Sans" w:cs="Open Sans"/>
          <w:color w:val="000000" w:themeColor="text1"/>
        </w:rPr>
      </w:pPr>
    </w:p>
    <w:p w14:paraId="2F633EE6" w14:textId="77777777" w:rsidR="0092299C" w:rsidRPr="00742342" w:rsidRDefault="0092299C" w:rsidP="00815AEC">
      <w:pPr>
        <w:spacing w:line="360" w:lineRule="auto"/>
        <w:jc w:val="both"/>
        <w:rPr>
          <w:rFonts w:ascii="Open Sans" w:hAnsi="Open Sans" w:cs="Open Sans"/>
          <w:color w:val="000000" w:themeColor="text1"/>
        </w:rPr>
      </w:pPr>
    </w:p>
    <w:p w14:paraId="0D70D081" w14:textId="77777777" w:rsidR="0092299C" w:rsidRPr="00742342" w:rsidRDefault="0092299C" w:rsidP="00815AEC">
      <w:pPr>
        <w:spacing w:line="360" w:lineRule="auto"/>
        <w:jc w:val="both"/>
        <w:rPr>
          <w:rFonts w:ascii="Open Sans" w:hAnsi="Open Sans" w:cs="Open Sans"/>
          <w:color w:val="000000" w:themeColor="text1"/>
        </w:rPr>
      </w:pPr>
    </w:p>
    <w:p w14:paraId="3BFB9B43" w14:textId="77777777" w:rsidR="0092299C" w:rsidRPr="00742342" w:rsidRDefault="0092299C" w:rsidP="00815AEC">
      <w:pPr>
        <w:spacing w:line="360" w:lineRule="auto"/>
        <w:jc w:val="both"/>
        <w:rPr>
          <w:rFonts w:ascii="Open Sans" w:hAnsi="Open Sans" w:cs="Open Sans"/>
          <w:color w:val="000000" w:themeColor="text1"/>
        </w:rPr>
      </w:pPr>
      <w:r w:rsidRPr="00742342">
        <w:rPr>
          <w:rFonts w:ascii="Open Sans" w:hAnsi="Open Sans" w:cs="Open Sans"/>
          <w:color w:val="000000" w:themeColor="text1"/>
        </w:rPr>
        <w:t xml:space="preserve"> </w:t>
      </w:r>
    </w:p>
    <w:p w14:paraId="26C09E15" w14:textId="77777777" w:rsidR="0088523B" w:rsidRPr="00742342" w:rsidRDefault="0088523B" w:rsidP="00815AEC">
      <w:pPr>
        <w:spacing w:line="360" w:lineRule="auto"/>
        <w:rPr>
          <w:rFonts w:ascii="Open Sans" w:hAnsi="Open Sans" w:cs="Open Sans"/>
          <w:color w:val="000000" w:themeColor="text1"/>
          <w:sz w:val="22"/>
          <w:szCs w:val="22"/>
        </w:rPr>
      </w:pPr>
    </w:p>
    <w:sectPr w:rsidR="0088523B" w:rsidRPr="00742342" w:rsidSect="009369EB">
      <w:footerReference w:type="even" r:id="rId12"/>
      <w:footerReference w:type="default" r:id="rId13"/>
      <w:footerReference w:type="first" r:id="rId1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8C4C6D" w14:textId="77777777" w:rsidR="00852FE1" w:rsidRDefault="00852FE1" w:rsidP="00C4198B">
      <w:r>
        <w:separator/>
      </w:r>
    </w:p>
  </w:endnote>
  <w:endnote w:type="continuationSeparator" w:id="0">
    <w:p w14:paraId="51A0CC9D" w14:textId="77777777" w:rsidR="00852FE1" w:rsidRDefault="00852FE1" w:rsidP="00C4198B">
      <w:r>
        <w:continuationSeparator/>
      </w:r>
    </w:p>
  </w:endnote>
  <w:endnote w:type="continuationNotice" w:id="1">
    <w:p w14:paraId="6195371F" w14:textId="77777777" w:rsidR="00852FE1" w:rsidRDefault="00852F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Open Sans">
    <w:altName w:val="Segoe UI"/>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95706449"/>
      <w:docPartObj>
        <w:docPartGallery w:val="Page Numbers (Bottom of Page)"/>
        <w:docPartUnique/>
      </w:docPartObj>
    </w:sdtPr>
    <w:sdtEndPr>
      <w:rPr>
        <w:rStyle w:val="PageNumber"/>
      </w:rPr>
    </w:sdtEndPr>
    <w:sdtContent>
      <w:p w14:paraId="26BFF3D3" w14:textId="3C9DE1FE" w:rsidR="009369EB" w:rsidRDefault="009369EB" w:rsidP="00260DA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DF6347">
          <w:rPr>
            <w:rStyle w:val="PageNumber"/>
            <w:noProof/>
          </w:rPr>
          <w:t>5</w:t>
        </w:r>
        <w:r>
          <w:rPr>
            <w:rStyle w:val="PageNumber"/>
          </w:rPr>
          <w:fldChar w:fldCharType="end"/>
        </w:r>
      </w:p>
    </w:sdtContent>
  </w:sdt>
  <w:p w14:paraId="0D08D429" w14:textId="77777777" w:rsidR="009369EB" w:rsidRDefault="009369EB" w:rsidP="009369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29102781"/>
      <w:docPartObj>
        <w:docPartGallery w:val="Page Numbers (Bottom of Page)"/>
        <w:docPartUnique/>
      </w:docPartObj>
    </w:sdtPr>
    <w:sdtEndPr>
      <w:rPr>
        <w:rStyle w:val="PageNumber"/>
      </w:rPr>
    </w:sdtEndPr>
    <w:sdtContent>
      <w:p w14:paraId="27C9FB91" w14:textId="3035E724" w:rsidR="009369EB" w:rsidRDefault="009369EB" w:rsidP="00260DA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8C9262B" w14:textId="77777777" w:rsidR="009369EB" w:rsidRDefault="009369EB" w:rsidP="009369EB">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7E718" w14:textId="77777777" w:rsidR="00634B05" w:rsidRPr="00733522" w:rsidRDefault="00634B05" w:rsidP="00634B05">
    <w:pPr>
      <w:spacing w:line="276" w:lineRule="auto"/>
      <w:rPr>
        <w:rFonts w:ascii="Open Sans" w:hAnsi="Open Sans" w:cs="Open Sans"/>
      </w:rPr>
    </w:pPr>
    <w:r w:rsidRPr="000B7578">
      <w:rPr>
        <w:rFonts w:ascii="Open Sans" w:hAnsi="Open Sans" w:cs="Open Sans"/>
        <w:b/>
        <w:bCs/>
      </w:rPr>
      <w:t xml:space="preserve">Cas </w:t>
    </w:r>
    <w:r>
      <w:rPr>
        <w:rFonts w:ascii="Open Sans" w:hAnsi="Open Sans" w:cs="Open Sans"/>
        <w:b/>
        <w:bCs/>
      </w:rPr>
      <w:t xml:space="preserve">A. </w:t>
    </w:r>
    <w:r w:rsidRPr="000B7578">
      <w:rPr>
        <w:rFonts w:ascii="Open Sans" w:hAnsi="Open Sans" w:cs="Open Sans"/>
        <w:b/>
        <w:bCs/>
      </w:rPr>
      <w:t>van Wijk</w:t>
    </w:r>
  </w:p>
  <w:p w14:paraId="65495397" w14:textId="77777777" w:rsidR="00634B05" w:rsidRPr="000B7578" w:rsidRDefault="00634B05" w:rsidP="00634B05">
    <w:pPr>
      <w:spacing w:line="276" w:lineRule="auto"/>
      <w:rPr>
        <w:rFonts w:ascii="Open Sans" w:hAnsi="Open Sans" w:cs="Open Sans"/>
      </w:rPr>
    </w:pPr>
  </w:p>
  <w:p w14:paraId="4918B9D2" w14:textId="77777777" w:rsidR="00634B05" w:rsidRPr="000B7578" w:rsidRDefault="00634B05" w:rsidP="00634B05">
    <w:pPr>
      <w:spacing w:line="276" w:lineRule="auto"/>
      <w:rPr>
        <w:rFonts w:ascii="Open Sans" w:hAnsi="Open Sans" w:cs="Open Sans"/>
      </w:rPr>
    </w:pPr>
    <w:r w:rsidRPr="000B7578">
      <w:rPr>
        <w:rFonts w:ascii="Open Sans" w:hAnsi="Open Sans" w:cs="Open Sans"/>
      </w:rPr>
      <w:t>Thesis Submitted in Partial Fulfillment of the Requirements</w:t>
    </w:r>
  </w:p>
  <w:p w14:paraId="549D91B1" w14:textId="77777777" w:rsidR="00634B05" w:rsidRPr="000B7578" w:rsidRDefault="00634B05" w:rsidP="00634B05">
    <w:pPr>
      <w:spacing w:line="276" w:lineRule="auto"/>
      <w:rPr>
        <w:rFonts w:ascii="Open Sans" w:hAnsi="Open Sans" w:cs="Open Sans"/>
      </w:rPr>
    </w:pPr>
    <w:r w:rsidRPr="000B7578">
      <w:rPr>
        <w:rFonts w:ascii="Open Sans" w:hAnsi="Open Sans" w:cs="Open Sans"/>
      </w:rPr>
      <w:t>for the Degree of Master in Political Science (MSc)</w:t>
    </w:r>
  </w:p>
  <w:p w14:paraId="3BEB1C6D" w14:textId="77777777" w:rsidR="00634B05" w:rsidRPr="000B7578" w:rsidRDefault="00634B05" w:rsidP="00634B05">
    <w:pPr>
      <w:spacing w:line="276" w:lineRule="auto"/>
      <w:rPr>
        <w:rFonts w:ascii="Open Sans" w:hAnsi="Open Sans" w:cs="Open Sans"/>
      </w:rPr>
    </w:pPr>
  </w:p>
  <w:p w14:paraId="45AE555E" w14:textId="77777777" w:rsidR="00634B05" w:rsidRPr="000B7578" w:rsidRDefault="00634B05" w:rsidP="00634B05">
    <w:pPr>
      <w:spacing w:line="276" w:lineRule="auto"/>
      <w:rPr>
        <w:rFonts w:ascii="Open Sans" w:hAnsi="Open Sans" w:cs="Open Sans"/>
      </w:rPr>
    </w:pPr>
    <w:r w:rsidRPr="002D4FF8">
      <w:rPr>
        <w:rFonts w:ascii="Open Sans" w:hAnsi="Open Sans" w:cs="Open Sans"/>
        <w:i/>
        <w:iCs/>
      </w:rPr>
      <w:t>Supervisor:</w:t>
    </w:r>
    <w:r>
      <w:rPr>
        <w:rFonts w:ascii="Open Sans" w:hAnsi="Open Sans" w:cs="Open Sans"/>
      </w:rPr>
      <w:t xml:space="preserve"> </w:t>
    </w:r>
    <w:r w:rsidRPr="000B7578">
      <w:rPr>
        <w:rFonts w:ascii="Open Sans" w:hAnsi="Open Sans" w:cs="Open Sans"/>
      </w:rPr>
      <w:t>Prof. Dr. J.A. Verbeek</w:t>
    </w:r>
  </w:p>
  <w:p w14:paraId="4C0DD3D6" w14:textId="77777777" w:rsidR="00634B05" w:rsidRPr="000B7578" w:rsidRDefault="00634B05" w:rsidP="00634B05">
    <w:pPr>
      <w:spacing w:line="276" w:lineRule="auto"/>
      <w:rPr>
        <w:rFonts w:ascii="Open Sans" w:hAnsi="Open Sans" w:cs="Open Sans"/>
      </w:rPr>
    </w:pPr>
    <w:r w:rsidRPr="000B7578">
      <w:rPr>
        <w:rFonts w:ascii="Open Sans" w:hAnsi="Open Sans" w:cs="Open Sans"/>
      </w:rPr>
      <w:t>Nijmegen School of Management</w:t>
    </w:r>
  </w:p>
  <w:p w14:paraId="498486AB" w14:textId="77777777" w:rsidR="00634B05" w:rsidRPr="000B7578" w:rsidRDefault="00634B05" w:rsidP="00634B05">
    <w:pPr>
      <w:spacing w:line="276" w:lineRule="auto"/>
      <w:rPr>
        <w:rFonts w:ascii="Open Sans" w:hAnsi="Open Sans" w:cs="Open Sans"/>
      </w:rPr>
    </w:pPr>
    <w:r w:rsidRPr="000B7578">
      <w:rPr>
        <w:rFonts w:ascii="Open Sans" w:hAnsi="Open Sans" w:cs="Open Sans"/>
      </w:rPr>
      <w:t>Radboud University, Nijmegen, Netherlands</w:t>
    </w:r>
  </w:p>
  <w:p w14:paraId="7C2F245C" w14:textId="77777777" w:rsidR="00634B05" w:rsidRPr="000B7578" w:rsidRDefault="00634B05" w:rsidP="00634B05">
    <w:pPr>
      <w:spacing w:line="276" w:lineRule="auto"/>
      <w:rPr>
        <w:rFonts w:ascii="Open Sans" w:hAnsi="Open Sans" w:cs="Open Sans"/>
      </w:rPr>
    </w:pPr>
  </w:p>
  <w:p w14:paraId="3792E03F" w14:textId="2A93D78B" w:rsidR="00634B05" w:rsidRPr="000B7578" w:rsidRDefault="00634B05" w:rsidP="00634B05">
    <w:pPr>
      <w:spacing w:line="276" w:lineRule="auto"/>
      <w:rPr>
        <w:rFonts w:ascii="Open Sans" w:hAnsi="Open Sans" w:cs="Open Sans"/>
      </w:rPr>
    </w:pPr>
    <w:r w:rsidRPr="000B7578">
      <w:rPr>
        <w:rFonts w:ascii="Open Sans" w:hAnsi="Open Sans" w:cs="Open Sans"/>
      </w:rPr>
      <w:t>International Relations</w:t>
    </w:r>
    <w:r>
      <w:rPr>
        <w:rFonts w:ascii="Open Sans" w:hAnsi="Open Sans" w:cs="Open Sans"/>
      </w:rPr>
      <w:t xml:space="preserve"> | </w:t>
    </w:r>
    <w:r w:rsidRPr="000B7578">
      <w:rPr>
        <w:rFonts w:ascii="Open Sans" w:hAnsi="Open Sans" w:cs="Open Sans"/>
      </w:rPr>
      <w:t>S1029565</w:t>
    </w:r>
    <w:r>
      <w:rPr>
        <w:rFonts w:ascii="Open Sans" w:hAnsi="Open Sans" w:cs="Open Sans"/>
      </w:rPr>
      <w:t xml:space="preserve"> | </w:t>
    </w:r>
    <w:r w:rsidRPr="000B7578">
      <w:rPr>
        <w:rFonts w:ascii="Open Sans" w:hAnsi="Open Sans" w:cs="Open Sans"/>
      </w:rPr>
      <w:t>23 June 2023</w:t>
    </w:r>
    <w:r>
      <w:rPr>
        <w:rFonts w:ascii="Open Sans" w:hAnsi="Open Sans" w:cs="Open Sans"/>
      </w:rPr>
      <w:t xml:space="preserve"> | </w:t>
    </w:r>
    <w:r w:rsidRPr="000B7578">
      <w:rPr>
        <w:rFonts w:ascii="Open Sans" w:hAnsi="Open Sans" w:cs="Open Sans"/>
      </w:rPr>
      <w:t>Word count:</w:t>
    </w:r>
    <w:r>
      <w:rPr>
        <w:rFonts w:ascii="Open Sans" w:hAnsi="Open Sans" w:cs="Open Sans"/>
      </w:rPr>
      <w:t xml:space="preserve"> </w:t>
    </w:r>
    <w:r w:rsidR="00DF6347">
      <w:rPr>
        <w:rFonts w:ascii="Open Sans" w:hAnsi="Open Sans" w:cs="Open Sans"/>
      </w:rPr>
      <w:t>24.</w:t>
    </w:r>
    <w:r w:rsidR="000B6C66">
      <w:rPr>
        <w:rFonts w:ascii="Open Sans" w:hAnsi="Open Sans" w:cs="Open Sans"/>
      </w:rPr>
      <w:t>781</w:t>
    </w:r>
  </w:p>
  <w:p w14:paraId="18B1B046" w14:textId="77777777" w:rsidR="00634B05" w:rsidRPr="000B7578" w:rsidRDefault="00634B05" w:rsidP="00634B05">
    <w:pPr>
      <w:pStyle w:val="Footer"/>
    </w:pPr>
  </w:p>
  <w:p w14:paraId="567735CD" w14:textId="77777777" w:rsidR="00634B05" w:rsidRDefault="00634B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A37924" w14:textId="77777777" w:rsidR="00852FE1" w:rsidRDefault="00852FE1" w:rsidP="00C4198B">
      <w:r>
        <w:separator/>
      </w:r>
    </w:p>
  </w:footnote>
  <w:footnote w:type="continuationSeparator" w:id="0">
    <w:p w14:paraId="16B774FA" w14:textId="77777777" w:rsidR="00852FE1" w:rsidRDefault="00852FE1" w:rsidP="00C4198B">
      <w:r>
        <w:continuationSeparator/>
      </w:r>
    </w:p>
  </w:footnote>
  <w:footnote w:type="continuationNotice" w:id="1">
    <w:p w14:paraId="42A2DB1E" w14:textId="77777777" w:rsidR="00852FE1" w:rsidRDefault="00852FE1"/>
  </w:footnote>
  <w:footnote w:id="2">
    <w:p w14:paraId="7F309BB5" w14:textId="6F83B67E" w:rsidR="00600128" w:rsidRPr="00551C40" w:rsidRDefault="00600128"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There are many international organizations active in Yemen, for an insight in their operations</w:t>
      </w:r>
      <w:r w:rsidR="003B0C05">
        <w:rPr>
          <w:rFonts w:ascii="Open Sans" w:hAnsi="Open Sans" w:cs="Open Sans"/>
        </w:rPr>
        <w:t xml:space="preserve"> </w:t>
      </w:r>
      <w:r w:rsidRPr="00551C40">
        <w:rPr>
          <w:rFonts w:ascii="Open Sans" w:hAnsi="Open Sans" w:cs="Open Sans"/>
        </w:rPr>
        <w:t>see for example the summary by the Norwegian Refugee Council</w:t>
      </w:r>
      <w:r w:rsidR="003B0C05">
        <w:rPr>
          <w:rFonts w:ascii="Open Sans" w:hAnsi="Open Sans" w:cs="Open Sans"/>
        </w:rPr>
        <w:t>. V</w:t>
      </w:r>
      <w:r w:rsidRPr="00551C40">
        <w:rPr>
          <w:rFonts w:ascii="Open Sans" w:hAnsi="Open Sans" w:cs="Open Sans"/>
        </w:rPr>
        <w:t xml:space="preserve">ia nrc.no/news/2023/february/53-ngos-call-for-full-and-equitable-funding-to-address-root-causes-of-the-crisis-in-yemen/ </w:t>
      </w:r>
    </w:p>
  </w:footnote>
  <w:footnote w:id="3">
    <w:p w14:paraId="06D25842" w14:textId="77777777" w:rsidR="00600128" w:rsidRPr="00551C40" w:rsidRDefault="00600128"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Size referring to both the number of member-states (193) and number of staff (120.000). More on the scope and size of the United Nations via unsceb.org/hr-organization</w:t>
      </w:r>
    </w:p>
  </w:footnote>
  <w:footnote w:id="4">
    <w:p w14:paraId="4FE512E1" w14:textId="429729DE" w:rsidR="00C4198B" w:rsidRPr="00551C40" w:rsidRDefault="00C4198B"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See McGillivray et al., 2011 for a further discussion on the concept of fragile </w:t>
      </w:r>
      <w:r w:rsidR="00F50007" w:rsidRPr="00551C40">
        <w:rPr>
          <w:rFonts w:ascii="Open Sans" w:hAnsi="Open Sans" w:cs="Open Sans"/>
        </w:rPr>
        <w:t>states.</w:t>
      </w:r>
    </w:p>
  </w:footnote>
  <w:footnote w:id="5">
    <w:p w14:paraId="22122BC4" w14:textId="2692C5E1" w:rsidR="00C4198B" w:rsidRPr="00551C40" w:rsidRDefault="00C4198B" w:rsidP="00EB059A">
      <w:pPr>
        <w:pStyle w:val="FootnoteText"/>
        <w:spacing w:line="276" w:lineRule="auto"/>
        <w:jc w:val="both"/>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The League of Nations successfully negotiated border disputes between Sweden and Finland and ended a violent border dispute between Greece and Bulgaria. Other accomplishments by the League of Nations include the aid of refugees of </w:t>
      </w:r>
      <w:r w:rsidR="00F23726">
        <w:rPr>
          <w:rFonts w:ascii="Open Sans" w:hAnsi="Open Sans" w:cs="Open Sans"/>
        </w:rPr>
        <w:t>World War</w:t>
      </w:r>
      <w:r w:rsidR="0071446E">
        <w:rPr>
          <w:rFonts w:ascii="Open Sans" w:hAnsi="Open Sans" w:cs="Open Sans"/>
        </w:rPr>
        <w:t xml:space="preserve"> I</w:t>
      </w:r>
      <w:r w:rsidRPr="00551C40">
        <w:rPr>
          <w:rFonts w:ascii="Open Sans" w:hAnsi="Open Sans" w:cs="Open Sans"/>
        </w:rPr>
        <w:t xml:space="preserve"> and the overall promotion of human rights. For more see Clavin &amp; Wessel, 2005</w:t>
      </w:r>
    </w:p>
  </w:footnote>
  <w:footnote w:id="6">
    <w:p w14:paraId="57287EEB" w14:textId="07172A6B" w:rsidR="00AF4617" w:rsidRPr="00551C40" w:rsidRDefault="00AF4617" w:rsidP="00EB059A">
      <w:pPr>
        <w:pStyle w:val="FootnoteText"/>
        <w:spacing w:line="276" w:lineRule="auto"/>
        <w:jc w:val="both"/>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w:t>
      </w:r>
      <w:r w:rsidR="00126C59" w:rsidRPr="00551C40">
        <w:rPr>
          <w:rFonts w:ascii="Open Sans" w:hAnsi="Open Sans" w:cs="Open Sans"/>
        </w:rPr>
        <w:t xml:space="preserve">Examples of non-state actors include </w:t>
      </w:r>
      <w:r w:rsidR="00CD6271" w:rsidRPr="00551C40">
        <w:rPr>
          <w:rFonts w:ascii="Open Sans" w:hAnsi="Open Sans" w:cs="Open Sans"/>
        </w:rPr>
        <w:t>the Islamic Resistance Movement Hamas</w:t>
      </w:r>
      <w:r w:rsidR="009C337D" w:rsidRPr="00551C40">
        <w:rPr>
          <w:rFonts w:ascii="Open Sans" w:hAnsi="Open Sans" w:cs="Open Sans"/>
        </w:rPr>
        <w:t xml:space="preserve"> (Segell, 2019), </w:t>
      </w:r>
      <w:r w:rsidR="001F50F1" w:rsidRPr="00551C40">
        <w:rPr>
          <w:rFonts w:ascii="Open Sans" w:hAnsi="Open Sans" w:cs="Open Sans"/>
        </w:rPr>
        <w:t xml:space="preserve">organized crime organizations such as the Italian Mafia </w:t>
      </w:r>
      <w:r w:rsidR="00EC3155" w:rsidRPr="00551C40">
        <w:rPr>
          <w:rFonts w:ascii="Open Sans" w:hAnsi="Open Sans" w:cs="Open Sans"/>
        </w:rPr>
        <w:t xml:space="preserve">and Mexican drugs cartels </w:t>
      </w:r>
      <w:r w:rsidR="001F50F1" w:rsidRPr="00551C40">
        <w:rPr>
          <w:rFonts w:ascii="Open Sans" w:hAnsi="Open Sans" w:cs="Open Sans"/>
        </w:rPr>
        <w:t>(Ezrow, 2017)</w:t>
      </w:r>
      <w:r w:rsidR="00EC3155" w:rsidRPr="00551C40">
        <w:rPr>
          <w:rFonts w:ascii="Open Sans" w:hAnsi="Open Sans" w:cs="Open Sans"/>
        </w:rPr>
        <w:t>,</w:t>
      </w:r>
      <w:r w:rsidR="001F50F1" w:rsidRPr="00551C40">
        <w:rPr>
          <w:rFonts w:ascii="Open Sans" w:hAnsi="Open Sans" w:cs="Open Sans"/>
        </w:rPr>
        <w:t xml:space="preserve"> and </w:t>
      </w:r>
      <w:r w:rsidR="001B563E" w:rsidRPr="00551C40">
        <w:rPr>
          <w:rFonts w:ascii="Open Sans" w:hAnsi="Open Sans" w:cs="Open Sans"/>
        </w:rPr>
        <w:t>terrorist organizations with governmental ambitions such as Islamic State and Boko Haram (Ibid, 2017).</w:t>
      </w:r>
    </w:p>
  </w:footnote>
  <w:footnote w:id="7">
    <w:p w14:paraId="2E25B281" w14:textId="77777777" w:rsidR="00C4198B" w:rsidRPr="00551C40" w:rsidRDefault="00C4198B"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See ‘Host-State Consent and United Nations Peacekeeping in Yugoslavia’ by Christine Gray (2007) for more on UN peacekeeping in former Yugoslavia. </w:t>
      </w:r>
    </w:p>
  </w:footnote>
  <w:footnote w:id="8">
    <w:p w14:paraId="0BE152D2" w14:textId="629548AC" w:rsidR="005E6535" w:rsidRPr="00551C40" w:rsidRDefault="005E6535"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In this case assumed as a unitary actor, for the demonstration of this theory.</w:t>
      </w:r>
    </w:p>
  </w:footnote>
  <w:footnote w:id="9">
    <w:p w14:paraId="773DD075" w14:textId="031B3F2B" w:rsidR="00C4198B" w:rsidRPr="00551C40" w:rsidRDefault="00C4198B"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For example: the UNHCR, </w:t>
      </w:r>
      <w:r w:rsidR="0047565B">
        <w:rPr>
          <w:rFonts w:ascii="Open Sans" w:hAnsi="Open Sans" w:cs="Open Sans"/>
        </w:rPr>
        <w:t>the IMO</w:t>
      </w:r>
      <w:r w:rsidRPr="00551C40">
        <w:rPr>
          <w:rFonts w:ascii="Open Sans" w:hAnsi="Open Sans" w:cs="Open Sans"/>
        </w:rPr>
        <w:t xml:space="preserve">, the IMF, and the </w:t>
      </w:r>
      <w:r w:rsidR="009471C8">
        <w:rPr>
          <w:rFonts w:ascii="Open Sans" w:hAnsi="Open Sans" w:cs="Open Sans"/>
        </w:rPr>
        <w:t>UNDPO</w:t>
      </w:r>
    </w:p>
  </w:footnote>
  <w:footnote w:id="10">
    <w:p w14:paraId="198307E9" w14:textId="79838301" w:rsidR="006F2AEF" w:rsidRPr="00551C40" w:rsidRDefault="006F2AEF"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External actors in this case meaning all state- and non-state actors that are not members of the</w:t>
      </w:r>
      <w:r w:rsidR="00C06EC9" w:rsidRPr="00551C40">
        <w:rPr>
          <w:rFonts w:ascii="Open Sans" w:hAnsi="Open Sans" w:cs="Open Sans"/>
        </w:rPr>
        <w:t xml:space="preserve"> </w:t>
      </w:r>
      <w:r w:rsidRPr="00551C40">
        <w:rPr>
          <w:rFonts w:ascii="Open Sans" w:hAnsi="Open Sans" w:cs="Open Sans"/>
        </w:rPr>
        <w:t xml:space="preserve">intergovernmental organization. </w:t>
      </w:r>
    </w:p>
  </w:footnote>
  <w:footnote w:id="11">
    <w:p w14:paraId="4115D82E" w14:textId="77777777" w:rsidR="005A662B" w:rsidRPr="00551C40" w:rsidRDefault="005A662B"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Similar cases might be found when looking at Afghanistan, Nigeria, Syria, Sudan, etc. </w:t>
      </w:r>
    </w:p>
  </w:footnote>
  <w:footnote w:id="12">
    <w:p w14:paraId="0B198DB6" w14:textId="6ADD628B" w:rsidR="006F2AEF" w:rsidRPr="00551C40" w:rsidRDefault="006F2AEF"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Officially known as Ansar Allah (Partisans of God), but often referred to as Houthi’s,</w:t>
      </w:r>
      <w:r w:rsidR="0079311C">
        <w:rPr>
          <w:rFonts w:ascii="Open Sans" w:hAnsi="Open Sans" w:cs="Open Sans"/>
        </w:rPr>
        <w:t xml:space="preserve"> or Houthi movement.</w:t>
      </w:r>
    </w:p>
  </w:footnote>
  <w:footnote w:id="13">
    <w:p w14:paraId="595592E9" w14:textId="5AD3BCB7" w:rsidR="00B03011" w:rsidRPr="00F24B75" w:rsidRDefault="00B03011">
      <w:pPr>
        <w:pStyle w:val="FootnoteText"/>
        <w:rPr>
          <w:rFonts w:ascii="Open Sans" w:hAnsi="Open Sans" w:cs="Open Sans"/>
        </w:rPr>
      </w:pPr>
      <w:r w:rsidRPr="00F24B75">
        <w:rPr>
          <w:rStyle w:val="FootnoteReference"/>
          <w:rFonts w:ascii="Open Sans" w:hAnsi="Open Sans" w:cs="Open Sans"/>
        </w:rPr>
        <w:footnoteRef/>
      </w:r>
      <w:r w:rsidRPr="00F24B75">
        <w:rPr>
          <w:rFonts w:ascii="Open Sans" w:hAnsi="Open Sans" w:cs="Open Sans"/>
        </w:rPr>
        <w:t xml:space="preserve"> The Supreme Political Council </w:t>
      </w:r>
      <w:r w:rsidR="001111EC" w:rsidRPr="00F24B75">
        <w:rPr>
          <w:rFonts w:ascii="Open Sans" w:hAnsi="Open Sans" w:cs="Open Sans"/>
        </w:rPr>
        <w:t xml:space="preserve">is the unrecognized </w:t>
      </w:r>
      <w:r w:rsidR="00F24B75" w:rsidRPr="00F24B75">
        <w:rPr>
          <w:rFonts w:ascii="Open Sans" w:hAnsi="Open Sans" w:cs="Open Sans"/>
        </w:rPr>
        <w:t>executive body of the Houthi movement.</w:t>
      </w:r>
    </w:p>
  </w:footnote>
  <w:footnote w:id="14">
    <w:p w14:paraId="2FC4B783" w14:textId="77777777" w:rsidR="006F2AEF" w:rsidRPr="00551C40" w:rsidRDefault="006F2AEF"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Although largely unrecognized, the Houthi’s govern an expected 80% of Yemeni population (Alterman &amp; Center for Strategic &amp; International Studies, 2022; Council on Foreign Relations, 2022; Wilson Center, 2022).</w:t>
      </w:r>
    </w:p>
  </w:footnote>
  <w:footnote w:id="15">
    <w:p w14:paraId="0E263387" w14:textId="1B8C64CB" w:rsidR="00C248F7" w:rsidRPr="00551C40" w:rsidRDefault="00C248F7"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In this case the </w:t>
      </w:r>
      <w:r w:rsidR="005A2048" w:rsidRPr="00551C40">
        <w:rPr>
          <w:rFonts w:ascii="Open Sans" w:hAnsi="Open Sans" w:cs="Open Sans"/>
        </w:rPr>
        <w:t xml:space="preserve">OSESGY </w:t>
      </w:r>
      <w:r w:rsidRPr="00551C40">
        <w:rPr>
          <w:rFonts w:ascii="Open Sans" w:hAnsi="Open Sans" w:cs="Open Sans"/>
        </w:rPr>
        <w:t>and the Houthi movement.</w:t>
      </w:r>
    </w:p>
  </w:footnote>
  <w:footnote w:id="16">
    <w:p w14:paraId="6A9382A1" w14:textId="77777777" w:rsidR="00C248F7" w:rsidRPr="00551C40" w:rsidRDefault="00C248F7"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Zaydism is a branch of Shi’a Islam</w:t>
      </w:r>
    </w:p>
  </w:footnote>
  <w:footnote w:id="17">
    <w:p w14:paraId="38074A5B" w14:textId="77777777" w:rsidR="00C248F7" w:rsidRPr="007F72E4" w:rsidRDefault="00C248F7" w:rsidP="00EB059A">
      <w:pPr>
        <w:pStyle w:val="FootnoteText"/>
        <w:spacing w:line="276" w:lineRule="auto"/>
        <w:rPr>
          <w:rFonts w:ascii="Open Sans" w:hAnsi="Open Sans" w:cs="Open Sans"/>
          <w:color w:val="000000" w:themeColor="text1"/>
        </w:rPr>
      </w:pPr>
      <w:r w:rsidRPr="007F72E4">
        <w:rPr>
          <w:rStyle w:val="FootnoteReference"/>
          <w:rFonts w:ascii="Open Sans" w:hAnsi="Open Sans" w:cs="Open Sans"/>
          <w:color w:val="000000" w:themeColor="text1"/>
        </w:rPr>
        <w:footnoteRef/>
      </w:r>
      <w:r w:rsidRPr="007F72E4">
        <w:rPr>
          <w:rFonts w:ascii="Open Sans" w:hAnsi="Open Sans" w:cs="Open Sans"/>
          <w:color w:val="000000" w:themeColor="text1"/>
        </w:rPr>
        <w:t xml:space="preserve"> Although mainstream, the term ‘Arab Spring’ is contested, see </w:t>
      </w:r>
      <w:hyperlink r:id="rId1" w:history="1">
        <w:r w:rsidRPr="007F72E4">
          <w:rPr>
            <w:rStyle w:val="Hyperlink"/>
            <w:rFonts w:ascii="Open Sans" w:hAnsi="Open Sans" w:cs="Open Sans"/>
            <w:color w:val="000000" w:themeColor="text1"/>
          </w:rPr>
          <w:t>https://blogs.lse.ac.uk/mec/2021/01/20/talkin-bout-a-revolution-four-reasons-why-the-term-arab-spring-is-still-problematic/</w:t>
        </w:r>
      </w:hyperlink>
      <w:r w:rsidRPr="007F72E4">
        <w:rPr>
          <w:rFonts w:ascii="Open Sans" w:hAnsi="Open Sans" w:cs="Open Sans"/>
          <w:color w:val="000000" w:themeColor="text1"/>
        </w:rPr>
        <w:t xml:space="preserve"> </w:t>
      </w:r>
    </w:p>
  </w:footnote>
  <w:footnote w:id="18">
    <w:p w14:paraId="0ABC662B" w14:textId="28D7F470" w:rsidR="00C248F7" w:rsidRPr="00551C40" w:rsidRDefault="00C248F7" w:rsidP="00EB059A">
      <w:pPr>
        <w:pStyle w:val="FootnoteText"/>
        <w:spacing w:line="276" w:lineRule="auto"/>
        <w:rPr>
          <w:rFonts w:ascii="Open Sans" w:hAnsi="Open Sans" w:cs="Open Sans"/>
        </w:rPr>
      </w:pPr>
      <w:r w:rsidRPr="007F72E4">
        <w:rPr>
          <w:rStyle w:val="FootnoteReference"/>
          <w:rFonts w:ascii="Open Sans" w:hAnsi="Open Sans" w:cs="Open Sans"/>
          <w:color w:val="000000" w:themeColor="text1"/>
        </w:rPr>
        <w:footnoteRef/>
      </w:r>
      <w:r w:rsidRPr="007F72E4">
        <w:rPr>
          <w:rFonts w:ascii="Open Sans" w:hAnsi="Open Sans" w:cs="Open Sans"/>
          <w:color w:val="000000" w:themeColor="text1"/>
        </w:rPr>
        <w:t xml:space="preserve"> </w:t>
      </w:r>
      <w:r w:rsidR="003658A1" w:rsidRPr="007F72E4">
        <w:rPr>
          <w:rFonts w:ascii="Open Sans" w:hAnsi="Open Sans" w:cs="Open Sans"/>
          <w:color w:val="000000" w:themeColor="text1"/>
        </w:rPr>
        <w:t>G</w:t>
      </w:r>
      <w:r w:rsidRPr="007F72E4">
        <w:rPr>
          <w:rFonts w:ascii="Open Sans" w:hAnsi="Open Sans" w:cs="Open Sans"/>
          <w:color w:val="000000" w:themeColor="text1"/>
        </w:rPr>
        <w:t xml:space="preserve">overnance structures are referring to structures </w:t>
      </w:r>
      <w:r w:rsidRPr="00551C40">
        <w:rPr>
          <w:rFonts w:ascii="Open Sans" w:hAnsi="Open Sans" w:cs="Open Sans"/>
        </w:rPr>
        <w:t xml:space="preserve">of governance more akin with the Westphalian system. </w:t>
      </w:r>
    </w:p>
  </w:footnote>
  <w:footnote w:id="19">
    <w:p w14:paraId="78A842AE" w14:textId="7F8D1A29" w:rsidR="00C248F7" w:rsidRPr="00551C40" w:rsidRDefault="00C248F7"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Also </w:t>
      </w:r>
      <w:r w:rsidR="00EB059A">
        <w:rPr>
          <w:rFonts w:ascii="Open Sans" w:hAnsi="Open Sans" w:cs="Open Sans"/>
        </w:rPr>
        <w:t>referred to</w:t>
      </w:r>
      <w:r w:rsidRPr="00551C40">
        <w:rPr>
          <w:rFonts w:ascii="Open Sans" w:hAnsi="Open Sans" w:cs="Open Sans"/>
        </w:rPr>
        <w:t xml:space="preserve"> as North Yemen until 1990.</w:t>
      </w:r>
    </w:p>
  </w:footnote>
  <w:footnote w:id="20">
    <w:p w14:paraId="6A12FCDA" w14:textId="77777777" w:rsidR="00C248F7" w:rsidRPr="00551C40" w:rsidRDefault="00C248F7"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The UN Sustainable Development Goals are a collection of seventeen interconnected goals intended to act as a “shared blueprint for peace and prosperity for people and the planet, now and into the future". For more, visit: https://sdgs.un.org/goals</w:t>
      </w:r>
    </w:p>
  </w:footnote>
  <w:footnote w:id="21">
    <w:p w14:paraId="757B29E8" w14:textId="3C385D1D" w:rsidR="00C248F7" w:rsidRPr="00551C40" w:rsidRDefault="00C248F7"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Sometimes referred to as the </w:t>
      </w:r>
      <w:r w:rsidR="00C862FE" w:rsidRPr="00551C40">
        <w:rPr>
          <w:rFonts w:ascii="Open Sans" w:hAnsi="Open Sans" w:cs="Open Sans"/>
          <w:color w:val="000000" w:themeColor="text1"/>
        </w:rPr>
        <w:t>Intifada.</w:t>
      </w:r>
    </w:p>
  </w:footnote>
  <w:footnote w:id="22">
    <w:p w14:paraId="42BB0C70" w14:textId="112FC9C5" w:rsidR="00273BE2" w:rsidRPr="00551C40" w:rsidRDefault="00273BE2"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The extension of existing sanctions was </w:t>
      </w:r>
      <w:r w:rsidR="00F509F1" w:rsidRPr="00551C40">
        <w:rPr>
          <w:rFonts w:ascii="Open Sans" w:hAnsi="Open Sans" w:cs="Open Sans"/>
        </w:rPr>
        <w:t xml:space="preserve">confirmed in UN Security Council Resolution </w:t>
      </w:r>
      <w:r w:rsidR="00D64AD3" w:rsidRPr="00551C40">
        <w:rPr>
          <w:rFonts w:ascii="Open Sans" w:hAnsi="Open Sans" w:cs="Open Sans"/>
        </w:rPr>
        <w:t xml:space="preserve">2342, on </w:t>
      </w:r>
      <w:r w:rsidR="006640EE" w:rsidRPr="00551C40">
        <w:rPr>
          <w:rFonts w:ascii="Open Sans" w:hAnsi="Open Sans" w:cs="Open Sans"/>
        </w:rPr>
        <w:t xml:space="preserve">the </w:t>
      </w:r>
      <w:r w:rsidR="003821E8" w:rsidRPr="00551C40">
        <w:rPr>
          <w:rFonts w:ascii="Open Sans" w:hAnsi="Open Sans" w:cs="Open Sans"/>
        </w:rPr>
        <w:t>23</w:t>
      </w:r>
      <w:r w:rsidR="003821E8" w:rsidRPr="00551C40">
        <w:rPr>
          <w:rFonts w:ascii="Open Sans" w:hAnsi="Open Sans" w:cs="Open Sans"/>
          <w:vertAlign w:val="superscript"/>
        </w:rPr>
        <w:t>rd</w:t>
      </w:r>
      <w:r w:rsidR="006640EE" w:rsidRPr="00551C40">
        <w:rPr>
          <w:rFonts w:ascii="Open Sans" w:hAnsi="Open Sans" w:cs="Open Sans"/>
        </w:rPr>
        <w:t xml:space="preserve"> of February 2017</w:t>
      </w:r>
    </w:p>
  </w:footnote>
  <w:footnote w:id="23">
    <w:p w14:paraId="25BF7651" w14:textId="2A62CDB9" w:rsidR="001E1EE8" w:rsidRPr="00551C40" w:rsidRDefault="001E1EE8"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Brazil, Ireland, </w:t>
      </w:r>
      <w:r w:rsidR="00FF141A" w:rsidRPr="00551C40">
        <w:rPr>
          <w:rFonts w:ascii="Open Sans" w:hAnsi="Open Sans" w:cs="Open Sans"/>
        </w:rPr>
        <w:t>Mexico,</w:t>
      </w:r>
      <w:r w:rsidRPr="00551C40">
        <w:rPr>
          <w:rFonts w:ascii="Open Sans" w:hAnsi="Open Sans" w:cs="Open Sans"/>
        </w:rPr>
        <w:t xml:space="preserve"> and Norway abstained from voting.</w:t>
      </w:r>
      <w:r w:rsidR="00FF141A" w:rsidRPr="00551C40">
        <w:rPr>
          <w:rFonts w:ascii="Open Sans" w:hAnsi="Open Sans" w:cs="Open Sans"/>
        </w:rPr>
        <w:t xml:space="preserve"> More on the resolution and subsequent vote via:</w:t>
      </w:r>
      <w:r w:rsidRPr="00551C40">
        <w:rPr>
          <w:rFonts w:ascii="Open Sans" w:hAnsi="Open Sans" w:cs="Open Sans"/>
        </w:rPr>
        <w:t xml:space="preserve"> </w:t>
      </w:r>
      <w:r w:rsidR="00FF141A" w:rsidRPr="00551C40">
        <w:rPr>
          <w:rFonts w:ascii="Open Sans" w:hAnsi="Open Sans" w:cs="Open Sans"/>
        </w:rPr>
        <w:t>https://www.securitycouncilreport.org/un-documents/document/s-pv-8981.php</w:t>
      </w:r>
    </w:p>
  </w:footnote>
  <w:footnote w:id="24">
    <w:p w14:paraId="6239FC59" w14:textId="78189648" w:rsidR="00BF574F" w:rsidRPr="00551C40" w:rsidRDefault="00BF574F" w:rsidP="00EB059A">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w:t>
      </w:r>
      <w:r w:rsidR="00B60F37" w:rsidRPr="00551C40">
        <w:rPr>
          <w:rFonts w:ascii="Open Sans" w:hAnsi="Open Sans" w:cs="Open Sans"/>
        </w:rPr>
        <w:t xml:space="preserve">The 2022 Southern Yemen Office was </w:t>
      </w:r>
      <w:r w:rsidR="00420954" w:rsidRPr="00551C40">
        <w:rPr>
          <w:rFonts w:ascii="Open Sans" w:hAnsi="Open Sans" w:cs="Open Sans"/>
        </w:rPr>
        <w:t xml:space="preserve">an offensive launched by the Southern Separatist movement on the Saudi-led coalition. </w:t>
      </w:r>
    </w:p>
  </w:footnote>
  <w:footnote w:id="25">
    <w:p w14:paraId="617116B9" w14:textId="77777777" w:rsidR="004F5CF9" w:rsidRPr="00551C40" w:rsidRDefault="004F5CF9" w:rsidP="004F5CF9">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The principals in this case referring to the member-states.</w:t>
      </w:r>
    </w:p>
  </w:footnote>
  <w:footnote w:id="26">
    <w:p w14:paraId="4A81A5CD" w14:textId="77777777" w:rsidR="004F5CF9" w:rsidRPr="00551C40" w:rsidRDefault="004F5CF9" w:rsidP="004F5CF9">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The permanent Council members are China, France, the Russian Federation, the United Kingdom, and the United States</w:t>
      </w:r>
    </w:p>
  </w:footnote>
  <w:footnote w:id="27">
    <w:p w14:paraId="6AC28735" w14:textId="77777777" w:rsidR="004F5CF9" w:rsidRPr="00551C40" w:rsidRDefault="004F5CF9" w:rsidP="004F5CF9">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The entry of fuel ships and the re-opening of Sana’a airport was essential in providing the Yemeni population with humanitarian aid. </w:t>
      </w:r>
    </w:p>
  </w:footnote>
  <w:footnote w:id="28">
    <w:p w14:paraId="43C9DF02" w14:textId="77777777" w:rsidR="004F5CF9" w:rsidRPr="00551C40" w:rsidRDefault="004F5CF9" w:rsidP="004F5CF9">
      <w:pPr>
        <w:pStyle w:val="FootnoteText"/>
        <w:spacing w:line="276" w:lineRule="auto"/>
        <w:rPr>
          <w:rFonts w:ascii="Open Sans" w:hAnsi="Open Sans" w:cs="Open Sans"/>
        </w:rPr>
      </w:pPr>
      <w:r w:rsidRPr="00551C40">
        <w:rPr>
          <w:rStyle w:val="FootnoteReference"/>
          <w:rFonts w:ascii="Open Sans" w:hAnsi="Open Sans" w:cs="Open Sans"/>
        </w:rPr>
        <w:footnoteRef/>
      </w:r>
      <w:r w:rsidRPr="00551C40">
        <w:rPr>
          <w:rFonts w:ascii="Open Sans" w:hAnsi="Open Sans" w:cs="Open Sans"/>
        </w:rPr>
        <w:t xml:space="preserve"> Special Envoys are often referred to as Special Representatives, this is the same office.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935D3"/>
    <w:multiLevelType w:val="hybridMultilevel"/>
    <w:tmpl w:val="2CAE68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4E7506"/>
    <w:multiLevelType w:val="multilevel"/>
    <w:tmpl w:val="7A660BC2"/>
    <w:lvl w:ilvl="0">
      <w:start w:val="4"/>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1C01D6C"/>
    <w:multiLevelType w:val="hybridMultilevel"/>
    <w:tmpl w:val="D048FD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BE370A8"/>
    <w:multiLevelType w:val="hybridMultilevel"/>
    <w:tmpl w:val="5EB6E09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D0D7E59"/>
    <w:multiLevelType w:val="multilevel"/>
    <w:tmpl w:val="615C66BE"/>
    <w:lvl w:ilvl="0">
      <w:start w:val="1"/>
      <w:numFmt w:val="decimal"/>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5F8067B"/>
    <w:multiLevelType w:val="multilevel"/>
    <w:tmpl w:val="73A4BB18"/>
    <w:lvl w:ilvl="0">
      <w:start w:val="5"/>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8A93C19"/>
    <w:multiLevelType w:val="multilevel"/>
    <w:tmpl w:val="8CDE89D2"/>
    <w:lvl w:ilvl="0">
      <w:start w:val="4"/>
      <w:numFmt w:val="decimal"/>
      <w:lvlText w:val="%1."/>
      <w:lvlJc w:val="left"/>
      <w:pPr>
        <w:ind w:left="440" w:hanging="44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4B9733A0"/>
    <w:multiLevelType w:val="multilevel"/>
    <w:tmpl w:val="F5D44DAE"/>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6F5C6738"/>
    <w:multiLevelType w:val="multilevel"/>
    <w:tmpl w:val="16BC7690"/>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773740DB"/>
    <w:multiLevelType w:val="multilevel"/>
    <w:tmpl w:val="521EE3F4"/>
    <w:lvl w:ilvl="0">
      <w:start w:val="1"/>
      <w:numFmt w:val="decimal"/>
      <w:lvlText w:val="%1."/>
      <w:lvlJc w:val="left"/>
      <w:pPr>
        <w:ind w:left="720" w:hanging="36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502861318">
    <w:abstractNumId w:val="9"/>
  </w:num>
  <w:num w:numId="2" w16cid:durableId="951402345">
    <w:abstractNumId w:val="4"/>
  </w:num>
  <w:num w:numId="3" w16cid:durableId="1710103820">
    <w:abstractNumId w:val="7"/>
  </w:num>
  <w:num w:numId="4" w16cid:durableId="573784317">
    <w:abstractNumId w:val="3"/>
  </w:num>
  <w:num w:numId="5" w16cid:durableId="154150374">
    <w:abstractNumId w:val="5"/>
  </w:num>
  <w:num w:numId="6" w16cid:durableId="1726638568">
    <w:abstractNumId w:val="8"/>
  </w:num>
  <w:num w:numId="7" w16cid:durableId="1424060672">
    <w:abstractNumId w:val="6"/>
  </w:num>
  <w:num w:numId="8" w16cid:durableId="1192185631">
    <w:abstractNumId w:val="1"/>
  </w:num>
  <w:num w:numId="9" w16cid:durableId="1458722171">
    <w:abstractNumId w:val="2"/>
  </w:num>
  <w:num w:numId="10" w16cid:durableId="628053134">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347"/>
    <w:rsid w:val="0000082F"/>
    <w:rsid w:val="000030A9"/>
    <w:rsid w:val="00007933"/>
    <w:rsid w:val="00007A3E"/>
    <w:rsid w:val="000143B7"/>
    <w:rsid w:val="00014549"/>
    <w:rsid w:val="000222FA"/>
    <w:rsid w:val="00022C60"/>
    <w:rsid w:val="0002497A"/>
    <w:rsid w:val="00024C02"/>
    <w:rsid w:val="00025F0F"/>
    <w:rsid w:val="0002769C"/>
    <w:rsid w:val="00030216"/>
    <w:rsid w:val="00032AF8"/>
    <w:rsid w:val="00035259"/>
    <w:rsid w:val="0003749C"/>
    <w:rsid w:val="000402CD"/>
    <w:rsid w:val="0004587D"/>
    <w:rsid w:val="00045FDD"/>
    <w:rsid w:val="00046980"/>
    <w:rsid w:val="000509CB"/>
    <w:rsid w:val="00064139"/>
    <w:rsid w:val="000674B8"/>
    <w:rsid w:val="00070788"/>
    <w:rsid w:val="0007104A"/>
    <w:rsid w:val="00074854"/>
    <w:rsid w:val="00080662"/>
    <w:rsid w:val="00080B34"/>
    <w:rsid w:val="000817B1"/>
    <w:rsid w:val="00085115"/>
    <w:rsid w:val="00090663"/>
    <w:rsid w:val="0009275C"/>
    <w:rsid w:val="000A0FBF"/>
    <w:rsid w:val="000B6C66"/>
    <w:rsid w:val="000C0744"/>
    <w:rsid w:val="000C0DE4"/>
    <w:rsid w:val="000C492C"/>
    <w:rsid w:val="000C4B59"/>
    <w:rsid w:val="000C74F9"/>
    <w:rsid w:val="000C7813"/>
    <w:rsid w:val="000D0660"/>
    <w:rsid w:val="000D348D"/>
    <w:rsid w:val="000D55EB"/>
    <w:rsid w:val="000D7B28"/>
    <w:rsid w:val="000E04BF"/>
    <w:rsid w:val="000E051D"/>
    <w:rsid w:val="000E1673"/>
    <w:rsid w:val="000E1942"/>
    <w:rsid w:val="000E1D4C"/>
    <w:rsid w:val="000E42DE"/>
    <w:rsid w:val="000F08B8"/>
    <w:rsid w:val="000F6DB1"/>
    <w:rsid w:val="001022BA"/>
    <w:rsid w:val="00103E07"/>
    <w:rsid w:val="00106A23"/>
    <w:rsid w:val="001111EC"/>
    <w:rsid w:val="00111368"/>
    <w:rsid w:val="00111C64"/>
    <w:rsid w:val="00111E7F"/>
    <w:rsid w:val="00112E4C"/>
    <w:rsid w:val="00115AF5"/>
    <w:rsid w:val="00115DD7"/>
    <w:rsid w:val="001224D7"/>
    <w:rsid w:val="001236FE"/>
    <w:rsid w:val="00125207"/>
    <w:rsid w:val="00126079"/>
    <w:rsid w:val="00126B88"/>
    <w:rsid w:val="00126C59"/>
    <w:rsid w:val="001346C0"/>
    <w:rsid w:val="00135BD5"/>
    <w:rsid w:val="0013787C"/>
    <w:rsid w:val="00137FC8"/>
    <w:rsid w:val="00140287"/>
    <w:rsid w:val="00140FD9"/>
    <w:rsid w:val="00143459"/>
    <w:rsid w:val="00145570"/>
    <w:rsid w:val="00147D26"/>
    <w:rsid w:val="0015180D"/>
    <w:rsid w:val="001534C5"/>
    <w:rsid w:val="00153C9E"/>
    <w:rsid w:val="00153FF2"/>
    <w:rsid w:val="001542CE"/>
    <w:rsid w:val="001543EF"/>
    <w:rsid w:val="001616E5"/>
    <w:rsid w:val="001654D9"/>
    <w:rsid w:val="00165EBD"/>
    <w:rsid w:val="00171BC8"/>
    <w:rsid w:val="00172408"/>
    <w:rsid w:val="00173332"/>
    <w:rsid w:val="00175E57"/>
    <w:rsid w:val="001903C6"/>
    <w:rsid w:val="00190B1D"/>
    <w:rsid w:val="001920EA"/>
    <w:rsid w:val="00193842"/>
    <w:rsid w:val="00194D08"/>
    <w:rsid w:val="001965E1"/>
    <w:rsid w:val="00196C17"/>
    <w:rsid w:val="00196F96"/>
    <w:rsid w:val="001A340E"/>
    <w:rsid w:val="001A5AD3"/>
    <w:rsid w:val="001B36A8"/>
    <w:rsid w:val="001B3ABC"/>
    <w:rsid w:val="001B3FC1"/>
    <w:rsid w:val="001B47F9"/>
    <w:rsid w:val="001B50C1"/>
    <w:rsid w:val="001B563E"/>
    <w:rsid w:val="001C0C52"/>
    <w:rsid w:val="001C2251"/>
    <w:rsid w:val="001C2A3F"/>
    <w:rsid w:val="001C39F7"/>
    <w:rsid w:val="001D5071"/>
    <w:rsid w:val="001E18D7"/>
    <w:rsid w:val="001E1EE8"/>
    <w:rsid w:val="001E6745"/>
    <w:rsid w:val="001F3A89"/>
    <w:rsid w:val="001F3CFB"/>
    <w:rsid w:val="001F3FCF"/>
    <w:rsid w:val="001F4144"/>
    <w:rsid w:val="001F50F1"/>
    <w:rsid w:val="001F585B"/>
    <w:rsid w:val="0020299A"/>
    <w:rsid w:val="00215BDA"/>
    <w:rsid w:val="002176C1"/>
    <w:rsid w:val="00226533"/>
    <w:rsid w:val="0022794B"/>
    <w:rsid w:val="002363D1"/>
    <w:rsid w:val="00243138"/>
    <w:rsid w:val="0024535D"/>
    <w:rsid w:val="00254A7C"/>
    <w:rsid w:val="002556CF"/>
    <w:rsid w:val="002601D9"/>
    <w:rsid w:val="00261532"/>
    <w:rsid w:val="002620A5"/>
    <w:rsid w:val="002649A6"/>
    <w:rsid w:val="0026774D"/>
    <w:rsid w:val="00270970"/>
    <w:rsid w:val="00272A72"/>
    <w:rsid w:val="00272DC7"/>
    <w:rsid w:val="00273BE2"/>
    <w:rsid w:val="00274111"/>
    <w:rsid w:val="002824C9"/>
    <w:rsid w:val="0028503B"/>
    <w:rsid w:val="002857AC"/>
    <w:rsid w:val="002868EF"/>
    <w:rsid w:val="0028799F"/>
    <w:rsid w:val="00290881"/>
    <w:rsid w:val="00290AEB"/>
    <w:rsid w:val="002A3209"/>
    <w:rsid w:val="002A3EE7"/>
    <w:rsid w:val="002A58EE"/>
    <w:rsid w:val="002A5978"/>
    <w:rsid w:val="002A658A"/>
    <w:rsid w:val="002B059B"/>
    <w:rsid w:val="002B0B16"/>
    <w:rsid w:val="002B4988"/>
    <w:rsid w:val="002C0802"/>
    <w:rsid w:val="002C1490"/>
    <w:rsid w:val="002C5ADA"/>
    <w:rsid w:val="002C7B8D"/>
    <w:rsid w:val="002D2065"/>
    <w:rsid w:val="002D207C"/>
    <w:rsid w:val="002D2485"/>
    <w:rsid w:val="002D3B30"/>
    <w:rsid w:val="002D707F"/>
    <w:rsid w:val="002E059F"/>
    <w:rsid w:val="002E2386"/>
    <w:rsid w:val="002E24B8"/>
    <w:rsid w:val="002E46D0"/>
    <w:rsid w:val="002F290C"/>
    <w:rsid w:val="002F461E"/>
    <w:rsid w:val="002F5FD0"/>
    <w:rsid w:val="002F6119"/>
    <w:rsid w:val="00312355"/>
    <w:rsid w:val="003153EB"/>
    <w:rsid w:val="00317652"/>
    <w:rsid w:val="0031771F"/>
    <w:rsid w:val="00320F67"/>
    <w:rsid w:val="00321EE8"/>
    <w:rsid w:val="00324B23"/>
    <w:rsid w:val="003349C3"/>
    <w:rsid w:val="003365D1"/>
    <w:rsid w:val="003418EB"/>
    <w:rsid w:val="0034357E"/>
    <w:rsid w:val="0035260B"/>
    <w:rsid w:val="0035301C"/>
    <w:rsid w:val="00360890"/>
    <w:rsid w:val="003658A1"/>
    <w:rsid w:val="00366004"/>
    <w:rsid w:val="00366AA7"/>
    <w:rsid w:val="0036704E"/>
    <w:rsid w:val="00367411"/>
    <w:rsid w:val="00371C05"/>
    <w:rsid w:val="00375FEC"/>
    <w:rsid w:val="003813F6"/>
    <w:rsid w:val="003821E8"/>
    <w:rsid w:val="00382AE8"/>
    <w:rsid w:val="0038341C"/>
    <w:rsid w:val="003848D9"/>
    <w:rsid w:val="00391031"/>
    <w:rsid w:val="0039273F"/>
    <w:rsid w:val="0039324B"/>
    <w:rsid w:val="00393F21"/>
    <w:rsid w:val="003951C7"/>
    <w:rsid w:val="00396958"/>
    <w:rsid w:val="00396F5F"/>
    <w:rsid w:val="003A0805"/>
    <w:rsid w:val="003A27B2"/>
    <w:rsid w:val="003B0C05"/>
    <w:rsid w:val="003B40C2"/>
    <w:rsid w:val="003B6527"/>
    <w:rsid w:val="003B67C4"/>
    <w:rsid w:val="003C0DE0"/>
    <w:rsid w:val="003C3329"/>
    <w:rsid w:val="003C631B"/>
    <w:rsid w:val="003C6A09"/>
    <w:rsid w:val="003C7547"/>
    <w:rsid w:val="003D1CE0"/>
    <w:rsid w:val="003D2036"/>
    <w:rsid w:val="003D2201"/>
    <w:rsid w:val="003D379C"/>
    <w:rsid w:val="003D5A16"/>
    <w:rsid w:val="003D5AD0"/>
    <w:rsid w:val="003E2BDE"/>
    <w:rsid w:val="003E3AFB"/>
    <w:rsid w:val="003E5185"/>
    <w:rsid w:val="003F7872"/>
    <w:rsid w:val="00400716"/>
    <w:rsid w:val="00404E69"/>
    <w:rsid w:val="00404EE0"/>
    <w:rsid w:val="004067A6"/>
    <w:rsid w:val="0040738D"/>
    <w:rsid w:val="00407772"/>
    <w:rsid w:val="00407F98"/>
    <w:rsid w:val="004129DF"/>
    <w:rsid w:val="004142A4"/>
    <w:rsid w:val="004172E6"/>
    <w:rsid w:val="00420347"/>
    <w:rsid w:val="00420954"/>
    <w:rsid w:val="00427B23"/>
    <w:rsid w:val="004336C9"/>
    <w:rsid w:val="004349F1"/>
    <w:rsid w:val="00435F63"/>
    <w:rsid w:val="004417A2"/>
    <w:rsid w:val="0044352B"/>
    <w:rsid w:val="00443FE3"/>
    <w:rsid w:val="00446D92"/>
    <w:rsid w:val="00451128"/>
    <w:rsid w:val="004541B8"/>
    <w:rsid w:val="00455292"/>
    <w:rsid w:val="00465811"/>
    <w:rsid w:val="004672C5"/>
    <w:rsid w:val="00471DAF"/>
    <w:rsid w:val="004724B5"/>
    <w:rsid w:val="0047294D"/>
    <w:rsid w:val="0047565B"/>
    <w:rsid w:val="0047720E"/>
    <w:rsid w:val="004776C5"/>
    <w:rsid w:val="00480D7E"/>
    <w:rsid w:val="00483A4A"/>
    <w:rsid w:val="00484E79"/>
    <w:rsid w:val="00485849"/>
    <w:rsid w:val="0048667B"/>
    <w:rsid w:val="00486D69"/>
    <w:rsid w:val="0048775E"/>
    <w:rsid w:val="004906CA"/>
    <w:rsid w:val="00490819"/>
    <w:rsid w:val="004A0B49"/>
    <w:rsid w:val="004B0B8E"/>
    <w:rsid w:val="004B144B"/>
    <w:rsid w:val="004B41EE"/>
    <w:rsid w:val="004B5209"/>
    <w:rsid w:val="004B659B"/>
    <w:rsid w:val="004B65F0"/>
    <w:rsid w:val="004B7173"/>
    <w:rsid w:val="004C0CBD"/>
    <w:rsid w:val="004C2D2D"/>
    <w:rsid w:val="004C3AE0"/>
    <w:rsid w:val="004C419D"/>
    <w:rsid w:val="004C6BC1"/>
    <w:rsid w:val="004D308A"/>
    <w:rsid w:val="004D527E"/>
    <w:rsid w:val="004D6AFD"/>
    <w:rsid w:val="004D6E00"/>
    <w:rsid w:val="004E0BBE"/>
    <w:rsid w:val="004E2C0C"/>
    <w:rsid w:val="004E44FA"/>
    <w:rsid w:val="004F0658"/>
    <w:rsid w:val="004F18DD"/>
    <w:rsid w:val="004F1DBF"/>
    <w:rsid w:val="004F5990"/>
    <w:rsid w:val="004F5CF9"/>
    <w:rsid w:val="00506803"/>
    <w:rsid w:val="00524103"/>
    <w:rsid w:val="005257D7"/>
    <w:rsid w:val="00530DC1"/>
    <w:rsid w:val="0053471A"/>
    <w:rsid w:val="005348E1"/>
    <w:rsid w:val="0053624B"/>
    <w:rsid w:val="00537E8D"/>
    <w:rsid w:val="00541635"/>
    <w:rsid w:val="0054210E"/>
    <w:rsid w:val="00545091"/>
    <w:rsid w:val="005471C2"/>
    <w:rsid w:val="00551C40"/>
    <w:rsid w:val="005534B4"/>
    <w:rsid w:val="00561B2B"/>
    <w:rsid w:val="00563B02"/>
    <w:rsid w:val="0057089E"/>
    <w:rsid w:val="005773CB"/>
    <w:rsid w:val="00581E8C"/>
    <w:rsid w:val="00583D55"/>
    <w:rsid w:val="00587200"/>
    <w:rsid w:val="005A00A3"/>
    <w:rsid w:val="005A02C0"/>
    <w:rsid w:val="005A0D18"/>
    <w:rsid w:val="005A13F1"/>
    <w:rsid w:val="005A2048"/>
    <w:rsid w:val="005A5610"/>
    <w:rsid w:val="005A5751"/>
    <w:rsid w:val="005A662B"/>
    <w:rsid w:val="005A7819"/>
    <w:rsid w:val="005B4FD6"/>
    <w:rsid w:val="005C2159"/>
    <w:rsid w:val="005C73EA"/>
    <w:rsid w:val="005D0F3B"/>
    <w:rsid w:val="005D2981"/>
    <w:rsid w:val="005D2C04"/>
    <w:rsid w:val="005E3C17"/>
    <w:rsid w:val="005E47A6"/>
    <w:rsid w:val="005E6535"/>
    <w:rsid w:val="005F5B9D"/>
    <w:rsid w:val="005F6DFC"/>
    <w:rsid w:val="005F6EAA"/>
    <w:rsid w:val="00600128"/>
    <w:rsid w:val="0060047A"/>
    <w:rsid w:val="006032B9"/>
    <w:rsid w:val="00603DE8"/>
    <w:rsid w:val="006059A7"/>
    <w:rsid w:val="00606B75"/>
    <w:rsid w:val="0062170B"/>
    <w:rsid w:val="00623336"/>
    <w:rsid w:val="006239DE"/>
    <w:rsid w:val="006266C4"/>
    <w:rsid w:val="00627551"/>
    <w:rsid w:val="00634B05"/>
    <w:rsid w:val="006409EF"/>
    <w:rsid w:val="006418CE"/>
    <w:rsid w:val="00641AB3"/>
    <w:rsid w:val="00641D4E"/>
    <w:rsid w:val="00646109"/>
    <w:rsid w:val="00647A7B"/>
    <w:rsid w:val="00651ABC"/>
    <w:rsid w:val="00651E0B"/>
    <w:rsid w:val="00652891"/>
    <w:rsid w:val="00653C73"/>
    <w:rsid w:val="00653FEE"/>
    <w:rsid w:val="006558FF"/>
    <w:rsid w:val="00657B23"/>
    <w:rsid w:val="00657D59"/>
    <w:rsid w:val="00660313"/>
    <w:rsid w:val="0066217A"/>
    <w:rsid w:val="006625D4"/>
    <w:rsid w:val="006640EE"/>
    <w:rsid w:val="00665833"/>
    <w:rsid w:val="00673CE9"/>
    <w:rsid w:val="006740C1"/>
    <w:rsid w:val="006751C0"/>
    <w:rsid w:val="00675C6F"/>
    <w:rsid w:val="006804CC"/>
    <w:rsid w:val="006860C3"/>
    <w:rsid w:val="0069039D"/>
    <w:rsid w:val="00692888"/>
    <w:rsid w:val="006A1005"/>
    <w:rsid w:val="006A33C1"/>
    <w:rsid w:val="006B1236"/>
    <w:rsid w:val="006B3614"/>
    <w:rsid w:val="006B415F"/>
    <w:rsid w:val="006B5035"/>
    <w:rsid w:val="006B6C5D"/>
    <w:rsid w:val="006B7427"/>
    <w:rsid w:val="006C4CE3"/>
    <w:rsid w:val="006C6133"/>
    <w:rsid w:val="006C6648"/>
    <w:rsid w:val="006C6C12"/>
    <w:rsid w:val="006D1042"/>
    <w:rsid w:val="006D47FD"/>
    <w:rsid w:val="006D6D98"/>
    <w:rsid w:val="006D6F64"/>
    <w:rsid w:val="006D7189"/>
    <w:rsid w:val="006E3579"/>
    <w:rsid w:val="006E5632"/>
    <w:rsid w:val="006E696D"/>
    <w:rsid w:val="006F1DF3"/>
    <w:rsid w:val="006F2AEF"/>
    <w:rsid w:val="006F3A1B"/>
    <w:rsid w:val="006F54BB"/>
    <w:rsid w:val="00704F64"/>
    <w:rsid w:val="00705716"/>
    <w:rsid w:val="00706683"/>
    <w:rsid w:val="00706ACE"/>
    <w:rsid w:val="00711A43"/>
    <w:rsid w:val="00711BBE"/>
    <w:rsid w:val="0071446E"/>
    <w:rsid w:val="00714AC8"/>
    <w:rsid w:val="00716005"/>
    <w:rsid w:val="00721E60"/>
    <w:rsid w:val="00721F7D"/>
    <w:rsid w:val="007232ED"/>
    <w:rsid w:val="007319A2"/>
    <w:rsid w:val="0073511C"/>
    <w:rsid w:val="0073520B"/>
    <w:rsid w:val="00735622"/>
    <w:rsid w:val="0074106D"/>
    <w:rsid w:val="0074231B"/>
    <w:rsid w:val="00742342"/>
    <w:rsid w:val="00744561"/>
    <w:rsid w:val="0075289D"/>
    <w:rsid w:val="00752FAC"/>
    <w:rsid w:val="00754B73"/>
    <w:rsid w:val="00757078"/>
    <w:rsid w:val="00757F81"/>
    <w:rsid w:val="007639B7"/>
    <w:rsid w:val="00767C6F"/>
    <w:rsid w:val="00767DAD"/>
    <w:rsid w:val="007706DE"/>
    <w:rsid w:val="007758E3"/>
    <w:rsid w:val="00777059"/>
    <w:rsid w:val="007774E9"/>
    <w:rsid w:val="00783E9C"/>
    <w:rsid w:val="0079311C"/>
    <w:rsid w:val="00795D18"/>
    <w:rsid w:val="007A0200"/>
    <w:rsid w:val="007A05F7"/>
    <w:rsid w:val="007A0D72"/>
    <w:rsid w:val="007A156E"/>
    <w:rsid w:val="007A3575"/>
    <w:rsid w:val="007A3D9A"/>
    <w:rsid w:val="007A4943"/>
    <w:rsid w:val="007B3B98"/>
    <w:rsid w:val="007B40ED"/>
    <w:rsid w:val="007B488C"/>
    <w:rsid w:val="007B5A8E"/>
    <w:rsid w:val="007B6224"/>
    <w:rsid w:val="007C0BB0"/>
    <w:rsid w:val="007C27A2"/>
    <w:rsid w:val="007D081E"/>
    <w:rsid w:val="007D3485"/>
    <w:rsid w:val="007D621C"/>
    <w:rsid w:val="007D7340"/>
    <w:rsid w:val="007E2785"/>
    <w:rsid w:val="007E4D3A"/>
    <w:rsid w:val="007F72E4"/>
    <w:rsid w:val="00805AF5"/>
    <w:rsid w:val="00807A5E"/>
    <w:rsid w:val="00813B44"/>
    <w:rsid w:val="00815AEC"/>
    <w:rsid w:val="008168C9"/>
    <w:rsid w:val="008170D3"/>
    <w:rsid w:val="0081757A"/>
    <w:rsid w:val="00817B03"/>
    <w:rsid w:val="00817FCA"/>
    <w:rsid w:val="008320D1"/>
    <w:rsid w:val="0084163D"/>
    <w:rsid w:val="00841FCF"/>
    <w:rsid w:val="008465BE"/>
    <w:rsid w:val="008477CF"/>
    <w:rsid w:val="00852702"/>
    <w:rsid w:val="0085288E"/>
    <w:rsid w:val="00852FE1"/>
    <w:rsid w:val="00855FBD"/>
    <w:rsid w:val="00855FD0"/>
    <w:rsid w:val="00861CCB"/>
    <w:rsid w:val="008629C1"/>
    <w:rsid w:val="00863BC7"/>
    <w:rsid w:val="0086613B"/>
    <w:rsid w:val="008677FD"/>
    <w:rsid w:val="008702BA"/>
    <w:rsid w:val="00872D53"/>
    <w:rsid w:val="008747DC"/>
    <w:rsid w:val="00874EEA"/>
    <w:rsid w:val="00876B95"/>
    <w:rsid w:val="0088523B"/>
    <w:rsid w:val="00892A51"/>
    <w:rsid w:val="00893E2D"/>
    <w:rsid w:val="0089500A"/>
    <w:rsid w:val="00895FF9"/>
    <w:rsid w:val="008961F2"/>
    <w:rsid w:val="00896411"/>
    <w:rsid w:val="00897F21"/>
    <w:rsid w:val="008A012D"/>
    <w:rsid w:val="008A04F2"/>
    <w:rsid w:val="008A46FC"/>
    <w:rsid w:val="008A572C"/>
    <w:rsid w:val="008A6881"/>
    <w:rsid w:val="008B0DA4"/>
    <w:rsid w:val="008B1CC8"/>
    <w:rsid w:val="008B3169"/>
    <w:rsid w:val="008B3207"/>
    <w:rsid w:val="008B480D"/>
    <w:rsid w:val="008B5C22"/>
    <w:rsid w:val="008B5E92"/>
    <w:rsid w:val="008C0C20"/>
    <w:rsid w:val="008C3F13"/>
    <w:rsid w:val="008C4FAC"/>
    <w:rsid w:val="008C5C2E"/>
    <w:rsid w:val="008C7007"/>
    <w:rsid w:val="008D0B65"/>
    <w:rsid w:val="008E3228"/>
    <w:rsid w:val="008E54CF"/>
    <w:rsid w:val="008E5AF3"/>
    <w:rsid w:val="008E7422"/>
    <w:rsid w:val="008E7C81"/>
    <w:rsid w:val="008E7EAA"/>
    <w:rsid w:val="008F11B4"/>
    <w:rsid w:val="008F16B3"/>
    <w:rsid w:val="008F1753"/>
    <w:rsid w:val="008F3810"/>
    <w:rsid w:val="008F3CFA"/>
    <w:rsid w:val="008F4004"/>
    <w:rsid w:val="008F4503"/>
    <w:rsid w:val="008F5348"/>
    <w:rsid w:val="008F5743"/>
    <w:rsid w:val="008F671E"/>
    <w:rsid w:val="008F77DE"/>
    <w:rsid w:val="009032AF"/>
    <w:rsid w:val="009045EF"/>
    <w:rsid w:val="00906169"/>
    <w:rsid w:val="00906E52"/>
    <w:rsid w:val="00910062"/>
    <w:rsid w:val="00911544"/>
    <w:rsid w:val="00912B1A"/>
    <w:rsid w:val="0091345F"/>
    <w:rsid w:val="00917517"/>
    <w:rsid w:val="0092299C"/>
    <w:rsid w:val="0092547F"/>
    <w:rsid w:val="00926E52"/>
    <w:rsid w:val="00927018"/>
    <w:rsid w:val="00932513"/>
    <w:rsid w:val="00935EC0"/>
    <w:rsid w:val="009366E8"/>
    <w:rsid w:val="009369EB"/>
    <w:rsid w:val="009406DC"/>
    <w:rsid w:val="0094175D"/>
    <w:rsid w:val="009471C8"/>
    <w:rsid w:val="00950746"/>
    <w:rsid w:val="00951A82"/>
    <w:rsid w:val="00956D92"/>
    <w:rsid w:val="00960DF6"/>
    <w:rsid w:val="00960EA1"/>
    <w:rsid w:val="00967D15"/>
    <w:rsid w:val="00970C40"/>
    <w:rsid w:val="00973508"/>
    <w:rsid w:val="009748BD"/>
    <w:rsid w:val="0097585F"/>
    <w:rsid w:val="00980DF3"/>
    <w:rsid w:val="009836AE"/>
    <w:rsid w:val="00983C6B"/>
    <w:rsid w:val="00995808"/>
    <w:rsid w:val="00996AA0"/>
    <w:rsid w:val="00996AD4"/>
    <w:rsid w:val="009A6431"/>
    <w:rsid w:val="009A66CC"/>
    <w:rsid w:val="009A6BFC"/>
    <w:rsid w:val="009B01F2"/>
    <w:rsid w:val="009B03D9"/>
    <w:rsid w:val="009B193E"/>
    <w:rsid w:val="009B25BD"/>
    <w:rsid w:val="009B51CF"/>
    <w:rsid w:val="009C21F0"/>
    <w:rsid w:val="009C337D"/>
    <w:rsid w:val="009C3918"/>
    <w:rsid w:val="009C7B2C"/>
    <w:rsid w:val="009D33DB"/>
    <w:rsid w:val="009D617A"/>
    <w:rsid w:val="009E1802"/>
    <w:rsid w:val="009E7C63"/>
    <w:rsid w:val="009F1044"/>
    <w:rsid w:val="009F4C59"/>
    <w:rsid w:val="00A0073A"/>
    <w:rsid w:val="00A00DA5"/>
    <w:rsid w:val="00A025D7"/>
    <w:rsid w:val="00A05A70"/>
    <w:rsid w:val="00A07F3A"/>
    <w:rsid w:val="00A114FA"/>
    <w:rsid w:val="00A145A3"/>
    <w:rsid w:val="00A1522E"/>
    <w:rsid w:val="00A16DA7"/>
    <w:rsid w:val="00A2236F"/>
    <w:rsid w:val="00A3065E"/>
    <w:rsid w:val="00A34DE8"/>
    <w:rsid w:val="00A3682E"/>
    <w:rsid w:val="00A36A50"/>
    <w:rsid w:val="00A42FAE"/>
    <w:rsid w:val="00A44CA4"/>
    <w:rsid w:val="00A46300"/>
    <w:rsid w:val="00A532FC"/>
    <w:rsid w:val="00A55C33"/>
    <w:rsid w:val="00A6082C"/>
    <w:rsid w:val="00A621EC"/>
    <w:rsid w:val="00A718BA"/>
    <w:rsid w:val="00A77E4F"/>
    <w:rsid w:val="00A81EF5"/>
    <w:rsid w:val="00A8445E"/>
    <w:rsid w:val="00A9060E"/>
    <w:rsid w:val="00A97BBB"/>
    <w:rsid w:val="00AA31A6"/>
    <w:rsid w:val="00AB0A6E"/>
    <w:rsid w:val="00AB2E50"/>
    <w:rsid w:val="00AB4400"/>
    <w:rsid w:val="00AB4C19"/>
    <w:rsid w:val="00AB5101"/>
    <w:rsid w:val="00AB760B"/>
    <w:rsid w:val="00AB7D23"/>
    <w:rsid w:val="00AC21C6"/>
    <w:rsid w:val="00AC482D"/>
    <w:rsid w:val="00AD191A"/>
    <w:rsid w:val="00AD31EB"/>
    <w:rsid w:val="00AE637E"/>
    <w:rsid w:val="00AE706C"/>
    <w:rsid w:val="00AE786A"/>
    <w:rsid w:val="00AE7D40"/>
    <w:rsid w:val="00AF03DD"/>
    <w:rsid w:val="00AF451B"/>
    <w:rsid w:val="00AF4617"/>
    <w:rsid w:val="00AF4AD0"/>
    <w:rsid w:val="00AF51DC"/>
    <w:rsid w:val="00AF5AA8"/>
    <w:rsid w:val="00B0099B"/>
    <w:rsid w:val="00B010A3"/>
    <w:rsid w:val="00B0185E"/>
    <w:rsid w:val="00B02CC6"/>
    <w:rsid w:val="00B03011"/>
    <w:rsid w:val="00B039F9"/>
    <w:rsid w:val="00B04BFA"/>
    <w:rsid w:val="00B05E23"/>
    <w:rsid w:val="00B10213"/>
    <w:rsid w:val="00B10F9C"/>
    <w:rsid w:val="00B15BAE"/>
    <w:rsid w:val="00B21453"/>
    <w:rsid w:val="00B23AB2"/>
    <w:rsid w:val="00B23CB8"/>
    <w:rsid w:val="00B241AA"/>
    <w:rsid w:val="00B3067C"/>
    <w:rsid w:val="00B322A5"/>
    <w:rsid w:val="00B3429B"/>
    <w:rsid w:val="00B37704"/>
    <w:rsid w:val="00B402E1"/>
    <w:rsid w:val="00B4122F"/>
    <w:rsid w:val="00B41479"/>
    <w:rsid w:val="00B419D8"/>
    <w:rsid w:val="00B43AB8"/>
    <w:rsid w:val="00B43F25"/>
    <w:rsid w:val="00B464F6"/>
    <w:rsid w:val="00B52EB4"/>
    <w:rsid w:val="00B56E44"/>
    <w:rsid w:val="00B602D5"/>
    <w:rsid w:val="00B60F37"/>
    <w:rsid w:val="00B63336"/>
    <w:rsid w:val="00B736A4"/>
    <w:rsid w:val="00B80D16"/>
    <w:rsid w:val="00B82A8C"/>
    <w:rsid w:val="00B82B88"/>
    <w:rsid w:val="00B82E9E"/>
    <w:rsid w:val="00B82F21"/>
    <w:rsid w:val="00B8408E"/>
    <w:rsid w:val="00B9657C"/>
    <w:rsid w:val="00B96B39"/>
    <w:rsid w:val="00BA07DE"/>
    <w:rsid w:val="00BA1046"/>
    <w:rsid w:val="00BA10F3"/>
    <w:rsid w:val="00BA1297"/>
    <w:rsid w:val="00BA36AD"/>
    <w:rsid w:val="00BA53A9"/>
    <w:rsid w:val="00BA53EA"/>
    <w:rsid w:val="00BB1EC5"/>
    <w:rsid w:val="00BB2685"/>
    <w:rsid w:val="00BB6E18"/>
    <w:rsid w:val="00BB6EA0"/>
    <w:rsid w:val="00BB7058"/>
    <w:rsid w:val="00BC0A28"/>
    <w:rsid w:val="00BC5401"/>
    <w:rsid w:val="00BC6CED"/>
    <w:rsid w:val="00BD25A3"/>
    <w:rsid w:val="00BD45A4"/>
    <w:rsid w:val="00BD547F"/>
    <w:rsid w:val="00BD57A9"/>
    <w:rsid w:val="00BE1E41"/>
    <w:rsid w:val="00BE68F8"/>
    <w:rsid w:val="00BF1E57"/>
    <w:rsid w:val="00BF4584"/>
    <w:rsid w:val="00BF574F"/>
    <w:rsid w:val="00BF57DE"/>
    <w:rsid w:val="00C036F8"/>
    <w:rsid w:val="00C04DFB"/>
    <w:rsid w:val="00C06EC9"/>
    <w:rsid w:val="00C139DA"/>
    <w:rsid w:val="00C15BFF"/>
    <w:rsid w:val="00C16655"/>
    <w:rsid w:val="00C167E2"/>
    <w:rsid w:val="00C17139"/>
    <w:rsid w:val="00C21686"/>
    <w:rsid w:val="00C248F7"/>
    <w:rsid w:val="00C303E1"/>
    <w:rsid w:val="00C30EFE"/>
    <w:rsid w:val="00C32678"/>
    <w:rsid w:val="00C37FDC"/>
    <w:rsid w:val="00C40730"/>
    <w:rsid w:val="00C4198B"/>
    <w:rsid w:val="00C42F7E"/>
    <w:rsid w:val="00C46654"/>
    <w:rsid w:val="00C47943"/>
    <w:rsid w:val="00C529ED"/>
    <w:rsid w:val="00C52CCC"/>
    <w:rsid w:val="00C55DD4"/>
    <w:rsid w:val="00C61666"/>
    <w:rsid w:val="00C64604"/>
    <w:rsid w:val="00C67ADE"/>
    <w:rsid w:val="00C808F0"/>
    <w:rsid w:val="00C82282"/>
    <w:rsid w:val="00C862FE"/>
    <w:rsid w:val="00C879FF"/>
    <w:rsid w:val="00C909CB"/>
    <w:rsid w:val="00C91C28"/>
    <w:rsid w:val="00C943D3"/>
    <w:rsid w:val="00C95589"/>
    <w:rsid w:val="00CA0ADF"/>
    <w:rsid w:val="00CA1A47"/>
    <w:rsid w:val="00CA1CC7"/>
    <w:rsid w:val="00CB6034"/>
    <w:rsid w:val="00CB6EC3"/>
    <w:rsid w:val="00CC1251"/>
    <w:rsid w:val="00CC378A"/>
    <w:rsid w:val="00CC684D"/>
    <w:rsid w:val="00CC7A00"/>
    <w:rsid w:val="00CD0555"/>
    <w:rsid w:val="00CD4184"/>
    <w:rsid w:val="00CD6271"/>
    <w:rsid w:val="00CE730A"/>
    <w:rsid w:val="00CF1DCF"/>
    <w:rsid w:val="00CF35B4"/>
    <w:rsid w:val="00CF5F8A"/>
    <w:rsid w:val="00D05BC4"/>
    <w:rsid w:val="00D11FB1"/>
    <w:rsid w:val="00D14251"/>
    <w:rsid w:val="00D233F8"/>
    <w:rsid w:val="00D321A4"/>
    <w:rsid w:val="00D342A9"/>
    <w:rsid w:val="00D3485B"/>
    <w:rsid w:val="00D34D32"/>
    <w:rsid w:val="00D42283"/>
    <w:rsid w:val="00D42C5C"/>
    <w:rsid w:val="00D45254"/>
    <w:rsid w:val="00D46C25"/>
    <w:rsid w:val="00D475EA"/>
    <w:rsid w:val="00D56F23"/>
    <w:rsid w:val="00D578F2"/>
    <w:rsid w:val="00D60107"/>
    <w:rsid w:val="00D61967"/>
    <w:rsid w:val="00D64AD3"/>
    <w:rsid w:val="00D66E18"/>
    <w:rsid w:val="00D727F1"/>
    <w:rsid w:val="00D72BB2"/>
    <w:rsid w:val="00D74153"/>
    <w:rsid w:val="00D80CFB"/>
    <w:rsid w:val="00D8471F"/>
    <w:rsid w:val="00D85DC3"/>
    <w:rsid w:val="00D871B3"/>
    <w:rsid w:val="00D90238"/>
    <w:rsid w:val="00DA1D00"/>
    <w:rsid w:val="00DA67FF"/>
    <w:rsid w:val="00DB43BF"/>
    <w:rsid w:val="00DB6BDB"/>
    <w:rsid w:val="00DB7D43"/>
    <w:rsid w:val="00DC3F2E"/>
    <w:rsid w:val="00DC52A9"/>
    <w:rsid w:val="00DC5366"/>
    <w:rsid w:val="00DC671F"/>
    <w:rsid w:val="00DD01DD"/>
    <w:rsid w:val="00DD093C"/>
    <w:rsid w:val="00DD31DC"/>
    <w:rsid w:val="00DD39B5"/>
    <w:rsid w:val="00DD4188"/>
    <w:rsid w:val="00DD5D37"/>
    <w:rsid w:val="00DE3117"/>
    <w:rsid w:val="00DE3578"/>
    <w:rsid w:val="00DE759B"/>
    <w:rsid w:val="00DF2978"/>
    <w:rsid w:val="00DF2D20"/>
    <w:rsid w:val="00DF42EB"/>
    <w:rsid w:val="00DF6347"/>
    <w:rsid w:val="00DF6BA7"/>
    <w:rsid w:val="00E01D08"/>
    <w:rsid w:val="00E024F3"/>
    <w:rsid w:val="00E03594"/>
    <w:rsid w:val="00E05212"/>
    <w:rsid w:val="00E07952"/>
    <w:rsid w:val="00E07C65"/>
    <w:rsid w:val="00E10B4D"/>
    <w:rsid w:val="00E11402"/>
    <w:rsid w:val="00E1207B"/>
    <w:rsid w:val="00E1265E"/>
    <w:rsid w:val="00E12CC6"/>
    <w:rsid w:val="00E22EF1"/>
    <w:rsid w:val="00E2484F"/>
    <w:rsid w:val="00E2660B"/>
    <w:rsid w:val="00E33A15"/>
    <w:rsid w:val="00E3527C"/>
    <w:rsid w:val="00E35C0F"/>
    <w:rsid w:val="00E35E7D"/>
    <w:rsid w:val="00E3797C"/>
    <w:rsid w:val="00E37BEF"/>
    <w:rsid w:val="00E43855"/>
    <w:rsid w:val="00E43CB3"/>
    <w:rsid w:val="00E47256"/>
    <w:rsid w:val="00E4796C"/>
    <w:rsid w:val="00E50C56"/>
    <w:rsid w:val="00E54757"/>
    <w:rsid w:val="00E575B4"/>
    <w:rsid w:val="00E5760E"/>
    <w:rsid w:val="00E60EA0"/>
    <w:rsid w:val="00E637F6"/>
    <w:rsid w:val="00E64A25"/>
    <w:rsid w:val="00E64DE1"/>
    <w:rsid w:val="00E65155"/>
    <w:rsid w:val="00E72DEF"/>
    <w:rsid w:val="00E73065"/>
    <w:rsid w:val="00E76A7E"/>
    <w:rsid w:val="00E76F88"/>
    <w:rsid w:val="00E80A20"/>
    <w:rsid w:val="00E80ED6"/>
    <w:rsid w:val="00E97AC9"/>
    <w:rsid w:val="00EA1426"/>
    <w:rsid w:val="00EA1B8F"/>
    <w:rsid w:val="00EA560F"/>
    <w:rsid w:val="00EA5ABA"/>
    <w:rsid w:val="00EB059A"/>
    <w:rsid w:val="00EB610A"/>
    <w:rsid w:val="00EC0A04"/>
    <w:rsid w:val="00EC1642"/>
    <w:rsid w:val="00EC20BD"/>
    <w:rsid w:val="00EC2DA8"/>
    <w:rsid w:val="00EC3155"/>
    <w:rsid w:val="00EC44B1"/>
    <w:rsid w:val="00EC46B1"/>
    <w:rsid w:val="00EC66A9"/>
    <w:rsid w:val="00EC78C4"/>
    <w:rsid w:val="00ED00EE"/>
    <w:rsid w:val="00ED05CA"/>
    <w:rsid w:val="00ED4FD5"/>
    <w:rsid w:val="00ED781B"/>
    <w:rsid w:val="00EE1FC8"/>
    <w:rsid w:val="00EE75A5"/>
    <w:rsid w:val="00EF2677"/>
    <w:rsid w:val="00F00FCE"/>
    <w:rsid w:val="00F01D87"/>
    <w:rsid w:val="00F0378B"/>
    <w:rsid w:val="00F041FA"/>
    <w:rsid w:val="00F06B2E"/>
    <w:rsid w:val="00F07C48"/>
    <w:rsid w:val="00F1145E"/>
    <w:rsid w:val="00F2063D"/>
    <w:rsid w:val="00F20E16"/>
    <w:rsid w:val="00F226F3"/>
    <w:rsid w:val="00F22950"/>
    <w:rsid w:val="00F229B1"/>
    <w:rsid w:val="00F23726"/>
    <w:rsid w:val="00F24B75"/>
    <w:rsid w:val="00F34380"/>
    <w:rsid w:val="00F35918"/>
    <w:rsid w:val="00F374F1"/>
    <w:rsid w:val="00F41C0E"/>
    <w:rsid w:val="00F45768"/>
    <w:rsid w:val="00F46D2A"/>
    <w:rsid w:val="00F50007"/>
    <w:rsid w:val="00F509F1"/>
    <w:rsid w:val="00F5114F"/>
    <w:rsid w:val="00F52D8E"/>
    <w:rsid w:val="00F60BF5"/>
    <w:rsid w:val="00F62B6A"/>
    <w:rsid w:val="00F62B82"/>
    <w:rsid w:val="00F643C6"/>
    <w:rsid w:val="00F6584E"/>
    <w:rsid w:val="00F66009"/>
    <w:rsid w:val="00F6709B"/>
    <w:rsid w:val="00F67FA6"/>
    <w:rsid w:val="00F70045"/>
    <w:rsid w:val="00F76456"/>
    <w:rsid w:val="00F76DF7"/>
    <w:rsid w:val="00F80720"/>
    <w:rsid w:val="00F87496"/>
    <w:rsid w:val="00F93A94"/>
    <w:rsid w:val="00FA2456"/>
    <w:rsid w:val="00FA29BA"/>
    <w:rsid w:val="00FA395E"/>
    <w:rsid w:val="00FC0006"/>
    <w:rsid w:val="00FC0985"/>
    <w:rsid w:val="00FC1E77"/>
    <w:rsid w:val="00FD0C2A"/>
    <w:rsid w:val="00FD50AD"/>
    <w:rsid w:val="00FE0BA7"/>
    <w:rsid w:val="00FE4E47"/>
    <w:rsid w:val="00FE64C3"/>
    <w:rsid w:val="00FE6969"/>
    <w:rsid w:val="00FE7065"/>
    <w:rsid w:val="00FF04CC"/>
    <w:rsid w:val="00FF0CAC"/>
    <w:rsid w:val="00FF0FE3"/>
    <w:rsid w:val="00FF141A"/>
    <w:rsid w:val="00FF28D1"/>
    <w:rsid w:val="00FF31E5"/>
    <w:rsid w:val="00FF3AFA"/>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286D11"/>
  <w15:chartTrackingRefBased/>
  <w15:docId w15:val="{22AF302A-2E97-1346-8CF9-6F16B6F76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523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3749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4198B"/>
    <w:pPr>
      <w:keepNext/>
      <w:keepLines/>
      <w:spacing w:before="40"/>
      <w:outlineLvl w:val="2"/>
    </w:pPr>
    <w:rPr>
      <w:rFonts w:asciiTheme="majorHAnsi" w:eastAsiaTheme="majorEastAsia" w:hAnsiTheme="majorHAnsi" w:cstheme="majorBidi"/>
      <w:color w:val="1F3763" w:themeColor="accent1" w:themeShade="7F"/>
      <w:kern w:val="0"/>
      <w14:ligatures w14:val="none"/>
    </w:rPr>
  </w:style>
  <w:style w:type="paragraph" w:styleId="Heading4">
    <w:name w:val="heading 4"/>
    <w:basedOn w:val="Normal"/>
    <w:next w:val="Normal"/>
    <w:link w:val="Heading4Char"/>
    <w:uiPriority w:val="9"/>
    <w:unhideWhenUsed/>
    <w:qFormat/>
    <w:rsid w:val="006F2AEF"/>
    <w:pPr>
      <w:keepNext/>
      <w:keepLines/>
      <w:spacing w:before="40"/>
      <w:outlineLvl w:val="3"/>
    </w:pPr>
    <w:rPr>
      <w:rFonts w:asciiTheme="majorHAnsi" w:eastAsiaTheme="majorEastAsia" w:hAnsiTheme="majorHAnsi" w:cstheme="majorBidi"/>
      <w:i/>
      <w:iCs/>
      <w:color w:val="2F5496" w:themeColor="accent1" w:themeShade="BF"/>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523B"/>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03749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C4198B"/>
    <w:rPr>
      <w:rFonts w:asciiTheme="majorHAnsi" w:eastAsiaTheme="majorEastAsia" w:hAnsiTheme="majorHAnsi" w:cstheme="majorBidi"/>
      <w:color w:val="1F3763" w:themeColor="accent1" w:themeShade="7F"/>
      <w:kern w:val="0"/>
      <w:lang w:val="en-US"/>
      <w14:ligatures w14:val="none"/>
    </w:rPr>
  </w:style>
  <w:style w:type="paragraph" w:styleId="ListParagraph">
    <w:name w:val="List Paragraph"/>
    <w:basedOn w:val="Normal"/>
    <w:uiPriority w:val="34"/>
    <w:qFormat/>
    <w:rsid w:val="00C4198B"/>
    <w:pPr>
      <w:ind w:left="720"/>
      <w:contextualSpacing/>
    </w:pPr>
    <w:rPr>
      <w:kern w:val="0"/>
      <w14:ligatures w14:val="none"/>
    </w:rPr>
  </w:style>
  <w:style w:type="paragraph" w:styleId="FootnoteText">
    <w:name w:val="footnote text"/>
    <w:basedOn w:val="Normal"/>
    <w:link w:val="FootnoteTextChar"/>
    <w:uiPriority w:val="99"/>
    <w:semiHidden/>
    <w:unhideWhenUsed/>
    <w:rsid w:val="00C4198B"/>
    <w:rPr>
      <w:kern w:val="0"/>
      <w:sz w:val="20"/>
      <w:szCs w:val="20"/>
      <w14:ligatures w14:val="none"/>
    </w:rPr>
  </w:style>
  <w:style w:type="character" w:customStyle="1" w:styleId="FootnoteTextChar">
    <w:name w:val="Footnote Text Char"/>
    <w:basedOn w:val="DefaultParagraphFont"/>
    <w:link w:val="FootnoteText"/>
    <w:uiPriority w:val="99"/>
    <w:semiHidden/>
    <w:rsid w:val="00C4198B"/>
    <w:rPr>
      <w:kern w:val="0"/>
      <w:sz w:val="20"/>
      <w:szCs w:val="20"/>
      <w:lang w:val="en-US"/>
      <w14:ligatures w14:val="none"/>
    </w:rPr>
  </w:style>
  <w:style w:type="character" w:styleId="FootnoteReference">
    <w:name w:val="footnote reference"/>
    <w:basedOn w:val="DefaultParagraphFont"/>
    <w:uiPriority w:val="99"/>
    <w:semiHidden/>
    <w:unhideWhenUsed/>
    <w:rsid w:val="00C4198B"/>
    <w:rPr>
      <w:vertAlign w:val="superscript"/>
    </w:rPr>
  </w:style>
  <w:style w:type="character" w:styleId="SubtleEmphasis">
    <w:name w:val="Subtle Emphasis"/>
    <w:basedOn w:val="DefaultParagraphFont"/>
    <w:uiPriority w:val="19"/>
    <w:qFormat/>
    <w:rsid w:val="00C4198B"/>
    <w:rPr>
      <w:i/>
      <w:iCs/>
      <w:color w:val="404040" w:themeColor="text1" w:themeTint="BF"/>
    </w:rPr>
  </w:style>
  <w:style w:type="paragraph" w:styleId="Caption">
    <w:name w:val="caption"/>
    <w:basedOn w:val="Normal"/>
    <w:next w:val="Normal"/>
    <w:uiPriority w:val="35"/>
    <w:unhideWhenUsed/>
    <w:qFormat/>
    <w:rsid w:val="00C4198B"/>
    <w:pPr>
      <w:spacing w:after="200"/>
    </w:pPr>
    <w:rPr>
      <w:i/>
      <w:iCs/>
      <w:color w:val="44546A" w:themeColor="text2"/>
      <w:kern w:val="0"/>
      <w:sz w:val="18"/>
      <w:szCs w:val="18"/>
      <w14:ligatures w14:val="none"/>
    </w:rPr>
  </w:style>
  <w:style w:type="paragraph" w:styleId="Subtitle">
    <w:name w:val="Subtitle"/>
    <w:basedOn w:val="Normal"/>
    <w:next w:val="Normal"/>
    <w:link w:val="SubtitleChar"/>
    <w:uiPriority w:val="11"/>
    <w:qFormat/>
    <w:rsid w:val="00C4198B"/>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C4198B"/>
    <w:rPr>
      <w:rFonts w:eastAsiaTheme="minorEastAsia"/>
      <w:color w:val="5A5A5A" w:themeColor="text1" w:themeTint="A5"/>
      <w:spacing w:val="15"/>
      <w:sz w:val="22"/>
      <w:szCs w:val="22"/>
    </w:rPr>
  </w:style>
  <w:style w:type="character" w:customStyle="1" w:styleId="Heading4Char">
    <w:name w:val="Heading 4 Char"/>
    <w:basedOn w:val="DefaultParagraphFont"/>
    <w:link w:val="Heading4"/>
    <w:uiPriority w:val="9"/>
    <w:rsid w:val="006F2AEF"/>
    <w:rPr>
      <w:rFonts w:asciiTheme="majorHAnsi" w:eastAsiaTheme="majorEastAsia" w:hAnsiTheme="majorHAnsi" w:cstheme="majorBidi"/>
      <w:i/>
      <w:iCs/>
      <w:color w:val="2F5496" w:themeColor="accent1" w:themeShade="BF"/>
      <w:kern w:val="0"/>
      <w14:ligatures w14:val="none"/>
    </w:rPr>
  </w:style>
  <w:style w:type="table" w:styleId="TableGrid">
    <w:name w:val="Table Grid"/>
    <w:basedOn w:val="TableNormal"/>
    <w:uiPriority w:val="39"/>
    <w:rsid w:val="006F2AEF"/>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6F2AEF"/>
    <w:rPr>
      <w:kern w:val="0"/>
      <w14:ligatures w14:val="none"/>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1Light">
    <w:name w:val="Grid Table 1 Light"/>
    <w:basedOn w:val="TableNormal"/>
    <w:uiPriority w:val="46"/>
    <w:rsid w:val="006F2AEF"/>
    <w:rPr>
      <w:kern w:val="0"/>
      <w14:ligatures w14:val="none"/>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5">
    <w:name w:val="Plain Table 5"/>
    <w:basedOn w:val="TableNormal"/>
    <w:uiPriority w:val="45"/>
    <w:rsid w:val="006F2AEF"/>
    <w:rPr>
      <w:kern w:val="0"/>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2">
    <w:name w:val="Grid Table 1 Light Accent 2"/>
    <w:basedOn w:val="TableNormal"/>
    <w:uiPriority w:val="46"/>
    <w:rsid w:val="006F2AEF"/>
    <w:rPr>
      <w:kern w:val="0"/>
      <w14:ligatures w14:val="none"/>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6F2AEF"/>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6F2AEF"/>
    <w:rPr>
      <w:kern w:val="0"/>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6F2AEF"/>
    <w:rPr>
      <w:kern w:val="0"/>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6F2AEF"/>
    <w:rPr>
      <w:color w:val="0563C1" w:themeColor="hyperlink"/>
      <w:u w:val="single"/>
    </w:rPr>
  </w:style>
  <w:style w:type="character" w:styleId="UnresolvedMention">
    <w:name w:val="Unresolved Mention"/>
    <w:basedOn w:val="DefaultParagraphFont"/>
    <w:uiPriority w:val="99"/>
    <w:semiHidden/>
    <w:unhideWhenUsed/>
    <w:rsid w:val="006F2AEF"/>
    <w:rPr>
      <w:color w:val="605E5C"/>
      <w:shd w:val="clear" w:color="auto" w:fill="E1DFDD"/>
    </w:rPr>
  </w:style>
  <w:style w:type="paragraph" w:styleId="TOCHeading">
    <w:name w:val="TOC Heading"/>
    <w:basedOn w:val="Heading1"/>
    <w:next w:val="Normal"/>
    <w:uiPriority w:val="39"/>
    <w:unhideWhenUsed/>
    <w:qFormat/>
    <w:rsid w:val="006F2AEF"/>
    <w:pPr>
      <w:spacing w:before="480" w:line="276" w:lineRule="auto"/>
      <w:outlineLvl w:val="9"/>
    </w:pPr>
    <w:rPr>
      <w:b/>
      <w:bCs/>
      <w:kern w:val="0"/>
      <w:sz w:val="28"/>
      <w:szCs w:val="28"/>
      <w14:ligatures w14:val="none"/>
    </w:rPr>
  </w:style>
  <w:style w:type="paragraph" w:styleId="TOC1">
    <w:name w:val="toc 1"/>
    <w:basedOn w:val="Normal"/>
    <w:next w:val="Normal"/>
    <w:autoRedefine/>
    <w:uiPriority w:val="39"/>
    <w:unhideWhenUsed/>
    <w:rsid w:val="006F2AEF"/>
    <w:pPr>
      <w:spacing w:before="120" w:after="120"/>
    </w:pPr>
    <w:rPr>
      <w:rFonts w:cstheme="minorHAnsi"/>
      <w:b/>
      <w:bCs/>
      <w:caps/>
      <w:sz w:val="20"/>
      <w:szCs w:val="20"/>
    </w:rPr>
  </w:style>
  <w:style w:type="paragraph" w:styleId="TOC2">
    <w:name w:val="toc 2"/>
    <w:basedOn w:val="Normal"/>
    <w:next w:val="Normal"/>
    <w:autoRedefine/>
    <w:uiPriority w:val="39"/>
    <w:unhideWhenUsed/>
    <w:rsid w:val="004F5990"/>
    <w:pPr>
      <w:ind w:left="240"/>
    </w:pPr>
    <w:rPr>
      <w:rFonts w:cstheme="minorHAnsi"/>
      <w:smallCaps/>
      <w:sz w:val="20"/>
      <w:szCs w:val="20"/>
    </w:rPr>
  </w:style>
  <w:style w:type="paragraph" w:styleId="TOC3">
    <w:name w:val="toc 3"/>
    <w:basedOn w:val="Normal"/>
    <w:next w:val="Normal"/>
    <w:autoRedefine/>
    <w:uiPriority w:val="39"/>
    <w:unhideWhenUsed/>
    <w:rsid w:val="006F2AEF"/>
    <w:pPr>
      <w:ind w:left="480"/>
    </w:pPr>
    <w:rPr>
      <w:rFonts w:cstheme="minorHAnsi"/>
      <w:i/>
      <w:iCs/>
      <w:sz w:val="20"/>
      <w:szCs w:val="20"/>
    </w:rPr>
  </w:style>
  <w:style w:type="paragraph" w:styleId="TOC4">
    <w:name w:val="toc 4"/>
    <w:basedOn w:val="Normal"/>
    <w:next w:val="Normal"/>
    <w:autoRedefine/>
    <w:uiPriority w:val="39"/>
    <w:unhideWhenUsed/>
    <w:rsid w:val="006F2AEF"/>
    <w:pPr>
      <w:ind w:left="720"/>
    </w:pPr>
    <w:rPr>
      <w:rFonts w:cstheme="minorHAnsi"/>
      <w:sz w:val="18"/>
      <w:szCs w:val="18"/>
    </w:rPr>
  </w:style>
  <w:style w:type="paragraph" w:styleId="TOC5">
    <w:name w:val="toc 5"/>
    <w:basedOn w:val="Normal"/>
    <w:next w:val="Normal"/>
    <w:autoRedefine/>
    <w:uiPriority w:val="39"/>
    <w:unhideWhenUsed/>
    <w:rsid w:val="006F2AEF"/>
    <w:pPr>
      <w:ind w:left="960"/>
    </w:pPr>
    <w:rPr>
      <w:rFonts w:cstheme="minorHAnsi"/>
      <w:sz w:val="18"/>
      <w:szCs w:val="18"/>
    </w:rPr>
  </w:style>
  <w:style w:type="paragraph" w:styleId="TOC6">
    <w:name w:val="toc 6"/>
    <w:basedOn w:val="Normal"/>
    <w:next w:val="Normal"/>
    <w:autoRedefine/>
    <w:uiPriority w:val="39"/>
    <w:unhideWhenUsed/>
    <w:rsid w:val="006F2AEF"/>
    <w:pPr>
      <w:ind w:left="1200"/>
    </w:pPr>
    <w:rPr>
      <w:rFonts w:cstheme="minorHAnsi"/>
      <w:sz w:val="18"/>
      <w:szCs w:val="18"/>
    </w:rPr>
  </w:style>
  <w:style w:type="paragraph" w:styleId="TOC7">
    <w:name w:val="toc 7"/>
    <w:basedOn w:val="Normal"/>
    <w:next w:val="Normal"/>
    <w:autoRedefine/>
    <w:uiPriority w:val="39"/>
    <w:unhideWhenUsed/>
    <w:rsid w:val="006F2AEF"/>
    <w:pPr>
      <w:ind w:left="1440"/>
    </w:pPr>
    <w:rPr>
      <w:rFonts w:cstheme="minorHAnsi"/>
      <w:sz w:val="18"/>
      <w:szCs w:val="18"/>
    </w:rPr>
  </w:style>
  <w:style w:type="paragraph" w:styleId="TOC8">
    <w:name w:val="toc 8"/>
    <w:basedOn w:val="Normal"/>
    <w:next w:val="Normal"/>
    <w:autoRedefine/>
    <w:uiPriority w:val="39"/>
    <w:unhideWhenUsed/>
    <w:rsid w:val="006F2AEF"/>
    <w:pPr>
      <w:ind w:left="1680"/>
    </w:pPr>
    <w:rPr>
      <w:rFonts w:cstheme="minorHAnsi"/>
      <w:sz w:val="18"/>
      <w:szCs w:val="18"/>
    </w:rPr>
  </w:style>
  <w:style w:type="paragraph" w:styleId="TOC9">
    <w:name w:val="toc 9"/>
    <w:basedOn w:val="Normal"/>
    <w:next w:val="Normal"/>
    <w:autoRedefine/>
    <w:uiPriority w:val="39"/>
    <w:unhideWhenUsed/>
    <w:rsid w:val="006F2AEF"/>
    <w:pPr>
      <w:ind w:left="1920"/>
    </w:pPr>
    <w:rPr>
      <w:rFonts w:cstheme="minorHAnsi"/>
      <w:sz w:val="18"/>
      <w:szCs w:val="18"/>
    </w:rPr>
  </w:style>
  <w:style w:type="paragraph" w:styleId="Footer">
    <w:name w:val="footer"/>
    <w:basedOn w:val="Normal"/>
    <w:link w:val="FooterChar"/>
    <w:uiPriority w:val="99"/>
    <w:unhideWhenUsed/>
    <w:rsid w:val="009369EB"/>
    <w:pPr>
      <w:tabs>
        <w:tab w:val="center" w:pos="4513"/>
        <w:tab w:val="right" w:pos="9026"/>
      </w:tabs>
    </w:pPr>
  </w:style>
  <w:style w:type="character" w:customStyle="1" w:styleId="FooterChar">
    <w:name w:val="Footer Char"/>
    <w:basedOn w:val="DefaultParagraphFont"/>
    <w:link w:val="Footer"/>
    <w:uiPriority w:val="99"/>
    <w:rsid w:val="009369EB"/>
  </w:style>
  <w:style w:type="character" w:styleId="PageNumber">
    <w:name w:val="page number"/>
    <w:basedOn w:val="DefaultParagraphFont"/>
    <w:uiPriority w:val="99"/>
    <w:semiHidden/>
    <w:unhideWhenUsed/>
    <w:rsid w:val="009369EB"/>
  </w:style>
  <w:style w:type="paragraph" w:styleId="Bibliography">
    <w:name w:val="Bibliography"/>
    <w:basedOn w:val="Normal"/>
    <w:next w:val="Normal"/>
    <w:uiPriority w:val="37"/>
    <w:semiHidden/>
    <w:unhideWhenUsed/>
    <w:rsid w:val="0053624B"/>
  </w:style>
  <w:style w:type="character" w:styleId="FollowedHyperlink">
    <w:name w:val="FollowedHyperlink"/>
    <w:basedOn w:val="DefaultParagraphFont"/>
    <w:uiPriority w:val="99"/>
    <w:semiHidden/>
    <w:unhideWhenUsed/>
    <w:rsid w:val="00115AF5"/>
    <w:rPr>
      <w:color w:val="954F72" w:themeColor="followedHyperlink"/>
      <w:u w:val="single"/>
    </w:rPr>
  </w:style>
  <w:style w:type="paragraph" w:styleId="Header">
    <w:name w:val="header"/>
    <w:basedOn w:val="Normal"/>
    <w:link w:val="HeaderChar"/>
    <w:uiPriority w:val="99"/>
    <w:unhideWhenUsed/>
    <w:rsid w:val="003C631B"/>
    <w:pPr>
      <w:tabs>
        <w:tab w:val="center" w:pos="4536"/>
        <w:tab w:val="right" w:pos="9072"/>
      </w:tabs>
    </w:pPr>
  </w:style>
  <w:style w:type="character" w:customStyle="1" w:styleId="HeaderChar">
    <w:name w:val="Header Char"/>
    <w:basedOn w:val="DefaultParagraphFont"/>
    <w:link w:val="Header"/>
    <w:uiPriority w:val="99"/>
    <w:rsid w:val="00F226F3"/>
  </w:style>
  <w:style w:type="paragraph" w:styleId="TableofFigures">
    <w:name w:val="table of figures"/>
    <w:basedOn w:val="Normal"/>
    <w:next w:val="Normal"/>
    <w:uiPriority w:val="99"/>
    <w:unhideWhenUsed/>
    <w:rsid w:val="00956D92"/>
  </w:style>
  <w:style w:type="paragraph" w:styleId="Title">
    <w:name w:val="Title"/>
    <w:basedOn w:val="Normal"/>
    <w:next w:val="Normal"/>
    <w:link w:val="TitleChar"/>
    <w:uiPriority w:val="10"/>
    <w:qFormat/>
    <w:rsid w:val="0092547F"/>
    <w:pPr>
      <w:contextualSpacing/>
    </w:pPr>
    <w:rPr>
      <w:rFonts w:asciiTheme="majorHAnsi" w:eastAsiaTheme="majorEastAsia" w:hAnsiTheme="majorHAnsi" w:cstheme="majorBidi"/>
      <w:spacing w:val="-10"/>
      <w:kern w:val="28"/>
      <w:sz w:val="56"/>
      <w:szCs w:val="56"/>
      <w:lang/>
    </w:rPr>
  </w:style>
  <w:style w:type="character" w:customStyle="1" w:styleId="TitleChar">
    <w:name w:val="Title Char"/>
    <w:basedOn w:val="DefaultParagraphFont"/>
    <w:link w:val="Title"/>
    <w:uiPriority w:val="10"/>
    <w:rsid w:val="0092547F"/>
    <w:rPr>
      <w:rFonts w:asciiTheme="majorHAnsi" w:eastAsiaTheme="majorEastAsia" w:hAnsiTheme="majorHAnsi" w:cstheme="majorBidi"/>
      <w:spacing w:val="-10"/>
      <w:kern w:val="28"/>
      <w:sz w:val="56"/>
      <w:szCs w:val="56"/>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3222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s://blogs.lse.ac.uk/mec/2021/01/20/talkin-bout-a-revolution-four-reasons-why-the-term-arab-spring-is-still-problemati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B7C37-EE7F-A840-BAAD-01934D36E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28521</Words>
  <Characters>172052</Characters>
  <Application>Microsoft Office Word</Application>
  <DocSecurity>0</DocSecurity>
  <Lines>1433</Lines>
  <Paragraphs>400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 Wijk</dc:creator>
  <cp:keywords/>
  <dc:description/>
  <cp:lastModifiedBy>Verbeek, J.A. (Bertjan)</cp:lastModifiedBy>
  <cp:revision>2</cp:revision>
  <cp:lastPrinted>2023-06-19T06:26:00Z</cp:lastPrinted>
  <dcterms:created xsi:type="dcterms:W3CDTF">2023-06-30T07:26:00Z</dcterms:created>
  <dcterms:modified xsi:type="dcterms:W3CDTF">2023-06-30T07:26:00Z</dcterms:modified>
</cp:coreProperties>
</file>